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38" w:lineRule="exact"/>
        <w:rPr>
          <w:sz w:val="24"/>
          <w:szCs w:val="24"/>
          <w:color w:val="auto"/>
        </w:rPr>
      </w:pPr>
    </w:p>
    <w:p>
      <w:pPr>
        <w:ind w:left="3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ind w:left="4380"/>
        <w:spacing w:after="0"/>
        <w:rPr>
          <w:sz w:val="20"/>
          <w:szCs w:val="20"/>
          <w:color w:val="auto"/>
        </w:rPr>
      </w:pPr>
      <w:r>
        <w:rPr>
          <w:rFonts w:ascii="Arial" w:cs="Arial" w:eastAsia="Arial" w:hAnsi="Arial"/>
          <w:sz w:val="25"/>
          <w:szCs w:val="25"/>
          <w:b w:val="1"/>
          <w:bCs w:val="1"/>
          <w:color w:val="auto"/>
        </w:rPr>
        <w:t>Washington, D. C. 20549</w:t>
      </w:r>
    </w:p>
    <w:p>
      <w:pPr>
        <w:ind w:left="3960"/>
        <w:spacing w:after="0"/>
        <w:rPr>
          <w:sz w:val="20"/>
          <w:szCs w:val="20"/>
          <w:color w:val="auto"/>
        </w:rPr>
      </w:pPr>
      <w:r>
        <w:rPr>
          <w:rFonts w:ascii="Arial" w:cs="Arial" w:eastAsia="Arial" w:hAnsi="Arial"/>
          <w:sz w:val="14"/>
          <w:szCs w:val="14"/>
          <w:color w:val="auto"/>
        </w:rPr>
        <w:t>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_________________________________________________</w:t>
      </w:r>
    </w:p>
    <w:p>
      <w:pPr>
        <w:spacing w:after="0" w:line="181"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26"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1" w:lineRule="exact"/>
        <w:rPr>
          <w:sz w:val="24"/>
          <w:szCs w:val="24"/>
          <w:color w:val="auto"/>
        </w:rPr>
      </w:pPr>
    </w:p>
    <w:p>
      <w:pPr>
        <w:ind w:left="3600"/>
        <w:spacing w:after="0"/>
        <w:rPr>
          <w:sz w:val="20"/>
          <w:szCs w:val="20"/>
          <w:color w:val="auto"/>
        </w:rPr>
      </w:pPr>
      <w:r>
        <w:rPr>
          <w:rFonts w:ascii="Arial" w:cs="Arial" w:eastAsia="Arial" w:hAnsi="Arial"/>
          <w:sz w:val="22"/>
          <w:szCs w:val="22"/>
          <w:b w:val="1"/>
          <w:bCs w:val="1"/>
          <w:color w:val="auto"/>
        </w:rPr>
        <w:t>For the quarterly period ended September 30, 2019</w:t>
      </w:r>
    </w:p>
    <w:p>
      <w:pPr>
        <w:spacing w:after="0" w:line="4"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69"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26"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31" w:lineRule="exact"/>
        <w:rPr>
          <w:sz w:val="24"/>
          <w:szCs w:val="24"/>
          <w:color w:val="auto"/>
        </w:rPr>
      </w:pPr>
    </w:p>
    <w:p>
      <w:pPr>
        <w:ind w:left="3820"/>
        <w:spacing w:after="0"/>
        <w:rPr>
          <w:sz w:val="20"/>
          <w:szCs w:val="20"/>
          <w:color w:val="auto"/>
        </w:rPr>
      </w:pPr>
      <w:r>
        <w:rPr>
          <w:rFonts w:ascii="Arial" w:cs="Arial" w:eastAsia="Arial" w:hAnsi="Arial"/>
          <w:sz w:val="22"/>
          <w:szCs w:val="22"/>
          <w:b w:val="1"/>
          <w:bCs w:val="1"/>
          <w:color w:val="auto"/>
        </w:rPr>
        <w:t>For the transition period from _____to 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7"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LENNOX INTERNATIONAL INC</w:t>
      </w:r>
      <w:r>
        <w:rPr>
          <w:rFonts w:ascii="Arial" w:cs="Arial" w:eastAsia="Arial" w:hAnsi="Arial"/>
          <w:sz w:val="36"/>
          <w:szCs w:val="36"/>
          <w:b w:val="1"/>
          <w:bCs w:val="1"/>
          <w:color w:val="auto"/>
        </w:rPr>
        <w:t>.</w:t>
      </w:r>
    </w:p>
    <w:p>
      <w:pPr>
        <w:spacing w:after="0" w:line="5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13"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72"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(972-497-5000)</w:t>
      </w:r>
    </w:p>
    <w:p>
      <w:pPr>
        <w:spacing w:after="0" w:line="9" w:lineRule="exact"/>
        <w:rPr>
          <w:sz w:val="24"/>
          <w:szCs w:val="24"/>
          <w:color w:val="auto"/>
        </w:rPr>
      </w:pPr>
    </w:p>
    <w:p>
      <w:pPr>
        <w:jc w:val="right"/>
        <w:ind w:right="3520"/>
        <w:spacing w:after="0"/>
        <w:rPr>
          <w:sz w:val="20"/>
          <w:szCs w:val="20"/>
          <w:color w:val="auto"/>
        </w:rPr>
      </w:pPr>
      <w:r>
        <w:rPr>
          <w:rFonts w:ascii="Arial" w:cs="Arial" w:eastAsia="Arial" w:hAnsi="Arial"/>
          <w:sz w:val="18"/>
          <w:szCs w:val="18"/>
          <w:color w:val="auto"/>
        </w:rPr>
        <w:t>_________________________________________________</w:t>
      </w:r>
    </w:p>
    <w:p>
      <w:pPr>
        <w:spacing w:after="0" w:line="9" w:lineRule="exact"/>
        <w:rPr>
          <w:sz w:val="24"/>
          <w:szCs w:val="24"/>
          <w:color w:val="auto"/>
        </w:rPr>
      </w:pPr>
    </w:p>
    <w:p>
      <w:pPr>
        <w:jc w:val="right"/>
        <w:ind w:right="35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43" w:right="239" w:bottom="1440" w:gutter="0" w:footer="0" w:header="0"/>
        </w:sectPr>
      </w:pPr>
    </w:p>
    <w:p>
      <w:pPr>
        <w:spacing w:after="0" w:line="153" w:lineRule="exact"/>
        <w:rPr>
          <w:sz w:val="24"/>
          <w:szCs w:val="24"/>
          <w:color w:val="auto"/>
        </w:rPr>
      </w:pPr>
    </w:p>
    <w:p>
      <w:pPr>
        <w:jc w:val="center"/>
        <w:ind w:left="7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jc w:val="center"/>
        <w:ind w:right="7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838" w:orient="portrait"/>
          <w:cols w:equalWidth="0" w:num="3">
            <w:col w:w="4440" w:space="720"/>
            <w:col w:w="1480" w:space="720"/>
            <w:col w:w="4060"/>
          </w:cols>
          <w:pgMar w:left="240" w:top="643" w:right="239" w:bottom="1440" w:gutter="0" w:footer="0" w:header="0"/>
          <w:type w:val="continuous"/>
        </w:sectPr>
      </w:pPr>
    </w:p>
    <w:p>
      <w:pPr>
        <w:ind w:left="980"/>
        <w:spacing w:after="0"/>
        <w:rPr>
          <w:sz w:val="20"/>
          <w:szCs w:val="20"/>
          <w:color w:val="auto"/>
        </w:rPr>
      </w:pPr>
      <w:r>
        <w:rPr>
          <w:rFonts w:ascii="Arial" w:cs="Arial" w:eastAsia="Arial" w:hAnsi="Arial"/>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New York Stock Exchange</w:t>
      </w:r>
    </w:p>
    <w:p>
      <w:pPr>
        <w:spacing w:after="0" w:line="143" w:lineRule="exact"/>
        <w:rPr>
          <w:sz w:val="24"/>
          <w:szCs w:val="24"/>
          <w:color w:val="auto"/>
        </w:rPr>
      </w:pPr>
    </w:p>
    <w:p>
      <w:pPr>
        <w:sectPr>
          <w:pgSz w:w="11900" w:h="16838" w:orient="portrait"/>
          <w:cols w:equalWidth="0" w:num="3">
            <w:col w:w="5040" w:space="720"/>
            <w:col w:w="1520" w:space="720"/>
            <w:col w:w="3420"/>
          </w:cols>
          <w:pgMar w:left="240" w:top="643" w:right="239" w:bottom="1440" w:gutter="0" w:footer="0" w:header="0"/>
          <w:type w:val="continuous"/>
        </w:sectPr>
      </w:pPr>
    </w:p>
    <w:p>
      <w:pPr>
        <w:jc w:val="both"/>
        <w:ind w:firstLine="243"/>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jc w:val="both"/>
        <w:ind w:firstLine="243"/>
        <w:spacing w:after="0" w:line="26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21"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p>
      <w:pPr>
        <w:ind w:left="740"/>
        <w:spacing w:after="0" w:line="221" w:lineRule="exact"/>
        <w:tabs>
          <w:tab w:leader="none" w:pos="3500" w:val="left"/>
          <w:tab w:leader="none" w:pos="7740" w:val="left"/>
          <w:tab w:leader="none" w:pos="104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9"/>
          <w:szCs w:val="19"/>
          <w:color w:val="auto"/>
        </w:rPr>
        <w:t>☐</w:t>
      </w:r>
    </w:p>
    <w:p>
      <w:pPr>
        <w:spacing w:after="0" w:line="131" w:lineRule="exact"/>
        <w:rPr>
          <w:sz w:val="24"/>
          <w:szCs w:val="24"/>
          <w:color w:val="auto"/>
        </w:rPr>
      </w:pPr>
    </w:p>
    <w:p>
      <w:pPr>
        <w:ind w:left="740"/>
        <w:spacing w:after="0" w:line="221" w:lineRule="exact"/>
        <w:tabs>
          <w:tab w:leader="none" w:pos="3500" w:val="left"/>
          <w:tab w:leader="none" w:pos="7740" w:val="left"/>
          <w:tab w:leader="none" w:pos="104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9"/>
          <w:szCs w:val="19"/>
          <w:color w:val="auto"/>
        </w:rPr>
        <w:t>☐</w:t>
      </w:r>
    </w:p>
    <w:p>
      <w:pPr>
        <w:spacing w:after="0" w:line="91" w:lineRule="exact"/>
        <w:rPr>
          <w:sz w:val="24"/>
          <w:szCs w:val="24"/>
          <w:color w:val="auto"/>
        </w:rPr>
      </w:pPr>
    </w:p>
    <w:p>
      <w:pPr>
        <w:ind w:left="7760"/>
        <w:spacing w:after="0" w:line="207" w:lineRule="exact"/>
        <w:tabs>
          <w:tab w:leader="none" w:pos="104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9"/>
          <w:szCs w:val="19"/>
          <w:color w:val="auto"/>
        </w:rPr>
        <w:t>☐</w:t>
      </w:r>
    </w:p>
    <w:p>
      <w:pPr>
        <w:spacing w:after="0" w:line="97" w:lineRule="exact"/>
        <w:rPr>
          <w:sz w:val="24"/>
          <w:szCs w:val="24"/>
          <w:color w:val="auto"/>
        </w:rPr>
      </w:pPr>
    </w:p>
    <w:p>
      <w:pPr>
        <w:ind w:firstLine="243"/>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 w:lineRule="exact"/>
        <w:rPr>
          <w:sz w:val="24"/>
          <w:szCs w:val="24"/>
          <w:color w:val="auto"/>
        </w:rPr>
      </w:pPr>
    </w:p>
    <w:p>
      <w:pPr>
        <w:ind w:left="260"/>
        <w:spacing w:after="0" w:line="230" w:lineRule="exact"/>
        <w:tabs>
          <w:tab w:leader="none" w:pos="858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p>
    <w:p>
      <w:pPr>
        <w:spacing w:after="0" w:line="155" w:lineRule="exact"/>
        <w:rPr>
          <w:sz w:val="24"/>
          <w:szCs w:val="24"/>
          <w:color w:val="auto"/>
        </w:rPr>
      </w:pPr>
    </w:p>
    <w:p>
      <w:pPr>
        <w:ind w:left="260"/>
        <w:spacing w:after="0"/>
        <w:rPr>
          <w:sz w:val="20"/>
          <w:szCs w:val="20"/>
          <w:color w:val="auto"/>
        </w:rPr>
      </w:pPr>
      <w:r>
        <w:rPr>
          <w:rFonts w:ascii="Arial" w:cs="Arial" w:eastAsia="Arial" w:hAnsi="Arial"/>
          <w:sz w:val="18"/>
          <w:szCs w:val="18"/>
          <w:color w:val="auto"/>
        </w:rPr>
        <w:t>As of October 11, 2019, the number of shares outstanding of the registrant’s common stock, par value $0.01 per share, was 38,531,575.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gridSpan w:val="3"/>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30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0"/>
              </w:rPr>
              <w:t>Consolidated Balance Sheets - September 30, 2019 (Unaudited) and December 31, 2018</w:t>
            </w:r>
          </w:p>
        </w:tc>
        <w:tc>
          <w:tcPr>
            <w:tcW w:w="3920" w:type="dxa"/>
            <w:vAlign w:val="bottom"/>
            <w:gridSpan w:val="6"/>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rPr>
              <w:t>Consolidated Statements of Operations (Unaudited) - Three Months and Nine Months Ended September 30, 2019 and 2018</w:t>
            </w: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7"/>
            <w:shd w:val="clear" w:color="auto" w:fill="CCEEFF"/>
          </w:tcPr>
          <w:p>
            <w:pPr>
              <w:spacing w:after="0"/>
              <w:rPr>
                <w:sz w:val="20"/>
                <w:szCs w:val="20"/>
                <w:color w:val="auto"/>
              </w:rPr>
            </w:pPr>
            <w:r>
              <w:rPr>
                <w:rFonts w:ascii="Arial" w:cs="Arial" w:eastAsia="Arial" w:hAnsi="Arial"/>
                <w:sz w:val="16"/>
                <w:szCs w:val="16"/>
                <w:color w:val="0000FF"/>
              </w:rPr>
              <w:t>Consolidated Statements of Comprehensive Income (Unaudited) -Three Months and Nine Months Ended September 30, 2019 and 2018</w:t>
            </w: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7"/>
          </w:tcPr>
          <w:p>
            <w:pPr>
              <w:spacing w:after="0"/>
              <w:rPr>
                <w:sz w:val="20"/>
                <w:szCs w:val="20"/>
                <w:color w:val="auto"/>
              </w:rPr>
            </w:pPr>
            <w:r>
              <w:rPr>
                <w:rFonts w:ascii="Arial" w:cs="Arial" w:eastAsia="Arial" w:hAnsi="Arial"/>
                <w:sz w:val="16"/>
                <w:szCs w:val="16"/>
                <w:color w:val="0000FF"/>
                <w:w w:val="96"/>
              </w:rPr>
              <w:t>Consolidated Statements of Stockholders' (Deficit) Equity (Unaudited) - Three Months and Nine Months Ended September 30, 2019 and 2018</w:t>
            </w:r>
          </w:p>
        </w:tc>
        <w:tc>
          <w:tcPr>
            <w:tcW w:w="440" w:type="dxa"/>
            <w:vAlign w:val="bottom"/>
            <w:gridSpan w:val="2"/>
          </w:tcPr>
          <w:p>
            <w:pPr>
              <w:jc w:val="center"/>
              <w:ind w:left="15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40" w:type="dxa"/>
            <w:vAlign w:val="bottom"/>
            <w:gridSpan w:val="13"/>
            <w:shd w:val="clear" w:color="auto" w:fill="CCEEFF"/>
          </w:tcPr>
          <w:p>
            <w:pPr>
              <w:spacing w:after="0"/>
              <w:rPr>
                <w:sz w:val="20"/>
                <w:szCs w:val="20"/>
                <w:color w:val="auto"/>
              </w:rPr>
            </w:pPr>
            <w:r>
              <w:rPr>
                <w:rFonts w:ascii="Arial" w:cs="Arial" w:eastAsia="Arial" w:hAnsi="Arial"/>
                <w:sz w:val="16"/>
                <w:szCs w:val="16"/>
                <w:color w:val="0000FF"/>
                <w:w w:val="91"/>
              </w:rPr>
              <w:t>Consolidated Statements of Cash Flows (Unaudited) - Nine Months Ended September 30, 2019 and 2018</w:t>
            </w:r>
          </w:p>
        </w:tc>
        <w:tc>
          <w:tcPr>
            <w:tcW w:w="2820" w:type="dxa"/>
            <w:vAlign w:val="bottom"/>
            <w:gridSpan w:val="4"/>
            <w:shd w:val="clear" w:color="auto" w:fill="CCEEFF"/>
          </w:tcPr>
          <w:p>
            <w:pPr>
              <w:spacing w:after="0"/>
              <w:rPr>
                <w:sz w:val="17"/>
                <w:szCs w:val="17"/>
                <w:color w:val="auto"/>
              </w:rPr>
            </w:pPr>
          </w:p>
        </w:tc>
        <w:tc>
          <w:tcPr>
            <w:tcW w:w="440" w:type="dxa"/>
            <w:vAlign w:val="bottom"/>
            <w:tcBorders>
              <w:right w:val="single" w:sz="8" w:color="CCEEFF"/>
            </w:tcBorders>
            <w:gridSpan w:val="2"/>
            <w:shd w:val="clear" w:color="auto" w:fill="CCEEFF"/>
          </w:tcPr>
          <w:p>
            <w:pPr>
              <w:jc w:val="center"/>
              <w:ind w:left="150"/>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40" w:type="dxa"/>
            <w:vAlign w:val="bottom"/>
            <w:gridSpan w:val="13"/>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Consolidated Financial Statements (Unaudited)</w:t>
              </w:r>
            </w:hyperlink>
          </w:p>
        </w:tc>
        <w:tc>
          <w:tcPr>
            <w:tcW w:w="2820" w:type="dxa"/>
            <w:vAlign w:val="bottom"/>
            <w:gridSpan w:val="4"/>
          </w:tcPr>
          <w:p>
            <w:pPr>
              <w:spacing w:after="0"/>
              <w:rPr>
                <w:sz w:val="17"/>
                <w:szCs w:val="17"/>
                <w:color w:val="auto"/>
              </w:rPr>
            </w:pPr>
          </w:p>
        </w:tc>
        <w:tc>
          <w:tcPr>
            <w:tcW w:w="440" w:type="dxa"/>
            <w:vAlign w:val="bottom"/>
            <w:gridSpan w:val="2"/>
          </w:tcPr>
          <w:p>
            <w:pPr>
              <w:jc w:val="center"/>
              <w:ind w:left="150"/>
              <w:spacing w:after="0" w:line="202"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Item 2. Management's Discussion and Analysis of Financial Condition and Results of Operations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6300" w:type="dxa"/>
            <w:vAlign w:val="bottom"/>
            <w:gridSpan w:val="13"/>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Item 3. Quantitative and Qualitative Disclosures About Market Risk</w:t>
              </w:r>
            </w:hyperlink>
          </w:p>
        </w:tc>
        <w:tc>
          <w:tcPr>
            <w:tcW w:w="3600" w:type="dxa"/>
            <w:vAlign w:val="bottom"/>
            <w:gridSpan w:val="5"/>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8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Item 4.</w:t>
              </w:r>
            </w:hyperlink>
          </w:p>
        </w:tc>
        <w:tc>
          <w:tcPr>
            <w:tcW w:w="1620" w:type="dxa"/>
            <w:vAlign w:val="bottom"/>
            <w:gridSpan w:val="7"/>
            <w:shd w:val="clear" w:color="auto" w:fill="CCEEFF"/>
          </w:tcPr>
          <w:p>
            <w:pPr>
              <w:ind w:left="20"/>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Controls and Procedures</w:t>
              </w:r>
            </w:hyperlink>
          </w:p>
        </w:tc>
        <w:tc>
          <w:tcPr>
            <w:tcW w:w="7800" w:type="dxa"/>
            <w:vAlign w:val="bottom"/>
            <w:gridSpan w:val="9"/>
            <w:shd w:val="clear" w:color="auto" w:fill="CCEEFF"/>
          </w:tcPr>
          <w:p>
            <w:pPr>
              <w:spacing w:after="0"/>
              <w:rPr>
                <w:sz w:val="21"/>
                <w:szCs w:val="21"/>
                <w:color w:val="auto"/>
              </w:rPr>
            </w:pPr>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240" w:type="dxa"/>
            <w:vAlign w:val="bottom"/>
            <w:shd w:val="clear" w:color="auto" w:fill="CCEEFF"/>
          </w:tcPr>
          <w:p>
            <w:pPr>
              <w:spacing w:after="0"/>
              <w:rPr>
                <w:sz w:val="21"/>
                <w:szCs w:val="21"/>
                <w:color w:val="auto"/>
              </w:rPr>
            </w:pPr>
          </w:p>
        </w:tc>
      </w:tr>
      <w:tr>
        <w:trPr>
          <w:trHeight w:val="203"/>
        </w:trPr>
        <w:tc>
          <w:tcPr>
            <w:tcW w:w="840" w:type="dxa"/>
            <w:vAlign w:val="bottom"/>
            <w:tcBorders>
              <w:top w:val="single" w:sz="8" w:color="CCEEFF"/>
            </w:tcBorders>
          </w:tcPr>
          <w:p>
            <w:pPr>
              <w:jc w:val="center"/>
              <w:spacing w:after="0"/>
              <w:rPr>
                <w:sz w:val="20"/>
                <w:szCs w:val="20"/>
                <w:color w:val="auto"/>
              </w:rPr>
            </w:pPr>
            <w:r>
              <w:rPr>
                <w:rFonts w:ascii="Arial" w:cs="Arial" w:eastAsia="Arial" w:hAnsi="Arial"/>
                <w:sz w:val="16"/>
                <w:szCs w:val="16"/>
                <w:b w:val="1"/>
                <w:bCs w:val="1"/>
                <w:color w:val="auto"/>
              </w:rPr>
              <w:t>Part II</w:t>
            </w:r>
          </w:p>
        </w:tc>
        <w:tc>
          <w:tcPr>
            <w:tcW w:w="2100" w:type="dxa"/>
            <w:vAlign w:val="bottom"/>
            <w:tcBorders>
              <w:top w:val="single" w:sz="8" w:color="0000FF"/>
            </w:tcBorders>
            <w:gridSpan w:val="9"/>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Other Information</w:t>
              </w:r>
            </w:hyperlink>
          </w:p>
        </w:tc>
        <w:tc>
          <w:tcPr>
            <w:tcW w:w="7800" w:type="dxa"/>
            <w:vAlign w:val="bottom"/>
            <w:tcBorders>
              <w:top w:val="single" w:sz="8" w:color="CCEEFF"/>
            </w:tcBorders>
            <w:gridSpan w:val="9"/>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9">
              <w:r>
                <w:rPr>
                  <w:rFonts w:ascii="Arial" w:cs="Arial" w:eastAsia="Arial" w:hAnsi="Arial"/>
                  <w:sz w:val="16"/>
                  <w:szCs w:val="16"/>
                  <w:color w:val="0000FF"/>
                  <w:w w:val="93"/>
                </w:rPr>
                <w:t>Item 1.</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49">
              <w:r>
                <w:rPr>
                  <w:rFonts w:ascii="Arial" w:cs="Arial" w:eastAsia="Arial" w:hAnsi="Arial"/>
                  <w:sz w:val="16"/>
                  <w:szCs w:val="16"/>
                  <w:color w:val="0000FF"/>
                </w:rPr>
                <w:t>Legal Proceedings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1700" w:type="dxa"/>
            <w:vAlign w:val="bottom"/>
            <w:gridSpan w:val="7"/>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Item 1A. Risk Factors</w:t>
              </w:r>
            </w:hyperlink>
          </w:p>
        </w:tc>
        <w:tc>
          <w:tcPr>
            <w:tcW w:w="8200" w:type="dxa"/>
            <w:vAlign w:val="bottom"/>
            <w:gridSpan w:val="11"/>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9">
              <w:r>
                <w:rPr>
                  <w:rFonts w:ascii="Arial" w:cs="Arial" w:eastAsia="Arial" w:hAnsi="Arial"/>
                  <w:sz w:val="16"/>
                  <w:szCs w:val="16"/>
                  <w:color w:val="0000FF"/>
                  <w:w w:val="93"/>
                </w:rPr>
                <w:t>Item 2.</w:t>
              </w:r>
            </w:hyperlink>
          </w:p>
        </w:tc>
        <w:tc>
          <w:tcPr>
            <w:tcW w:w="9420" w:type="dxa"/>
            <w:vAlign w:val="bottom"/>
            <w:gridSpan w:val="16"/>
            <w:shd w:val="clear" w:color="auto" w:fill="CCEEFF"/>
          </w:tcPr>
          <w:p>
            <w:pPr>
              <w:ind w:left="20"/>
              <w:spacing w:after="0"/>
              <w:rPr>
                <w:rFonts w:ascii="Arial" w:cs="Arial" w:eastAsia="Arial" w:hAnsi="Arial"/>
                <w:sz w:val="16"/>
                <w:szCs w:val="16"/>
                <w:color w:val="0000FF"/>
              </w:rPr>
            </w:pPr>
            <w:hyperlink w:anchor="page49">
              <w:r>
                <w:rPr>
                  <w:rFonts w:ascii="Arial" w:cs="Arial" w:eastAsia="Arial" w:hAnsi="Arial"/>
                  <w:sz w:val="16"/>
                  <w:szCs w:val="16"/>
                  <w:color w:val="0000FF"/>
                </w:rPr>
                <w:t>Unregistered Sales of Equity Securities and Use of Proceeds</w:t>
              </w:r>
            </w:hyperlink>
          </w:p>
        </w:tc>
        <w:tc>
          <w:tcPr>
            <w:tcW w:w="440" w:type="dxa"/>
            <w:vAlign w:val="bottom"/>
            <w:tcBorders>
              <w:right w:val="single" w:sz="8" w:color="CCEEFF"/>
            </w:tcBorders>
            <w:gridSpan w:val="2"/>
            <w:shd w:val="clear" w:color="auto" w:fill="CCEEFF"/>
          </w:tcPr>
          <w:p>
            <w:pPr>
              <w:jc w:val="center"/>
              <w:ind w:left="170"/>
              <w:spacing w:after="0" w:line="202"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47</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50">
              <w:r>
                <w:rPr>
                  <w:rFonts w:ascii="Arial" w:cs="Arial" w:eastAsia="Arial" w:hAnsi="Arial"/>
                  <w:sz w:val="16"/>
                  <w:szCs w:val="16"/>
                  <w:color w:val="0000FF"/>
                  <w:w w:val="93"/>
                </w:rPr>
                <w:t>Item 6.</w:t>
              </w:r>
            </w:hyperlink>
          </w:p>
        </w:tc>
        <w:tc>
          <w:tcPr>
            <w:tcW w:w="3940" w:type="dxa"/>
            <w:vAlign w:val="bottom"/>
            <w:gridSpan w:val="9"/>
          </w:tcPr>
          <w:p>
            <w:pPr>
              <w:ind w:left="20"/>
              <w:spacing w:after="0"/>
              <w:rPr>
                <w:rFonts w:ascii="Arial" w:cs="Arial" w:eastAsia="Arial" w:hAnsi="Arial"/>
                <w:sz w:val="16"/>
                <w:szCs w:val="16"/>
                <w:color w:val="0000FF"/>
              </w:rPr>
            </w:pPr>
            <w:hyperlink w:anchor="page50">
              <w:r>
                <w:rPr>
                  <w:rFonts w:ascii="Arial" w:cs="Arial" w:eastAsia="Arial" w:hAnsi="Arial"/>
                  <w:sz w:val="16"/>
                  <w:szCs w:val="16"/>
                  <w:color w:val="0000FF"/>
                </w:rPr>
                <w:t>Exhibits</w:t>
              </w:r>
            </w:hyperlink>
          </w:p>
        </w:tc>
        <w:tc>
          <w:tcPr>
            <w:tcW w:w="5480" w:type="dxa"/>
            <w:vAlign w:val="bottom"/>
            <w:gridSpan w:val="7"/>
          </w:tcPr>
          <w:p>
            <w:pPr>
              <w:spacing w:after="0"/>
              <w:rPr>
                <w:sz w:val="17"/>
                <w:szCs w:val="17"/>
                <w:color w:val="auto"/>
              </w:rPr>
            </w:pPr>
          </w:p>
        </w:tc>
        <w:tc>
          <w:tcPr>
            <w:tcW w:w="440" w:type="dxa"/>
            <w:vAlign w:val="bottom"/>
            <w:gridSpan w:val="2"/>
          </w:tcPr>
          <w:p>
            <w:pPr>
              <w:jc w:val="center"/>
              <w:ind w:left="170"/>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48</w:t>
              </w:r>
            </w:hyperlink>
          </w:p>
        </w:tc>
        <w:tc>
          <w:tcPr>
            <w:tcW w:w="24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As of September 30, 2019</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2018</w:t>
            </w: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Short-term investments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w w:val="98"/>
              </w:rPr>
              <w:t>Accounts and notes receivable, net of allowances of $7.1 and $6.3 in 2019 and 2018, respectively</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472.7</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Inventories, net</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585.3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509.8</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60.6</w:t>
            </w:r>
          </w:p>
        </w:tc>
      </w:tr>
      <w:tr>
        <w:trPr>
          <w:trHeight w:val="219"/>
        </w:trPr>
        <w:tc>
          <w:tcPr>
            <w:tcW w:w="7440" w:type="dxa"/>
            <w:vAlign w:val="bottom"/>
          </w:tcPr>
          <w:p>
            <w:pPr>
              <w:ind w:left="380"/>
              <w:spacing w:after="0"/>
              <w:rPr>
                <w:sz w:val="20"/>
                <w:szCs w:val="20"/>
                <w:color w:val="auto"/>
              </w:rPr>
            </w:pPr>
            <w:r>
              <w:rPr>
                <w:rFonts w:ascii="Arial" w:cs="Arial" w:eastAsia="Arial" w:hAnsi="Arial"/>
                <w:sz w:val="17"/>
                <w:szCs w:val="17"/>
                <w:color w:val="auto"/>
              </w:rPr>
              <w:t>Total current assets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1,317.3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1,089.4</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12"/>
        </w:trPr>
        <w:tc>
          <w:tcPr>
            <w:tcW w:w="7440" w:type="dxa"/>
            <w:vAlign w:val="bottom"/>
            <w:shd w:val="clear" w:color="auto" w:fill="CCEEFF"/>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$807.0 and $778.5 in 2019 and 2018,</w:t>
            </w:r>
          </w:p>
        </w:tc>
        <w:tc>
          <w:tcPr>
            <w:tcW w:w="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respectively</w:t>
            </w:r>
          </w:p>
        </w:tc>
        <w:tc>
          <w:tcPr>
            <w:tcW w:w="36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418.8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408.3</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Right-of-use assets from operating leases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172.9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186.6</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47.6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67.0</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 net</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65.9</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2,214.8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71"/>
        </w:trPr>
        <w:tc>
          <w:tcPr>
            <w:tcW w:w="7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DEFICIT</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394.3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300.8</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393.0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433.3</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272.3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3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1,008.5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1,056.8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740.5</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Long-term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Pensions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82.8</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135.0</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2,492.1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1,966.8</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Stockholders' deficit:</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1,078.8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2,064.4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1,855.0</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(188.8)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7"/>
              </w:rPr>
              <w:t>Treasury stock, at cost, 48,642,428 shares and 47,312,248 shares for 2019 and 2018, respectively</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(3,305.4)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(2,895.5)</w:t>
            </w:r>
          </w:p>
        </w:tc>
      </w:tr>
      <w:tr>
        <w:trPr>
          <w:trHeight w:val="31"/>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deficit</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(149.6)</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deficit</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2,214.8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1,817.2</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gridSpan w:val="5"/>
            <w:shd w:val="clear" w:color="auto" w:fill="CCEEFF"/>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shd w:val="clear" w:color="auto" w:fill="CCEEFF"/>
          </w:tcPr>
          <w:p>
            <w:pPr>
              <w:spacing w:after="0"/>
              <w:rPr>
                <w:sz w:val="18"/>
                <w:szCs w:val="18"/>
                <w:color w:val="auto"/>
              </w:rPr>
            </w:pPr>
          </w:p>
        </w:tc>
        <w:tc>
          <w:tcPr>
            <w:tcW w:w="2380" w:type="dxa"/>
            <w:vAlign w:val="bottom"/>
            <w:gridSpan w:val="4"/>
            <w:shd w:val="clear" w:color="auto" w:fill="CCEEFF"/>
          </w:tcPr>
          <w:p>
            <w:pPr>
              <w:jc w:val="right"/>
              <w:ind w:right="230"/>
              <w:spacing w:after="0"/>
              <w:rPr>
                <w:sz w:val="20"/>
                <w:szCs w:val="20"/>
                <w:color w:val="auto"/>
              </w:rPr>
            </w:pPr>
            <w:r>
              <w:rPr>
                <w:rFonts w:ascii="Arial" w:cs="Arial" w:eastAsia="Arial" w:hAnsi="Arial"/>
                <w:sz w:val="16"/>
                <w:szCs w:val="16"/>
                <w:b w:val="1"/>
                <w:bCs w:val="1"/>
                <w:color w:val="auto"/>
                <w:w w:val="98"/>
              </w:rPr>
              <w:t>For the Nine Months Ended</w:t>
            </w: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0"/>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3,040.4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(gain), net on sale of businesses and related property</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from insurance recoveries, net of losses incurred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from continuing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Discontinued Operations: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income from discontinued operations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294.7</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283.4</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39.0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b w:val="1"/>
                <w:bCs w:val="1"/>
                <w:color w:val="auto"/>
              </w:rPr>
              <w:t>39.5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860" w:type="dxa"/>
            <w:vAlign w:val="bottom"/>
            <w:gridSpan w:val="6"/>
          </w:tcPr>
          <w:p>
            <w:pPr>
              <w:ind w:left="3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7"/>
                <w:szCs w:val="17"/>
                <w:color w:val="auto"/>
              </w:rPr>
            </w:pPr>
          </w:p>
        </w:tc>
        <w:tc>
          <w:tcPr>
            <w:tcW w:w="236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5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8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18"/>
                <w:szCs w:val="18"/>
                <w:color w:val="auto"/>
              </w:rPr>
            </w:pPr>
          </w:p>
        </w:tc>
      </w:tr>
      <w:tr>
        <w:trPr>
          <w:trHeight w:val="33"/>
        </w:trPr>
        <w:tc>
          <w:tcPr>
            <w:tcW w:w="5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1"/>
        </w:trPr>
        <w:tc>
          <w:tcPr>
            <w:tcW w:w="59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1"/>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ind w:right="371"/>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59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88"/>
              </w:rPr>
              <w:t>114.7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w w:val="97"/>
              </w:rPr>
              <w:t>Reclassification of foreign currency translation adjustments into earnings</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27.9</w:t>
            </w:r>
          </w:p>
        </w:tc>
      </w:tr>
      <w:tr>
        <w:trPr>
          <w:trHeight w:val="27"/>
        </w:trPr>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w w:val="94"/>
              </w:rPr>
              <w:t>Reclassification of pension and post-retirement benefit losses into earnings</w:t>
            </w:r>
          </w:p>
        </w:tc>
        <w:tc>
          <w:tcPr>
            <w:tcW w:w="8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settlement</w:t>
            </w:r>
          </w:p>
        </w:tc>
        <w:tc>
          <w:tcPr>
            <w:tcW w:w="8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8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5940" w:type="dxa"/>
            <w:vAlign w:val="bottom"/>
          </w:tcPr>
          <w:p>
            <w:pPr>
              <w:ind w:left="280"/>
              <w:spacing w:after="0"/>
              <w:rPr>
                <w:sz w:val="20"/>
                <w:szCs w:val="20"/>
                <w:color w:val="auto"/>
              </w:rPr>
            </w:pPr>
            <w:r>
              <w:rPr>
                <w:rFonts w:ascii="Arial" w:cs="Arial" w:eastAsia="Arial" w:hAnsi="Arial"/>
                <w:sz w:val="18"/>
                <w:szCs w:val="18"/>
                <w:color w:val="auto"/>
              </w:rPr>
              <w:t>Reclassification of cash flow hedge losses (gains) into earnings</w:t>
            </w:r>
          </w:p>
        </w:tc>
        <w:tc>
          <w:tcPr>
            <w:tcW w:w="860" w:type="dxa"/>
            <w:vAlign w:val="bottom"/>
          </w:tcPr>
          <w:p>
            <w:pPr>
              <w:spacing w:after="0"/>
              <w:rPr>
                <w:sz w:val="21"/>
                <w:szCs w:val="21"/>
                <w:color w:val="auto"/>
              </w:rPr>
            </w:pPr>
          </w:p>
        </w:tc>
        <w:tc>
          <w:tcPr>
            <w:tcW w:w="54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59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income taxes</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8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59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r>
      <w:tr>
        <w:trPr>
          <w:trHeight w:val="257"/>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88"/>
              </w:rPr>
              <w:t>117.1</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356.3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265.2</w:t>
            </w:r>
          </w:p>
        </w:tc>
      </w:tr>
      <w:tr>
        <w:trPr>
          <w:trHeight w:val="20"/>
        </w:trPr>
        <w:tc>
          <w:tcPr>
            <w:tcW w:w="5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769"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left="840" w:right="2300"/>
        <w:spacing w:after="0" w:line="252" w:lineRule="auto"/>
        <w:rPr>
          <w:sz w:val="20"/>
          <w:szCs w:val="20"/>
          <w:color w:val="auto"/>
        </w:rPr>
      </w:pPr>
      <w:r>
        <w:rPr>
          <w:rFonts w:ascii="Arial" w:cs="Arial" w:eastAsia="Arial" w:hAnsi="Arial"/>
          <w:sz w:val="16"/>
          <w:szCs w:val="16"/>
          <w:b w:val="1"/>
          <w:bCs w:val="1"/>
          <w:color w:val="auto"/>
        </w:rPr>
        <w:t>CONSOLIDATED STATEMENTS OF STOCKHOLDERS' (DEFICIT) EQUITY For the Three and Nine months ended September 30, 2019 and 2018 (Unaudited) (In millions,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1"/>
              </w:rPr>
              <w:t>Accumulated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Arial" w:cs="Arial" w:eastAsia="Arial" w:hAnsi="Arial"/>
                <w:sz w:val="15"/>
                <w:szCs w:val="15"/>
                <w:b w:val="1"/>
                <w:bCs w:val="1"/>
                <w:color w:val="auto"/>
                <w:w w:val="92"/>
              </w:rPr>
              <w:t>Treasury Stock 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jc w:val="center"/>
              <w:ind w:right="20"/>
              <w:spacing w:after="0" w:line="162" w:lineRule="exact"/>
              <w:rPr>
                <w:sz w:val="20"/>
                <w:szCs w:val="20"/>
                <w:color w:val="auto"/>
              </w:rPr>
            </w:pPr>
            <w:r>
              <w:rPr>
                <w:rFonts w:ascii="Arial" w:cs="Arial" w:eastAsia="Arial" w:hAnsi="Arial"/>
                <w:sz w:val="15"/>
                <w:szCs w:val="15"/>
                <w:b w:val="1"/>
                <w:bCs w:val="1"/>
                <w:color w:val="auto"/>
                <w:w w:val="92"/>
              </w:rPr>
              <w:t>Common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w w:val="95"/>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tcPr>
          <w:p>
            <w:pPr>
              <w:jc w:val="center"/>
              <w:ind w:right="480"/>
              <w:spacing w:after="0" w:line="162" w:lineRule="exact"/>
              <w:rPr>
                <w:sz w:val="20"/>
                <w:szCs w:val="20"/>
                <w:color w:val="auto"/>
              </w:rPr>
            </w:pPr>
            <w:r>
              <w:rPr>
                <w:rFonts w:ascii="Arial" w:cs="Arial" w:eastAsia="Arial" w:hAnsi="Arial"/>
                <w:sz w:val="15"/>
                <w:szCs w:val="15"/>
                <w:b w:val="1"/>
                <w:bCs w:val="1"/>
                <w:color w:val="auto"/>
                <w:w w:val="89"/>
              </w:rPr>
              <w:t>Cost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center"/>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88"/>
              </w:rPr>
              <w:t>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w w:val="94"/>
              </w:rPr>
              <w:t>Retained</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gridSpan w:val="3"/>
            <w:vMerge w:val="restart"/>
          </w:tcPr>
          <w:p>
            <w:pPr>
              <w:jc w:val="center"/>
              <w:ind w:right="2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12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0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i w:val="1"/>
                <w:iCs w:val="1"/>
                <w:color w:val="auto"/>
              </w:rPr>
              <w:t>(For the three months ended September 30, 2019)</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5"/>
                <w:szCs w:val="15"/>
                <w:b w:val="1"/>
                <w:bCs w:val="1"/>
                <w:color w:val="auto"/>
                <w:w w:val="88"/>
              </w:rPr>
              <w:t>Issued</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b w:val="1"/>
                <w:bCs w:val="1"/>
                <w:color w:val="auto"/>
              </w:rPr>
              <w:t>Capital</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3"/>
              </w:rPr>
              <w:t>Earnings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85"/>
              </w:rPr>
              <w:t>Loss</w:t>
            </w: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3"/>
              </w:rPr>
              <w:t>Shares</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1,085.8</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2"/>
              </w:rPr>
              <w:t>$1,979.4</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(129.6)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48.1</w:t>
            </w:r>
          </w:p>
        </w:tc>
        <w:tc>
          <w:tcPr>
            <w:tcW w:w="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(3,154.0)</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(217.5)</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Net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spacing w:after="0"/>
              <w:rPr>
                <w:sz w:val="20"/>
                <w:szCs w:val="20"/>
                <w:color w:val="auto"/>
              </w:rPr>
            </w:pPr>
            <w:r>
              <w:rPr>
                <w:rFonts w:ascii="Arial" w:cs="Arial" w:eastAsia="Arial" w:hAnsi="Arial"/>
                <w:sz w:val="15"/>
                <w:szCs w:val="15"/>
                <w:color w:val="auto"/>
              </w:rPr>
              <w:t>114.7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Dividends, $0.77 per share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Pension and post-retirement liability changes, net of tax</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9.0</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Stock-based compensation expense</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4.2</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Change in cash flow hedges, net of tax benefit of $0.1</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4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800" w:type="dxa"/>
            <w:vAlign w:val="bottom"/>
            <w:gridSpan w:val="4"/>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4160" w:type="dxa"/>
            <w:vAlign w:val="bottom"/>
            <w:shd w:val="clear" w:color="auto" w:fill="CCEEFF"/>
          </w:tcPr>
          <w:p>
            <w:pPr>
              <w:ind w:left="240"/>
              <w:spacing w:after="0"/>
              <w:rPr>
                <w:sz w:val="20"/>
                <w:szCs w:val="20"/>
                <w:color w:val="auto"/>
              </w:rPr>
            </w:pPr>
            <w:r>
              <w:rPr>
                <w:rFonts w:ascii="Arial" w:cs="Arial" w:eastAsia="Arial" w:hAnsi="Arial"/>
                <w:sz w:val="15"/>
                <w:szCs w:val="15"/>
                <w:color w:val="auto"/>
              </w:rPr>
              <w:t>Treasury stock purchases</w:t>
            </w: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0" w:type="dxa"/>
            <w:vAlign w:val="bottom"/>
            <w:gridSpan w:val="2"/>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gridSpan w:val="2"/>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(152.4)</w:t>
            </w:r>
          </w:p>
        </w:tc>
        <w:tc>
          <w:tcPr>
            <w:tcW w:w="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(152.4)</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00" w:type="dxa"/>
            <w:vAlign w:val="bottom"/>
            <w:gridSpan w:val="2"/>
          </w:tcPr>
          <w:p>
            <w:pPr>
              <w:ind w:left="40"/>
              <w:spacing w:after="0"/>
              <w:rPr>
                <w:sz w:val="20"/>
                <w:szCs w:val="20"/>
                <w:color w:val="auto"/>
              </w:rPr>
            </w:pPr>
            <w:r>
              <w:rPr>
                <w:rFonts w:ascii="Arial" w:cs="Arial" w:eastAsia="Arial" w:hAnsi="Arial"/>
                <w:sz w:val="15"/>
                <w:szCs w:val="15"/>
                <w:b w:val="1"/>
                <w:bCs w:val="1"/>
                <w:color w:val="auto"/>
              </w:rPr>
              <w:t>Balance as of September 30, 2019</w:t>
            </w:r>
          </w:p>
        </w:tc>
        <w:tc>
          <w:tcPr>
            <w:tcW w:w="4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1,090.0</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2"/>
              </w:rPr>
              <w:t>$2,064.4</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(127.2)</w:t>
            </w:r>
          </w:p>
        </w:tc>
        <w:tc>
          <w:tcPr>
            <w:tcW w:w="40" w:type="dxa"/>
            <w:vAlign w:val="bottom"/>
            <w:tcBorders>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48.6</w:t>
            </w: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(3,305.4)</w:t>
            </w:r>
          </w:p>
        </w:tc>
        <w:tc>
          <w:tcPr>
            <w:tcW w:w="40" w:type="dxa"/>
            <w:vAlign w:val="bottom"/>
            <w:tcBorders>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(277.3)</w:t>
            </w:r>
          </w:p>
        </w:tc>
        <w:tc>
          <w:tcPr>
            <w:tcW w:w="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Accumulated</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7"/>
          </w:tcPr>
          <w:p>
            <w:pPr>
              <w:jc w:val="center"/>
              <w:ind w:right="40"/>
              <w:spacing w:after="0"/>
              <w:rPr>
                <w:sz w:val="20"/>
                <w:szCs w:val="20"/>
                <w:color w:val="auto"/>
              </w:rPr>
            </w:pPr>
            <w:r>
              <w:rPr>
                <w:rFonts w:ascii="Arial" w:cs="Arial" w:eastAsia="Arial" w:hAnsi="Arial"/>
                <w:sz w:val="15"/>
                <w:szCs w:val="15"/>
                <w:b w:val="1"/>
                <w:bCs w:val="1"/>
                <w:color w:val="auto"/>
                <w:w w:val="92"/>
              </w:rPr>
              <w:t>Treasury Stock at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spacing w:after="0" w:line="162" w:lineRule="exact"/>
              <w:rPr>
                <w:sz w:val="20"/>
                <w:szCs w:val="20"/>
                <w:color w:val="auto"/>
              </w:rPr>
            </w:pPr>
            <w:r>
              <w:rPr>
                <w:rFonts w:ascii="Arial" w:cs="Arial" w:eastAsia="Arial" w:hAnsi="Arial"/>
                <w:sz w:val="15"/>
                <w:szCs w:val="15"/>
                <w:b w:val="1"/>
                <w:bCs w:val="1"/>
                <w:color w:val="auto"/>
              </w:rPr>
              <w:t>Common</w:t>
            </w:r>
          </w:p>
        </w:tc>
        <w:tc>
          <w:tcPr>
            <w:tcW w:w="60" w:type="dxa"/>
            <w:vAlign w:val="bottom"/>
          </w:tcPr>
          <w:p>
            <w:pPr>
              <w:spacing w:after="0"/>
              <w:rPr>
                <w:sz w:val="14"/>
                <w:szCs w:val="14"/>
                <w:color w:val="auto"/>
              </w:rPr>
            </w:pPr>
          </w:p>
        </w:tc>
        <w:tc>
          <w:tcPr>
            <w:tcW w:w="800" w:type="dxa"/>
            <w:vAlign w:val="bottom"/>
            <w:gridSpan w:val="4"/>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line="162"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jc w:val="center"/>
              <w:ind w:right="540"/>
              <w:spacing w:after="0" w:line="162" w:lineRule="exact"/>
              <w:rPr>
                <w:sz w:val="20"/>
                <w:szCs w:val="20"/>
                <w:color w:val="auto"/>
              </w:rPr>
            </w:pPr>
            <w:r>
              <w:rPr>
                <w:rFonts w:ascii="Arial" w:cs="Arial" w:eastAsia="Arial" w:hAnsi="Arial"/>
                <w:sz w:val="15"/>
                <w:szCs w:val="15"/>
                <w:b w:val="1"/>
                <w:bCs w:val="1"/>
                <w:color w:val="auto"/>
                <w:w w:val="89"/>
              </w:rPr>
              <w:t>Cost</w:t>
            </w:r>
          </w:p>
        </w:tc>
        <w:tc>
          <w:tcPr>
            <w:tcW w:w="80" w:type="dxa"/>
            <w:vAlign w:val="bottom"/>
          </w:tcPr>
          <w:p>
            <w:pPr>
              <w:spacing w:after="0"/>
              <w:rPr>
                <w:sz w:val="14"/>
                <w:szCs w:val="14"/>
                <w:color w:val="auto"/>
              </w:rPr>
            </w:pPr>
          </w:p>
        </w:tc>
        <w:tc>
          <w:tcPr>
            <w:tcW w:w="980" w:type="dxa"/>
            <w:vAlign w:val="bottom"/>
            <w:gridSpan w:val="4"/>
          </w:tcPr>
          <w:p>
            <w:pPr>
              <w:jc w:val="center"/>
              <w:ind w:right="4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Stock</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3"/>
            <w:vMerge w:val="restart"/>
          </w:tcPr>
          <w:p>
            <w:pPr>
              <w:ind w:left="100"/>
              <w:spacing w:after="0" w:line="159" w:lineRule="exact"/>
              <w:rPr>
                <w:sz w:val="20"/>
                <w:szCs w:val="20"/>
                <w:color w:val="auto"/>
              </w:rPr>
            </w:pPr>
            <w:r>
              <w:rPr>
                <w:rFonts w:ascii="Arial" w:cs="Arial" w:eastAsia="Arial" w:hAnsi="Arial"/>
                <w:sz w:val="15"/>
                <w:szCs w:val="15"/>
                <w:b w:val="1"/>
                <w:bCs w:val="1"/>
                <w:color w:val="auto"/>
              </w:rPr>
              <w:t>Paid-In</w:t>
            </w: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vMerge w:val="restart"/>
          </w:tcPr>
          <w:p>
            <w:pPr>
              <w:jc w:val="right"/>
              <w:ind w:right="80"/>
              <w:spacing w:after="0" w:line="159" w:lineRule="exact"/>
              <w:rPr>
                <w:sz w:val="20"/>
                <w:szCs w:val="20"/>
                <w:color w:val="auto"/>
              </w:rPr>
            </w:pPr>
            <w:r>
              <w:rPr>
                <w:rFonts w:ascii="Arial" w:cs="Arial" w:eastAsia="Arial" w:hAnsi="Arial"/>
                <w:sz w:val="15"/>
                <w:szCs w:val="15"/>
                <w:b w:val="1"/>
                <w:bCs w:val="1"/>
                <w:color w:val="auto"/>
                <w:w w:val="88"/>
              </w:rPr>
              <w:t>Retained</w:t>
            </w:r>
          </w:p>
        </w:tc>
        <w:tc>
          <w:tcPr>
            <w:tcW w:w="80" w:type="dxa"/>
            <w:vAlign w:val="bottom"/>
          </w:tcPr>
          <w:p>
            <w:pPr>
              <w:spacing w:after="0"/>
              <w:rPr>
                <w:sz w:val="4"/>
                <w:szCs w:val="4"/>
                <w:color w:val="auto"/>
              </w:rPr>
            </w:pPr>
          </w:p>
        </w:tc>
        <w:tc>
          <w:tcPr>
            <w:tcW w:w="1120" w:type="dxa"/>
            <w:vAlign w:val="bottom"/>
            <w:gridSpan w:val="4"/>
            <w:vMerge w:val="restart"/>
          </w:tcPr>
          <w:p>
            <w:pPr>
              <w:jc w:val="center"/>
              <w:ind w:right="60"/>
              <w:spacing w:after="0" w:line="159" w:lineRule="exact"/>
              <w:rPr>
                <w:sz w:val="20"/>
                <w:szCs w:val="20"/>
                <w:color w:val="auto"/>
              </w:rPr>
            </w:pPr>
            <w:r>
              <w:rPr>
                <w:rFonts w:ascii="Arial" w:cs="Arial" w:eastAsia="Arial" w:hAnsi="Arial"/>
                <w:sz w:val="15"/>
                <w:szCs w:val="15"/>
                <w:b w:val="1"/>
                <w:bCs w:val="1"/>
                <w:color w:val="auto"/>
                <w:w w:val="90"/>
              </w:rPr>
              <w:t>Comprehensive</w:t>
            </w: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2"/>
            <w:vMerge w:val="restart"/>
          </w:tcPr>
          <w:p>
            <w:pPr>
              <w:jc w:val="center"/>
              <w:ind w:right="200"/>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0" w:type="dxa"/>
            <w:vAlign w:val="bottom"/>
          </w:tcPr>
          <w:p>
            <w:pPr>
              <w:spacing w:after="0"/>
              <w:rPr>
                <w:sz w:val="7"/>
                <w:szCs w:val="7"/>
                <w:color w:val="auto"/>
              </w:rPr>
            </w:pPr>
          </w:p>
        </w:tc>
        <w:tc>
          <w:tcPr>
            <w:tcW w:w="41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16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three months ended September 30, 2018)</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w w:val="84"/>
              </w:rPr>
              <w:t>Issued</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Capital</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3"/>
              </w:rPr>
              <w:t>Earnings</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85"/>
              </w:rPr>
              <w:t>Loss</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1"/>
              </w:rPr>
              <w:t>Shares</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w w:val="98"/>
              </w:rPr>
              <w:t>Amount</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5"/>
              </w:rPr>
              <w:t>Equity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June 30, 2018</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1,068.4</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$1,722.8</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(181.0)</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46.9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gridSpan w:val="2"/>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6"/>
              </w:rPr>
              <w:t>$</w:t>
            </w:r>
            <w:r>
              <w:rPr>
                <w:rFonts w:ascii="Arial" w:cs="Arial" w:eastAsia="Arial" w:hAnsi="Arial"/>
                <w:sz w:val="15"/>
                <w:szCs w:val="15"/>
                <w:b w:val="1"/>
                <w:bCs w:val="1"/>
                <w:color w:val="auto"/>
                <w:w w:val="96"/>
              </w:rPr>
              <w:t>(2,791.3)</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0" w:type="dxa"/>
            <w:vAlign w:val="bottom"/>
          </w:tcPr>
          <w:p>
            <w:pPr>
              <w:spacing w:after="0"/>
              <w:rPr>
                <w:sz w:val="19"/>
                <w:szCs w:val="19"/>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Net income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tcPr>
          <w:p>
            <w:pPr>
              <w:jc w:val="right"/>
              <w:ind w:right="23"/>
              <w:spacing w:after="0"/>
              <w:rPr>
                <w:sz w:val="20"/>
                <w:szCs w:val="20"/>
                <w:color w:val="auto"/>
              </w:rPr>
            </w:pPr>
            <w:r>
              <w:rPr>
                <w:rFonts w:ascii="Arial" w:cs="Arial" w:eastAsia="Arial" w:hAnsi="Arial"/>
                <w:sz w:val="15"/>
                <w:szCs w:val="15"/>
                <w:color w:val="auto"/>
              </w:rPr>
              <w:t>108.0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108.0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Dividends, $0.64 per share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ind w:right="43"/>
              <w:spacing w:after="0"/>
              <w:rPr>
                <w:sz w:val="20"/>
                <w:szCs w:val="20"/>
                <w:color w:val="auto"/>
              </w:rPr>
            </w:pPr>
            <w:r>
              <w:rPr>
                <w:rFonts w:ascii="Arial" w:cs="Arial" w:eastAsia="Arial" w:hAnsi="Arial"/>
                <w:sz w:val="15"/>
                <w:szCs w:val="15"/>
                <w:color w:val="auto"/>
              </w:rPr>
              <w:t>8.6</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3"/>
              <w:spacing w:after="0"/>
              <w:rPr>
                <w:sz w:val="20"/>
                <w:szCs w:val="20"/>
                <w:color w:val="auto"/>
              </w:rPr>
            </w:pPr>
            <w:r>
              <w:rPr>
                <w:rFonts w:ascii="Arial" w:cs="Arial" w:eastAsia="Arial" w:hAnsi="Arial"/>
                <w:sz w:val="15"/>
                <w:szCs w:val="15"/>
                <w:color w:val="auto"/>
              </w:rPr>
              <w:t>8.6</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Pr>
          <w:p>
            <w:pPr>
              <w:ind w:left="280"/>
              <w:spacing w:after="0"/>
              <w:rPr>
                <w:sz w:val="20"/>
                <w:szCs w:val="20"/>
                <w:color w:val="auto"/>
              </w:rPr>
            </w:pPr>
            <w:r>
              <w:rPr>
                <w:rFonts w:ascii="Arial" w:cs="Arial" w:eastAsia="Arial" w:hAnsi="Arial"/>
                <w:sz w:val="15"/>
                <w:szCs w:val="15"/>
                <w:color w:val="auto"/>
              </w:rPr>
              <w:t>Change in cash flow hedges, net of tax benefit of $1.0</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416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0" w:type="dxa"/>
            <w:vAlign w:val="bottom"/>
            <w:gridSpan w:val="4"/>
            <w:shd w:val="clear" w:color="auto" w:fill="CCEEFF"/>
          </w:tcPr>
          <w:p>
            <w:pPr>
              <w:jc w:val="right"/>
              <w:ind w:right="3"/>
              <w:spacing w:after="0"/>
              <w:rPr>
                <w:sz w:val="20"/>
                <w:szCs w:val="20"/>
                <w:color w:val="auto"/>
              </w:rPr>
            </w:pPr>
            <w:r>
              <w:rPr>
                <w:rFonts w:ascii="Arial" w:cs="Arial" w:eastAsia="Arial" w:hAnsi="Arial"/>
                <w:sz w:val="15"/>
                <w:szCs w:val="15"/>
                <w:color w:val="auto"/>
              </w:rPr>
              <w:t>1.1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0.8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416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gridSpan w:val="2"/>
          </w:tcPr>
          <w:p>
            <w:pPr>
              <w:spacing w:after="0"/>
              <w:rPr>
                <w:sz w:val="23"/>
                <w:szCs w:val="23"/>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(2.4)</w:t>
            </w: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4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1,075.5</w:t>
            </w:r>
          </w:p>
        </w:tc>
        <w:tc>
          <w:tcPr>
            <w:tcW w:w="4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$1,805.0</w:t>
            </w:r>
          </w:p>
        </w:tc>
        <w:tc>
          <w:tcPr>
            <w:tcW w:w="4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(175.6)</w:t>
            </w:r>
          </w:p>
        </w:tc>
        <w:tc>
          <w:tcPr>
            <w:tcW w:w="4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46.9</w:t>
            </w:r>
          </w:p>
        </w:tc>
        <w:tc>
          <w:tcPr>
            <w:tcW w:w="20" w:type="dxa"/>
            <w:vAlign w:val="bottom"/>
            <w:shd w:val="clear" w:color="auto" w:fill="CCEEFF"/>
          </w:tcPr>
          <w:p>
            <w:pPr>
              <w:spacing w:after="0"/>
              <w:rPr>
                <w:sz w:val="20"/>
                <w:szCs w:val="20"/>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(2,792.6)</w:t>
            </w:r>
          </w:p>
        </w:tc>
        <w:tc>
          <w:tcPr>
            <w:tcW w:w="4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60"/>
          </w:cols>
          <w:pgMar w:left="820" w:top="585" w:right="81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3" w:lineRule="exact"/>
        <w:rPr>
          <w:sz w:val="20"/>
          <w:szCs w:val="20"/>
          <w:color w:val="auto"/>
        </w:rPr>
      </w:pPr>
    </w:p>
    <w:p>
      <w:pPr>
        <w:jc w:val="center"/>
        <w:ind w:left="840" w:right="2300"/>
        <w:spacing w:after="0" w:line="252" w:lineRule="auto"/>
        <w:rPr>
          <w:sz w:val="20"/>
          <w:szCs w:val="20"/>
          <w:color w:val="auto"/>
        </w:rPr>
      </w:pPr>
      <w:r>
        <w:rPr>
          <w:rFonts w:ascii="Arial" w:cs="Arial" w:eastAsia="Arial" w:hAnsi="Arial"/>
          <w:sz w:val="16"/>
          <w:szCs w:val="16"/>
          <w:b w:val="1"/>
          <w:bCs w:val="1"/>
          <w:color w:val="auto"/>
        </w:rPr>
        <w:t>CONSOLIDATED STATEMENTS OF STOCKHOLDERS' (DEFICIT) EQUITY For the Three and Nine months ended September 30, 2019 and 2018 (Unaudited)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4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2"/>
              </w:rPr>
              <w:t>Treasury Stock at</w:t>
            </w:r>
          </w:p>
        </w:tc>
        <w:tc>
          <w:tcPr>
            <w:tcW w:w="14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Common</w:t>
            </w:r>
          </w:p>
        </w:tc>
        <w:tc>
          <w:tcPr>
            <w:tcW w:w="8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500" w:type="dxa"/>
            <w:vAlign w:val="bottom"/>
          </w:tcPr>
          <w:p>
            <w:pPr>
              <w:spacing w:after="0"/>
              <w:rPr>
                <w:sz w:val="14"/>
                <w:szCs w:val="14"/>
                <w:color w:val="auto"/>
              </w:rPr>
            </w:pPr>
          </w:p>
        </w:tc>
        <w:tc>
          <w:tcPr>
            <w:tcW w:w="940" w:type="dxa"/>
            <w:vAlign w:val="bottom"/>
            <w:gridSpan w:val="3"/>
          </w:tcPr>
          <w:p>
            <w:pPr>
              <w:jc w:val="center"/>
              <w:ind w:right="600"/>
              <w:spacing w:after="0" w:line="162" w:lineRule="exact"/>
              <w:rPr>
                <w:sz w:val="20"/>
                <w:szCs w:val="20"/>
                <w:color w:val="auto"/>
              </w:rPr>
            </w:pPr>
            <w:r>
              <w:rPr>
                <w:rFonts w:ascii="Arial" w:cs="Arial" w:eastAsia="Arial" w:hAnsi="Arial"/>
                <w:sz w:val="15"/>
                <w:szCs w:val="15"/>
                <w:b w:val="1"/>
                <w:bCs w:val="1"/>
                <w:color w:val="auto"/>
                <w:w w:val="89"/>
              </w:rPr>
              <w:t>Cost</w:t>
            </w:r>
          </w:p>
        </w:tc>
        <w:tc>
          <w:tcPr>
            <w:tcW w:w="9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40"/>
              <w:spacing w:after="0" w:line="159" w:lineRule="exact"/>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78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118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Comprehensive</w:t>
            </w: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center"/>
              <w:ind w:right="63"/>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nine months ended September 30, 2019)</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8"/>
              </w:rPr>
              <w:t>Issued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1,078.8</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$1,855.0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(188.8)</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(2,895.5)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(149.6)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80"/>
              <w:spacing w:after="0" w:line="169" w:lineRule="exact"/>
              <w:rPr>
                <w:sz w:val="20"/>
                <w:szCs w:val="20"/>
                <w:color w:val="auto"/>
              </w:rPr>
            </w:pPr>
            <w:r>
              <w:rPr>
                <w:rFonts w:ascii="Arial" w:cs="Arial" w:eastAsia="Arial" w:hAnsi="Arial"/>
                <w:sz w:val="15"/>
                <w:szCs w:val="15"/>
                <w:color w:val="auto"/>
              </w:rPr>
              <w:t>Cumulative effect of adjustment upon adoption of new</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80"/>
              <w:spacing w:after="0"/>
              <w:rPr>
                <w:sz w:val="20"/>
                <w:szCs w:val="20"/>
                <w:color w:val="auto"/>
              </w:rPr>
            </w:pPr>
            <w:r>
              <w:rPr>
                <w:rFonts w:ascii="Arial" w:cs="Arial" w:eastAsia="Arial" w:hAnsi="Arial"/>
                <w:sz w:val="15"/>
                <w:szCs w:val="15"/>
                <w:color w:val="auto"/>
              </w:rPr>
              <w:t>accounting standards (ASC 842)</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(0.3)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294.7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294.7</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Dividends, $2.18 per share</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(85.0)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(85.0)</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76"/>
        </w:trPr>
        <w:tc>
          <w:tcPr>
            <w:tcW w:w="424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 net of tax</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80"/>
              <w:spacing w:after="0"/>
              <w:rPr>
                <w:sz w:val="20"/>
                <w:szCs w:val="20"/>
                <w:color w:val="auto"/>
              </w:rPr>
            </w:pPr>
            <w:r>
              <w:rPr>
                <w:rFonts w:ascii="Arial" w:cs="Arial" w:eastAsia="Arial" w:hAnsi="Arial"/>
                <w:sz w:val="15"/>
                <w:szCs w:val="15"/>
                <w:color w:val="auto"/>
              </w:rPr>
              <w:t>expense of $16.4</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58.6</w:t>
            </w:r>
          </w:p>
        </w:tc>
        <w:tc>
          <w:tcPr>
            <w:tcW w:w="10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15.6</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15.6</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Change in cash flow hedges, net of tax expense of $1.3</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3"/>
                <w:szCs w:val="23"/>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(416.9)</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1,090.0</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$2,064.4</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(127.2)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48.6</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(3,305.4)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(277.3)</w:t>
            </w:r>
          </w:p>
        </w:tc>
        <w:tc>
          <w:tcPr>
            <w:tcW w:w="0" w:type="dxa"/>
            <w:vAlign w:val="bottom"/>
          </w:tcPr>
          <w:p>
            <w:pPr>
              <w:spacing w:after="0"/>
              <w:rPr>
                <w:sz w:val="1"/>
                <w:szCs w:val="1"/>
                <w:color w:val="auto"/>
              </w:rPr>
            </w:pPr>
          </w:p>
        </w:tc>
      </w:tr>
      <w:tr>
        <w:trPr>
          <w:trHeight w:val="740"/>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Accumulated</w:t>
            </w:r>
          </w:p>
        </w:tc>
        <w:tc>
          <w:tcPr>
            <w:tcW w:w="1440" w:type="dxa"/>
            <w:vAlign w:val="bottom"/>
            <w:gridSpan w:val="4"/>
          </w:tcPr>
          <w:p>
            <w:pPr>
              <w:jc w:val="center"/>
              <w:ind w:right="80"/>
              <w:spacing w:after="0"/>
              <w:rPr>
                <w:sz w:val="20"/>
                <w:szCs w:val="20"/>
                <w:color w:val="auto"/>
              </w:rPr>
            </w:pPr>
            <w:r>
              <w:rPr>
                <w:rFonts w:ascii="Arial" w:cs="Arial" w:eastAsia="Arial" w:hAnsi="Arial"/>
                <w:sz w:val="15"/>
                <w:szCs w:val="15"/>
                <w:b w:val="1"/>
                <w:bCs w:val="1"/>
                <w:color w:val="auto"/>
                <w:w w:val="92"/>
              </w:rPr>
              <w:t>Treasury Stock at</w:t>
            </w:r>
          </w:p>
        </w:tc>
        <w:tc>
          <w:tcPr>
            <w:tcW w:w="140" w:type="dxa"/>
            <w:vAlign w:val="bottom"/>
          </w:tcPr>
          <w:p>
            <w:pPr>
              <w:spacing w:after="0"/>
              <w:rPr>
                <w:sz w:val="24"/>
                <w:szCs w:val="24"/>
                <w:color w:val="auto"/>
              </w:rPr>
            </w:pPr>
          </w:p>
        </w:tc>
        <w:tc>
          <w:tcPr>
            <w:tcW w:w="800" w:type="dxa"/>
            <w:vAlign w:val="bottom"/>
          </w:tcPr>
          <w:p>
            <w:pPr>
              <w:jc w:val="center"/>
              <w:ind w:right="63"/>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800" w:type="dxa"/>
            <w:vAlign w:val="bottom"/>
            <w:gridSpan w:val="3"/>
          </w:tcPr>
          <w:p>
            <w:pPr>
              <w:jc w:val="center"/>
              <w:ind w:right="120"/>
              <w:spacing w:after="0" w:line="162" w:lineRule="exact"/>
              <w:rPr>
                <w:sz w:val="20"/>
                <w:szCs w:val="20"/>
                <w:color w:val="auto"/>
              </w:rPr>
            </w:pPr>
            <w:r>
              <w:rPr>
                <w:rFonts w:ascii="Arial" w:cs="Arial" w:eastAsia="Arial" w:hAnsi="Arial"/>
                <w:sz w:val="15"/>
                <w:szCs w:val="15"/>
                <w:b w:val="1"/>
                <w:bCs w:val="1"/>
                <w:color w:val="auto"/>
                <w:w w:val="92"/>
              </w:rPr>
              <w:t>Common</w:t>
            </w:r>
          </w:p>
        </w:tc>
        <w:tc>
          <w:tcPr>
            <w:tcW w:w="880" w:type="dxa"/>
            <w:vAlign w:val="bottom"/>
            <w:gridSpan w:val="3"/>
          </w:tcPr>
          <w:p>
            <w:pPr>
              <w:ind w:left="40"/>
              <w:spacing w:after="0" w:line="162" w:lineRule="exact"/>
              <w:rPr>
                <w:sz w:val="20"/>
                <w:szCs w:val="20"/>
                <w:color w:val="auto"/>
              </w:rPr>
            </w:pPr>
            <w:r>
              <w:rPr>
                <w:rFonts w:ascii="Arial" w:cs="Arial" w:eastAsia="Arial" w:hAnsi="Arial"/>
                <w:sz w:val="15"/>
                <w:szCs w:val="15"/>
                <w:b w:val="1"/>
                <w:bCs w:val="1"/>
                <w:color w:val="auto"/>
              </w:rPr>
              <w:t>Additional</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94"/>
              </w:rPr>
              <w:t>Other</w:t>
            </w:r>
          </w:p>
        </w:tc>
        <w:tc>
          <w:tcPr>
            <w:tcW w:w="500" w:type="dxa"/>
            <w:vAlign w:val="bottom"/>
          </w:tcPr>
          <w:p>
            <w:pPr>
              <w:spacing w:after="0"/>
              <w:rPr>
                <w:sz w:val="14"/>
                <w:szCs w:val="14"/>
                <w:color w:val="auto"/>
              </w:rPr>
            </w:pPr>
          </w:p>
        </w:tc>
        <w:tc>
          <w:tcPr>
            <w:tcW w:w="940" w:type="dxa"/>
            <w:vAlign w:val="bottom"/>
            <w:gridSpan w:val="3"/>
          </w:tcPr>
          <w:p>
            <w:pPr>
              <w:jc w:val="center"/>
              <w:ind w:right="600"/>
              <w:spacing w:after="0" w:line="162" w:lineRule="exact"/>
              <w:rPr>
                <w:sz w:val="20"/>
                <w:szCs w:val="20"/>
                <w:color w:val="auto"/>
              </w:rPr>
            </w:pPr>
            <w:r>
              <w:rPr>
                <w:rFonts w:ascii="Arial" w:cs="Arial" w:eastAsia="Arial" w:hAnsi="Arial"/>
                <w:sz w:val="15"/>
                <w:szCs w:val="15"/>
                <w:b w:val="1"/>
                <w:bCs w:val="1"/>
                <w:color w:val="auto"/>
                <w:w w:val="89"/>
              </w:rPr>
              <w:t>Cost</w:t>
            </w:r>
          </w:p>
        </w:tc>
        <w:tc>
          <w:tcPr>
            <w:tcW w:w="94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54"/>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restart"/>
          </w:tcPr>
          <w:p>
            <w:pPr>
              <w:jc w:val="center"/>
              <w:ind w:right="240"/>
              <w:spacing w:after="0" w:line="159" w:lineRule="exact"/>
              <w:rPr>
                <w:sz w:val="20"/>
                <w:szCs w:val="20"/>
                <w:color w:val="auto"/>
              </w:rPr>
            </w:pPr>
            <w:r>
              <w:rPr>
                <w:rFonts w:ascii="Arial" w:cs="Arial" w:eastAsia="Arial" w:hAnsi="Arial"/>
                <w:sz w:val="15"/>
                <w:szCs w:val="15"/>
                <w:b w:val="1"/>
                <w:bCs w:val="1"/>
                <w:color w:val="auto"/>
                <w:w w:val="88"/>
              </w:rPr>
              <w:t>Stock</w:t>
            </w:r>
          </w:p>
        </w:tc>
        <w:tc>
          <w:tcPr>
            <w:tcW w:w="120" w:type="dxa"/>
            <w:vAlign w:val="bottom"/>
          </w:tcPr>
          <w:p>
            <w:pPr>
              <w:spacing w:after="0"/>
              <w:rPr>
                <w:sz w:val="4"/>
                <w:szCs w:val="4"/>
                <w:color w:val="auto"/>
              </w:rPr>
            </w:pPr>
          </w:p>
        </w:tc>
        <w:tc>
          <w:tcPr>
            <w:tcW w:w="760" w:type="dxa"/>
            <w:vAlign w:val="bottom"/>
            <w:gridSpan w:val="2"/>
            <w:vMerge w:val="restart"/>
          </w:tcPr>
          <w:p>
            <w:pPr>
              <w:ind w:left="20"/>
              <w:spacing w:after="0" w:line="159" w:lineRule="exact"/>
              <w:rPr>
                <w:sz w:val="20"/>
                <w:szCs w:val="20"/>
                <w:color w:val="auto"/>
              </w:rPr>
            </w:pPr>
            <w:r>
              <w:rPr>
                <w:rFonts w:ascii="Arial" w:cs="Arial" w:eastAsia="Arial" w:hAnsi="Arial"/>
                <w:sz w:val="15"/>
                <w:szCs w:val="15"/>
                <w:b w:val="1"/>
                <w:bCs w:val="1"/>
                <w:color w:val="auto"/>
              </w:rPr>
              <w:t>Paid-In</w:t>
            </w:r>
          </w:p>
        </w:tc>
        <w:tc>
          <w:tcPr>
            <w:tcW w:w="780" w:type="dxa"/>
            <w:vAlign w:val="bottom"/>
            <w:gridSpan w:val="2"/>
            <w:vMerge w:val="restart"/>
          </w:tcPr>
          <w:p>
            <w:pPr>
              <w:ind w:left="40"/>
              <w:spacing w:after="0" w:line="159" w:lineRule="exact"/>
              <w:rPr>
                <w:sz w:val="20"/>
                <w:szCs w:val="20"/>
                <w:color w:val="auto"/>
              </w:rPr>
            </w:pPr>
            <w:r>
              <w:rPr>
                <w:rFonts w:ascii="Arial" w:cs="Arial" w:eastAsia="Arial" w:hAnsi="Arial"/>
                <w:sz w:val="15"/>
                <w:szCs w:val="15"/>
                <w:b w:val="1"/>
                <w:bCs w:val="1"/>
                <w:color w:val="auto"/>
              </w:rPr>
              <w:t>Retained</w:t>
            </w:r>
          </w:p>
        </w:tc>
        <w:tc>
          <w:tcPr>
            <w:tcW w:w="1180" w:type="dxa"/>
            <w:vAlign w:val="bottom"/>
            <w:gridSpan w:val="3"/>
            <w:vMerge w:val="restart"/>
          </w:tcPr>
          <w:p>
            <w:pPr>
              <w:ind w:left="20"/>
              <w:spacing w:after="0" w:line="159" w:lineRule="exact"/>
              <w:rPr>
                <w:sz w:val="20"/>
                <w:szCs w:val="20"/>
                <w:color w:val="auto"/>
              </w:rPr>
            </w:pPr>
            <w:r>
              <w:rPr>
                <w:rFonts w:ascii="Arial" w:cs="Arial" w:eastAsia="Arial" w:hAnsi="Arial"/>
                <w:sz w:val="15"/>
                <w:szCs w:val="15"/>
                <w:b w:val="1"/>
                <w:bCs w:val="1"/>
                <w:color w:val="auto"/>
              </w:rPr>
              <w:t>Comprehensive</w:t>
            </w: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vMerge w:val="restart"/>
          </w:tcPr>
          <w:p>
            <w:pPr>
              <w:jc w:val="center"/>
              <w:ind w:right="63"/>
              <w:spacing w:after="0" w:line="159" w:lineRule="exact"/>
              <w:rPr>
                <w:sz w:val="20"/>
                <w:szCs w:val="20"/>
                <w:color w:val="auto"/>
              </w:rPr>
            </w:pPr>
            <w:r>
              <w:rPr>
                <w:rFonts w:ascii="Arial" w:cs="Arial" w:eastAsia="Arial" w:hAnsi="Arial"/>
                <w:sz w:val="15"/>
                <w:szCs w:val="15"/>
                <w:b w:val="1"/>
                <w:bCs w:val="1"/>
                <w:color w:val="auto"/>
                <w:w w:val="96"/>
              </w:rPr>
              <w:t>(Deficit)</w:t>
            </w:r>
          </w:p>
        </w:tc>
        <w:tc>
          <w:tcPr>
            <w:tcW w:w="0" w:type="dxa"/>
            <w:vAlign w:val="bottom"/>
          </w:tcPr>
          <w:p>
            <w:pPr>
              <w:spacing w:after="0"/>
              <w:rPr>
                <w:sz w:val="1"/>
                <w:szCs w:val="1"/>
                <w:color w:val="auto"/>
              </w:rPr>
            </w:pPr>
          </w:p>
        </w:tc>
      </w:tr>
      <w:tr>
        <w:trPr>
          <w:trHeight w:val="84"/>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5"/>
                <w:szCs w:val="15"/>
                <w:b w:val="1"/>
                <w:bCs w:val="1"/>
                <w:i w:val="1"/>
                <w:iCs w:val="1"/>
                <w:color w:val="auto"/>
              </w:rPr>
              <w:t>(For the nine months ended September 30, 2018)</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8"/>
              </w:rPr>
              <w:t>Issued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Capital</w:t>
            </w: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3"/>
              </w:rPr>
              <w:t>Earnings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w w:val="85"/>
              </w:rPr>
              <w:t>Loss</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1"/>
              </w:rPr>
              <w:t>Shares</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1,061.5</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$1,575.9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(157.4)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45.4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(2,430.8)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50.1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80"/>
              <w:spacing w:after="0" w:line="169" w:lineRule="exact"/>
              <w:rPr>
                <w:sz w:val="20"/>
                <w:szCs w:val="20"/>
                <w:color w:val="auto"/>
              </w:rPr>
            </w:pPr>
            <w:r>
              <w:rPr>
                <w:rFonts w:ascii="Arial" w:cs="Arial" w:eastAsia="Arial" w:hAnsi="Arial"/>
                <w:sz w:val="15"/>
                <w:szCs w:val="15"/>
                <w:color w:val="auto"/>
              </w:rPr>
              <w:t>Cumulative effect of adjustment upon adoption of new</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80"/>
              <w:spacing w:after="0" w:line="162" w:lineRule="exact"/>
              <w:rPr>
                <w:sz w:val="20"/>
                <w:szCs w:val="20"/>
                <w:color w:val="auto"/>
              </w:rPr>
            </w:pPr>
            <w:r>
              <w:rPr>
                <w:rFonts w:ascii="Arial" w:cs="Arial" w:eastAsia="Arial" w:hAnsi="Arial"/>
                <w:sz w:val="15"/>
                <w:szCs w:val="15"/>
                <w:color w:val="auto"/>
                <w:w w:val="98"/>
              </w:rPr>
              <w:t>accounting standards (ASU 2016-16), (ASU 2018-02), (ASU</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240" w:type="dxa"/>
            <w:vAlign w:val="bottom"/>
          </w:tcPr>
          <w:p>
            <w:pPr>
              <w:ind w:left="280"/>
              <w:spacing w:after="0"/>
              <w:rPr>
                <w:sz w:val="20"/>
                <w:szCs w:val="20"/>
                <w:color w:val="auto"/>
              </w:rPr>
            </w:pPr>
            <w:r>
              <w:rPr>
                <w:rFonts w:ascii="Arial" w:cs="Arial" w:eastAsia="Arial" w:hAnsi="Arial"/>
                <w:sz w:val="15"/>
                <w:szCs w:val="15"/>
                <w:color w:val="auto"/>
              </w:rPr>
              <w:t>2016-1)</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23"/>
              <w:spacing w:after="0"/>
              <w:rPr>
                <w:sz w:val="20"/>
                <w:szCs w:val="20"/>
                <w:color w:val="auto"/>
              </w:rPr>
            </w:pPr>
            <w:r>
              <w:rPr>
                <w:rFonts w:ascii="Arial" w:cs="Arial" w:eastAsia="Arial" w:hAnsi="Arial"/>
                <w:sz w:val="15"/>
                <w:szCs w:val="15"/>
                <w:color w:val="auto"/>
              </w:rPr>
              <w:t>18.3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(24.5)</w:t>
            </w:r>
          </w:p>
        </w:tc>
        <w:tc>
          <w:tcPr>
            <w:tcW w:w="100" w:type="dxa"/>
            <w:vAlign w:val="bottom"/>
          </w:tcPr>
          <w:p>
            <w:pPr>
              <w:spacing w:after="0"/>
              <w:rPr>
                <w:sz w:val="24"/>
                <w:szCs w:val="24"/>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Net income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283.4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283.4</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Dividends, $1.79 per share</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(72.6)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(72.6)</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Foreign currency translation adjustments</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18.5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76"/>
        </w:trPr>
        <w:tc>
          <w:tcPr>
            <w:tcW w:w="4240" w:type="dxa"/>
            <w:vAlign w:val="bottom"/>
          </w:tcPr>
          <w:p>
            <w:pPr>
              <w:ind w:left="280"/>
              <w:spacing w:after="0"/>
              <w:rPr>
                <w:sz w:val="20"/>
                <w:szCs w:val="20"/>
                <w:color w:val="auto"/>
              </w:rPr>
            </w:pPr>
            <w:r>
              <w:rPr>
                <w:rFonts w:ascii="Arial" w:cs="Arial" w:eastAsia="Arial" w:hAnsi="Arial"/>
                <w:sz w:val="15"/>
                <w:szCs w:val="15"/>
                <w:color w:val="auto"/>
              </w:rPr>
              <w:t>Pension and post-retirement liability changes, net of tax</w:t>
            </w: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80"/>
              <w:spacing w:after="0"/>
              <w:rPr>
                <w:sz w:val="20"/>
                <w:szCs w:val="20"/>
                <w:color w:val="auto"/>
              </w:rPr>
            </w:pPr>
            <w:r>
              <w:rPr>
                <w:rFonts w:ascii="Arial" w:cs="Arial" w:eastAsia="Arial" w:hAnsi="Arial"/>
                <w:sz w:val="15"/>
                <w:szCs w:val="15"/>
                <w:color w:val="auto"/>
              </w:rPr>
              <w:t>expense of $0.2</w:t>
            </w: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980" w:type="dxa"/>
            <w:vAlign w:val="bottom"/>
          </w:tcPr>
          <w:p>
            <w:pPr>
              <w:jc w:val="right"/>
              <w:ind w:right="43"/>
              <w:spacing w:after="0"/>
              <w:rPr>
                <w:sz w:val="20"/>
                <w:szCs w:val="20"/>
                <w:color w:val="auto"/>
              </w:rPr>
            </w:pPr>
            <w:r>
              <w:rPr>
                <w:rFonts w:ascii="Arial" w:cs="Arial" w:eastAsia="Arial" w:hAnsi="Arial"/>
                <w:sz w:val="15"/>
                <w:szCs w:val="15"/>
                <w:color w:val="auto"/>
              </w:rPr>
              <w:t>0.5</w:t>
            </w:r>
          </w:p>
        </w:tc>
        <w:tc>
          <w:tcPr>
            <w:tcW w:w="10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21.0</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21.0</w:t>
            </w:r>
          </w:p>
        </w:tc>
        <w:tc>
          <w:tcPr>
            <w:tcW w:w="0" w:type="dxa"/>
            <w:vAlign w:val="bottom"/>
          </w:tcPr>
          <w:p>
            <w:pPr>
              <w:spacing w:after="0"/>
              <w:rPr>
                <w:sz w:val="1"/>
                <w:szCs w:val="1"/>
                <w:color w:val="auto"/>
              </w:rPr>
            </w:pPr>
          </w:p>
        </w:tc>
      </w:tr>
      <w:tr>
        <w:trPr>
          <w:trHeight w:val="266"/>
        </w:trPr>
        <w:tc>
          <w:tcPr>
            <w:tcW w:w="4240" w:type="dxa"/>
            <w:vAlign w:val="bottom"/>
          </w:tcPr>
          <w:p>
            <w:pPr>
              <w:ind w:left="280"/>
              <w:spacing w:after="0"/>
              <w:rPr>
                <w:sz w:val="20"/>
                <w:szCs w:val="20"/>
                <w:color w:val="auto"/>
              </w:rPr>
            </w:pPr>
            <w:r>
              <w:rPr>
                <w:rFonts w:ascii="Arial" w:cs="Arial" w:eastAsia="Arial" w:hAnsi="Arial"/>
                <w:sz w:val="15"/>
                <w:szCs w:val="15"/>
                <w:color w:val="auto"/>
              </w:rPr>
              <w:t>Change in cash flow hedges, net of tax benefit of $5.0</w:t>
            </w:r>
          </w:p>
        </w:tc>
        <w:tc>
          <w:tcPr>
            <w:tcW w:w="12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(12.7)</w:t>
            </w:r>
          </w:p>
        </w:tc>
        <w:tc>
          <w:tcPr>
            <w:tcW w:w="100" w:type="dxa"/>
            <w:vAlign w:val="bottom"/>
          </w:tcPr>
          <w:p>
            <w:pPr>
              <w:spacing w:after="0"/>
              <w:rPr>
                <w:sz w:val="23"/>
                <w:szCs w:val="23"/>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80"/>
              <w:spacing w:after="0"/>
              <w:rPr>
                <w:sz w:val="20"/>
                <w:szCs w:val="20"/>
                <w:color w:val="auto"/>
              </w:rPr>
            </w:pPr>
            <w:r>
              <w:rPr>
                <w:rFonts w:ascii="Arial" w:cs="Arial" w:eastAsia="Arial" w:hAnsi="Arial"/>
                <w:sz w:val="15"/>
                <w:szCs w:val="15"/>
                <w:color w:val="auto"/>
              </w:rPr>
              <w:t>Treasury shares reissued for common stock</w:t>
            </w: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82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rPr>
              <w:t>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66"/>
        </w:trPr>
        <w:tc>
          <w:tcPr>
            <w:tcW w:w="4240" w:type="dxa"/>
            <w:vAlign w:val="bottom"/>
            <w:tcBorders>
              <w:bottom w:val="single" w:sz="8" w:color="CCEEFF"/>
            </w:tcBorders>
          </w:tcPr>
          <w:p>
            <w:pPr>
              <w:ind w:left="280"/>
              <w:spacing w:after="0"/>
              <w:rPr>
                <w:sz w:val="20"/>
                <w:szCs w:val="20"/>
                <w:color w:val="auto"/>
              </w:rPr>
            </w:pPr>
            <w:r>
              <w:rPr>
                <w:rFonts w:ascii="Arial" w:cs="Arial" w:eastAsia="Arial" w:hAnsi="Arial"/>
                <w:sz w:val="15"/>
                <w:szCs w:val="15"/>
                <w:color w:val="auto"/>
              </w:rPr>
              <w:t>Treasury stock purchases</w:t>
            </w:r>
          </w:p>
        </w:tc>
        <w:tc>
          <w:tcPr>
            <w:tcW w:w="1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1.8</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(371.1)</w:t>
            </w: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Balance as of 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1,075.5</w:t>
            </w:r>
          </w:p>
        </w:tc>
        <w:tc>
          <w:tcPr>
            <w:tcW w:w="12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2"/>
              </w:rPr>
              <w:t>$1,805.0</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(175.6)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1"/>
              </w:rPr>
              <w:t>$ 46.9</w:t>
            </w:r>
          </w:p>
        </w:tc>
        <w:tc>
          <w:tcPr>
            <w:tcW w:w="120" w:type="dxa"/>
            <w:vAlign w:val="bottom"/>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(2,792.6)</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60"/>
          </w:cols>
          <w:pgMar w:left="820" w:top="801" w:right="8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1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4"/>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94"/>
              </w:rPr>
              <w:t>For the Nine Months Ended September 30,</w:t>
            </w:r>
          </w:p>
        </w:tc>
      </w:tr>
      <w:tr>
        <w:trPr>
          <w:trHeight w:val="217"/>
        </w:trPr>
        <w:tc>
          <w:tcPr>
            <w:tcW w:w="7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47"/>
        </w:trPr>
        <w:tc>
          <w:tcPr>
            <w:tcW w:w="79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294.7</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283.4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Loss (gain), net on sale of businesses and related property</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from insurance recoveries, net of losses incurred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Income from equity method investments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Dividends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Restructuring charges, net of cash paid</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bad debts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Unrealized losses on derivative contracts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49.4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Pension expense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Pension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Other items,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 net of effects of divestitures: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Accounts and notes receivable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(73.7)</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payable and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900" w:type="dxa"/>
            <w:vAlign w:val="bottom"/>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124.5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231.3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Cash flows from investing activities: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disposal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Purchases of property, plant and equipment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proceeds from sale of businesses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Purchases of short-term investments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Insurance recoveries received for property damage incurred from natural disaster</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Net cash (used in) provided by investing activities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59.3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Short-term debt payments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Short-term debt proceeds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39.6</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Asset securitization borrowings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155.0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 securitization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Long-term debt payments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Borrowings from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1,820.0</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Payments on credit facility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(1,608.5)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(1,766.5)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employee stock purchases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Repurchases of common stock</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(350.2)</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 to satisfy employee withholding tax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7"/>
        </w:trPr>
        <w:tc>
          <w:tcPr>
            <w:tcW w:w="790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(68.2)</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(316.6)</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Decrease in cash and cash equivalents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68.2</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9" w:right="239" w:bottom="354"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69" w:right="239" w:bottom="354"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Supplemental disclosures of cash flow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paid</w:t>
            </w:r>
          </w:p>
        </w:tc>
        <w:tc>
          <w:tcPr>
            <w:tcW w:w="528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w w:val="95"/>
              </w:rPr>
              <w:t>Income taxes paid (net of refunds)</w:t>
            </w:r>
          </w:p>
        </w:tc>
        <w:tc>
          <w:tcPr>
            <w:tcW w:w="5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tcPr>
          <w:p>
            <w:pPr>
              <w:ind w:left="280"/>
              <w:spacing w:after="0"/>
              <w:rPr>
                <w:sz w:val="20"/>
                <w:szCs w:val="20"/>
                <w:color w:val="auto"/>
              </w:rPr>
            </w:pPr>
            <w:r>
              <w:rPr>
                <w:rFonts w:ascii="Arial" w:cs="Arial" w:eastAsia="Arial" w:hAnsi="Arial"/>
                <w:sz w:val="16"/>
                <w:szCs w:val="16"/>
                <w:color w:val="auto"/>
              </w:rPr>
              <w:t>Insurance recoveries received</w:t>
            </w:r>
          </w:p>
        </w:tc>
        <w:tc>
          <w:tcPr>
            <w:tcW w:w="6300" w:type="dxa"/>
            <w:vAlign w:val="bottom"/>
            <w:gridSpan w:val="2"/>
          </w:tcPr>
          <w:p>
            <w:pPr>
              <w:ind w:left="530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20"/>
                <w:szCs w:val="20"/>
                <w:color w:val="auto"/>
              </w:rPr>
            </w:pPr>
          </w:p>
        </w:tc>
        <w:tc>
          <w:tcPr>
            <w:tcW w:w="700" w:type="dxa"/>
            <w:vAlign w:val="bottom"/>
          </w:tcPr>
          <w:p>
            <w:pPr>
              <w:jc w:val="right"/>
              <w:ind w:right="5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280" w:type="dxa"/>
            <w:vAlign w:val="bottom"/>
            <w:vMerge w:val="restart"/>
          </w:tcPr>
          <w:p>
            <w:pPr>
              <w:ind w:left="100"/>
              <w:spacing w:after="0"/>
              <w:rPr>
                <w:sz w:val="20"/>
                <w:szCs w:val="20"/>
                <w:color w:val="auto"/>
              </w:rPr>
            </w:pPr>
            <w:r>
              <w:rPr>
                <w:rFonts w:ascii="Arial" w:cs="Arial" w:eastAsia="Arial" w:hAnsi="Arial"/>
                <w:sz w:val="17"/>
                <w:szCs w:val="17"/>
                <w:color w:val="auto"/>
                <w:w w:val="90"/>
              </w:rPr>
              <w:t>The accompanying notes are an integral part of these consolidated financial</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spacing w:after="0"/>
              <w:rPr>
                <w:sz w:val="17"/>
                <w:szCs w:val="17"/>
                <w:color w:val="auto"/>
              </w:rPr>
            </w:pPr>
          </w:p>
        </w:tc>
        <w:tc>
          <w:tcPr>
            <w:tcW w:w="5280" w:type="dxa"/>
            <w:vAlign w:val="bottom"/>
            <w:vMerge w:val="continue"/>
          </w:tcPr>
          <w:p>
            <w:pPr>
              <w:spacing w:after="0"/>
              <w:rPr>
                <w:sz w:val="17"/>
                <w:szCs w:val="17"/>
                <w:color w:val="auto"/>
              </w:rPr>
            </w:pPr>
          </w:p>
        </w:tc>
        <w:tc>
          <w:tcPr>
            <w:tcW w:w="1020" w:type="dxa"/>
            <w:vAlign w:val="bottom"/>
          </w:tcPr>
          <w:p>
            <w:pPr>
              <w:ind w:left="40"/>
              <w:spacing w:after="0"/>
              <w:rPr>
                <w:sz w:val="20"/>
                <w:szCs w:val="20"/>
                <w:color w:val="auto"/>
              </w:rPr>
            </w:pPr>
            <w:r>
              <w:rPr>
                <w:rFonts w:ascii="Arial" w:cs="Arial" w:eastAsia="Arial" w:hAnsi="Arial"/>
                <w:sz w:val="17"/>
                <w:szCs w:val="17"/>
                <w:color w:val="auto"/>
              </w:rPr>
              <w:t>statements.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accompanying unaudited Consolidated Balance Sheet as of September 30, 2019, the accompanying unaudited Consolidated Statements of Operations for the three and nine months ended September 30, 2019 and 2018, the accompanying unaudited Consolidated Statements of Comprehensive Income for the three and nine months ended September 30, 2019 and 2018, the accompanying unaudited Consolidated Statements of Stockholders' (Deficit) Equity for the three and nine months ended September 30, 2019 and 2018, and the accompanying unaudited Consolidated Statements of Cash Flows for the nine months ended September 30, 2019 and 2018 should be read in conjunction with our audited consolidated financial statements and footnotes included in our Annual Report on Form 10-K for the year ended December 31, 2018.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6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15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306"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In August 2018, the SEC issued Release No. 33-10532 that amends and clarifies certain financial reporting requirements. The principal change to our financial reporting is the inclusion of the annual disclosure requirement of changes in stockholders’ equity in Rule 3-04 of Regulation S-X to interim periods.</w:t>
      </w:r>
    </w:p>
    <w:p>
      <w:pPr>
        <w:spacing w:after="0" w:line="20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adopted other new accounting standards during the first quarter of 2019 and their impacts are discussed in their respective Notes to the Consolidated Financial Statements.</w:t>
      </w:r>
    </w:p>
    <w:p>
      <w:pPr>
        <w:spacing w:after="0" w:line="170"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 replaces the incurred loss impairment methodology in current GAAP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4"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information to estimate credit losses. ASU 2016-13 is effective for SEC filers for interim and annual periods beginning after December 15, 2019. We are currently assessing the impact ASU 2016-13, but do not expect it to have a material impact on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16 for additional information on our reportable business segments and the products and services sold in each segment.</w:t>
      </w:r>
    </w:p>
    <w:p>
      <w:pPr>
        <w:spacing w:after="0" w:line="104"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6"/>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2"/>
              </w:rPr>
              <w:t>For the Three Months Ended September 30, 2019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906.8</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66.3</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59.8</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637.6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253.3</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142.0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1,032.9</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gridSpan w:val="6"/>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760" w:type="dxa"/>
            <w:vAlign w:val="bottom"/>
            <w:tcBorders>
              <w:bottom w:val="single" w:sz="8" w:color="CCEEFF"/>
            </w:tcBorders>
            <w:gridSpan w:val="6"/>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92"/>
              </w:rPr>
              <w:t>For the Three Months Ended September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880.2</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67.3</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82.7</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236.9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198.6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1,030.2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55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5"/>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1"/>
              </w:rPr>
              <w:t>For the Nine Months Ended September 30, 2019</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2,555.0</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114.6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179.1</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1,792.2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687.9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442.1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2,922.2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gridSpan w:val="5"/>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1"/>
              </w:rPr>
              <w:t>For the Nine Months Ended September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4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1,640.9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2,567.8</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Canada</w:t>
            </w:r>
          </w:p>
        </w:tc>
        <w:tc>
          <w:tcPr>
            <w:tcW w:w="10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190.3</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282.3</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1,764.4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668.1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607.9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3,040.4</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243"/>
        <w:spacing w:after="0" w:line="292" w:lineRule="auto"/>
        <w:rPr>
          <w:sz w:val="20"/>
          <w:szCs w:val="20"/>
          <w:color w:val="auto"/>
        </w:rPr>
      </w:pPr>
      <w:r>
        <w:rPr>
          <w:rFonts w:ascii="Arial" w:cs="Arial" w:eastAsia="Arial" w:hAnsi="Arial"/>
          <w:sz w:val="16"/>
          <w:szCs w:val="16"/>
          <w:b w:val="1"/>
          <w:bCs w:val="1"/>
          <w:color w:val="auto"/>
        </w:rPr>
        <w:t xml:space="preserve">Residential Heating &amp; Cooling </w:t>
      </w:r>
      <w:r>
        <w:rPr>
          <w:rFonts w:ascii="Arial" w:cs="Arial" w:eastAsia="Arial" w:hAnsi="Arial"/>
          <w:sz w:val="16"/>
          <w:szCs w:val="16"/>
          <w:color w:val="auto"/>
        </w:rPr>
        <w:t>- We manufacture and market a broad range of furnaces, air conditioners, heat pumps, packaged heating and cooling</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September 30, 2019 and 2018, direct sales represented 74% and 77% of revenues, and sales to independent distributors represented the remainder. For the nine months ended September 30, 2019 and 2018, direct sales represented 74% and 76% of revenues, and sales to independent distributors represented the remainder. Given the nature of our business, customer product orders are fulfilled at a point in time and not over a period of time.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11" w:name="page12"/>
    <w:bookmarkEnd w:id="11"/>
    <w:p>
      <w:pPr>
        <w:jc w:val="both"/>
        <w:ind w:firstLine="243"/>
        <w:spacing w:after="0" w:line="271" w:lineRule="auto"/>
        <w:rPr>
          <w:sz w:val="20"/>
          <w:szCs w:val="20"/>
          <w:color w:val="auto"/>
        </w:rPr>
      </w:pPr>
      <w:r>
        <w:rPr>
          <w:rFonts w:ascii="Arial" w:cs="Arial" w:eastAsia="Arial" w:hAnsi="Arial"/>
          <w:sz w:val="17"/>
          <w:szCs w:val="17"/>
          <w:b w:val="1"/>
          <w:bCs w:val="1"/>
          <w:color w:val="auto"/>
        </w:rPr>
        <w:t xml:space="preserve">Commercial Heating &amp; Cooling </w:t>
      </w:r>
      <w:r>
        <w:rPr>
          <w:rFonts w:ascii="Arial" w:cs="Arial" w:eastAsia="Arial" w:hAnsi="Arial"/>
          <w:sz w:val="17"/>
          <w:szCs w:val="17"/>
          <w:color w:val="auto"/>
        </w:rPr>
        <w:t>- In North America, we manufacture and sell unitary heating and cooling equipment used in light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Services provides installation, service and preventive maintenance for HVAC national account customers in the United States and Canada. Revenue related to service contracts is recognized as the services are performed under the contract based on the relative fair value of the services provided. For the three months ended September 30, 2019 and 2018, equipment sales represented 86% and 86% of revenues and the remainder of our revenue was generated from our service business. For the nine months ended September 30, 2019 and 2018, equipment sales represented 86% and 86% of revenues and the remainder was generated from our service business.</w:t>
      </w:r>
    </w:p>
    <w:p>
      <w:pPr>
        <w:spacing w:after="0" w:line="174"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b w:val="1"/>
          <w:bCs w:val="1"/>
          <w:color w:val="auto"/>
        </w:rPr>
        <w:t xml:space="preserve">Refrigeration </w:t>
      </w:r>
      <w:r>
        <w:rPr>
          <w:rFonts w:ascii="Arial" w:cs="Arial" w:eastAsia="Arial" w:hAnsi="Arial"/>
          <w:sz w:val="18"/>
          <w:szCs w:val="18"/>
          <w:color w:val="auto"/>
        </w:rPr>
        <w:t>- We manufacture and market equipment for the global commercial refrigeration markets under the Heatcraft Worldwide Refrigeration</w:t>
      </w:r>
      <w:r>
        <w:rPr>
          <w:rFonts w:ascii="Arial" w:cs="Arial" w:eastAsia="Arial" w:hAnsi="Arial"/>
          <w:sz w:val="18"/>
          <w:szCs w:val="18"/>
          <w:b w:val="1"/>
          <w:bCs w:val="1"/>
          <w:color w:val="auto"/>
        </w:rPr>
        <w:t xml:space="preserve"> </w:t>
      </w:r>
      <w:r>
        <w:rPr>
          <w:rFonts w:ascii="Arial" w:cs="Arial" w:eastAsia="Arial" w:hAnsi="Arial"/>
          <w:sz w:val="18"/>
          <w:szCs w:val="18"/>
          <w:color w:val="auto"/>
        </w:rPr>
        <w:t>name. Our products are used in the food retail, food service, cold storage as well as non-food refrigeration markets. We sell these products to distributors, installing contractors, engineering design firms, original equipment manufacturers and end-users. In Europe, we also manufacture and sell unitary heating and cooling products and applied systems. Substantially all segment revenue was related to these types of equipment and systems and is recognized at a point in time when control transfers to the customer, which is generally at time of shipment. Less than 1% of segment revenue relates to services for start-up and commissioning activities.</w:t>
      </w:r>
    </w:p>
    <w:p>
      <w:pPr>
        <w:spacing w:after="0" w:line="188"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net in our Consolidated Balance Sheets.</w:t>
      </w:r>
    </w:p>
    <w:p>
      <w:pPr>
        <w:spacing w:after="0" w:line="180"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b w:val="1"/>
          <w:bCs w:val="1"/>
          <w:color w:val="auto"/>
        </w:rPr>
        <w:t xml:space="preserve">Contract Liabilities </w:t>
      </w:r>
      <w:r>
        <w:rPr>
          <w:rFonts w:ascii="Arial" w:cs="Arial" w:eastAsia="Arial" w:hAnsi="Arial"/>
          <w:sz w:val="16"/>
          <w:szCs w:val="16"/>
          <w:color w:val="auto"/>
        </w:rPr>
        <w:t>- Our contract liabilities consist of advance payments and deferred revenue. Our contract liabilities are reported in a net position on a</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contract-by-contract basis at the end of each reporting period. We classify advance payments and deferred revenue as current or noncurrent based on the timing of when we expect to recognize revenue. Generally all contract liabilities are expected to be recognized within one year and are included in Accrued expenses in our Consolidated Balance Sheets. The noncurrent portion of deferred revenue is included in Other liabilities in our Consolidated Balance Sheets.</w:t>
      </w:r>
    </w:p>
    <w:p>
      <w:pPr>
        <w:spacing w:after="0" w:line="15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5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58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37"/>
        </w:trPr>
        <w:tc>
          <w:tcPr>
            <w:tcW w:w="582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For the three months ended September 30, 2019 and 2018, we recognized revenue of $0.2 million and $1.3 million and for the nine months ended September 30, 2019 and 2018, we recognized revenue of $2.8 million and $4.2 million related to our contract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liabilities at January 1, 2019 and 2018, respectively. Impairment losses recognized in our receivables and contract assets were de minimis in 2018 and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4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As of September 30, 2019</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Subtotal</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569.6</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585.3</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509.8</w:t>
            </w: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right="740" w:firstLine="243"/>
        <w:spacing w:after="0" w:line="277" w:lineRule="auto"/>
        <w:rPr>
          <w:sz w:val="20"/>
          <w:szCs w:val="20"/>
          <w:color w:val="auto"/>
        </w:rPr>
      </w:pPr>
      <w:r>
        <w:rPr>
          <w:rFonts w:ascii="Arial" w:cs="Arial" w:eastAsia="Arial" w:hAnsi="Arial"/>
          <w:sz w:val="18"/>
          <w:szCs w:val="18"/>
          <w:color w:val="auto"/>
        </w:rPr>
        <w:t>The changes in the carrying amount of goodwill for the first nine months of 2019, in total and by segment, are summarized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60" w:type="dxa"/>
            <w:vAlign w:val="bottom"/>
          </w:tcPr>
          <w:p>
            <w:pPr>
              <w:spacing w:after="0"/>
              <w:rPr>
                <w:sz w:val="14"/>
                <w:szCs w:val="14"/>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Goodwill</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Changes in foreign</w:t>
            </w: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6"/>
              </w:rPr>
              <w:t xml:space="preserve">Reallocation </w:t>
            </w:r>
            <w:r>
              <w:rPr>
                <w:rFonts w:ascii="Arial" w:cs="Arial" w:eastAsia="Arial" w:hAnsi="Arial"/>
                <w:sz w:val="8"/>
                <w:szCs w:val="8"/>
                <w:b w:val="1"/>
                <w:bCs w:val="1"/>
                <w:color w:val="auto"/>
                <w:w w:val="96"/>
              </w:rPr>
              <w:t>(1)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8"/>
        <w:spacing w:after="0" w:line="252" w:lineRule="auto"/>
        <w:tabs>
          <w:tab w:leader="none" w:pos="196"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 2019, we reorganized our external financial reporting structure by moving our European Commercial HVAC business from our Commercial segment to our Refrigeration segment as we manage both our commercial HVAC and refrigeration operations in Europe together. See Note 16 for additional information.</w:t>
      </w:r>
    </w:p>
    <w:p>
      <w:pPr>
        <w:spacing w:after="0" w:line="18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perform our annual goodwill impairment test in the fourth quarter of each year, and we monitor our reporting units for indicators of impairment throughout the year to determine if a change in facts or circumstances warrants a re-evaluation of our goodwill.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18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December 2020 and February 2021,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unsettled contracts</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5"/>
                <w:szCs w:val="25"/>
                <w:color w:val="auto"/>
                <w:vertAlign w:val="superscript"/>
              </w:rPr>
              <w:t>(1)</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bl>
    <w:p>
      <w:pPr>
        <w:spacing w:after="0" w:line="256" w:lineRule="exact"/>
        <w:rPr>
          <w:sz w:val="20"/>
          <w:szCs w:val="20"/>
          <w:color w:val="auto"/>
        </w:rPr>
      </w:pPr>
    </w:p>
    <w:p>
      <w:pPr>
        <w:ind w:left="500" w:hanging="168"/>
        <w:spacing w:after="0" w:line="216" w:lineRule="auto"/>
        <w:tabs>
          <w:tab w:leader="none" w:pos="541" w:val="left"/>
        </w:tabs>
        <w:numPr>
          <w:ilvl w:val="1"/>
          <w:numId w:val="4"/>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$2.8 million of derivative losses into earnings within the next 12 months.</w:t>
      </w:r>
    </w:p>
    <w:p>
      <w:pPr>
        <w:spacing w:after="0" w:line="200" w:lineRule="exact"/>
        <w:rPr>
          <w:rFonts w:ascii="Arial" w:cs="Arial" w:eastAsia="Arial" w:hAnsi="Arial"/>
          <w:sz w:val="25"/>
          <w:szCs w:val="25"/>
          <w:color w:val="auto"/>
          <w:vertAlign w:val="superscript"/>
        </w:rPr>
      </w:pPr>
    </w:p>
    <w:p>
      <w:pPr>
        <w:spacing w:after="0" w:line="215"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As of September 30, 2019, we had approximately $2.7 million in total gross unrecognized tax benefits. Of this amount $2.7 million, if recognized, would be recorded through the Consolidated Statement of Operations.</w:t>
      </w:r>
    </w:p>
    <w:p>
      <w:pPr>
        <w:spacing w:after="0" w:line="170"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are currently under examination for our U.S. federal income taxes under the Internal Revenue Service's Compliance Assurance Program for 2018 and are subject to examination by numerous other taxing authorities in the U.S. and in foreign jurisdictions. We are generally no longer subject to U.S. federal, state and local, or non-U.S. income tax examinations by taxing authorities for years prior to 2011.</w:t>
      </w:r>
    </w:p>
    <w:p>
      <w:pPr>
        <w:spacing w:after="0" w:line="18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2019, several states have enacted legislation effective for tax years beginning on or after January 1, 2019, including changes to tax rates and apportionment methods. The impact of these changes is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 xml:space="preserve">On February 25, 2016, the FASB issued ASU No. 2016-02, </w:t>
      </w:r>
      <w:r>
        <w:rPr>
          <w:rFonts w:ascii="Arial" w:cs="Arial" w:eastAsia="Arial" w:hAnsi="Arial"/>
          <w:sz w:val="16"/>
          <w:szCs w:val="16"/>
          <w:i w:val="1"/>
          <w:iCs w:val="1"/>
          <w:color w:val="auto"/>
        </w:rPr>
        <w:t>Leases (ASC 842).</w:t>
      </w:r>
      <w:r>
        <w:rPr>
          <w:rFonts w:ascii="Arial" w:cs="Arial" w:eastAsia="Arial" w:hAnsi="Arial"/>
          <w:sz w:val="16"/>
          <w:szCs w:val="16"/>
          <w:color w:val="auto"/>
        </w:rPr>
        <w:t xml:space="preserve"> We adopted ASC 842 on January 1, 2019, using the effective date method, with the cumulative-effect adjustment to the opening balance sheet of retained earnings as of the effective date. The financial results reported in periods prior to January 1, 2019 are unchanged. Upon adoption, we recognized almost all of our leases greater than one year in duration on the balance sheet as right-of-use assets and lease liabilities. For income statement purposes, the FASB retained a dual model, requiring leases to be classified as either operating or finance. Classification is based on criteria that are largely similar to those applied in current lease accounting standard, but without explicit bright lines. We have made certain assumptions in judgments when applying ASC 842. Those judgments of most significance are as follows:</w:t>
      </w:r>
    </w:p>
    <w:p>
      <w:pPr>
        <w:spacing w:after="0" w:line="165" w:lineRule="exact"/>
        <w:rPr>
          <w:sz w:val="20"/>
          <w:szCs w:val="20"/>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elected the package of practical expedients available for transition which allow us to not reassess:</w:t>
      </w:r>
    </w:p>
    <w:p>
      <w:pPr>
        <w:spacing w:after="0" w:line="23"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Whether expired or existing contracts contain leases under the new definition of a lease;</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Lease classification for expired or existing leases; and</w:t>
      </w:r>
    </w:p>
    <w:p>
      <w:pPr>
        <w:spacing w:after="0" w:line="9" w:lineRule="exact"/>
        <w:rPr>
          <w:rFonts w:ascii="Arial" w:cs="Arial" w:eastAsia="Arial" w:hAnsi="Arial"/>
          <w:sz w:val="18"/>
          <w:szCs w:val="18"/>
          <w:color w:val="auto"/>
        </w:rPr>
      </w:pPr>
    </w:p>
    <w:p>
      <w:pPr>
        <w:ind w:left="1580" w:hanging="316"/>
        <w:spacing w:after="0"/>
        <w:tabs>
          <w:tab w:leader="none" w:pos="1580" w:val="left"/>
        </w:tabs>
        <w:numPr>
          <w:ilvl w:val="1"/>
          <w:numId w:val="6"/>
        </w:numPr>
        <w:rPr>
          <w:rFonts w:ascii="Arial" w:cs="Arial" w:eastAsia="Arial" w:hAnsi="Arial"/>
          <w:sz w:val="18"/>
          <w:szCs w:val="18"/>
          <w:color w:val="auto"/>
        </w:rPr>
      </w:pPr>
      <w:r>
        <w:rPr>
          <w:rFonts w:ascii="Arial" w:cs="Arial" w:eastAsia="Arial" w:hAnsi="Arial"/>
          <w:sz w:val="18"/>
          <w:szCs w:val="18"/>
          <w:color w:val="auto"/>
        </w:rPr>
        <w:t>Whether previously capitalized initial direct costs would qualify for capitalization under ASC 842.</w:t>
      </w:r>
    </w:p>
    <w:p>
      <w:pPr>
        <w:spacing w:after="0" w:line="9" w:lineRule="exact"/>
        <w:rPr>
          <w:rFonts w:ascii="Arial" w:cs="Arial" w:eastAsia="Arial" w:hAnsi="Arial"/>
          <w:sz w:val="18"/>
          <w:szCs w:val="18"/>
          <w:color w:val="auto"/>
        </w:rPr>
      </w:pPr>
    </w:p>
    <w:p>
      <w:pPr>
        <w:ind w:left="940" w:right="20" w:hanging="324"/>
        <w:spacing w:after="0" w:line="250"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did not elect to use hindsight for transition when considering judgments and estimates such as assessments of lessee options to extend or terminate a lease or purchase the underlying asset.</w:t>
      </w:r>
    </w:p>
    <w:p>
      <w:pPr>
        <w:ind w:left="940" w:hanging="32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did not elect to reassess whether land easements meet the definition of a lease if they were not accounted for as leases under the former rules.</w:t>
      </w:r>
    </w:p>
    <w:p>
      <w:pPr>
        <w:spacing w:after="0" w:line="32" w:lineRule="exact"/>
        <w:rPr>
          <w:rFonts w:ascii="Arial" w:cs="Arial" w:eastAsia="Arial" w:hAnsi="Arial"/>
          <w:sz w:val="16"/>
          <w:szCs w:val="16"/>
          <w:color w:val="auto"/>
        </w:rPr>
      </w:pPr>
    </w:p>
    <w:p>
      <w:pPr>
        <w:ind w:left="940" w:hanging="32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asset classes, we elected to not recognize a right-of-use asset and lease liability for leases with a term of 12 months or less.</w:t>
      </w:r>
    </w:p>
    <w:p>
      <w:pPr>
        <w:spacing w:after="0" w:line="9" w:lineRule="exact"/>
        <w:rPr>
          <w:rFonts w:ascii="Arial" w:cs="Arial" w:eastAsia="Arial" w:hAnsi="Arial"/>
          <w:sz w:val="18"/>
          <w:szCs w:val="18"/>
          <w:color w:val="auto"/>
        </w:rPr>
      </w:pPr>
    </w:p>
    <w:p>
      <w:pPr>
        <w:ind w:left="940" w:hanging="324"/>
        <w:spacing w:after="0" w:line="261"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all asset classes, we elected to not separate non-lease components from lease components to which they relate and have accounted for the combined lease and non-lease components as a single lease component.</w:t>
      </w:r>
    </w:p>
    <w:p>
      <w:pPr>
        <w:spacing w:after="0" w:line="18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 as Right-of-use assets from operating leases, Current operating lease liabilities and Long-term operating lease liabilities. Finance leases are included in Property, plant and equipment, Current maturities of long-term debt and Long-term debt in our Consolidated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93" w:lineRule="auto"/>
        <w:rPr>
          <w:sz w:val="20"/>
          <w:szCs w:val="20"/>
          <w:color w:val="auto"/>
        </w:rPr>
      </w:pPr>
      <w:r>
        <w:rPr>
          <w:rFonts w:ascii="Arial" w:cs="Arial" w:eastAsia="Arial" w:hAnsi="Arial"/>
          <w:sz w:val="16"/>
          <w:szCs w:val="16"/>
          <w:color w:val="auto"/>
        </w:rPr>
        <w:t>Balance Sheet. 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which is the date we enter the leased space and begin to make improvements in preparation for its intended use. Variable lease components represent amounts that are not fixed in nature and are not tied to an index or rate, and are recognized as incurred.</w:t>
      </w:r>
    </w:p>
    <w:p>
      <w:pPr>
        <w:spacing w:after="0" w:line="16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70"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tenors (ranging from 1-year through 30-years), a comparable market yield curve consistent with our credit quality was calibrated to our publicly outstanding debt instruments.</w:t>
      </w:r>
    </w:p>
    <w:p>
      <w:pPr>
        <w:spacing w:after="0" w:line="173" w:lineRule="exact"/>
        <w:rPr>
          <w:sz w:val="20"/>
          <w:szCs w:val="20"/>
          <w:color w:val="auto"/>
        </w:rPr>
      </w:pPr>
    </w:p>
    <w:p>
      <w:pPr>
        <w:jc w:val="both"/>
        <w:ind w:right="20" w:firstLine="230"/>
        <w:spacing w:after="0" w:line="342" w:lineRule="auto"/>
        <w:rPr>
          <w:sz w:val="20"/>
          <w:szCs w:val="20"/>
          <w:color w:val="auto"/>
        </w:rPr>
      </w:pPr>
      <w:r>
        <w:rPr>
          <w:rFonts w:ascii="Arial" w:cs="Arial" w:eastAsia="Arial" w:hAnsi="Arial"/>
          <w:sz w:val="16"/>
          <w:szCs w:val="16"/>
          <w:color w:val="auto"/>
        </w:rPr>
        <w:t>We lease certain real and personal property under non-cancelable operating leases. Approximately 73% of our right-of-use assets and lease liabilities relate to our leases of real estate with the remaining amounts relating to our leases of IT equipment, fleet vehicles and manufacturing and distribution equipment.</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For the Three Months</w:t>
            </w:r>
          </w:p>
        </w:tc>
        <w:tc>
          <w:tcPr>
            <w:tcW w:w="200" w:type="dxa"/>
            <w:vAlign w:val="bottom"/>
          </w:tcPr>
          <w:p>
            <w:pPr>
              <w:spacing w:after="0"/>
              <w:rPr>
                <w:sz w:val="17"/>
                <w:szCs w:val="17"/>
                <w:color w:val="auto"/>
              </w:rPr>
            </w:pPr>
          </w:p>
        </w:tc>
        <w:tc>
          <w:tcPr>
            <w:tcW w:w="1680" w:type="dxa"/>
            <w:vAlign w:val="bottom"/>
          </w:tcPr>
          <w:p>
            <w:pPr>
              <w:jc w:val="center"/>
              <w:ind w:right="52"/>
              <w:spacing w:after="0"/>
              <w:rPr>
                <w:sz w:val="20"/>
                <w:szCs w:val="20"/>
                <w:color w:val="auto"/>
              </w:rPr>
            </w:pPr>
            <w:r>
              <w:rPr>
                <w:rFonts w:ascii="Arial" w:cs="Arial" w:eastAsia="Arial" w:hAnsi="Arial"/>
                <w:sz w:val="16"/>
                <w:szCs w:val="16"/>
                <w:b w:val="1"/>
                <w:bCs w:val="1"/>
                <w:color w:val="auto"/>
                <w:w w:val="94"/>
              </w:rPr>
              <w:t>For the Nine Months</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000" w:type="dxa"/>
            <w:vAlign w:val="bottom"/>
            <w:gridSpan w:val="2"/>
          </w:tcPr>
          <w:p>
            <w:pPr>
              <w:jc w:val="right"/>
              <w:ind w:right="11"/>
              <w:spacing w:after="0"/>
              <w:rPr>
                <w:sz w:val="20"/>
                <w:szCs w:val="20"/>
                <w:color w:val="auto"/>
              </w:rPr>
            </w:pPr>
            <w:r>
              <w:rPr>
                <w:rFonts w:ascii="Arial" w:cs="Arial" w:eastAsia="Arial" w:hAnsi="Arial"/>
                <w:sz w:val="16"/>
                <w:szCs w:val="16"/>
                <w:b w:val="1"/>
                <w:bCs w:val="1"/>
                <w:color w:val="auto"/>
                <w:w w:val="92"/>
              </w:rPr>
              <w:t>Ended September 30, 2019</w:t>
            </w:r>
          </w:p>
        </w:tc>
        <w:tc>
          <w:tcPr>
            <w:tcW w:w="200" w:type="dxa"/>
            <w:vAlign w:val="bottom"/>
          </w:tcPr>
          <w:p>
            <w:pPr>
              <w:spacing w:after="0"/>
              <w:rPr>
                <w:sz w:val="17"/>
                <w:szCs w:val="17"/>
                <w:color w:val="auto"/>
              </w:rPr>
            </w:pPr>
          </w:p>
        </w:tc>
        <w:tc>
          <w:tcPr>
            <w:tcW w:w="1680" w:type="dxa"/>
            <w:vAlign w:val="bottom"/>
          </w:tcPr>
          <w:p>
            <w:pPr>
              <w:jc w:val="center"/>
              <w:ind w:right="72"/>
              <w:spacing w:after="0"/>
              <w:rPr>
                <w:sz w:val="20"/>
                <w:szCs w:val="20"/>
                <w:color w:val="auto"/>
              </w:rPr>
            </w:pPr>
            <w:r>
              <w:rPr>
                <w:rFonts w:ascii="Arial" w:cs="Arial" w:eastAsia="Arial" w:hAnsi="Arial"/>
                <w:sz w:val="16"/>
                <w:szCs w:val="16"/>
                <w:b w:val="1"/>
                <w:bCs w:val="1"/>
                <w:color w:val="auto"/>
                <w:w w:val="90"/>
              </w:rPr>
              <w:t>Ended September 30,</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center"/>
              <w:ind w:right="52"/>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Finance lease cost: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Amortization of right-of-use assets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on lease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Operating lease cost</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71"/>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lease cost</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Variable lease cost</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jc w:val="right"/>
              <w:ind w:right="71"/>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lease cost</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4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68.2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b w:val="1"/>
                <w:bCs w:val="1"/>
                <w:color w:val="auto"/>
              </w:rPr>
              <w:t>Other information</w:t>
            </w: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520" w:type="dxa"/>
            <w:vAlign w:val="bottom"/>
            <w:gridSpan w:val="3"/>
            <w:vMerge w:val="continue"/>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406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lease liabilities:</w:t>
            </w:r>
          </w:p>
        </w:tc>
        <w:tc>
          <w:tcPr>
            <w:tcW w:w="2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80" w:type="dxa"/>
            <w:vAlign w:val="bottom"/>
            <w:gridSpan w:val="2"/>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
              <w:spacing w:after="0"/>
              <w:rPr>
                <w:sz w:val="20"/>
                <w:szCs w:val="20"/>
                <w:color w:val="auto"/>
              </w:rPr>
            </w:pPr>
            <w:r>
              <w:rPr>
                <w:rFonts w:ascii="Arial" w:cs="Arial" w:eastAsia="Arial" w:hAnsi="Arial"/>
                <w:sz w:val="18"/>
                <w:szCs w:val="18"/>
                <w:color w:val="auto"/>
              </w:rPr>
              <w:t>15.0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w w:val="94"/>
              </w:rPr>
              <w:t>Right-of-use assets obtained in exchange for new finance lease liabilities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71"/>
              <w:spacing w:after="0"/>
              <w:rPr>
                <w:sz w:val="20"/>
                <w:szCs w:val="20"/>
                <w:color w:val="auto"/>
              </w:rPr>
            </w:pPr>
            <w:r>
              <w:rPr>
                <w:rFonts w:ascii="Arial" w:cs="Arial" w:eastAsia="Arial" w:hAnsi="Arial"/>
                <w:sz w:val="18"/>
                <w:szCs w:val="18"/>
                <w:color w:val="auto"/>
              </w:rPr>
              <w:t>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2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675"/>
        </w:trPr>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20" w:type="dxa"/>
            <w:vAlign w:val="bottom"/>
          </w:tcPr>
          <w:p>
            <w:pPr>
              <w:jc w:val="right"/>
              <w:ind w:right="165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As of September 30, 2019</w:t>
            </w:r>
          </w:p>
        </w:tc>
      </w:tr>
      <w:tr>
        <w:trPr>
          <w:trHeight w:val="33"/>
        </w:trPr>
        <w:tc>
          <w:tcPr>
            <w:tcW w:w="9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right-of-use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24.4</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91"/>
              <w:spacing w:after="0"/>
              <w:rPr>
                <w:sz w:val="20"/>
                <w:szCs w:val="20"/>
                <w:color w:val="auto"/>
              </w:rPr>
            </w:pPr>
            <w:r>
              <w:rPr>
                <w:rFonts w:ascii="Arial" w:cs="Arial" w:eastAsia="Arial" w:hAnsi="Arial"/>
                <w:sz w:val="18"/>
                <w:szCs w:val="18"/>
                <w:color w:val="auto"/>
              </w:rPr>
              <w:t>172.9</w:t>
            </w:r>
          </w:p>
        </w:tc>
      </w:tr>
      <w:tr>
        <w:trPr>
          <w:trHeight w:val="27"/>
        </w:trPr>
        <w:tc>
          <w:tcPr>
            <w:tcW w:w="9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liability, 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Finance lease liability,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91"/>
              <w:spacing w:after="0"/>
              <w:rPr>
                <w:sz w:val="20"/>
                <w:szCs w:val="20"/>
                <w:color w:val="auto"/>
              </w:rPr>
            </w:pPr>
            <w:r>
              <w:rPr>
                <w:rFonts w:ascii="Arial" w:cs="Arial" w:eastAsia="Arial" w:hAnsi="Arial"/>
                <w:sz w:val="18"/>
                <w:szCs w:val="18"/>
                <w:color w:val="auto"/>
              </w:rPr>
              <w:t>23.7</w:t>
            </w:r>
          </w:p>
        </w:tc>
      </w:tr>
      <w:tr>
        <w:trPr>
          <w:trHeight w:val="27"/>
        </w:trPr>
        <w:tc>
          <w:tcPr>
            <w:tcW w:w="9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liability, current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51.6</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Operating lease liability, non-current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91"/>
              <w:spacing w:after="0"/>
              <w:rPr>
                <w:sz w:val="20"/>
                <w:szCs w:val="20"/>
                <w:color w:val="auto"/>
              </w:rPr>
            </w:pPr>
            <w:r>
              <w:rPr>
                <w:rFonts w:ascii="Arial" w:cs="Arial" w:eastAsia="Arial" w:hAnsi="Arial"/>
                <w:sz w:val="18"/>
                <w:szCs w:val="18"/>
                <w:color w:val="auto"/>
              </w:rPr>
              <w:t>123.0</w:t>
            </w:r>
          </w:p>
        </w:tc>
      </w:tr>
      <w:tr>
        <w:trPr>
          <w:trHeight w:val="27"/>
        </w:trPr>
        <w:tc>
          <w:tcPr>
            <w:tcW w:w="9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5.2 years</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Weighted-average remaining lease term - operating leases</w:t>
            </w:r>
          </w:p>
        </w:tc>
        <w:tc>
          <w:tcPr>
            <w:tcW w:w="200" w:type="dxa"/>
            <w:vAlign w:val="bottom"/>
          </w:tcPr>
          <w:p>
            <w:pPr>
              <w:spacing w:after="0"/>
              <w:rPr>
                <w:sz w:val="21"/>
                <w:szCs w:val="21"/>
                <w:color w:val="auto"/>
              </w:rPr>
            </w:pPr>
          </w:p>
        </w:tc>
        <w:tc>
          <w:tcPr>
            <w:tcW w:w="2160" w:type="dxa"/>
            <w:vAlign w:val="bottom"/>
          </w:tcPr>
          <w:p>
            <w:pPr>
              <w:jc w:val="right"/>
              <w:ind w:right="91"/>
              <w:spacing w:after="0"/>
              <w:rPr>
                <w:sz w:val="20"/>
                <w:szCs w:val="20"/>
                <w:color w:val="auto"/>
              </w:rPr>
            </w:pPr>
            <w:r>
              <w:rPr>
                <w:rFonts w:ascii="Arial" w:cs="Arial" w:eastAsia="Arial" w:hAnsi="Arial"/>
                <w:sz w:val="18"/>
                <w:szCs w:val="18"/>
                <w:color w:val="auto"/>
              </w:rPr>
              <w:t>4.2 years</w:t>
            </w:r>
          </w:p>
        </w:tc>
      </w:tr>
      <w:tr>
        <w:trPr>
          <w:trHeight w:val="27"/>
        </w:trPr>
        <w:tc>
          <w:tcPr>
            <w:tcW w:w="9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discount rate - finance leases</w:t>
            </w:r>
          </w:p>
        </w:tc>
        <w:tc>
          <w:tcPr>
            <w:tcW w:w="2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9060" w:type="dxa"/>
            <w:vAlign w:val="bottom"/>
          </w:tcPr>
          <w:p>
            <w:pPr>
              <w:ind w:left="40"/>
              <w:spacing w:after="0"/>
              <w:rPr>
                <w:sz w:val="20"/>
                <w:szCs w:val="20"/>
                <w:color w:val="auto"/>
              </w:rPr>
            </w:pPr>
            <w:r>
              <w:rPr>
                <w:rFonts w:ascii="Arial" w:cs="Arial" w:eastAsia="Arial" w:hAnsi="Arial"/>
                <w:sz w:val="18"/>
                <w:szCs w:val="18"/>
                <w:color w:val="auto"/>
              </w:rPr>
              <w:t>Weighted-average discount rate – operating leases</w:t>
            </w:r>
          </w:p>
        </w:tc>
        <w:tc>
          <w:tcPr>
            <w:tcW w:w="20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3.81%</w:t>
            </w:r>
          </w:p>
        </w:tc>
      </w:tr>
    </w:tbl>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Future annual minimum lease payments and finance lease commitments as of September 30, 2019 were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Pr>
          <w:p>
            <w:pPr>
              <w:spacing w:after="0"/>
              <w:rPr>
                <w:sz w:val="18"/>
                <w:szCs w:val="18"/>
                <w:color w:val="auto"/>
              </w:rPr>
            </w:pPr>
          </w:p>
        </w:tc>
        <w:tc>
          <w:tcPr>
            <w:tcW w:w="1400" w:type="dxa"/>
            <w:vAlign w:val="bottom"/>
          </w:tcPr>
          <w:p>
            <w:pPr>
              <w:jc w:val="right"/>
              <w:ind w:right="191"/>
              <w:spacing w:after="0"/>
              <w:rPr>
                <w:sz w:val="20"/>
                <w:szCs w:val="20"/>
                <w:color w:val="auto"/>
              </w:rPr>
            </w:pPr>
            <w:r>
              <w:rPr>
                <w:rFonts w:ascii="Arial" w:cs="Arial" w:eastAsia="Arial" w:hAnsi="Arial"/>
                <w:sz w:val="16"/>
                <w:szCs w:val="16"/>
                <w:b w:val="1"/>
                <w:bCs w:val="1"/>
                <w:color w:val="auto"/>
                <w:w w:val="92"/>
              </w:rPr>
              <w:t>Finance Leases</w:t>
            </w: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(excluding the nine months ended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7.1</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w:t>
            </w:r>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2024 and thereafter</w:t>
            </w:r>
          </w:p>
        </w:tc>
        <w:tc>
          <w:tcPr>
            <w:tcW w:w="1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The Company adopted ASU 2016-02 on January 1, 2019 as noted above, and as required, the following disclosure is provided for periods prior to adoption. Future annual minimum lease payments and capital lease commitments as of December 31, 2018 were as follows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Operating Leases</w:t>
            </w:r>
          </w:p>
        </w:tc>
        <w:tc>
          <w:tcPr>
            <w:tcW w:w="220" w:type="dxa"/>
            <w:vAlign w:val="bottom"/>
          </w:tcPr>
          <w:p>
            <w:pPr>
              <w:spacing w:after="0"/>
              <w:rPr>
                <w:sz w:val="18"/>
                <w:szCs w:val="18"/>
                <w:color w:val="auto"/>
              </w:rPr>
            </w:pPr>
          </w:p>
        </w:tc>
        <w:tc>
          <w:tcPr>
            <w:tcW w:w="1380" w:type="dxa"/>
            <w:vAlign w:val="bottom"/>
          </w:tcPr>
          <w:p>
            <w:pPr>
              <w:jc w:val="right"/>
              <w:ind w:right="211"/>
              <w:spacing w:after="0"/>
              <w:rPr>
                <w:sz w:val="20"/>
                <w:szCs w:val="20"/>
                <w:color w:val="auto"/>
              </w:rPr>
            </w:pPr>
            <w:r>
              <w:rPr>
                <w:rFonts w:ascii="Arial" w:cs="Arial" w:eastAsia="Arial" w:hAnsi="Arial"/>
                <w:sz w:val="16"/>
                <w:szCs w:val="16"/>
                <w:b w:val="1"/>
                <w:bCs w:val="1"/>
                <w:color w:val="auto"/>
                <w:w w:val="94"/>
              </w:rPr>
              <w:t>Capital Leases</w:t>
            </w:r>
          </w:p>
        </w:tc>
        <w:tc>
          <w:tcPr>
            <w:tcW w:w="0" w:type="dxa"/>
            <w:vAlign w:val="bottom"/>
          </w:tcPr>
          <w:p>
            <w:pPr>
              <w:spacing w:after="0"/>
              <w:rPr>
                <w:sz w:val="1"/>
                <w:szCs w:val="1"/>
                <w:color w:val="auto"/>
              </w:rPr>
            </w:pPr>
          </w:p>
        </w:tc>
      </w:tr>
      <w:tr>
        <w:trPr>
          <w:trHeight w:val="33"/>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line="20" w:lineRule="exact"/>
              <w:rPr>
                <w:sz w:val="1"/>
                <w:szCs w:val="1"/>
                <w:color w:val="auto"/>
              </w:rPr>
            </w:pPr>
          </w:p>
        </w:tc>
      </w:tr>
      <w:tr>
        <w:trPr>
          <w:trHeight w:val="230"/>
        </w:trPr>
        <w:tc>
          <w:tcPr>
            <w:tcW w:w="80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minimum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On March 1, 2019, we entered into an agreement with a financial institution to renew the lease of our corporate headquarters in Richardson, Texas for a term of five years through March 1, 2024. The leased property consists of an office building of approximately 192,000 square feet, land and related improvements. During the lease term, we are obligated to pay base rent in quarterly installments, payable in arrears. At the end of the lease term, we must do one of the following: (i) purchase the property for $41.2 million; (ii) vacate the property and return it in good condition; (iii) arrange for the sale of the leased property to a third party; or (iv) renew the lease under mutually agreeable terms. If we elect to sell the property to a third party and the sales proceeds are less than the lease balance of $41.2 million, we must pay any such deficit to the financial institution. Any such deficit payment cannot exceed 87% of the lease balance. The headquarters lease is classified as an operating lease and its future annual minimum lease payments are included in the table above.</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60" w:right="239" w:bottom="1440" w:gutter="0" w:footer="0" w:header="0"/>
          <w:type w:val="continuous"/>
        </w:sectPr>
      </w:pPr>
    </w:p>
    <w:bookmarkStart w:id="16" w:name="page17"/>
    <w:bookmarkEnd w:id="16"/>
    <w:p>
      <w:pPr>
        <w:jc w:val="both"/>
        <w:ind w:firstLine="243"/>
        <w:spacing w:after="0" w:line="259" w:lineRule="auto"/>
        <w:rPr>
          <w:sz w:val="20"/>
          <w:szCs w:val="20"/>
          <w:color w:val="auto"/>
        </w:rPr>
      </w:pPr>
      <w:r>
        <w:rPr>
          <w:rFonts w:ascii="Arial" w:cs="Arial" w:eastAsia="Arial" w:hAnsi="Arial"/>
          <w:sz w:val="18"/>
          <w:szCs w:val="18"/>
          <w:color w:val="auto"/>
        </w:rPr>
        <w:t>Our obligations under the headquarters lease are secured by a pledge of our interest in the leased property. The lease contains customary lease covenants and events of default as well as events of default if (i) indebtedness of $75 million or more is not paid when due, (ii) there is a change of control or (iii) we fail to comply with certain covenants incorporated from our existing credit facility agreement. We believe we were in compliance with these financial covenants as of September 30,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18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060" w:type="dxa"/>
            <w:vAlign w:val="bottom"/>
            <w:gridSpan w:val="3"/>
          </w:tcPr>
          <w:p>
            <w:pPr>
              <w:ind w:left="100"/>
              <w:spacing w:after="0"/>
              <w:rPr>
                <w:sz w:val="20"/>
                <w:szCs w:val="20"/>
                <w:color w:val="auto"/>
              </w:rPr>
            </w:pPr>
            <w:r>
              <w:rPr>
                <w:rFonts w:ascii="Arial" w:cs="Arial" w:eastAsia="Arial" w:hAnsi="Arial"/>
                <w:sz w:val="16"/>
                <w:szCs w:val="16"/>
                <w:b w:val="1"/>
                <w:bCs w:val="1"/>
                <w:color w:val="auto"/>
              </w:rPr>
              <w:t>As of September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75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114.0</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w:t>
            </w:r>
          </w:p>
        </w:tc>
      </w:tr>
      <w:tr>
        <w:trPr>
          <w:trHeight w:val="20"/>
        </w:trPr>
        <w:tc>
          <w:tcPr>
            <w:tcW w:w="7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product warranty liabilities related to continuing operations for the nine months ended September 30, 2019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2018</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111.6</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liability from divestitures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September 30, 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114.0</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During the second quarter of 2017, we identified a product quality issue in a defective vendor-supplied component affecting a product line in the Residential Heating &amp; Cooling segment. This defect was isolated, the vendor is supplying corrected components, and we are manufacturing products with the corrected components. We incurred and recorded insignificant expenses associated with this product quality in 2017. In the second quarter of 2019, the vendor agreed to reimburse us for certain losses incurred due to this quality issue. These reimbursements include cash payments in 2019 and price reductions on annual qualifying purchases from this vendor through 2024. Reimbursements we receive from the vendor will offset the costs we have incurred related to this product quality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We may have greater financial exposure for future settlements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judgments. The following table summarizes the expenses, net of probable insurance recoveries, for known and future asbestos-related litigation recorded in Losses (gains) and other expenses, net in the Consolidated Statements of Operations.</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6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220" w:type="dxa"/>
            <w:vAlign w:val="bottom"/>
          </w:tcPr>
          <w:p>
            <w:pPr>
              <w:spacing w:after="0"/>
              <w:rPr>
                <w:sz w:val="17"/>
                <w:szCs w:val="17"/>
                <w:color w:val="auto"/>
              </w:rPr>
            </w:pPr>
          </w:p>
        </w:tc>
        <w:tc>
          <w:tcPr>
            <w:tcW w:w="232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2"/>
              </w:rPr>
              <w:t>For the Nine Months Ended</w:t>
            </w:r>
          </w:p>
        </w:tc>
      </w:tr>
      <w:tr>
        <w:trPr>
          <w:trHeight w:val="210"/>
        </w:trPr>
        <w:tc>
          <w:tcPr>
            <w:tcW w:w="5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gridSpan w:val="3"/>
          </w:tcPr>
          <w:p>
            <w:pPr>
              <w:jc w:val="center"/>
              <w:ind w:right="274"/>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center"/>
              <w:ind w:right="114"/>
              <w:spacing w:after="0"/>
              <w:rPr>
                <w:sz w:val="20"/>
                <w:szCs w:val="20"/>
                <w:color w:val="auto"/>
              </w:rPr>
            </w:pPr>
            <w:r>
              <w:rPr>
                <w:rFonts w:ascii="Arial" w:cs="Arial" w:eastAsia="Arial" w:hAnsi="Arial"/>
                <w:sz w:val="16"/>
                <w:szCs w:val="16"/>
                <w:b w:val="1"/>
                <w:bCs w:val="1"/>
                <w:color w:val="auto"/>
                <w:w w:val="91"/>
              </w:rPr>
              <w:t>September 30,</w:t>
            </w:r>
          </w:p>
        </w:tc>
      </w:tr>
      <w:tr>
        <w:trPr>
          <w:trHeight w:val="33"/>
        </w:trPr>
        <w:tc>
          <w:tcPr>
            <w:tcW w:w="58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6"/>
                <w:szCs w:val="16"/>
                <w:b w:val="1"/>
                <w:bCs w:val="1"/>
                <w:color w:val="auto"/>
              </w:rPr>
              <w:t>2018</w:t>
            </w:r>
          </w:p>
        </w:tc>
      </w:tr>
      <w:tr>
        <w:trPr>
          <w:trHeight w:val="33"/>
        </w:trPr>
        <w:tc>
          <w:tcPr>
            <w:tcW w:w="58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for asbestos-related litigation</w:t>
            </w:r>
          </w:p>
        </w:tc>
        <w:tc>
          <w:tcPr>
            <w:tcW w:w="78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r>
      <w:tr>
        <w:trPr>
          <w:trHeight w:val="27"/>
        </w:trPr>
        <w:tc>
          <w:tcPr>
            <w:tcW w:w="58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25"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On July 19, 2018, our manufacturing facility in Marshalltown, Iowa was severely damaged by a tornado. We have insurance for the repair or replacement of our assets that suffered damage or loss, and we are working closely with our insurance carriers and claims adjusters to ascertain the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These costs and insurance recoveries are shown in (Gain) loss from insurance recoveries, net of losses incurred in the Consolidated Statements of Operations.</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Gain from insurance recoveries, net of losses incurred:</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524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2840" w:type="dxa"/>
            <w:vAlign w:val="bottom"/>
            <w:gridSpan w:val="6"/>
            <w:shd w:val="clear" w:color="auto" w:fill="CCEEFF"/>
          </w:tcPr>
          <w:p>
            <w:pPr>
              <w:ind w:left="360"/>
              <w:spacing w:after="0"/>
              <w:rPr>
                <w:sz w:val="20"/>
                <w:szCs w:val="20"/>
                <w:color w:val="auto"/>
              </w:rPr>
            </w:pPr>
            <w:r>
              <w:rPr>
                <w:rFonts w:ascii="Arial" w:cs="Arial" w:eastAsia="Arial" w:hAnsi="Arial"/>
                <w:sz w:val="16"/>
                <w:szCs w:val="16"/>
                <w:b w:val="1"/>
                <w:bCs w:val="1"/>
                <w:color w:val="auto"/>
              </w:rPr>
              <w:t>For the Three months Ended</w:t>
            </w:r>
          </w:p>
        </w:tc>
        <w:tc>
          <w:tcPr>
            <w:tcW w:w="260" w:type="dxa"/>
            <w:vAlign w:val="bottom"/>
            <w:shd w:val="clear" w:color="auto" w:fill="CCEEFF"/>
          </w:tcPr>
          <w:p>
            <w:pPr>
              <w:spacing w:after="0"/>
              <w:rPr>
                <w:sz w:val="18"/>
                <w:szCs w:val="18"/>
                <w:color w:val="auto"/>
              </w:rPr>
            </w:pPr>
          </w:p>
        </w:tc>
        <w:tc>
          <w:tcPr>
            <w:tcW w:w="2460" w:type="dxa"/>
            <w:vAlign w:val="bottom"/>
            <w:gridSpan w:val="4"/>
            <w:shd w:val="clear" w:color="auto" w:fill="CCEEFF"/>
          </w:tcPr>
          <w:p>
            <w:pPr>
              <w:jc w:val="right"/>
              <w:ind w:right="311"/>
              <w:spacing w:after="0"/>
              <w:rPr>
                <w:sz w:val="20"/>
                <w:szCs w:val="20"/>
                <w:color w:val="auto"/>
              </w:rPr>
            </w:pPr>
            <w:r>
              <w:rPr>
                <w:rFonts w:ascii="Arial" w:cs="Arial" w:eastAsia="Arial" w:hAnsi="Arial"/>
                <w:sz w:val="16"/>
                <w:szCs w:val="16"/>
                <w:b w:val="1"/>
                <w:bCs w:val="1"/>
                <w:color w:val="auto"/>
                <w:w w:val="97"/>
              </w:rPr>
              <w:t>For the Nine months Ended</w:t>
            </w: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vMerge w:val="continue"/>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w w:val="91"/>
              </w:rPr>
              <w:t>September 30,</w:t>
            </w: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5240" w:type="dxa"/>
            <w:vAlign w:val="bottom"/>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11"/>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Insurance recoveries received</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6"/>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45.0</w:t>
            </w:r>
          </w:p>
        </w:tc>
        <w:tc>
          <w:tcPr>
            <w:tcW w:w="0" w:type="dxa"/>
            <w:vAlign w:val="bottom"/>
          </w:tcPr>
          <w:p>
            <w:pPr>
              <w:spacing w:after="0"/>
              <w:rPr>
                <w:sz w:val="1"/>
                <w:szCs w:val="1"/>
                <w:color w:val="auto"/>
              </w:rPr>
            </w:pP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Insurance recoveries receivable</w:t>
            </w: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 losses and expenses incurred:</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Site clean-up and remediation</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Factory inefficiencies due to lower productivity</w:t>
            </w: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Write-off of property, plant and equipment</w:t>
            </w:r>
          </w:p>
        </w:tc>
        <w:tc>
          <w:tcPr>
            <w:tcW w:w="8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Write-off of inventory</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240" w:type="dxa"/>
            <w:vAlign w:val="bottom"/>
          </w:tcPr>
          <w:p>
            <w:pPr>
              <w:ind w:left="26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84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49.4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49.4</w:t>
            </w:r>
          </w:p>
        </w:tc>
        <w:tc>
          <w:tcPr>
            <w:tcW w:w="0" w:type="dxa"/>
            <w:vAlign w:val="bottom"/>
          </w:tcPr>
          <w:p>
            <w:pPr>
              <w:spacing w:after="0"/>
              <w:rPr>
                <w:sz w:val="1"/>
                <w:szCs w:val="1"/>
                <w:color w:val="auto"/>
              </w:rPr>
            </w:pPr>
          </w:p>
        </w:tc>
      </w:tr>
      <w:tr>
        <w:trPr>
          <w:trHeight w:val="29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gain (loss) from insurance recoveries</w:t>
            </w:r>
          </w:p>
        </w:tc>
        <w:tc>
          <w:tcPr>
            <w:tcW w:w="84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85.4</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185"/>
        </w:trPr>
        <w:tc>
          <w:tcPr>
            <w:tcW w:w="52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b w:val="1"/>
                <w:bCs w:val="1"/>
                <w:color w:val="auto"/>
                <w:w w:val="89"/>
              </w:rPr>
              <w:t>Components of (Gain) loss from insurance recoveries, net of losses</w:t>
            </w: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incurred:</w:t>
            </w:r>
          </w:p>
        </w:tc>
        <w:tc>
          <w:tcPr>
            <w:tcW w:w="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Insurance proceeds for lost profits</w:t>
            </w: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loss from insurance recoveries, net of losses incurred</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8. 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 of September 30, 2019</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 credit facility</w:t>
            </w: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685.5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378.0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Total debt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1,451.1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1,041.3</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no outstanding foreign obligations as of September 30, 2019 or December 31, 2018. There were $5.3 million in proceeds and repayments on these facilities for the nine months ended September 30, 2019. Proceeds and repayments on these facilities were $39.6 million and $41.1 million, respectively, for the nine months ended September 30,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 The ASP will expire in November 2019 and we intend to renew the ASP prior to its expiration.</w:t>
      </w:r>
    </w:p>
    <w:p>
      <w:pPr>
        <w:spacing w:after="0" w:line="18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2"/>
          </w:tcPr>
          <w:p>
            <w:pPr>
              <w:ind w:left="80"/>
              <w:spacing w:after="0"/>
              <w:rPr>
                <w:sz w:val="20"/>
                <w:szCs w:val="20"/>
                <w:color w:val="auto"/>
              </w:rPr>
            </w:pPr>
            <w:r>
              <w:rPr>
                <w:rFonts w:ascii="Arial" w:cs="Arial" w:eastAsia="Arial" w:hAnsi="Arial"/>
                <w:sz w:val="16"/>
                <w:szCs w:val="16"/>
                <w:b w:val="1"/>
                <w:bCs w:val="1"/>
                <w:color w:val="auto"/>
              </w:rPr>
              <w:t>As of September 30, 2019</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2018</w:t>
            </w:r>
          </w:p>
        </w:tc>
        <w:tc>
          <w:tcPr>
            <w:tcW w:w="0" w:type="dxa"/>
            <w:vAlign w:val="bottom"/>
          </w:tcPr>
          <w:p>
            <w:pPr>
              <w:spacing w:after="0"/>
              <w:rPr>
                <w:sz w:val="1"/>
                <w:szCs w:val="1"/>
                <w:color w:val="auto"/>
              </w:rPr>
            </w:pPr>
          </w:p>
        </w:tc>
      </w:tr>
      <w:tr>
        <w:trPr>
          <w:trHeight w:val="33"/>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Eligible amount available under the ASP on qualified accounts receivable</w:t>
            </w:r>
          </w:p>
        </w:tc>
        <w:tc>
          <w:tcPr>
            <w:tcW w:w="1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Less: Beneficial interest transferred</w:t>
            </w: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(268.0)</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jc w:val="both"/>
        <w:ind w:firstLine="243"/>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September 30, 2019 and December 31, 2018 were 2.79% and 3.27%,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September 30, 2019,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On January 22, 2019, we amended our Domestic Credit Facility to provide for a $350.0 million increase in revolving commitments. The Domestic Credit Facility currently consists of a $1,000.0 million unsecured revolving credit facility and a $190.0 million unsecured term loan that matures in August 2021 (the "Maturity Date"). Under our Domestic Credit Facility, we had outstanding borrowings of $708.0 million, of which $160.0 million was the term loan balance, as well as $2.5 million committed to standby letters of credit as of September 30, 2019. Subject to covenant limitations, $449.5 million was available for future borrowings. The unsecured term loan also matures on the Maturity Date and requires quarterly principal repayments of $7.5 million. The revolving credit facility includes a subfacility for swingline loans of up to $65.0 million.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300"/>
              <w:spacing w:after="0"/>
              <w:rPr>
                <w:sz w:val="20"/>
                <w:szCs w:val="20"/>
                <w:color w:val="auto"/>
              </w:rPr>
            </w:pPr>
            <w:r>
              <w:rPr>
                <w:rFonts w:ascii="Arial" w:cs="Arial" w:eastAsia="Arial" w:hAnsi="Arial"/>
                <w:sz w:val="16"/>
                <w:szCs w:val="16"/>
                <w:b w:val="1"/>
                <w:bCs w:val="1"/>
                <w:color w:val="auto"/>
              </w:rPr>
              <w:t>As of September 30, 2019</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2018</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39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and payable and the lenders’ commitments will automatically terminate). As of September 30, 2019, we believe we were in compliance with all covenant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2019,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the income statement presentation of defined benefit plan expense by requiring separation between operating expense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3, 2019, we entered into an agreement with Pacific Life Insurance Company to purchase a group annuity contract and transfer $100.0 million of our pension plan assets and $105.6 million of related pension benefit obligations. In the second quarter of 2019, we recognized a $60.6 million pension settlement charge in the Statement of Operations and reclassified $5.6 million of pension benefit obligations to AOCL as a result of this transaction.</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net periodic benefit cost for pensions benefits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66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7"/>
                <w:szCs w:val="17"/>
                <w:color w:val="auto"/>
              </w:rPr>
            </w:pPr>
          </w:p>
        </w:tc>
        <w:tc>
          <w:tcPr>
            <w:tcW w:w="23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6"/>
              </w:rPr>
              <w:t>For the Nine Months Ended</w:t>
            </w:r>
          </w:p>
        </w:tc>
      </w:tr>
      <w:tr>
        <w:trPr>
          <w:trHeight w:val="210"/>
        </w:trPr>
        <w:tc>
          <w:tcPr>
            <w:tcW w:w="5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gridSpan w:val="3"/>
          </w:tcPr>
          <w:p>
            <w:pPr>
              <w:jc w:val="right"/>
              <w:ind w:right="253"/>
              <w:spacing w:after="0"/>
              <w:rPr>
                <w:sz w:val="20"/>
                <w:szCs w:val="20"/>
                <w:color w:val="auto"/>
              </w:rPr>
            </w:pPr>
            <w:r>
              <w:rPr>
                <w:rFonts w:ascii="Arial" w:cs="Arial" w:eastAsia="Arial" w:hAnsi="Arial"/>
                <w:sz w:val="16"/>
                <w:szCs w:val="16"/>
                <w:b w:val="1"/>
                <w:bCs w:val="1"/>
                <w:color w:val="auto"/>
                <w:w w:val="89"/>
              </w:rPr>
              <w:t>September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September 30,</w:t>
            </w:r>
          </w:p>
        </w:tc>
      </w:tr>
      <w:tr>
        <w:trPr>
          <w:trHeight w:val="33"/>
        </w:trPr>
        <w:tc>
          <w:tcPr>
            <w:tcW w:w="5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9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1"/>
              <w:spacing w:after="0"/>
              <w:rPr>
                <w:sz w:val="20"/>
                <w:szCs w:val="20"/>
                <w:color w:val="auto"/>
              </w:rPr>
            </w:pPr>
            <w:r>
              <w:rPr>
                <w:rFonts w:ascii="Arial" w:cs="Arial" w:eastAsia="Arial" w:hAnsi="Arial"/>
                <w:sz w:val="16"/>
                <w:szCs w:val="16"/>
                <w:b w:val="1"/>
                <w:bCs w:val="1"/>
                <w:color w:val="auto"/>
              </w:rPr>
              <w:t>2018</w:t>
            </w: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78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Recognized actuarial loss</w:t>
            </w:r>
          </w:p>
        </w:tc>
        <w:tc>
          <w:tcPr>
            <w:tcW w:w="78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6.9</w:t>
            </w:r>
          </w:p>
        </w:tc>
      </w:tr>
      <w:tr>
        <w:trPr>
          <w:trHeight w:val="27"/>
        </w:trPr>
        <w:tc>
          <w:tcPr>
            <w:tcW w:w="59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78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6.5</w:t>
            </w:r>
          </w:p>
        </w:tc>
      </w:tr>
      <w:tr>
        <w:trPr>
          <w:trHeight w:val="20"/>
        </w:trPr>
        <w:tc>
          <w:tcPr>
            <w:tcW w:w="5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$0.4 million increase in net periodic benefit cost for U.S. pension plans.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2019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980" w:type="dxa"/>
            <w:vAlign w:val="bottom"/>
            <w:gridSpan w:val="6"/>
          </w:tcPr>
          <w:p>
            <w:pPr>
              <w:ind w:left="40"/>
              <w:spacing w:after="0"/>
              <w:rPr>
                <w:sz w:val="20"/>
                <w:szCs w:val="20"/>
                <w:color w:val="auto"/>
              </w:rPr>
            </w:pPr>
            <w:r>
              <w:rPr>
                <w:rFonts w:ascii="Arial" w:cs="Arial" w:eastAsia="Arial" w:hAnsi="Arial"/>
                <w:sz w:val="16"/>
                <w:szCs w:val="16"/>
                <w:b w:val="1"/>
                <w:bCs w:val="1"/>
                <w:color w:val="auto"/>
                <w:w w:val="96"/>
              </w:rPr>
              <w:t>For the Three Months Ended September</w:t>
            </w:r>
          </w:p>
        </w:tc>
        <w:tc>
          <w:tcPr>
            <w:tcW w:w="240" w:type="dxa"/>
            <w:vAlign w:val="bottom"/>
          </w:tcPr>
          <w:p>
            <w:pPr>
              <w:spacing w:after="0"/>
              <w:rPr>
                <w:sz w:val="17"/>
                <w:szCs w:val="17"/>
                <w:color w:val="auto"/>
              </w:rPr>
            </w:pPr>
          </w:p>
        </w:tc>
        <w:tc>
          <w:tcPr>
            <w:tcW w:w="2380" w:type="dxa"/>
            <w:vAlign w:val="bottom"/>
            <w:gridSpan w:val="4"/>
          </w:tcPr>
          <w:p>
            <w:pPr>
              <w:ind w:left="12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5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30,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580"/>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820" w:type="dxa"/>
            <w:vAlign w:val="bottom"/>
          </w:tcPr>
          <w:p>
            <w:pPr>
              <w:spacing w:after="0"/>
              <w:rPr>
                <w:sz w:val="20"/>
                <w:szCs w:val="20"/>
                <w:color w:val="auto"/>
              </w:rPr>
            </w:pPr>
          </w:p>
        </w:tc>
        <w:tc>
          <w:tcPr>
            <w:tcW w:w="1040" w:type="dxa"/>
            <w:vAlign w:val="bottom"/>
          </w:tcPr>
          <w:p>
            <w:pPr>
              <w:jc w:val="right"/>
              <w:ind w:right="36"/>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4"/>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8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p>
        </w:tc>
        <w:tc>
          <w:tcPr>
            <w:tcW w:w="1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All expense was recorded in our Corporate and Other business segment.</w:t>
      </w:r>
    </w:p>
    <w:p>
      <w:pPr>
        <w:spacing w:after="0" w:line="14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Our Board of Directors has authorized a total of $2.5 billion to repurchase shares of our common stock (collectively referred to as the "Share Repurchase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Plans"), including a $500 million share repurchase authorization in March 2018.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September 30, 2019, $46 million of shares may be repurchased under the Share Repurchase Plans.</w:t>
      </w:r>
    </w:p>
    <w:p>
      <w:pPr>
        <w:spacing w:after="0" w:line="19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repurchased 0.4 million shares for $100.0 million during the first quarter of 2019, 0.6 million shares for $150.0 million during the second quarter of 2019 and 0.5 million shares for $150.0 million during the third quarter of 2019, respectively, from open market transactions.</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repurchased 0.1 million shares for $16.9 million during the nine months ended September 30, 2019 from employees who surrendered shares to satisfy minimum tax withholding obligations upon the exercise of long-term incentive awards.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12. Comprehensive Income (Loss):</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2520" w:type="dxa"/>
            <w:vAlign w:val="bottom"/>
            <w:gridSpan w:val="6"/>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7"/>
                <w:szCs w:val="17"/>
                <w:color w:val="auto"/>
              </w:rPr>
            </w:pPr>
          </w:p>
        </w:tc>
        <w:tc>
          <w:tcPr>
            <w:tcW w:w="2200" w:type="dxa"/>
            <w:vAlign w:val="bottom"/>
            <w:gridSpan w:val="4"/>
          </w:tcPr>
          <w:p>
            <w:pPr>
              <w:jc w:val="right"/>
              <w:ind w:right="131"/>
              <w:spacing w:after="0"/>
              <w:rPr>
                <w:sz w:val="20"/>
                <w:szCs w:val="20"/>
                <w:color w:val="auto"/>
              </w:rPr>
            </w:pPr>
            <w:r>
              <w:rPr>
                <w:rFonts w:ascii="Arial" w:cs="Arial" w:eastAsia="Arial" w:hAnsi="Arial"/>
                <w:sz w:val="16"/>
                <w:szCs w:val="16"/>
                <w:b w:val="1"/>
                <w:bCs w:val="1"/>
                <w:color w:val="auto"/>
                <w:w w:val="94"/>
              </w:rPr>
              <w:t>For the Nine Months Ended</w:t>
            </w:r>
          </w:p>
        </w:tc>
        <w:tc>
          <w:tcPr>
            <w:tcW w:w="1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200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Affected Line Item(s) in the Consolidated</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6"/>
                <w:szCs w:val="16"/>
                <w:b w:val="1"/>
                <w:bCs w:val="1"/>
                <w:color w:val="auto"/>
                <w:w w:val="90"/>
              </w:rPr>
              <w:t>Statements of Operations</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 hedges: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Commodity futures contracts/foreign</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exchange forward contracts</w:t>
            </w:r>
          </w:p>
        </w:tc>
        <w:tc>
          <w:tcPr>
            <w:tcW w:w="740" w:type="dxa"/>
            <w:vAlign w:val="bottom"/>
          </w:tcPr>
          <w:p>
            <w:pPr>
              <w:jc w:val="right"/>
              <w:ind w:right="553"/>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(2.5)</w:t>
            </w:r>
          </w:p>
        </w:tc>
        <w:tc>
          <w:tcPr>
            <w:tcW w:w="120" w:type="dxa"/>
            <w:vAlign w:val="bottom"/>
          </w:tcPr>
          <w:p>
            <w:pPr>
              <w:spacing w:after="0"/>
              <w:rPr>
                <w:sz w:val="20"/>
                <w:szCs w:val="20"/>
                <w:color w:val="auto"/>
              </w:rPr>
            </w:pPr>
          </w:p>
        </w:tc>
        <w:tc>
          <w:tcPr>
            <w:tcW w:w="720" w:type="dxa"/>
            <w:vAlign w:val="bottom"/>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4060" w:type="dxa"/>
            <w:vAlign w:val="bottom"/>
            <w:gridSpan w:val="3"/>
          </w:tcPr>
          <w:p>
            <w:pPr>
              <w:jc w:val="right"/>
              <w:ind w:right="1613"/>
              <w:spacing w:after="0"/>
              <w:rPr>
                <w:sz w:val="20"/>
                <w:szCs w:val="20"/>
                <w:color w:val="auto"/>
              </w:rPr>
            </w:pPr>
            <w:r>
              <w:rPr>
                <w:rFonts w:ascii="Arial" w:cs="Arial" w:eastAsia="Arial" w:hAnsi="Arial"/>
                <w:sz w:val="18"/>
                <w:szCs w:val="18"/>
                <w:color w:val="auto"/>
              </w:rPr>
              <w:t>7.3   Cost of goods sold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60" w:type="dxa"/>
            <w:vAlign w:val="bottom"/>
            <w:tcBorders>
              <w:bottom w:val="single" w:sz="8" w:color="CCEEFF"/>
            </w:tcBorders>
            <w:gridSpan w:val="3"/>
            <w:shd w:val="clear" w:color="auto" w:fill="CCEEFF"/>
          </w:tcPr>
          <w:p>
            <w:pPr>
              <w:jc w:val="right"/>
              <w:ind w:right="1033"/>
              <w:spacing w:after="0"/>
              <w:rPr>
                <w:sz w:val="20"/>
                <w:szCs w:val="20"/>
                <w:color w:val="auto"/>
              </w:rPr>
            </w:pPr>
            <w:r>
              <w:rPr>
                <w:rFonts w:ascii="Arial" w:cs="Arial" w:eastAsia="Arial" w:hAnsi="Arial"/>
                <w:sz w:val="18"/>
                <w:szCs w:val="18"/>
                <w:color w:val="auto"/>
              </w:rPr>
              <w:t>(1.7)  Provision for income taxes</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740" w:type="dxa"/>
            <w:vAlign w:val="bottom"/>
            <w:tcBorders>
              <w:top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(2.0)</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Cost of goods sold; Selling, general and</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Pension and post-retirement benefit costs</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(1.5)</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740" w:type="dxa"/>
            <w:vAlign w:val="bottom"/>
          </w:tcPr>
          <w:p>
            <w:pPr>
              <w:spacing w:after="0"/>
              <w:rPr>
                <w:sz w:val="21"/>
                <w:szCs w:val="21"/>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Pension settlement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4060" w:type="dxa"/>
            <w:vAlign w:val="bottom"/>
            <w:tcBorders>
              <w:bottom w:val="single" w:sz="8" w:color="CCEEFF"/>
            </w:tcBorders>
            <w:gridSpan w:val="3"/>
            <w:shd w:val="clear" w:color="auto" w:fill="CCEEFF"/>
          </w:tcPr>
          <w:p>
            <w:pPr>
              <w:jc w:val="right"/>
              <w:ind w:right="1033"/>
              <w:spacing w:after="0"/>
              <w:rPr>
                <w:sz w:val="20"/>
                <w:szCs w:val="20"/>
                <w:color w:val="auto"/>
              </w:rPr>
            </w:pPr>
            <w:r>
              <w:rPr>
                <w:rFonts w:ascii="Arial" w:cs="Arial" w:eastAsia="Arial" w:hAnsi="Arial"/>
                <w:sz w:val="18"/>
                <w:szCs w:val="18"/>
                <w:color w:val="auto"/>
              </w:rPr>
              <w:t>1.7   Provision for income taxes</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740" w:type="dxa"/>
            <w:vAlign w:val="bottom"/>
            <w:tcBorders>
              <w:top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33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adjustments on sale of</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Loss (gain), net on sale of businesses</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businesses</w:t>
            </w:r>
          </w:p>
        </w:tc>
        <w:tc>
          <w:tcPr>
            <w:tcW w:w="74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and related property</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740" w:type="dxa"/>
            <w:vAlign w:val="bottom"/>
            <w:tcBorders>
              <w:top w:val="single" w:sz="8" w:color="auto"/>
            </w:tcBorders>
          </w:tcPr>
          <w:p>
            <w:pPr>
              <w:jc w:val="right"/>
              <w:ind w:right="553"/>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Total reclassifications from AOCL</w:t>
            </w:r>
          </w:p>
        </w:tc>
        <w:tc>
          <w:tcPr>
            <w:tcW w:w="740" w:type="dxa"/>
            <w:vAlign w:val="bottom"/>
            <w:tcBorders>
              <w:bottom w:val="single" w:sz="8" w:color="auto"/>
            </w:tcBorders>
          </w:tcPr>
          <w:p>
            <w:pPr>
              <w:jc w:val="right"/>
              <w:ind w:right="553"/>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(3.1)</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ind w:right="51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provides information on changes in AOCL, by component (net of tax), for the nine months ended September 30, 2019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Defined Benefit</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 on</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Pension Plan</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Translation</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5620" w:type="dxa"/>
            <w:vAlign w:val="bottom"/>
          </w:tcPr>
          <w:p>
            <w:pPr>
              <w:spacing w:after="0"/>
              <w:rPr>
                <w:sz w:val="18"/>
                <w:szCs w:val="18"/>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Cash Flow Hedges</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Items</w:t>
            </w: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80" w:type="dxa"/>
            <w:vAlign w:val="bottom"/>
          </w:tcPr>
          <w:p>
            <w:pPr>
              <w:spacing w:after="0"/>
              <w:rPr>
                <w:sz w:val="18"/>
                <w:szCs w:val="18"/>
                <w:color w:val="auto"/>
              </w:rPr>
            </w:pPr>
          </w:p>
        </w:tc>
        <w:tc>
          <w:tcPr>
            <w:tcW w:w="1180" w:type="dxa"/>
            <w:vAlign w:val="bottom"/>
          </w:tcPr>
          <w:p>
            <w:pPr>
              <w:jc w:val="right"/>
              <w:ind w:right="171"/>
              <w:spacing w:after="0"/>
              <w:rPr>
                <w:sz w:val="20"/>
                <w:szCs w:val="20"/>
                <w:color w:val="auto"/>
              </w:rPr>
            </w:pPr>
            <w:r>
              <w:rPr>
                <w:rFonts w:ascii="Arial" w:cs="Arial" w:eastAsia="Arial" w:hAnsi="Arial"/>
                <w:sz w:val="16"/>
                <w:szCs w:val="16"/>
                <w:b w:val="1"/>
                <w:bCs w:val="1"/>
                <w:color w:val="auto"/>
              </w:rPr>
              <w:t>Total AOCL</w:t>
            </w:r>
          </w:p>
        </w:tc>
      </w:tr>
      <w:tr>
        <w:trPr>
          <w:trHeight w:val="33"/>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w:t>
            </w:r>
          </w:p>
        </w:tc>
        <w:tc>
          <w:tcPr>
            <w:tcW w:w="5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w:t>
            </w:r>
          </w:p>
        </w:tc>
      </w:tr>
      <w:tr>
        <w:trPr>
          <w:trHeight w:val="27"/>
        </w:trPr>
        <w:tc>
          <w:tcPr>
            <w:tcW w:w="5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5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5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w:t>
            </w:r>
          </w:p>
        </w:tc>
      </w:tr>
      <w:tr>
        <w:trPr>
          <w:trHeight w:val="27"/>
        </w:trPr>
        <w:tc>
          <w:tcPr>
            <w:tcW w:w="5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Septemer 30, 2019</w:t>
            </w: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(127.2)</w:t>
            </w:r>
          </w:p>
        </w:tc>
      </w:tr>
      <w:tr>
        <w:trPr>
          <w:trHeight w:val="20"/>
        </w:trPr>
        <w:tc>
          <w:tcPr>
            <w:tcW w:w="5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21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accelerated depreciation for impaired assets and other related activities. The timing of associated cash payments is dependent upon the type of restructuring charge and can extend over a multi-year period. Restructuring charges are not included in our calculation of segment profit (loss), as more fully explained in Note 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2019</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third quarter of 2019, the Commercial Heating &amp; Cooling and Corporate segments incurred restructuring charges primarily related to activities to re-align resources and its product portfolio. Information regarding the restructuring charges for all ongoing activities is presented in the following table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Severance and related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4"/>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4"/>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36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6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5.1</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Divestiture:</w:t>
      </w:r>
    </w:p>
    <w:p>
      <w:pPr>
        <w:spacing w:after="0" w:line="225" w:lineRule="exact"/>
        <w:rPr>
          <w:sz w:val="20"/>
          <w:szCs w:val="20"/>
          <w:color w:val="auto"/>
        </w:rPr>
      </w:pPr>
    </w:p>
    <w:p>
      <w:pPr>
        <w:jc w:val="both"/>
        <w:ind w:right="180" w:firstLine="243"/>
        <w:spacing w:after="0" w:line="264" w:lineRule="auto"/>
        <w:rPr>
          <w:sz w:val="20"/>
          <w:szCs w:val="20"/>
          <w:color w:val="auto"/>
        </w:rPr>
      </w:pPr>
      <w:r>
        <w:rPr>
          <w:rFonts w:ascii="Arial" w:cs="Arial" w:eastAsia="Arial" w:hAnsi="Arial"/>
          <w:sz w:val="18"/>
          <w:szCs w:val="18"/>
          <w:color w:val="auto"/>
        </w:rPr>
        <w:t>During the first quarter of 2019, we obtained Board of Directors' approval and signed an agreement with EPTA S.p.A., a private Italian company, for the sale of our Kysor Warren business. The sale was completed on March 29, 2019. The following table summarizes the net loss recognized in connection with this divestiture:</w:t>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Pr>
          <w:p>
            <w:pPr>
              <w:jc w:val="right"/>
              <w:ind w:right="73"/>
              <w:spacing w:after="0"/>
              <w:rPr>
                <w:sz w:val="20"/>
                <w:szCs w:val="20"/>
                <w:color w:val="auto"/>
              </w:rPr>
            </w:pPr>
            <w:r>
              <w:rPr>
                <w:rFonts w:ascii="Arial" w:cs="Arial" w:eastAsia="Arial" w:hAnsi="Arial"/>
                <w:sz w:val="16"/>
                <w:szCs w:val="16"/>
                <w:b w:val="1"/>
                <w:bCs w:val="1"/>
                <w:color w:val="auto"/>
                <w:w w:val="93"/>
              </w:rPr>
              <w:t>For the Nine Months Ended</w:t>
            </w:r>
          </w:p>
        </w:tc>
        <w:tc>
          <w:tcPr>
            <w:tcW w:w="0" w:type="dxa"/>
            <w:vAlign w:val="bottom"/>
          </w:tcPr>
          <w:p>
            <w:pPr>
              <w:spacing w:after="0"/>
              <w:rPr>
                <w:sz w:val="1"/>
                <w:szCs w:val="1"/>
                <w:color w:val="auto"/>
              </w:rPr>
            </w:pP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140" w:type="dxa"/>
            <w:vAlign w:val="bottom"/>
          </w:tcPr>
          <w:p>
            <w:pPr>
              <w:spacing w:after="0"/>
              <w:rPr>
                <w:sz w:val="18"/>
                <w:szCs w:val="18"/>
                <w:color w:val="auto"/>
              </w:rPr>
            </w:pPr>
          </w:p>
        </w:tc>
        <w:tc>
          <w:tcPr>
            <w:tcW w:w="2120" w:type="dxa"/>
            <w:vAlign w:val="bottom"/>
          </w:tcPr>
          <w:p>
            <w:pPr>
              <w:jc w:val="right"/>
              <w:ind w:right="373"/>
              <w:spacing w:after="0"/>
              <w:rPr>
                <w:sz w:val="20"/>
                <w:szCs w:val="20"/>
                <w:color w:val="auto"/>
              </w:rPr>
            </w:pPr>
            <w:r>
              <w:rPr>
                <w:rFonts w:ascii="Arial" w:cs="Arial" w:eastAsia="Arial" w:hAnsi="Arial"/>
                <w:sz w:val="16"/>
                <w:szCs w:val="16"/>
                <w:b w:val="1"/>
                <w:bCs w:val="1"/>
                <w:color w:val="auto"/>
              </w:rPr>
              <w:t>September 30, 2019</w:t>
            </w:r>
          </w:p>
        </w:tc>
        <w:tc>
          <w:tcPr>
            <w:tcW w:w="0" w:type="dxa"/>
            <w:vAlign w:val="bottom"/>
          </w:tcPr>
          <w:p>
            <w:pPr>
              <w:spacing w:after="0"/>
              <w:rPr>
                <w:sz w:val="1"/>
                <w:szCs w:val="1"/>
                <w:color w:val="auto"/>
              </w:rPr>
            </w:pPr>
          </w:p>
        </w:tc>
      </w:tr>
      <w:tr>
        <w:trPr>
          <w:trHeight w:val="33"/>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received from the buyer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Net assets sold</w:t>
            </w:r>
          </w:p>
        </w:tc>
        <w:tc>
          <w:tcPr>
            <w:tcW w:w="1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AOCI reclassification adjustments, primarily 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Direct costs to sell</w:t>
            </w:r>
          </w:p>
        </w:tc>
        <w:tc>
          <w:tcPr>
            <w:tcW w:w="14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8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Loss on sale of business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0"/>
        </w:trPr>
        <w:tc>
          <w:tcPr>
            <w:tcW w:w="8500" w:type="dxa"/>
            <w:vAlign w:val="bottom"/>
            <w:vMerge w:val="restart"/>
          </w:tcPr>
          <w:p>
            <w:pPr>
              <w:ind w:left="5280"/>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2018 Divestitures: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New Zealand and Asia Divestiture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2018, we obtained Board of Directors' approval and signed an agreement with Beijer Ref AB, a Stockholm Stock Exchange-listed company, for the sale of our Australia, New Zealand and Asia business, except for the Milperra property that was sold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4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Pr>
          <w:p>
            <w:pPr>
              <w:spacing w:after="0"/>
              <w:rPr>
                <w:sz w:val="18"/>
                <w:szCs w:val="18"/>
                <w:color w:val="auto"/>
              </w:rPr>
            </w:pPr>
          </w:p>
        </w:tc>
        <w:tc>
          <w:tcPr>
            <w:tcW w:w="1780" w:type="dxa"/>
            <w:vAlign w:val="bottom"/>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33"/>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w:t>
            </w:r>
          </w:p>
        </w:tc>
      </w:tr>
      <w:tr>
        <w:trPr>
          <w:trHeight w:val="257"/>
        </w:trPr>
        <w:tc>
          <w:tcPr>
            <w:tcW w:w="8500" w:type="dxa"/>
            <w:vAlign w:val="bottom"/>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(1)</w:t>
            </w:r>
          </w:p>
        </w:tc>
        <w:tc>
          <w:tcPr>
            <w:tcW w:w="4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(13.3)</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firstLine="494"/>
        <w:spacing w:after="0" w:line="252" w:lineRule="auto"/>
        <w:tabs>
          <w:tab w:leader="none" w:pos="678"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New Zealand and Asia business.</w:t>
      </w:r>
    </w:p>
    <w:p>
      <w:pPr>
        <w:spacing w:after="0" w:line="18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 America Divestiture</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During the second quarter of 2018, we obtained Board of Directors'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For the Year Ended December</w:t>
            </w:r>
          </w:p>
        </w:tc>
      </w:tr>
      <w:tr>
        <w:trPr>
          <w:trHeight w:val="210"/>
        </w:trPr>
        <w:tc>
          <w:tcPr>
            <w:tcW w:w="85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480" w:type="dxa"/>
            <w:vAlign w:val="bottom"/>
          </w:tcPr>
          <w:p>
            <w:pPr>
              <w:spacing w:after="0"/>
              <w:rPr>
                <w:sz w:val="18"/>
                <w:szCs w:val="18"/>
                <w:color w:val="auto"/>
              </w:rPr>
            </w:pPr>
          </w:p>
        </w:tc>
        <w:tc>
          <w:tcPr>
            <w:tcW w:w="1780" w:type="dxa"/>
            <w:vAlign w:val="bottom"/>
          </w:tcPr>
          <w:p>
            <w:pPr>
              <w:jc w:val="right"/>
              <w:ind w:right="759"/>
              <w:spacing w:after="0"/>
              <w:rPr>
                <w:sz w:val="20"/>
                <w:szCs w:val="20"/>
                <w:color w:val="auto"/>
              </w:rPr>
            </w:pPr>
            <w:r>
              <w:rPr>
                <w:rFonts w:ascii="Arial" w:cs="Arial" w:eastAsia="Arial" w:hAnsi="Arial"/>
                <w:sz w:val="16"/>
                <w:szCs w:val="16"/>
                <w:b w:val="1"/>
                <w:bCs w:val="1"/>
                <w:color w:val="auto"/>
              </w:rPr>
              <w:t>31, 2018</w:t>
            </w:r>
          </w:p>
        </w:tc>
      </w:tr>
      <w:tr>
        <w:trPr>
          <w:trHeight w:val="33"/>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received from the buyer</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57"/>
        </w:trPr>
        <w:tc>
          <w:tcPr>
            <w:tcW w:w="8500" w:type="dxa"/>
            <w:vAlign w:val="bottom"/>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(2)</w:t>
            </w:r>
          </w:p>
        </w:tc>
        <w:tc>
          <w:tcPr>
            <w:tcW w:w="48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23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4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Direct costs to sell</w:t>
            </w:r>
          </w:p>
        </w:tc>
        <w:tc>
          <w:tcPr>
            <w:tcW w:w="4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(37.5)</w:t>
            </w:r>
          </w:p>
        </w:tc>
      </w:tr>
      <w:tr>
        <w:trPr>
          <w:trHeight w:val="20"/>
        </w:trPr>
        <w:tc>
          <w:tcPr>
            <w:tcW w:w="8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firstLine="494"/>
        <w:spacing w:after="0" w:line="252" w:lineRule="auto"/>
        <w:tabs>
          <w:tab w:leader="none" w:pos="678"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Includes $1.2 million of net assets that were written down during the quarter ended June 30, 2018 based on the expected proceeds from the sale, net of selling costs for the sale for our South America business.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Loss (gain), net on sale of businesses and related property in our Consolidated Statements of Operations for year ended December 31, 2018 of $27.0 million is comprised of the $13.3 million loss on the sale of our Australia, New Zealand and Asia business, the $23.8 million gain on the sale of our Milperra property, and the $37.5 million loss on the sale of our South America business.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285.1</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6"/>
              </w:rPr>
              <w:t>Add: Potential effect of dilutive securities attributable to stock-based payments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r>
      <w:tr>
        <w:trPr>
          <w:trHeight w:val="284"/>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74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For the Three Months Ended</w:t>
            </w:r>
          </w:p>
        </w:tc>
        <w:tc>
          <w:tcPr>
            <w:tcW w:w="240" w:type="dxa"/>
            <w:vAlign w:val="bottom"/>
          </w:tcPr>
          <w:p>
            <w:pPr>
              <w:spacing w:after="0"/>
              <w:rPr>
                <w:sz w:val="17"/>
                <w:szCs w:val="17"/>
                <w:color w:val="auto"/>
              </w:rPr>
            </w:pPr>
          </w:p>
        </w:tc>
        <w:tc>
          <w:tcPr>
            <w:tcW w:w="238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4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276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3"/>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3"/>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4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19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Price per share</w:t>
            </w:r>
          </w:p>
        </w:tc>
        <w:tc>
          <w:tcPr>
            <w:tcW w:w="276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1020" w:type="dxa"/>
            <w:vAlign w:val="bottom"/>
            <w:gridSpan w:val="3"/>
          </w:tcPr>
          <w:p>
            <w:pPr>
              <w:ind w:left="16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205.53</w:t>
            </w:r>
          </w:p>
        </w:tc>
      </w:tr>
      <w:tr>
        <w:trPr>
          <w:trHeight w:val="702"/>
        </w:trPr>
        <w:tc>
          <w:tcPr>
            <w:tcW w:w="4120" w:type="dxa"/>
            <w:vAlign w:val="bottom"/>
          </w:tcPr>
          <w:p>
            <w:pPr>
              <w:spacing w:after="0"/>
              <w:rPr>
                <w:sz w:val="24"/>
                <w:szCs w:val="24"/>
                <w:color w:val="auto"/>
              </w:rPr>
            </w:pPr>
          </w:p>
        </w:tc>
        <w:tc>
          <w:tcPr>
            <w:tcW w:w="1940" w:type="dxa"/>
            <w:vAlign w:val="bottom"/>
          </w:tcPr>
          <w:p>
            <w:pPr>
              <w:jc w:val="right"/>
              <w:ind w:right="173"/>
              <w:spacing w:after="0"/>
              <w:rPr>
                <w:sz w:val="20"/>
                <w:szCs w:val="20"/>
                <w:color w:val="auto"/>
              </w:rPr>
            </w:pPr>
            <w:r>
              <w:rPr>
                <w:rFonts w:ascii="Arial" w:cs="Arial" w:eastAsia="Arial" w:hAnsi="Arial"/>
                <w:sz w:val="18"/>
                <w:szCs w:val="18"/>
                <w:color w:val="auto"/>
              </w:rPr>
              <w:t>24</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color w:val="auto"/>
                <w:vertAlign w:val="superscript"/>
              </w:rPr>
              <w:t>(1)</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Asia Pacific</w:t>
            </w:r>
            <w:r>
              <w:rPr>
                <w:rFonts w:ascii="Arial" w:cs="Arial" w:eastAsia="Arial" w:hAnsi="Arial"/>
                <w:sz w:val="25"/>
                <w:szCs w:val="25"/>
                <w:color w:val="auto"/>
                <w:vertAlign w:val="superscript"/>
              </w:rPr>
              <w:t>(2)</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South America</w:t>
            </w:r>
            <w:r>
              <w:rPr>
                <w:rFonts w:ascii="Arial" w:cs="Arial" w:eastAsia="Arial" w:hAnsi="Arial"/>
                <w:sz w:val="25"/>
                <w:szCs w:val="25"/>
                <w:color w:val="auto"/>
                <w:vertAlign w:val="superscript"/>
              </w:rPr>
              <w:t>(2)</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7"/>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2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Effective January 1, 2019, we realigned our segment structure. We shifted financial reporting of the European Commercial HVAC business from our Commercial Heating &amp; Cooling segment to our Refrigeration segment as we manage both our commercial HVAC and refrigeration operations in Europe together. We have revised our historical segment results to present them on a comparable basis.</w:t>
      </w:r>
    </w:p>
    <w:p>
      <w:pPr>
        <w:spacing w:after="0" w:line="204" w:lineRule="exact"/>
        <w:rPr>
          <w:sz w:val="20"/>
          <w:szCs w:val="20"/>
          <w:color w:val="auto"/>
        </w:rPr>
      </w:pPr>
    </w:p>
    <w:p>
      <w:pPr>
        <w:jc w:val="both"/>
        <w:ind w:firstLine="432"/>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Our businesses in the Asia Pacific and South America area were sold in the second and third quarters of 2018, respectively. Refer to Note 14 for details regarding the divestiture of these businesses.</w:t>
      </w:r>
    </w:p>
    <w:p>
      <w:pPr>
        <w:spacing w:after="0" w:line="2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80" w:type="dxa"/>
            <w:vAlign w:val="bottom"/>
            <w:gridSpan w:val="4"/>
          </w:tcPr>
          <w:p>
            <w:pPr>
              <w:jc w:val="right"/>
              <w:ind w:right="230"/>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0"/>
              <w:spacing w:after="0"/>
              <w:rPr>
                <w:sz w:val="20"/>
                <w:szCs w:val="20"/>
                <w:color w:val="auto"/>
              </w:rPr>
            </w:pPr>
            <w:r>
              <w:rPr>
                <w:rFonts w:ascii="Arial" w:cs="Arial" w:eastAsia="Arial" w:hAnsi="Arial"/>
                <w:sz w:val="16"/>
                <w:szCs w:val="16"/>
                <w:b w:val="1"/>
                <w:bCs w:val="1"/>
                <w:color w:val="auto"/>
                <w:w w:val="84"/>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0"/>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1,792.2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1,764.4</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607.9</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1,032.9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2,922.2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3,040.4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366.6</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317.9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475.6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Special inventory write down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product quality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(gain), net on sale of businesses and related property</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25.8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from insurance recoveries, net of losses incurred</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Prior quarter partial advance of insurance recoveries related to lost profits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Items in losses (gains) and other expenses, net that are excluded from segment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606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465.3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393.3</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00" w:right="440" w:hanging="249"/>
        <w:spacing w:after="0" w:line="245" w:lineRule="auto"/>
        <w:tabs>
          <w:tab w:leader="none" w:pos="435"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 The following items in Losses (gains) and other expenses, net:</w:t>
      </w: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product quality adjustment,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(gain) on sale of businesses and related property,</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Prior quarter partial advance of insurance recoveries related to lost profits,</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(gain) from insurance recoveries, net of losses incurred;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As of September 30, 2019</w:t>
            </w:r>
          </w:p>
        </w:tc>
        <w:tc>
          <w:tcPr>
            <w:tcW w:w="188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3"/>
              </w:rPr>
              <w:t>As of December 31, 2018</w:t>
            </w:r>
          </w:p>
        </w:tc>
      </w:tr>
      <w:tr>
        <w:trPr>
          <w:trHeight w:val="33"/>
        </w:trPr>
        <w:tc>
          <w:tcPr>
            <w:tcW w:w="7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Residential Heating &amp; Cooling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1,165.3</w:t>
            </w:r>
          </w:p>
        </w:tc>
        <w:tc>
          <w:tcPr>
            <w:tcW w:w="120" w:type="dxa"/>
            <w:vAlign w:val="bottom"/>
          </w:tcPr>
          <w:p>
            <w:pPr>
              <w:spacing w:after="0"/>
              <w:rPr>
                <w:sz w:val="21"/>
                <w:szCs w:val="21"/>
                <w:color w:val="auto"/>
              </w:rPr>
            </w:pP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837.4</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Heating &amp; Cooling</w:t>
            </w:r>
          </w:p>
        </w:tc>
        <w:tc>
          <w:tcPr>
            <w:tcW w:w="1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349.5</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Refrigeration</w:t>
            </w:r>
          </w:p>
        </w:tc>
        <w:tc>
          <w:tcPr>
            <w:tcW w:w="140" w:type="dxa"/>
            <w:vAlign w:val="bottom"/>
          </w:tcPr>
          <w:p>
            <w:pPr>
              <w:spacing w:after="0"/>
              <w:rPr>
                <w:sz w:val="21"/>
                <w:szCs w:val="21"/>
                <w:color w:val="auto"/>
              </w:rPr>
            </w:pPr>
          </w:p>
        </w:tc>
        <w:tc>
          <w:tcPr>
            <w:tcW w:w="1860" w:type="dxa"/>
            <w:vAlign w:val="bottom"/>
          </w:tcPr>
          <w:p>
            <w:pPr>
              <w:jc w:val="right"/>
              <w:ind w:right="11"/>
              <w:spacing w:after="0"/>
              <w:rPr>
                <w:sz w:val="20"/>
                <w:szCs w:val="20"/>
                <w:color w:val="auto"/>
              </w:rPr>
            </w:pPr>
            <w:r>
              <w:rPr>
                <w:rFonts w:ascii="Arial" w:cs="Arial" w:eastAsia="Arial" w:hAnsi="Arial"/>
                <w:sz w:val="18"/>
                <w:szCs w:val="18"/>
                <w:color w:val="auto"/>
              </w:rPr>
              <w:t>415.7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462.9</w:t>
            </w:r>
          </w:p>
        </w:tc>
      </w:tr>
      <w:tr>
        <w:trPr>
          <w:trHeight w:val="27"/>
        </w:trPr>
        <w:tc>
          <w:tcPr>
            <w:tcW w:w="7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167.4</w:t>
            </w:r>
          </w:p>
        </w:tc>
      </w:tr>
      <w:tr>
        <w:trPr>
          <w:trHeight w:val="257"/>
        </w:trPr>
        <w:tc>
          <w:tcPr>
            <w:tcW w:w="706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2,214.8</w:t>
            </w: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1,817.2</w:t>
            </w:r>
          </w:p>
        </w:tc>
      </w:tr>
      <w:tr>
        <w:trPr>
          <w:trHeight w:val="20"/>
        </w:trPr>
        <w:tc>
          <w:tcPr>
            <w:tcW w:w="7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assets in the Corporate and other segment primarily consist of cash, short-term investments, property, plant and equipment and deferred tax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 recorded in the operating segments represent those assets directly associated with those segments.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September 30, 2019 were the same as those used at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2019</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2018</w:t>
            </w:r>
          </w:p>
        </w:tc>
      </w:tr>
      <w:tr>
        <w:trPr>
          <w:trHeight w:val="33"/>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338.4</w:t>
            </w:r>
          </w:p>
        </w:tc>
      </w:tr>
      <w:tr>
        <w:trPr>
          <w:trHeight w:val="27"/>
        </w:trPr>
        <w:tc>
          <w:tcPr>
            <w:tcW w:w="7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senior unsecured notes are unconditionally guaranteed by certain of our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our investments in our subsidiaries using the equity method of accounting. The principal elimination entries eliminate investments in subsidiaries and intercompany balances and transactions. Our condensed consolidating financial statements and our Guarantor Subsidiaries and Non-Guarantor Subsidiaries as of September 30, 2019 and December 31, 2018, and for the three and nine months ended September 30, 2019 and 2018 are shown on the following pages.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2019</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4"/>
                <w:szCs w:val="14"/>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622.2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Right-of-use assets from operating leases</w:t>
            </w:r>
          </w:p>
        </w:tc>
        <w:tc>
          <w:tcPr>
            <w:tcW w:w="300" w:type="dxa"/>
            <w:vAlign w:val="bottom"/>
          </w:tcPr>
          <w:p>
            <w:pPr>
              <w:spacing w:after="0"/>
              <w:rPr>
                <w:sz w:val="21"/>
                <w:szCs w:val="21"/>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vMerge w:val="restart"/>
          </w:tcPr>
          <w:p>
            <w:pPr>
              <w:jc w:val="right"/>
              <w:ind w:right="11"/>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1,651.7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2,714.2</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1,005.7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(2,278.4)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2,214.8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operating lease liabilities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639.2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1,109.9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537.7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2,492.1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1,759.6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773.3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2,714.2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1,005.7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2,214.8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300" w:type="dxa"/>
            <w:vAlign w:val="bottom"/>
          </w:tcPr>
          <w:p>
            <w:pPr>
              <w:spacing w:after="0"/>
              <w:rPr>
                <w:sz w:val="12"/>
                <w:szCs w:val="12"/>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w w:val="99"/>
              </w:rPr>
              <w:t>LIABILITIES AND STOCKHOLDERS’ (DEFICIT) EQUITY</w:t>
            </w: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Income taxes (receivable) payable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724.9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1,966.8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(149.6)</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604.4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2,102.8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1,817.2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ind w:left="260" w:right="2620"/>
        <w:spacing w:after="0" w:line="263"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September 30, 2019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681.2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734.6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117.2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114.4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p>
      <w:pPr>
        <w:jc w:val="center"/>
        <w:ind w:left="260" w:right="2620"/>
        <w:spacing w:after="0" w:line="263"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Nine Months Ended September 30, 2019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1,935.6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2,090.3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(Gains) losses and other expenses, net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Pension settlement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58.1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61.6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298.8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center"/>
        <w:ind w:left="260" w:right="2620"/>
        <w:spacing w:after="0" w:line="263"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September 30, 2018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660.5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6"/>
              </w:rPr>
              <w:t>(Gain) loss, net on sale of businesses and related property</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(Gain) loss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145.2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118.0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119.2</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42.7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jc w:val="center"/>
        <w:ind w:left="260" w:right="2620"/>
        <w:spacing w:after="0" w:line="263"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Nine Months Ended September 30, 2018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6"/>
              </w:rPr>
              <w:t>(Gain) loss, net on sale of businesses and related property</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(Gain) loss from insurance recoveries, net of losses incurred</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393.3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353.3</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271.5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5" w:name="page36"/>
    <w:bookmarkEnd w:id="35"/>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proceeds from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2"/>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from natural disaster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 proceeds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Net proceeds from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2"/>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from natural disaster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Short-term debt proceeds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19. Subsequent Event:</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15, 2019, we entered into an agreement with Pacific Life Insurance Company to purchase a group annuity contract and transfer $75.0 million of our pension plan assets and $77.9 million of related benefit obligations. This transaction requires a remeasurement of the pension plan and we expect to recognize a $38.5 million non-cash pension settlement pre-tax loss in the fourth quarter of 2019 for this remeasurement.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2018,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newly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Marshalltown Tornado</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July 19, 2018, our manufacturing facility in Marshalltown, Iowa was damaged by a tornado. Insurance covers the repair or replacement of our assets that suffered damage or loss, and we are working closely with our insurance carriers and claims adjusters to ascertain the amount of insurance recoveries due to us as a result of the damage and loss we suffered. Our insurance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0"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policies also provide business interruption coverage, including lost profits, and reimbursement for other expenses and costs that have been incurred relating to the damages and losses suffered.</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the third quarter of 2019, we incurred expenses of $3 million related to damages caused by the tornado, which included site clean-up and demolition, factory inefficiencies, freight to move product to other warehouses and sales and marketing promotional costs. We received insurance recoveries of $10 million in the third quarter of 2019 and allocated the first $2 million of these proceeds to cover our expenses and rebuilding costs incurred during the quarter and allocated the remaining $8 million for lost profits. These amounts are included in (Gain) loss from insurance recoveries, net of losses incurred in the Consolidated Statements of Operations.</w:t>
      </w:r>
    </w:p>
    <w:p>
      <w:pPr>
        <w:spacing w:after="0" w:line="18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the year ended December 31, 2019, we expect to receive insurance proceeds of $94 million related to lost profits and $154 million to fund the reconstruction of the facility and as reimbursement for other losses and expenses expected to be incurred. We expect to receive a cumulative total of $121 million in insurance proceeds related to lost profits and a cumulative total of $251 million to fund the reconstruction of the facility and as reimbursement for other losses and expenses expected to be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Results for the third quarter of 2019 were driven by year over year sales and profit growth in our Residential Heating &amp; Cooling and Commercial Heating</w:t>
      </w:r>
    </w:p>
    <w:p>
      <w:pPr>
        <w:spacing w:after="0" w:line="46" w:lineRule="exact"/>
        <w:rPr>
          <w:sz w:val="20"/>
          <w:szCs w:val="20"/>
          <w:color w:val="auto"/>
        </w:rPr>
      </w:pPr>
    </w:p>
    <w:p>
      <w:pPr>
        <w:jc w:val="both"/>
        <w:ind w:firstLine="8"/>
        <w:spacing w:after="0" w:line="295" w:lineRule="auto"/>
        <w:tabs>
          <w:tab w:leader="none" w:pos="185"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Cooling segments. The Residential Heating &amp; Cooling segment saw a 7% increase in net sales primarily on higher volumes and their segment profit was up $14 million, including the impact of insurance proceeds received for lost profits. The Commercial Heating &amp; Cooling segment had a 7% increase in net sales and a $2 million increase in segment profit which were driven by higher volumes and higher price and mix. Sales in our Refrigeration segment decreased by 28% primarily due to the sale of our South America and Kysor Warren businesses in prior quarters, and segment profit declined $5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sales increased $3 million to $1,033 million in the third quarter of 2019. Growth in our Residential Heating &amp; Cooling and Commercial Heating &amp; Cooling segments were offset by a sales decline in our Refrigeration segment due to the sale of our South America and Kysor Warren businesses in prior quarters.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 in the third quarter of 2019 increased $12 million to $157 million due primarily to insurance proceeds for lost profits related to the Marshalltown tornado.</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for the third quarter of 2019 increased $7 million to $115 million.</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$2.94 per share in the third quarter of 2019 compared to $2.65 per share in the third quarter of 2018.</w:t>
      </w:r>
    </w:p>
    <w:p>
      <w:pPr>
        <w:ind w:left="660" w:right="2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nine months ended September 30, 2019, we returned $81 million to shareholders through dividend payments and repurchased $400 million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2019 Compared to Third Quarter of 2018 -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6"/>
          </w:tcPr>
          <w:p>
            <w:pPr>
              <w:ind w:left="180"/>
              <w:spacing w:after="0"/>
              <w:rPr>
                <w:sz w:val="20"/>
                <w:szCs w:val="20"/>
                <w:color w:val="auto"/>
              </w:rPr>
            </w:pPr>
            <w:r>
              <w:rPr>
                <w:rFonts w:ascii="Arial" w:cs="Arial" w:eastAsia="Arial" w:hAnsi="Arial"/>
                <w:sz w:val="16"/>
                <w:szCs w:val="16"/>
                <w:b w:val="1"/>
                <w:bCs w:val="1"/>
                <w:color w:val="auto"/>
              </w:rPr>
              <w:t>For the Three Months Ended September 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vMerge w:val="restart"/>
          </w:tcPr>
          <w:p>
            <w:pPr>
              <w:ind w:left="180"/>
              <w:spacing w:after="0"/>
              <w:rPr>
                <w:sz w:val="20"/>
                <w:szCs w:val="20"/>
                <w:color w:val="auto"/>
              </w:rPr>
            </w:pPr>
            <w:r>
              <w:rPr>
                <w:rFonts w:ascii="Arial" w:cs="Arial" w:eastAsia="Arial" w:hAnsi="Arial"/>
                <w:sz w:val="16"/>
                <w:szCs w:val="16"/>
                <w:b w:val="1"/>
                <w:bCs w:val="1"/>
                <w:color w:val="auto"/>
              </w:rPr>
              <w:t>Dollars (in millions)</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Percent</w:t>
            </w:r>
          </w:p>
        </w:tc>
        <w:tc>
          <w:tcPr>
            <w:tcW w:w="2380" w:type="dxa"/>
            <w:vAlign w:val="bottom"/>
            <w:gridSpan w:val="3"/>
            <w:vMerge w:val="restart"/>
          </w:tcPr>
          <w:p>
            <w:pPr>
              <w:jc w:val="right"/>
              <w:ind w:right="53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5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40" w:type="dxa"/>
            <w:vAlign w:val="bottom"/>
            <w:gridSpan w:val="5"/>
            <w:vMerge w:val="continue"/>
          </w:tcPr>
          <w:p>
            <w:pPr>
              <w:spacing w:after="0"/>
              <w:rPr>
                <w:sz w:val="6"/>
                <w:szCs w:val="6"/>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Change</w:t>
            </w:r>
          </w:p>
        </w:tc>
        <w:tc>
          <w:tcPr>
            <w:tcW w:w="2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2"/>
            <w:vMerge w:val="continue"/>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5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Fav/(Unfav)</w:t>
            </w: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1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1,030.2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734.6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728.3</w:t>
            </w:r>
          </w:p>
        </w:tc>
        <w:tc>
          <w:tcPr>
            <w:tcW w:w="1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360" w:type="dxa"/>
            <w:vAlign w:val="bottom"/>
          </w:tcPr>
          <w:p>
            <w:pPr>
              <w:jc w:val="right"/>
              <w:ind w:right="11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(gain) on sale of businesses and related property</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(Gain) loss from insurance recoveries, net of losses incurred</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rPr>
              <w:t>2,466.7</w:t>
            </w:r>
          </w:p>
        </w:tc>
        <w:tc>
          <w:tcPr>
            <w:tcW w:w="10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1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156.8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8.0 %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14.1 %</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5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Net sales were up $3 million, or flat in percentage terms, in the third quarter of 2019 compared to the third quarter of 2018. Higher sales volume across all of our segments contributed 4% and favorable combined price and mix in our Residential Heating &amp; Cooling and Commercial Heating &amp; Cooing segments contributed 1%. These were partially offset by a 5% decline related to the loss of sales related to our South America and Kysor Warren businesses.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Gross profit margin in the third quarter of 2019 decreased to 28.9% compared to 29.3% in the third quarter of 2018. We saw decreases in profit margin of 150 basis points ("bps") from lower factory efficiency and higher other product costs, and 70 bps from higher freight and distribution costs. Partially offsetting these decreases were positive margin increases of 40 bps from favorable price and mix, 40 bps from sourcing and engineering-led cost reductions, 20 bps from lower commodity costs, 10 bps from favorable product warranty costs, and 70 bps from the divested South America and Kysor Warren businesses which had lower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Selling, general and administrative expenses, or SG&amp;A declined $6 million to $143 million in the third quarter of 2019 compared to $149 million in the third quarter of 2018 primarily due to the sale of our South America and Kysor Warren businesses. As a percentage of net sales, SG&amp;A decreased 60 bps to 13.9% primarily due to a decline in SG&amp;A from our divested business and lower short-term and long-term incentive compensation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the third quarter of 2019 and 2018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33"/>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(gains) on settled future contracts</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gains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(gains) losses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CCEEFF"/>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net change in unrealized losses (gains)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 Refer to Note 14 in the Notes to the Consolidated Financial Statements for more information on the divestiture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Restructuring charges were $6 million in the third quarter of 2019 and primarily related to activities to re-align resources and the product portfolio in our Commercial Heating &amp; Cooling and Corporate segments. For additional information on our restructuring activities, refer to Note 13 in the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1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i w:val="1"/>
          <w:iCs w:val="1"/>
          <w:color w:val="auto"/>
        </w:rPr>
        <w:t>Loss on Sale of Businesses</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recognized a loss of $0.2 million in the third quarter of 2019 related to the sale of our Kysor Warren business. Refer to Note 14 in the Notes to the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$3 million in the third quarter of 2019 increased $1 million compared to the third quarter of 2018 on improved operating performance of the joint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$13 million in the third quarter of 2019 was up from $10 million in the third quarter of 2018 due to an increase in our average net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effective tax rate increased to 20.2% for the third quarter of 2019 compared to 19.3% for the third quarter of 2018 primarily due to the recording of unrecognized tax benefits. We expect our annual effective tax rate to be between 22% and 23%, excluding the impact of excess tax benefits recorded as a reduction of income taxes under ASU No. 2016-09.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2019 Compared to Third Quarter of 2018 -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Residential Heating &amp; Cooling segment's net sales and profit for the third quarter of 2019 and 2018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306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For the Three Months Ended September</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637.6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126.5</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7% in the third quarter of 2019 compared to the third quarter of 2018. Sales volume was higher by 6% and price and mix combined was higher by 1%.</w:t>
      </w:r>
    </w:p>
    <w:p>
      <w:pPr>
        <w:spacing w:after="0" w:line="17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Segment profit in the third quarter of 2019 increased $14 million compared to the third quarter of 2018 due to $16 million of insurance proceeds for lost profits due to the Marshalltown tornado, $9 million of higher sales volume, $3 million of higher combined price and mix, $3 million from lower commodities, $3 million from tariff rebates, and $2 million of sourcing and engineering-led cost reductions. Partially offsetting these increases was $7 million of higher SG&amp;A expense, $6 million from lower factory efficiency, $6 million of higher freight and distribution expense, and $3 million of higher other product costs.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The following table presents our Commercial Heating &amp; Cooling segment's net sales and profit for the third quarter of 2019 and 2018 (dollars in millions):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01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231"/>
        </w:trPr>
        <w:tc>
          <w:tcPr>
            <w:tcW w:w="5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414"/>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412"/>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2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253.3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58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7% in the third quarter of 2019 compared to the third quarter of 2018. Sales volume was higher 4% and price and mix combined was higher by 3%.</w:t>
      </w:r>
    </w:p>
    <w:p>
      <w:pPr>
        <w:spacing w:after="0" w:line="17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Segment profit in the third quarter of 2019 increased $2 million compared to the third quarter of 2018 due to $5 million of higher price and mix combined, $3 million of higher sales volume, $1 million of sourcing and engineering-led cost reductions, and $1 million of higher equity method income. Partially offsetting these increases was $2 million from lower factory efficiency, $2 million of higher SG&amp;A expense, $1 million of higher commodities, $1 million of higher tariffs on Chinese imports, $1 million of higher freight and distribution expense, and $1 million of higher other product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third quarter of 2019 and 2018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6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For the Three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19.8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28% in the third quarter of 2019 compared to the third quarter of 2018. The loss of sales from the divested Kysor Warren and South America businesses contributed 27%, unfavorable foreign currency exchange rates contributed 1% and unfavorable mix contributed 1%, partially offset by 1% higher sales volume.</w:t>
      </w:r>
    </w:p>
    <w:p>
      <w:pPr>
        <w:spacing w:after="0" w:line="181" w:lineRule="exact"/>
        <w:rPr>
          <w:sz w:val="20"/>
          <w:szCs w:val="20"/>
          <w:color w:val="auto"/>
        </w:rPr>
      </w:pPr>
    </w:p>
    <w:p>
      <w:pPr>
        <w:jc w:val="both"/>
        <w:ind w:firstLine="230"/>
        <w:spacing w:after="0" w:line="279" w:lineRule="auto"/>
        <w:rPr>
          <w:sz w:val="20"/>
          <w:szCs w:val="20"/>
          <w:color w:val="auto"/>
        </w:rPr>
      </w:pPr>
      <w:r>
        <w:rPr>
          <w:rFonts w:ascii="Arial" w:cs="Arial" w:eastAsia="Arial" w:hAnsi="Arial"/>
          <w:sz w:val="17"/>
          <w:szCs w:val="17"/>
          <w:color w:val="auto"/>
        </w:rPr>
        <w:t>Segment profit in the third quarter of 2019 decreased $5 million compared to the third quarter of 2018 due to $3 million of lower profit due to the divested Kysor Warren and South America businesses, $2 million from lower factory efficiency, $1 million of higher SG&amp;A, $1 million of higher tariffs on Chinese imports, and $1 million of lower sales of refrigerant allocations in Europe. Partially offsetting these decreases were $1 million of sourcing and engineering-led cost reductions, $1 million of higher sales volume, and $1 million of lower freight and distribution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decreased $10 million in the third quarter of 2019 compared to the third quarter of 2018 primarily due to lower short-term and long-term incentive compensation and higher income from equity method investments.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2019 Compared to Year-to-Date through September 30, 2018 -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7" w:right="2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6"/>
          </w:tcPr>
          <w:p>
            <w:pPr>
              <w:ind w:left="260"/>
              <w:spacing w:after="0"/>
              <w:rPr>
                <w:sz w:val="20"/>
                <w:szCs w:val="20"/>
                <w:color w:val="auto"/>
              </w:rPr>
            </w:pPr>
            <w:r>
              <w:rPr>
                <w:rFonts w:ascii="Arial" w:cs="Arial" w:eastAsia="Arial" w:hAnsi="Arial"/>
                <w:sz w:val="16"/>
                <w:szCs w:val="16"/>
                <w:b w:val="1"/>
                <w:bCs w:val="1"/>
                <w:color w:val="auto"/>
              </w:rPr>
              <w:t>For the Nine Months Ended September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3,040.4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2,090.3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2,153.8</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(gain), net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(Gain) loss from insurance recoveries, net of losses incurred</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28,566.7</w:t>
            </w:r>
          </w:p>
        </w:tc>
        <w:tc>
          <w:tcPr>
            <w:tcW w:w="1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393.3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15.9 %</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12.9 %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4% in the nine months ended September 30, 2019 compared to the nine months ended September 30, 2018 due to a 5% decline related to the sale of our Australia, New Zealand, Asia and South America and Kysor Warren businesses and 1% from unfavorable foreign currency exchange rates, partially offset by 2% from favorable price and mix combined.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Gross profit margins for the nine months ended September 30, 2019 decreased 70 bps to 28.5% compared to the nine months ended September 30, 2018. Our profit margin decreased 50 bps from higher commodity costs, 100 bps from higher freight and distribution costs, 20 bps from tariffs on Chinese imports and 110 bps from other product costs. These were partially offset by 100 bps from favorable price and mix combined, 50 bps from sourcing and engineering-led cost reductions, 10 bps from favorable warranty costs, and 50 bps from the divested Australia, New Zealand, Asia, South America and Kysor Warren businesses which had lower margins.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SG&amp;A was $442 million for the nine months ended September 30, 2019 compared to $466 million for the nine months ended September 30, 2018, and declined primarily due to the sale of our Australia, New Zealand, Asia, South America and Kysor Warren businesses. As a percentage of net sales, SG&amp;A decreased 20 bps to 15.1% from 15.3%.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(gains) and other expenses, net for the nine months ended September 30, 2019 and 2018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84"/>
        </w:trPr>
        <w:tc>
          <w:tcPr>
            <w:tcW w:w="878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940" w:type="dxa"/>
            <w:vAlign w:val="bottom"/>
            <w:tcBorders>
              <w:top w:val="single" w:sz="8" w:color="auto"/>
              <w:bottom w:val="single" w:sz="8" w:color="CCEEFF"/>
            </w:tcBorders>
            <w:shd w:val="clear" w:color="auto" w:fill="CCEEFF"/>
          </w:tcPr>
          <w:p>
            <w:pPr>
              <w:jc w:val="right"/>
              <w:ind w:right="371"/>
              <w:spacing w:after="0"/>
              <w:rPr>
                <w:sz w:val="20"/>
                <w:szCs w:val="20"/>
                <w:color w:val="auto"/>
              </w:rPr>
            </w:pPr>
            <w:r>
              <w:rPr>
                <w:rFonts w:ascii="Arial" w:cs="Arial" w:eastAsia="Arial" w:hAnsi="Arial"/>
                <w:sz w:val="16"/>
                <w:szCs w:val="16"/>
                <w:b w:val="1"/>
                <w:bCs w:val="1"/>
                <w:color w:val="auto"/>
              </w:rPr>
              <w:t>2018</w:t>
            </w:r>
          </w:p>
        </w:tc>
      </w:tr>
      <w:tr>
        <w:trPr>
          <w:trHeight w:val="237"/>
        </w:trPr>
        <w:tc>
          <w:tcPr>
            <w:tcW w:w="8780" w:type="dxa"/>
            <w:vAlign w:val="bottom"/>
          </w:tcPr>
          <w:p>
            <w:pPr>
              <w:ind w:left="20"/>
              <w:spacing w:after="0"/>
              <w:rPr>
                <w:sz w:val="20"/>
                <w:szCs w:val="20"/>
                <w:color w:val="auto"/>
              </w:rPr>
            </w:pPr>
            <w:r>
              <w:rPr>
                <w:rFonts w:ascii="Arial" w:cs="Arial" w:eastAsia="Arial" w:hAnsi="Arial"/>
                <w:sz w:val="18"/>
                <w:szCs w:val="18"/>
                <w:color w:val="auto"/>
              </w:rPr>
              <w:t>Realized losses (gains) on settled future contracts</w:t>
            </w:r>
          </w:p>
        </w:tc>
        <w:tc>
          <w:tcPr>
            <w:tcW w:w="840" w:type="dxa"/>
            <w:vAlign w:val="bottom"/>
            <w:tcBorders>
              <w:top w:val="single" w:sz="8" w:color="auto"/>
            </w:tcBorders>
          </w:tcPr>
          <w:p>
            <w:pPr>
              <w:jc w:val="right"/>
              <w:ind w:right="634"/>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 losses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(Gain) loss on disposal of fixed assets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7"/>
                <w:szCs w:val="17"/>
                <w:color w:val="auto"/>
              </w:rPr>
              <w:t>0.1</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(gains) losses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w w:val="97"/>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840" w:type="dxa"/>
            <w:vAlign w:val="bottom"/>
          </w:tcPr>
          <w:p>
            <w:pPr>
              <w:spacing w:after="0"/>
              <w:rPr>
                <w:sz w:val="21"/>
                <w:szCs w:val="21"/>
                <w:color w:val="auto"/>
              </w:rPr>
            </w:pPr>
          </w:p>
        </w:tc>
        <w:tc>
          <w:tcPr>
            <w:tcW w:w="42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87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(gains) and other expenses, net (pre-tax)</w:t>
            </w:r>
          </w:p>
        </w:tc>
        <w:tc>
          <w:tcPr>
            <w:tcW w:w="840" w:type="dxa"/>
            <w:vAlign w:val="bottom"/>
            <w:tcBorders>
              <w:bottom w:val="single" w:sz="8" w:color="auto"/>
            </w:tcBorders>
            <w:shd w:val="clear" w:color="auto" w:fill="CCEEFF"/>
          </w:tcPr>
          <w:p>
            <w:pPr>
              <w:jc w:val="right"/>
              <w:ind w:right="6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0"/>
        </w:trPr>
        <w:tc>
          <w:tcPr>
            <w:tcW w:w="8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Restructuring charges were $7 million in the nine months ended September 30, 2019 and primarily related to activities to re-align resources and the product portfolio in our Commercial Heating &amp; Cooling and Corporate segments. For additional information on our restructuring activities, refer to Note 13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Income from equity method investments of $11 million for the nine months ended September 30, 2019 was flat compared to the nine months ended September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Settlement</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April 3, 2019, we entered into an agreement with Pacific Life Insurance Company to purchase a group annuity contract and transfer $100.0 million of our pension plan assets and $105.6 million of related pension benefit obligations. For the nine months ended September 30, 2019, we recognized a $60.6 million pension settlement charge in the Statement of Operations and reclassified $5.6 million of pension benefit obligations to AOCL as a result of this transaction. For additional information, refer to Note 9 in the 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Interest expense, net of $37 million in the nine months ended September 30, 2019 increased from $29 million in the nine months ended September 30, 2018 primarily due to an increase in our average net borrowings.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Our effective tax rate declined to 19.5% for the nine months ended September 30, 2019 compared to 21.3% for the nine months ended September 30, 2018 primarily due to the mix of earnings between U.S. and foreign jurisdictions.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Year-to-Date through September 30, 2019 Compared to Year-to-Date through September 30, 2018 -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nine months ended September 30, 2019 and 2018 (dollars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60" w:type="dxa"/>
            <w:vAlign w:val="bottom"/>
            <w:gridSpan w:val="7"/>
          </w:tcPr>
          <w:p>
            <w:pPr>
              <w:ind w:left="40"/>
              <w:spacing w:after="0"/>
              <w:rPr>
                <w:sz w:val="20"/>
                <w:szCs w:val="20"/>
                <w:color w:val="auto"/>
              </w:rPr>
            </w:pPr>
            <w:r>
              <w:rPr>
                <w:rFonts w:ascii="Arial" w:cs="Arial" w:eastAsia="Arial" w:hAnsi="Arial"/>
                <w:sz w:val="16"/>
                <w:szCs w:val="16"/>
                <w:b w:val="1"/>
                <w:bCs w:val="1"/>
                <w:color w:val="auto"/>
                <w:w w:val="94"/>
              </w:rPr>
              <w:t>For the Nine Months Ended September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89"/>
              </w:rPr>
              <w:t>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Borders>
              <w:bottom w:val="single" w:sz="8" w:color="CCEEFF"/>
            </w:tcBorders>
            <w:shd w:val="clear" w:color="auto" w:fill="CCEEFF"/>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1,792.2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1,764.4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366.6</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2% in the nine months ended September 30, 2019 compared to the nine months ended September 30, 2018 due to higher combined price and mix.</w:t>
      </w:r>
    </w:p>
    <w:p>
      <w:pPr>
        <w:spacing w:after="0" w:line="17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Segment profit increased $49 million for the nine months ended September 30, 2019 compared to the nine months ended September 30, 2018 due to $74 million of insurance proceeds for lost profits related to the Marshalltown tornado, $33 million of favorable price and mix, $11 million of sourcing and engineering-led cost reductions, and $1 million of higher equity method income. Partially offsetting these increases is $25 million of higher freight and distribution expenses, $11 million of higher SG&amp;A, $9 million from lower factory efficiency, $8 million of higher commodity costs, $7 million of lower sales volume, $8 million of higher other product costs, $1 million of higher tariffs on imported Chinese components, and $1 million of unfavorable foreign exchange rates.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right="20"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nine months ended September 30, 2019 and 2018 (dollars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spacing w:after="0"/>
              <w:rPr>
                <w:sz w:val="20"/>
                <w:szCs w:val="20"/>
                <w:color w:val="auto"/>
              </w:rPr>
            </w:pPr>
            <w:r>
              <w:rPr>
                <w:rFonts w:ascii="Arial" w:cs="Arial" w:eastAsia="Arial" w:hAnsi="Arial"/>
                <w:sz w:val="16"/>
                <w:szCs w:val="16"/>
                <w:b w:val="1"/>
                <w:bCs w:val="1"/>
                <w:color w:val="auto"/>
                <w:w w:val="98"/>
              </w:rPr>
              <w:t>For the Nine Months Ended September</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gridSpan w:val="3"/>
          </w:tcPr>
          <w:p>
            <w:pPr>
              <w:jc w:val="right"/>
              <w:ind w:right="190"/>
              <w:spacing w:after="0"/>
              <w:rPr>
                <w:sz w:val="20"/>
                <w:szCs w:val="20"/>
                <w:color w:val="auto"/>
              </w:rPr>
            </w:pPr>
            <w:r>
              <w:rPr>
                <w:rFonts w:ascii="Arial" w:cs="Arial" w:eastAsia="Arial" w:hAnsi="Arial"/>
                <w:sz w:val="16"/>
                <w:szCs w:val="16"/>
                <w:b w:val="1"/>
                <w:bCs w:val="1"/>
                <w:color w:val="auto"/>
                <w:w w:val="80"/>
              </w:rPr>
              <w:t>30,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5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687.9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3.0 %</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116.0</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2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Net sales increased 3% in the nine months ended September 30, 2019 compared to the nine months ended September 30, 2018 due to 4% higher combined price and mix partially offset by 1% lower sales volume.</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Segment profit decreased $2 million in the nine months ended September 30, 2019 compared to the nine months ended September 30, 2018 due to $7 million of higher other product costs, $5 million from lower factory efficiency, $5 million of higher commodity costs, $4 million of higher freight and distribution expense, $4 million of higher SG&amp;A expense, $3 million of lower sales volume, and $2 million of higher tariffs on Chinese imports. Partially offsetting these decreases was $23 million of higher price and mix combined, $4 million of sourcing and engineering-led cost reductions, and $1 million of higher equity method income.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96"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Refrigeration segment's net sales and profit for the nine months ended September 30, 2019 and 2018 (dollars in millions):</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spacing w:after="0"/>
              <w:rPr>
                <w:sz w:val="20"/>
                <w:szCs w:val="20"/>
                <w:color w:val="auto"/>
              </w:rPr>
            </w:pPr>
            <w:r>
              <w:rPr>
                <w:rFonts w:ascii="Arial" w:cs="Arial" w:eastAsia="Arial" w:hAnsi="Arial"/>
                <w:sz w:val="16"/>
                <w:szCs w:val="16"/>
                <w:b w:val="1"/>
                <w:bCs w:val="1"/>
                <w:color w:val="auto"/>
                <w:w w:val="98"/>
              </w:rPr>
              <w:t>For the Nine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gridSpan w:val="3"/>
          </w:tcPr>
          <w:p>
            <w:pPr>
              <w:jc w:val="right"/>
              <w:ind w:right="17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4"/>
        </w:trPr>
        <w:tc>
          <w:tcPr>
            <w:tcW w:w="5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2"/>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Borders>
              <w:bottom w:val="single" w:sz="8" w:color="CCEEFF"/>
            </w:tcBorders>
            <w:shd w:val="clear" w:color="auto" w:fill="CCEEFF"/>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442.1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607.9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47.3</w:t>
            </w:r>
          </w:p>
        </w:tc>
        <w:tc>
          <w:tcPr>
            <w:tcW w:w="48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27% in the nine months ended September 30, 2019 compared to the nine months ended September 30, 2018. The loss of sales from our divested Australia, New Zealand, Asia, South America and Kysor Warren businesses contributed 27% and unfavorable foreign currency exchange rates contributed 1%, partially offset by 1% favorable combined price and mix.</w:t>
      </w:r>
    </w:p>
    <w:p>
      <w:pPr>
        <w:spacing w:after="0" w:line="18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Segment profit in the nine months ended September 30, 2019 compared to the nine months ended September 30, 2018 decreased $10 million due to $4 million of lower profit due to the divested Australia, New Zealand, Asia, South America and Kysor Warren businesses, $3 million of higher commodity costs, $3 million of lower European refrigerant allocation sales, $2 million from lower factory efficiency, $2 million of higher tariffs on Chinese imports, $2 million of higher other product costs, $1 million of higher SG&amp;A expense, $1 million of higher freight and distribution expense, and $1 million of lower equity method income. Partially offsetting these declines was $5 million of sourcing and engineering-led cost reductions, $3 million of higher combined price and mix, and $1 million of higher sales volume.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decreased $8 million in the nine months ended September 30, 2019 compared to the nine months ended September 30, 2018 due to lower short-term and long-term incentive compensation.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nine months ended September 30, 2019 and 2018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88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CCEEFF"/>
            </w:tcBorders>
            <w:shd w:val="clear" w:color="auto" w:fill="CCEEFF"/>
          </w:tcPr>
          <w:p>
            <w:pPr>
              <w:spacing w:after="0"/>
              <w:rPr>
                <w:sz w:val="24"/>
                <w:szCs w:val="24"/>
                <w:color w:val="auto"/>
              </w:rPr>
            </w:pPr>
          </w:p>
        </w:tc>
        <w:tc>
          <w:tcPr>
            <w:tcW w:w="9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2018</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231.3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(316.6)</w:t>
            </w:r>
          </w:p>
        </w:tc>
      </w:tr>
    </w:tbl>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net cash used in operating activities in the nine months ended September 30, 2019 and 2018 reflects the</w:t>
      </w:r>
      <w:r>
        <w:rPr>
          <w:rFonts w:ascii="Arial" w:cs="Arial" w:eastAsia="Arial" w:hAnsi="Arial"/>
          <w:sz w:val="18"/>
          <w:szCs w:val="18"/>
          <w:i w:val="1"/>
          <w:iCs w:val="1"/>
          <w:color w:val="auto"/>
        </w:rPr>
        <w:t xml:space="preserve"> </w:t>
      </w:r>
      <w:r>
        <w:rPr>
          <w:rFonts w:ascii="Arial" w:cs="Arial" w:eastAsia="Arial" w:hAnsi="Arial"/>
          <w:sz w:val="18"/>
          <w:szCs w:val="18"/>
          <w:color w:val="auto"/>
        </w:rPr>
        <w:t>seasonal increase in working capital requirements. The decrease in cash provided by operating activities in the nine months ended September 30, 2019 compared to the same period in 2018 was primarily due to the timing of working capital payments and the supply disruption in 2018 caused by the tornado at our Marshalltown facility.</w:t>
      </w:r>
    </w:p>
    <w:p>
      <w:pPr>
        <w:spacing w:after="0" w:line="18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i w:val="1"/>
          <w:iCs w:val="1"/>
          <w:color w:val="auto"/>
        </w:rPr>
        <w:t xml:space="preserve">Net Cash Provided by (Used in) Investing Activities - </w:t>
      </w:r>
      <w:r>
        <w:rPr>
          <w:rFonts w:ascii="Arial" w:cs="Arial" w:eastAsia="Arial" w:hAnsi="Arial"/>
          <w:sz w:val="16"/>
          <w:szCs w:val="16"/>
          <w:color w:val="auto"/>
        </w:rPr>
        <w:t>Capital expenditures were $77 million in the nine months ended September 30, 2019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$61 million in the same period of 2018. Capital expenditures in 2019 were primarily related to the reconstruction of the Marshalltown facility as well as equipment and investments in systems and software to support the overall enterprise. Net proceeds of $44 million in the first quarter of 2019 were provided by the sale of our Kysor Warren business. We also received $12 million in insurance proceeds to fund the reconstruction of our Marshalltown facility.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jc w:val="both"/>
        <w:ind w:firstLine="243"/>
        <w:spacing w:after="0" w:line="255" w:lineRule="auto"/>
        <w:rPr>
          <w:sz w:val="20"/>
          <w:szCs w:val="20"/>
          <w:color w:val="auto"/>
        </w:rPr>
      </w:pPr>
      <w:r>
        <w:rPr>
          <w:rFonts w:ascii="Arial" w:cs="Arial" w:eastAsia="Arial" w:hAnsi="Arial"/>
          <w:sz w:val="18"/>
          <w:szCs w:val="18"/>
          <w:i w:val="1"/>
          <w:iCs w:val="1"/>
          <w:color w:val="auto"/>
        </w:rPr>
        <w:t xml:space="preserve">Net Cash Provided by (Used in) Financing Activities - </w:t>
      </w:r>
      <w:r>
        <w:rPr>
          <w:rFonts w:ascii="Arial" w:cs="Arial" w:eastAsia="Arial" w:hAnsi="Arial"/>
          <w:sz w:val="18"/>
          <w:szCs w:val="18"/>
          <w:color w:val="auto"/>
        </w:rPr>
        <w:t>Net cash used in financing activities in the nine months ended September 30, 2019 was $103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compared to $317 million in the same period of 2018. The decrease in cash used in financing activities is largely due to higher net borrowings on our revolving credit facility partially offset by an increase in share repurchases in 2019 compared to 2018. We repurchased $400 million of shares for the nine months ended September 30, 2019 compared to $350 million of shares in the same period of 2018. We also returned $81 million to shareholders through dividend payments in the nine months ended September 30, 2019. For additional information on share repurchases, refer to Note 11 in the Notes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September 30, 2019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c>
          <w:tcPr>
            <w:tcW w:w="0" w:type="dxa"/>
            <w:vAlign w:val="bottom"/>
          </w:tcPr>
          <w:p>
            <w:pPr>
              <w:spacing w:after="0"/>
              <w:rPr>
                <w:sz w:val="1"/>
                <w:szCs w:val="1"/>
                <w:color w:val="auto"/>
              </w:rPr>
            </w:pPr>
          </w:p>
        </w:tc>
      </w:tr>
      <w:tr>
        <w:trPr>
          <w:trHeight w:val="210"/>
        </w:trPr>
        <w:tc>
          <w:tcPr>
            <w:tcW w:w="9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c>
          <w:tcPr>
            <w:tcW w:w="0" w:type="dxa"/>
            <w:vAlign w:val="bottom"/>
          </w:tcPr>
          <w:p>
            <w:pPr>
              <w:spacing w:after="0"/>
              <w:rPr>
                <w:sz w:val="1"/>
                <w:szCs w:val="1"/>
                <w:color w:val="auto"/>
              </w:rPr>
            </w:pPr>
          </w:p>
        </w:tc>
      </w:tr>
      <w:tr>
        <w:trPr>
          <w:trHeight w:val="33"/>
        </w:trPr>
        <w:tc>
          <w:tcPr>
            <w:tcW w:w="93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365.5</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9320" w:type="dxa"/>
            <w:vAlign w:val="bottom"/>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1,056.8</w:t>
            </w:r>
          </w:p>
        </w:tc>
        <w:tc>
          <w:tcPr>
            <w:tcW w:w="0" w:type="dxa"/>
            <w:vAlign w:val="bottom"/>
          </w:tcPr>
          <w:p>
            <w:pPr>
              <w:spacing w:after="0"/>
              <w:rPr>
                <w:sz w:val="1"/>
                <w:szCs w:val="1"/>
                <w:color w:val="auto"/>
              </w:rPr>
            </w:pP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1,451.1</w:t>
            </w:r>
          </w:p>
        </w:tc>
        <w:tc>
          <w:tcPr>
            <w:tcW w:w="0" w:type="dxa"/>
            <w:vAlign w:val="bottom"/>
          </w:tcPr>
          <w:p>
            <w:pPr>
              <w:spacing w:after="0"/>
              <w:rPr>
                <w:sz w:val="1"/>
                <w:szCs w:val="1"/>
                <w:color w:val="auto"/>
              </w:rPr>
            </w:pP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hanging="332"/>
        <w:spacing w:after="0" w:line="226" w:lineRule="auto"/>
        <w:tabs>
          <w:tab w:leader="none" w:pos="218"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$449.5 million after being reduced by the outstanding borrowings and $2.5 million in outstanding standby letters of credit. We also had $29.6 million in outstanding standby letters of credit outside of the domestic credit facility as of September 30, 2019.</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123.6% at September 30, 2019 from 116.8% at December 31, 2018.</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September 30, 2019,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believe our cash and cash equivalents of $46 million, future cash generated from operations and available future borrowings are sufficient to fund operations, planned capital expenditures, future contractual obligations, potential share repurchases and dividends and other needs in the foreseeable future. Included in our cash and cash equivalents of $46 million as of September 30,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2019 was $19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81"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Our expected capital expenditures for 2019 are $100 million, excluding capital expenditures made in conjunction with repair of our Marshalltown facility as those repairs will be covered by insurance. We also continue to increase shareholder value through the $400 million of share repurchases completed in the nine months ended September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2018. Our exposure to market risk has not changed materially since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2019,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In the first quarter of 2019, we implemented new controls as part of our efforts to adopt ASU 2016-02. We implemented new controls related to the adoption process,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2018, which could materially affect our business, financial condition or results of operations. There have been no material changes to our risk factors from those disclosed in our Annual Report on Form 10-K for the year ended December 31, 2018.</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2019,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through July 27</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522,371</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288.25</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520,375</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45.8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July 27 through August 24</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6,849</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260.85</w:t>
            </w:r>
          </w:p>
        </w:tc>
        <w:tc>
          <w:tcPr>
            <w:tcW w:w="220" w:type="dxa"/>
            <w:vAlign w:val="bottom"/>
          </w:tcPr>
          <w:p>
            <w:pPr>
              <w:spacing w:after="0"/>
              <w:rPr>
                <w:sz w:val="21"/>
                <w:szCs w:val="21"/>
                <w:color w:val="auto"/>
              </w:rPr>
            </w:pPr>
          </w:p>
        </w:tc>
        <w:tc>
          <w:tcPr>
            <w:tcW w:w="1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45.8</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24 through September 30</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251.65</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45.8</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529,538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520,375</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hanging="169"/>
        <w:spacing w:after="0" w:line="227" w:lineRule="auto"/>
        <w:tabs>
          <w:tab w:leader="none" w:pos="455"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Includes 9,163 shares of common stock we repurchased in July, August and September of 2019 surrendered to LII to satisfy employee tax-withholding obligations in connection with the exercise of long-term incentive awards.</w:t>
      </w:r>
    </w:p>
    <w:p>
      <w:pPr>
        <w:spacing w:after="0" w:line="40" w:lineRule="exact"/>
        <w:rPr>
          <w:rFonts w:ascii="Arial" w:cs="Arial" w:eastAsia="Arial" w:hAnsi="Arial"/>
          <w:sz w:val="24"/>
          <w:szCs w:val="24"/>
          <w:color w:val="auto"/>
          <w:vertAlign w:val="superscript"/>
        </w:rPr>
      </w:pPr>
    </w:p>
    <w:p>
      <w:pPr>
        <w:jc w:val="both"/>
        <w:ind w:left="420" w:hanging="169"/>
        <w:spacing w:after="0" w:line="226" w:lineRule="auto"/>
        <w:tabs>
          <w:tab w:leader="none" w:pos="463"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After $100.0 million, $150.0 million and $150.0 million share repurchase from stock market transactions during the first, second and third quarters, respectively. The stock repurchase was executed pursuant to a previously announced repurchase plan. See Note 11 in the Notes to the Consolidated Financial Statements for further details.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1"/>
            <w:shd w:val="clear" w:color="auto" w:fill="CCEEFF"/>
          </w:tcPr>
          <w:p>
            <w:pPr>
              <w:spacing w:after="0"/>
              <w:rPr>
                <w:rFonts w:ascii="Arial" w:cs="Arial" w:eastAsia="Arial" w:hAnsi="Arial"/>
                <w:sz w:val="18"/>
                <w:szCs w:val="18"/>
                <w:color w:val="0000FF"/>
                <w:w w:val="97"/>
              </w:rPr>
            </w:pPr>
            <w:hyperlink r:id="rId14">
              <w:r>
                <w:rPr>
                  <w:rFonts w:ascii="Arial" w:cs="Arial" w:eastAsia="Arial" w:hAnsi="Arial"/>
                  <w:sz w:val="18"/>
                  <w:szCs w:val="18"/>
                  <w:color w:val="0000FF"/>
                  <w:w w:val="97"/>
                </w:rPr>
                <w:t>Restated Certificate of Incorporation of Lennox International Inc. (“LII”) (filed as Exhibit 3.1 to LII’s Registration Statement on Form S-1</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9960" w:type="dxa"/>
            <w:vAlign w:val="bottom"/>
            <w:tcBorders>
              <w:top w:val="single" w:sz="8" w:color="0000FF"/>
            </w:tcBorders>
            <w:gridSpan w:val="11"/>
            <w:shd w:val="clear" w:color="auto" w:fill="CCEEFF"/>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(Registration Statement No. 333-75725) filed on April 6, 1999 and incorporated herein by reference).</w:t>
              </w:r>
            </w:hyperlink>
          </w:p>
        </w:tc>
        <w:tc>
          <w:tcPr>
            <w:tcW w:w="500" w:type="dxa"/>
            <w:vAlign w:val="bottom"/>
            <w:tcBorders>
              <w:top w:val="single" w:sz="8" w:color="CCEEFF"/>
            </w:tcBorders>
            <w:gridSpan w:val="10"/>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1"/>
          </w:tcPr>
          <w:p>
            <w:pPr>
              <w:spacing w:after="0" w:line="202"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6"/>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460" w:type="dxa"/>
            <w:vAlign w:val="bottom"/>
            <w:gridSpan w:val="21"/>
            <w:shd w:val="clear" w:color="auto" w:fill="CCEEFF"/>
          </w:tcPr>
          <w:p>
            <w:pPr>
              <w:spacing w:after="0" w:line="202" w:lineRule="exact"/>
              <w:rPr>
                <w:rFonts w:ascii="Arial" w:cs="Arial" w:eastAsia="Arial" w:hAnsi="Arial"/>
                <w:sz w:val="18"/>
                <w:szCs w:val="18"/>
                <w:color w:val="0000FF"/>
                <w:w w:val="95"/>
              </w:rPr>
            </w:pPr>
            <w:hyperlink r:id="rId16">
              <w:r>
                <w:rPr>
                  <w:rFonts w:ascii="Arial" w:cs="Arial" w:eastAsia="Arial" w:hAnsi="Arial"/>
                  <w:sz w:val="18"/>
                  <w:szCs w:val="18"/>
                  <w:color w:val="0000FF"/>
                  <w:w w:val="95"/>
                </w:rPr>
                <w:t>Specimen Stock Certificate for the Common Stock, par value $.01 per share, of LII (filed as Exhibit 4.1 to LII’s Amendment to Registration</w:t>
              </w:r>
            </w:hyperlink>
          </w:p>
        </w:tc>
      </w:tr>
      <w:tr>
        <w:trPr>
          <w:trHeight w:val="244"/>
        </w:trPr>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8480" w:type="dxa"/>
            <w:vAlign w:val="bottom"/>
            <w:tcBorders>
              <w:top w:val="single" w:sz="8" w:color="0000FF"/>
              <w:bottom w:val="single" w:sz="8" w:color="0000FF"/>
            </w:tcBorders>
            <w:gridSpan w:val="8"/>
            <w:shd w:val="clear" w:color="auto" w:fill="CCEEFF"/>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Statement on Form S-1/A (Registration No. 333-75725) filed on June 16, 1999 and incorporated herein by reference).</w:t>
              </w:r>
            </w:hyperlink>
          </w:p>
        </w:tc>
        <w:tc>
          <w:tcPr>
            <w:tcW w:w="1600" w:type="dxa"/>
            <w:vAlign w:val="bottom"/>
            <w:tcBorders>
              <w:top w:val="single" w:sz="8" w:color="0000FF"/>
              <w:bottom w:val="single" w:sz="8" w:color="CCEEFF"/>
            </w:tcBorders>
            <w:gridSpan w:val="5"/>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8"/>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1"/>
          </w:tcPr>
          <w:p>
            <w:pPr>
              <w:spacing w:after="0" w:line="202" w:lineRule="exact"/>
              <w:rPr>
                <w:rFonts w:ascii="Arial" w:cs="Arial" w:eastAsia="Arial" w:hAnsi="Arial"/>
                <w:sz w:val="18"/>
                <w:szCs w:val="18"/>
                <w:color w:val="0000FF"/>
                <w:w w:val="95"/>
              </w:rPr>
            </w:pPr>
            <w:hyperlink r:id="rId17">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1"/>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52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1040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Form of Supplemental Indenture among LII, the guarantors party thereto and U.S. Bank National Association, as trustee (filed as Exhibit 4.11 to</w:t>
              </w:r>
            </w:hyperlink>
          </w:p>
        </w:tc>
        <w:tc>
          <w:tcPr>
            <w:tcW w:w="6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1"/>
            <w:shd w:val="clear" w:color="auto" w:fill="CCEEFF"/>
          </w:tcPr>
          <w:p>
            <w:pPr>
              <w:spacing w:after="0" w:line="196" w:lineRule="exact"/>
              <w:rPr>
                <w:rFonts w:ascii="Arial" w:cs="Arial" w:eastAsia="Arial" w:hAnsi="Arial"/>
                <w:sz w:val="18"/>
                <w:szCs w:val="18"/>
                <w:color w:val="0000FF"/>
                <w:w w:val="92"/>
              </w:rPr>
            </w:pPr>
            <w:hyperlink r:id="rId18">
              <w:r>
                <w:rPr>
                  <w:rFonts w:ascii="Arial" w:cs="Arial" w:eastAsia="Arial" w:hAnsi="Arial"/>
                  <w:sz w:val="18"/>
                  <w:szCs w:val="18"/>
                  <w:color w:val="0000FF"/>
                  <w:w w:val="92"/>
                </w:rPr>
                <w:t>LII’s Post-Effective Amendment No. 1 to Registration Statement on S-3 (Registration No. 333-155796) filed on May 3, 2010, and incorporated</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17"/>
            <w:shd w:val="clear" w:color="auto" w:fill="CCEEFF"/>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140" w:type="dxa"/>
            <w:vAlign w:val="bottom"/>
            <w:tcBorders>
              <w:top w:val="single" w:sz="8" w:color="CCEEFF"/>
            </w:tcBorders>
            <w:gridSpan w:val="4"/>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5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1"/>
          </w:tcPr>
          <w:p>
            <w:pPr>
              <w:spacing w:after="0" w:line="202"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Sixth Supplemental Indenture, dated as of November 3, 2016, among LII, each other existing Guarantor under the Indenture, dated as of May 3,</w:t>
              </w:r>
            </w:hyperlink>
          </w:p>
        </w:tc>
      </w:tr>
      <w:tr>
        <w:trPr>
          <w:trHeight w:val="196"/>
        </w:trPr>
        <w:tc>
          <w:tcPr>
            <w:tcW w:w="960" w:type="dxa"/>
            <w:vAlign w:val="bottom"/>
          </w:tcPr>
          <w:p>
            <w:pPr>
              <w:spacing w:after="0"/>
              <w:rPr>
                <w:sz w:val="17"/>
                <w:szCs w:val="17"/>
                <w:color w:val="auto"/>
              </w:rPr>
            </w:pPr>
          </w:p>
        </w:tc>
        <w:tc>
          <w:tcPr>
            <w:tcW w:w="10360" w:type="dxa"/>
            <w:vAlign w:val="bottom"/>
            <w:tcBorders>
              <w:top w:val="single" w:sz="8" w:color="0000FF"/>
            </w:tcBorders>
            <w:gridSpan w:val="18"/>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2010, as subsequently supplemented, and US Bank National Association, as trustee (filed as Exhibit 4.2 to LII’s Current Report on Form 8-K</w:t>
              </w:r>
            </w:hyperlink>
          </w:p>
        </w:tc>
        <w:tc>
          <w:tcPr>
            <w:tcW w:w="100" w:type="dxa"/>
            <w:vAlign w:val="bottom"/>
            <w:gridSpan w:val="3"/>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16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filed on November 3, 2016, and incorporated herein by reference).</w:t>
              </w:r>
            </w:hyperlink>
          </w:p>
        </w:tc>
        <w:tc>
          <w:tcPr>
            <w:tcW w:w="300" w:type="dxa"/>
            <w:vAlign w:val="bottom"/>
            <w:gridSpan w:val="7"/>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1"/>
            <w:shd w:val="clear" w:color="auto" w:fill="CCEEFF"/>
          </w:tcPr>
          <w:p>
            <w:pPr>
              <w:spacing w:after="0" w:line="202"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Seventh Supplemental Indenture, dated as of January 23, 2019, among LII Mexico Holdings Ltd., Lennox International Inc., each other existing</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60" w:type="dxa"/>
            <w:vAlign w:val="bottom"/>
            <w:tcBorders>
              <w:top w:val="single" w:sz="8" w:color="0000FF"/>
            </w:tcBorders>
            <w:gridSpan w:val="18"/>
            <w:shd w:val="clear" w:color="auto" w:fill="CCEEFF"/>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Guarantor under the Indenture, dated as of May 3, 2010, as subsequently supplemented, and US Bank National Association, as trustee (filed as</w:t>
              </w:r>
            </w:hyperlink>
          </w:p>
        </w:tc>
        <w:tc>
          <w:tcPr>
            <w:tcW w:w="100" w:type="dxa"/>
            <w:vAlign w:val="bottom"/>
            <w:tcBorders>
              <w:top w:val="single" w:sz="8" w:color="CCEEFF"/>
            </w:tcBorders>
            <w:gridSpan w:val="3"/>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28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Exhibit 2.5 to LII's Annual Report on Form 10-K filed on February 19, 2019 and incorporated herein by reference).</w:t>
              </w:r>
            </w:hyperlink>
          </w:p>
        </w:tc>
        <w:tc>
          <w:tcPr>
            <w:tcW w:w="18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9800" w:type="dxa"/>
            <w:vAlign w:val="bottom"/>
            <w:tcBorders>
              <w:bottom w:val="single" w:sz="8" w:color="0000FF"/>
            </w:tcBorders>
            <w:gridSpan w:val="9"/>
          </w:tcPr>
          <w:p>
            <w:pPr>
              <w:spacing w:after="0" w:line="202"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1"/>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incorporated herein by reference).</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452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3"/>
              </w:rPr>
            </w:pPr>
            <w:hyperlink w:anchor="page52">
              <w:r>
                <w:rPr>
                  <w:rFonts w:ascii="Arial" w:cs="Arial" w:eastAsia="Arial" w:hAnsi="Arial"/>
                  <w:sz w:val="18"/>
                  <w:szCs w:val="18"/>
                  <w:color w:val="0000FF"/>
                  <w:w w:val="93"/>
                </w:rPr>
                <w:t>Certification of the principal executive officer (filed herewith).</w:t>
              </w:r>
            </w:hyperlink>
          </w:p>
        </w:tc>
        <w:tc>
          <w:tcPr>
            <w:tcW w:w="5940" w:type="dxa"/>
            <w:vAlign w:val="bottom"/>
            <w:tcBorders>
              <w:bottom w:val="single" w:sz="8" w:color="CCEEFF"/>
            </w:tcBorders>
            <w:gridSpan w:val="17"/>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460" w:type="dxa"/>
            <w:vAlign w:val="bottom"/>
            <w:gridSpan w:val="21"/>
          </w:tcPr>
          <w:p>
            <w:pPr>
              <w:spacing w:after="0" w:line="202" w:lineRule="exact"/>
              <w:rPr>
                <w:rFonts w:ascii="Arial" w:cs="Arial" w:eastAsia="Arial" w:hAnsi="Arial"/>
                <w:sz w:val="18"/>
                <w:szCs w:val="18"/>
                <w:color w:val="0000FF"/>
              </w:rPr>
            </w:pPr>
            <w:hyperlink w:anchor="page53">
              <w:r>
                <w:rPr>
                  <w:rFonts w:ascii="Arial" w:cs="Arial" w:eastAsia="Arial" w:hAnsi="Arial"/>
                  <w:sz w:val="18"/>
                  <w:szCs w:val="18"/>
                  <w:color w:val="0000FF"/>
                </w:rPr>
                <w:t>Certification of the principal financial officer (filed herewith).</w:t>
              </w:r>
            </w:hyperlink>
          </w:p>
        </w:tc>
      </w:tr>
      <w:tr>
        <w:trPr>
          <w:trHeight w:val="48"/>
        </w:trPr>
        <w:tc>
          <w:tcPr>
            <w:tcW w:w="960" w:type="dxa"/>
            <w:vAlign w:val="bottom"/>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460" w:type="dxa"/>
            <w:vAlign w:val="bottom"/>
            <w:gridSpan w:val="21"/>
            <w:shd w:val="clear" w:color="auto" w:fill="CCEEFF"/>
          </w:tcPr>
          <w:p>
            <w:pPr>
              <w:spacing w:after="0" w:line="202" w:lineRule="exact"/>
              <w:rPr>
                <w:rFonts w:ascii="Arial" w:cs="Arial" w:eastAsia="Arial" w:hAnsi="Arial"/>
                <w:sz w:val="18"/>
                <w:szCs w:val="18"/>
                <w:color w:val="0000FF"/>
                <w:w w:val="97"/>
              </w:rPr>
            </w:pPr>
            <w:hyperlink w:anchor="page54">
              <w:r>
                <w:rPr>
                  <w:rFonts w:ascii="Arial" w:cs="Arial" w:eastAsia="Arial" w:hAnsi="Arial"/>
                  <w:sz w:val="18"/>
                  <w:szCs w:val="18"/>
                  <w:color w:val="0000FF"/>
                  <w:w w:val="97"/>
                </w:rPr>
                <w:t>Certification of the principal executive officer and the principal financial officer pursuant to 18 U.S.C. Section 1350 (furnished herewith).</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20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2520" w:type="dxa"/>
            <w:vAlign w:val="bottom"/>
            <w:tcBorders>
              <w:top w:val="single" w:sz="8" w:color="0000FF"/>
            </w:tcBorders>
            <w:shd w:val="clear" w:color="auto" w:fill="CCEEFF"/>
          </w:tcPr>
          <w:p>
            <w:pPr>
              <w:spacing w:after="0"/>
              <w:rPr>
                <w:sz w:val="4"/>
                <w:szCs w:val="4"/>
                <w:color w:val="auto"/>
              </w:rPr>
            </w:pPr>
          </w:p>
        </w:tc>
        <w:tc>
          <w:tcPr>
            <w:tcW w:w="10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32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bl>
    <w:p>
      <w:pPr>
        <w:spacing w:after="0" w:line="13" w:lineRule="exact"/>
        <w:rPr>
          <w:sz w:val="20"/>
          <w:szCs w:val="20"/>
          <w:color w:val="auto"/>
        </w:rPr>
      </w:pPr>
    </w:p>
    <w:p>
      <w:pPr>
        <w:ind w:left="960" w:right="60" w:hanging="925"/>
        <w:spacing w:after="0" w:line="27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INS XBRL Instance Document. The instance document does not appear in the Interactive Data File because its XBRL tags are embedded within the Inline XBRL document.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SCH Inline XBRL Taxonomy Extension Schema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800" w:type="dxa"/>
            <w:vAlign w:val="bottom"/>
          </w:tcPr>
          <w:p>
            <w:pPr>
              <w:ind w:left="340"/>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7"/>
        </w:trPr>
        <w:tc>
          <w:tcPr>
            <w:tcW w:w="620" w:type="dxa"/>
            <w:vAlign w:val="bottom"/>
          </w:tcPr>
          <w:p>
            <w:pPr>
              <w:spacing w:after="0"/>
              <w:rPr>
                <w:sz w:val="2"/>
                <w:szCs w:val="2"/>
                <w:color w:val="auto"/>
              </w:rPr>
            </w:pPr>
          </w:p>
        </w:tc>
        <w:tc>
          <w:tcPr>
            <w:tcW w:w="1080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43"/>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93"/>
              </w:rPr>
              <w:t>101</w:t>
            </w:r>
          </w:p>
        </w:tc>
        <w:tc>
          <w:tcPr>
            <w:tcW w:w="10800" w:type="dxa"/>
            <w:vAlign w:val="bottom"/>
          </w:tcPr>
          <w:p>
            <w:pPr>
              <w:ind w:left="340"/>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7"/>
        </w:trPr>
        <w:tc>
          <w:tcPr>
            <w:tcW w:w="620" w:type="dxa"/>
            <w:vAlign w:val="bottom"/>
          </w:tcPr>
          <w:p>
            <w:pPr>
              <w:spacing w:after="0"/>
              <w:rPr>
                <w:sz w:val="2"/>
                <w:szCs w:val="2"/>
                <w:color w:val="auto"/>
              </w:rPr>
            </w:pPr>
          </w:p>
        </w:tc>
        <w:tc>
          <w:tcPr>
            <w:tcW w:w="10800" w:type="dxa"/>
            <w:vAlign w:val="bottom"/>
          </w:tcPr>
          <w:p>
            <w:pPr>
              <w:spacing w:after="0"/>
              <w:rPr>
                <w:sz w:val="2"/>
                <w:szCs w:val="2"/>
                <w:color w:val="auto"/>
              </w:rPr>
            </w:pPr>
          </w:p>
        </w:tc>
      </w:tr>
      <w:tr>
        <w:trPr>
          <w:trHeight w:val="243"/>
        </w:trPr>
        <w:tc>
          <w:tcPr>
            <w:tcW w:w="6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3"/>
              </w:rPr>
              <w:t>101</w:t>
            </w:r>
          </w:p>
        </w:tc>
        <w:tc>
          <w:tcPr>
            <w:tcW w:w="10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 Inline XBRL Taxonomy Extension Definition Linkbase Document</w:t>
            </w:r>
          </w:p>
        </w:tc>
      </w:tr>
      <w:tr>
        <w:trPr>
          <w:trHeight w:val="27"/>
        </w:trPr>
        <w:tc>
          <w:tcPr>
            <w:tcW w:w="620" w:type="dxa"/>
            <w:vAlign w:val="bottom"/>
            <w:shd w:val="clear" w:color="auto" w:fill="CCEEFF"/>
          </w:tcPr>
          <w:p>
            <w:pPr>
              <w:spacing w:after="0"/>
              <w:rPr>
                <w:sz w:val="2"/>
                <w:szCs w:val="2"/>
                <w:color w:val="auto"/>
              </w:rPr>
            </w:pPr>
          </w:p>
        </w:tc>
        <w:tc>
          <w:tcPr>
            <w:tcW w:w="108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960" w:hanging="925"/>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50" w:name="page51"/>
    <w:bookmarkEnd w:id="50"/>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20"/>
          </w:cols>
          <w:pgMar w:left="240" w:top="796" w:right="11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2019</w:t>
      </w:r>
    </w:p>
    <w:p>
      <w:pPr>
        <w:spacing w:after="0" w:line="200" w:lineRule="exact"/>
        <w:rPr>
          <w:sz w:val="20"/>
          <w:szCs w:val="20"/>
          <w:color w:val="auto"/>
        </w:rPr>
      </w:pPr>
    </w:p>
    <w:p>
      <w:pPr>
        <w:spacing w:after="0" w:line="3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September 30, 2019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lvl w:ilvl="1">
      <w:lvlJc w:val="left"/>
      <w:lvlText w:val="(%2)"/>
      <w:numFmt w:val="decimal"/>
      <w:start w:val="1"/>
    </w:lvl>
  </w:abstractNum>
  <w:abstractNum w:abstractNumId="4">
    <w:nsid w:val="140E0F76"/>
    <w:multiLevelType w:val="hybridMultilevel"/>
    <w:lvl w:ilvl="0">
      <w:lvlJc w:val="left"/>
      <w:lvlText w:val="%1."/>
      <w:numFmt w:val="decimal"/>
      <w:start w:val="6"/>
    </w:lvl>
    <w:lvl w:ilvl="1">
      <w:lvlJc w:val="left"/>
      <w:lvlText w:val="%2"/>
      <w:numFmt w:val="decimal"/>
      <w:start w:val="1"/>
    </w:lvl>
  </w:abstractNum>
  <w:abstractNum w:abstractNumId="5">
    <w:nsid w:val="3352255A"/>
    <w:multiLevelType w:val="hybridMultilevel"/>
    <w:lvl w:ilvl="0">
      <w:lvlJc w:val="left"/>
      <w:lvlText w:val="•"/>
      <w:numFmt w:val="bullet"/>
      <w:start w:val="1"/>
    </w:lvl>
    <w:lvl w:ilvl="1">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2"/>
    </w:lvl>
  </w:abstractNum>
  <w:abstractNum w:abstractNumId="10">
    <w:nsid w:val="41A7C4C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6B68079A"/>
    <w:multiLevelType w:val="hybridMultilevel"/>
    <w:lvl w:ilvl="0">
      <w:lvlJc w:val="left"/>
      <w:lvlText w:val="&amp;"/>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14" Type="http://schemas.openxmlformats.org/officeDocument/2006/relationships/hyperlink" Target="http://www.sec.gov/Archives/edgar/data/1069202/0000950134-99-002720-index.html" TargetMode="External"/><Relationship Id="rId15" Type="http://schemas.openxmlformats.org/officeDocument/2006/relationships/hyperlink" Target="http://www.sec.gov/Archives/edgar/data/1069202/000119312513474576/d644537dex31.htm" TargetMode="External"/><Relationship Id="rId16" Type="http://schemas.openxmlformats.org/officeDocument/2006/relationships/hyperlink" Target="http://www.sec.gov/Archives/edgar/data/1069202/0000950134-99-005530-index.html" TargetMode="External"/><Relationship Id="rId17" Type="http://schemas.openxmlformats.org/officeDocument/2006/relationships/hyperlink" Target="http://www.sec.gov/Archives/edgar/data/1017609/000095012310042399/d72548exv4w3.htm" TargetMode="External"/><Relationship Id="rId18" Type="http://schemas.openxmlformats.org/officeDocument/2006/relationships/hyperlink" Target="http://www.sec.gov/Archives/edgar/data/1017609/000095012310042399/d72548exv4w11.htm" TargetMode="External"/><Relationship Id="rId19" Type="http://schemas.openxmlformats.org/officeDocument/2006/relationships/hyperlink" Target="http://www.sec.gov/Archives/edgar/data/1069202/000119312516758285/d284193dex42.htm" TargetMode="External"/><Relationship Id="rId20" Type="http://schemas.openxmlformats.org/officeDocument/2006/relationships/hyperlink" Target="http://www.sec.gov/Archives/edgar/data/1069202/000106920219000008/lii-ex45_2018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2019-12-28T05:36:07Z</dcterms:created>
  <dcterms:modified xsi:type="dcterms:W3CDTF">2019-12-28T05:36:07Z</dcterms:modified>
</cp:coreProperties>
</file>