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16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642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16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6420"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March 31, 2023</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0"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2" w:right="339" w:bottom="1440" w:gutter="0" w:footer="0" w:header="0"/>
        </w:sectPr>
      </w:pPr>
    </w:p>
    <w:p>
      <w:pPr>
        <w:spacing w:after="0" w:line="2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0"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60" w:space="720"/>
            <w:col w:w="1440" w:space="720"/>
            <w:col w:w="4000"/>
          </w:cols>
          <w:pgMar w:left="320" w:top="1422" w:right="339" w:bottom="1440" w:gutter="0" w:footer="0" w:header="0"/>
          <w:type w:val="continuous"/>
        </w:sectPr>
      </w:pPr>
    </w:p>
    <w:p>
      <w:pPr>
        <w:jc w:val="both"/>
        <w:ind w:firstLine="241"/>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jc w:val="both"/>
        <w:ind w:firstLine="241"/>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60" w:type="dxa"/>
        <w:tblCellMar>
          <w:top w:w="0" w:type="dxa"/>
          <w:left w:w="0" w:type="dxa"/>
          <w:bottom w:w="0" w:type="dxa"/>
          <w:right w:w="0" w:type="dxa"/>
        </w:tblCellMar>
      </w:tblP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6"/>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58" w:lineRule="exact"/>
        <w:rPr>
          <w:sz w:val="24"/>
          <w:szCs w:val="24"/>
          <w:color w:val="auto"/>
        </w:rPr>
      </w:pPr>
    </w:p>
    <w:p>
      <w:pPr>
        <w:ind w:firstLine="241"/>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240" w:right="248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17, 2023, the number of shares outstanding of the registrant’s common stock, par value $0.01 per share, was 35,501,548.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813435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62865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March 31, 2023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8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9760" w:type="dxa"/>
            <w:vAlign w:val="bottom"/>
            <w:gridSpan w:val="1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FF"/>
              </w:rPr>
              <w:t>Financial Information</w:t>
            </w:r>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9760" w:type="dxa"/>
            <w:vAlign w:val="bottom"/>
            <w:gridSpan w:val="18"/>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March 31, 2023 (Unaudited) and December 31, 2022</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Months Ended March 31, 2023 and 2022</w:t>
            </w: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Months Ended March 31, 2023 and 2022</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Deficit (Unaudited) - Three Months Ended March 31, 2023 and 2022</w:t>
            </w:r>
          </w:p>
        </w:tc>
        <w:tc>
          <w:tcPr>
            <w:tcW w:w="2240" w:type="dxa"/>
            <w:vAlign w:val="bottom"/>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5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Three Months Ended March 31, 2023 and 2022</w:t>
            </w:r>
          </w:p>
        </w:tc>
        <w:tc>
          <w:tcPr>
            <w:tcW w:w="3000" w:type="dxa"/>
            <w:vAlign w:val="bottom"/>
            <w:gridSpan w:val="3"/>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5</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000" w:type="dxa"/>
            <w:vAlign w:val="bottom"/>
            <w:gridSpan w:val="3"/>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62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2. Management's Discussion and Analysis of Financial Condition and Results of Operations</w:t>
            </w:r>
          </w:p>
        </w:tc>
        <w:tc>
          <w:tcPr>
            <w:tcW w:w="3520" w:type="dxa"/>
            <w:vAlign w:val="bottom"/>
            <w:gridSpan w:val="5"/>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20" w:type="dxa"/>
            <w:vAlign w:val="bottom"/>
            <w:gridSpan w:val="5"/>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27</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4.</w:t>
            </w:r>
          </w:p>
        </w:tc>
        <w:tc>
          <w:tcPr>
            <w:tcW w:w="1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7680" w:type="dxa"/>
            <w:vAlign w:val="bottom"/>
            <w:gridSpan w:val="9"/>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8"/>
                <w:szCs w:val="18"/>
                <w:color w:val="auto"/>
              </w:rPr>
            </w:pPr>
          </w:p>
        </w:tc>
      </w:tr>
      <w:tr>
        <w:trPr>
          <w:trHeight w:val="174"/>
        </w:trPr>
        <w:tc>
          <w:tcPr>
            <w:tcW w:w="8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9"/>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1"/>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39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Unregistered Sales of Equity Securities and Use of Proceeds</w:t>
            </w:r>
          </w:p>
        </w:tc>
        <w:tc>
          <w:tcPr>
            <w:tcW w:w="5380" w:type="dxa"/>
            <w:vAlign w:val="bottom"/>
            <w:gridSpan w:val="7"/>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7"/>
              </w:rPr>
              <w:t>Exhibits</w:t>
            </w:r>
          </w:p>
        </w:tc>
        <w:tc>
          <w:tcPr>
            <w:tcW w:w="3340" w:type="dxa"/>
            <w:vAlign w:val="bottom"/>
            <w:gridSpan w:val="8"/>
          </w:tcPr>
          <w:p>
            <w:pPr>
              <w:spacing w:after="0"/>
              <w:rPr>
                <w:sz w:val="16"/>
                <w:szCs w:val="16"/>
                <w:color w:val="auto"/>
              </w:rPr>
            </w:pPr>
          </w:p>
        </w:tc>
        <w:tc>
          <w:tcPr>
            <w:tcW w:w="5380" w:type="dxa"/>
            <w:vAlign w:val="bottom"/>
            <w:gridSpan w:val="7"/>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Accounts and notes receivable, net of allowances of $16.8 and $15.5 in 2023 and 2022,</w:t>
            </w:r>
          </w:p>
        </w:tc>
        <w:tc>
          <w:tcPr>
            <w:tcW w:w="2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753.0</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1,496.5</w:t>
            </w: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$938.9 and $920.8 in 2023 and</w:t>
            </w:r>
          </w:p>
        </w:tc>
        <w:tc>
          <w:tcPr>
            <w:tcW w:w="2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w:t>
            </w: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respectively</w:t>
            </w:r>
          </w:p>
        </w:tc>
        <w:tc>
          <w:tcPr>
            <w:tcW w:w="24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2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2,770.4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2,567.6</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25"/>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1,595.7</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814.2</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2,896.3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2,770.7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deficit:</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1,155.2</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3,070.6</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Treasury stock, at cost, 51,672,744 shares and 51,700,260 shares for 2023 and 2022, respectively</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(4,339.2)</w:t>
            </w: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(203.1)</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2,770.4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2,567.6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6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tc>
        <w:tc>
          <w:tcPr>
            <w:tcW w:w="0" w:type="dxa"/>
            <w:vAlign w:val="bottom"/>
          </w:tcPr>
          <w:p>
            <w:pPr>
              <w:spacing w:after="0"/>
              <w:rPr>
                <w:sz w:val="1"/>
                <w:szCs w:val="1"/>
                <w:color w:val="auto"/>
              </w:rPr>
            </w:pPr>
          </w:p>
        </w:tc>
      </w:tr>
      <w:tr>
        <w:trPr>
          <w:trHeight w:val="212"/>
        </w:trPr>
        <w:tc>
          <w:tcPr>
            <w:tcW w:w="7820" w:type="dxa"/>
            <w:vAlign w:val="bottom"/>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27"/>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40"/>
          </w:cols>
          <w:pgMar w:left="720" w:top="1119" w:right="7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60" w:type="dxa"/>
            <w:vAlign w:val="bottom"/>
          </w:tcPr>
          <w:p>
            <w:pPr>
              <w:spacing w:after="0"/>
              <w:rPr>
                <w:sz w:val="16"/>
                <w:szCs w:val="16"/>
                <w:color w:val="auto"/>
              </w:rPr>
            </w:pPr>
          </w:p>
        </w:tc>
        <w:tc>
          <w:tcPr>
            <w:tcW w:w="220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0" w:type="dxa"/>
            <w:vAlign w:val="bottom"/>
          </w:tcPr>
          <w:p>
            <w:pPr>
              <w:spacing w:after="0"/>
              <w:rPr>
                <w:sz w:val="1"/>
                <w:szCs w:val="1"/>
                <w:color w:val="auto"/>
              </w:rPr>
            </w:pPr>
          </w:p>
        </w:tc>
      </w:tr>
      <w:tr>
        <w:trPr>
          <w:trHeight w:val="212"/>
        </w:trPr>
        <w:tc>
          <w:tcPr>
            <w:tcW w:w="84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7"/>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losses (gains) into earnings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2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40"/>
          </w:cols>
          <w:pgMar w:left="520" w:top="879" w:right="5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2023 and 2022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2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2023)</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1,155.2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3,070.6</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(90.6)</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(4,339.2)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(203.1)</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$1.06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$1.8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1,161.1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3,130.9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(78.6)</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(4,340.2)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(125.9)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6"/>
                <w:szCs w:val="16"/>
                <w:color w:val="auto"/>
              </w:rPr>
            </w:pPr>
          </w:p>
        </w:tc>
        <w:tc>
          <w:tcPr>
            <w:tcW w:w="1920" w:type="dxa"/>
            <w:vAlign w:val="bottom"/>
            <w:gridSpan w:val="8"/>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3"/>
            <w:vMerge w:val="restart"/>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2022)</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1,133.7</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2,719.3</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50.5</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(4,034.8)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(269.0)</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$0.92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(33.1)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58"/>
        </w:trPr>
        <w:tc>
          <w:tcPr>
            <w:tcW w:w="42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$3.1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(27.0)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(177.9)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(204.9)</w:t>
            </w:r>
          </w:p>
        </w:tc>
        <w:tc>
          <w:tcPr>
            <w:tcW w:w="0" w:type="dxa"/>
            <w:vAlign w:val="bottom"/>
          </w:tcPr>
          <w:p>
            <w:pPr>
              <w:spacing w:after="0"/>
              <w:rPr>
                <w:sz w:val="1"/>
                <w:szCs w:val="1"/>
                <w:color w:val="auto"/>
              </w:rPr>
            </w:pPr>
          </w:p>
        </w:tc>
      </w:tr>
      <w:tr>
        <w:trPr>
          <w:trHeight w:val="194"/>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2022</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1,110.4</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2,769.8</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(4,210.8)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(410.2)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25"/>
        </w:trPr>
        <w:tc>
          <w:tcPr>
            <w:tcW w:w="7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loss from equity method investments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Restructuring charges, net of cash paid</w:t>
            </w: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Unrealized losses, net on derivative contracts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7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(97.9)</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(purchases of) short-term investments, net</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(25.7)</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securitization borrowings</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securitization payments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Long-term debt payments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(381.5)</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129.1</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increase in cash and cash equivalents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Supplemental disclosures of cash flow information: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3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March 31, 2023, the accompanying unaudited Consolidated Statements of Operations for the three months ended March 31, 2023 and 2022, the accompanying unaudited Consolidated Statements of Comprehensive Income for the three months ended March 31, 2023 and 2022, the accompanying unaudited Consolidated Statements of Stockholders' Deficit for the three months ended March 31, 2023 and 2022, and the accompanying unaudited Consolidated Statements of Cash Flows for the three months ended March 31, 2023 and 2022 should be read in conjunction with our audited consolidated financial statements and footnotes included in our Annual Report on Form 10-K for the year ended December 31, 2022.</w:t>
      </w:r>
    </w:p>
    <w:p>
      <w:pPr>
        <w:spacing w:after="0" w:line="214"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5"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4"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1"/>
        <w:spacing w:after="0" w:line="267"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7"/>
        </w:trPr>
        <w:tc>
          <w:tcPr>
            <w:tcW w:w="1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w:t>
            </w: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9"/>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8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Non-Food/Industrial</w:t>
            </w:r>
          </w:p>
        </w:tc>
        <w:tc>
          <w:tcPr>
            <w:tcW w:w="172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commercial products, condensing units, unit coolers, fluid</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coolers, air cooled condensers, air handlers, controls, and</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3"/>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compressorized racks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75" w:lineRule="exact"/>
        <w:rPr>
          <w:sz w:val="20"/>
          <w:szCs w:val="20"/>
          <w:color w:val="auto"/>
        </w:rPr>
      </w:pPr>
    </w:p>
    <w:p>
      <w:pPr>
        <w:jc w:val="both"/>
        <w:ind w:firstLine="241"/>
        <w:spacing w:after="0" w:line="270" w:lineRule="auto"/>
        <w:rPr>
          <w:sz w:val="20"/>
          <w:szCs w:val="20"/>
          <w:color w:val="auto"/>
        </w:rPr>
      </w:pPr>
      <w:r>
        <w:rPr>
          <w:rFonts w:ascii="Times New Roman" w:cs="Times New Roman" w:eastAsia="Times New Roman" w:hAnsi="Times New Roman"/>
          <w:sz w:val="17"/>
          <w:szCs w:val="17"/>
          <w:color w:val="auto"/>
        </w:rPr>
        <w:t>Prior to January 1, 2023, we operated in three reportable business segments. In November 2022, we announced the decision to explore strategic alternatives for our European commercial HVAC and refrigeration businesses. We will continue to invest in our Heatcraft Worldwide Refrigeration business which became part of the Commercial segment effective on January 1, 2023 while the European portfolio will be presented with Corporate and Other until disposition. The consolidation of our Heatcraft business within the Commercial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 See "Recast Segment Results" below for both the previously presented segment results as well as the recast financial information to reflect the change in our segment presentation.</w:t>
      </w:r>
    </w:p>
    <w:p>
      <w:pPr>
        <w:spacing w:after="0" w:line="197"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corporate costs include those costs related to our European operations, as well as our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1" w:lineRule="exact"/>
        <w:rPr>
          <w:sz w:val="20"/>
          <w:szCs w:val="20"/>
          <w:color w:val="auto"/>
        </w:rPr>
      </w:pPr>
    </w:p>
    <w:p>
      <w:pPr>
        <w:ind w:firstLine="241"/>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4"/>
        </w:trPr>
        <w:tc>
          <w:tcPr>
            <w:tcW w:w="8640" w:type="dxa"/>
            <w:vAlign w:val="bottom"/>
          </w:tcPr>
          <w:p>
            <w:pPr>
              <w:spacing w:after="0"/>
              <w:rPr>
                <w:sz w:val="14"/>
                <w:szCs w:val="14"/>
                <w:color w:val="auto"/>
              </w:rPr>
            </w:pPr>
          </w:p>
        </w:tc>
        <w:tc>
          <w:tcPr>
            <w:tcW w:w="2600" w:type="dxa"/>
            <w:vAlign w:val="bottom"/>
            <w:gridSpan w:val="6"/>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 Ended March</w:t>
            </w:r>
          </w:p>
        </w:tc>
      </w:tr>
      <w:tr>
        <w:trPr>
          <w:trHeight w:val="212"/>
        </w:trPr>
        <w:tc>
          <w:tcPr>
            <w:tcW w:w="8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1080" w:type="dxa"/>
            <w:vAlign w:val="bottom"/>
            <w:tcBorders>
              <w:bottom w:val="single" w:sz="8" w:color="auto"/>
            </w:tcBorders>
          </w:tcPr>
          <w:p>
            <w:pPr>
              <w:spacing w:after="0"/>
              <w:rPr>
                <w:sz w:val="18"/>
                <w:szCs w:val="18"/>
                <w:color w:val="auto"/>
              </w:rPr>
            </w:pPr>
          </w:p>
        </w:tc>
      </w:tr>
      <w:tr>
        <w:trPr>
          <w:trHeight w:val="209"/>
        </w:trPr>
        <w:tc>
          <w:tcPr>
            <w:tcW w:w="8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20"/>
                <w:szCs w:val="20"/>
                <w:b w:val="1"/>
                <w:bCs w:val="1"/>
                <w:color w:val="auto"/>
                <w:vertAlign w:val="superscript"/>
              </w:rPr>
              <w:t>(2)</w:t>
            </w:r>
          </w:p>
        </w:tc>
      </w:tr>
      <w:tr>
        <w:trPr>
          <w:trHeight w:val="20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2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45"/>
        </w:trPr>
        <w:tc>
          <w:tcPr>
            <w:tcW w:w="8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7"/>
        </w:trPr>
        <w:tc>
          <w:tcPr>
            <w:tcW w:w="86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86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Items in Losses (gains) and other expenses, net that are excluded from segment profit (loss)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hanging="173"/>
        <w:spacing w:after="0"/>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5"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gains (losses) on unsettled futures contracts,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incurred related to COVID-19 pandemic, and</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1040" w:hanging="23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127" w:lineRule="exact"/>
        <w:rPr>
          <w:rFonts w:ascii="Times New Roman" w:cs="Times New Roman" w:eastAsia="Times New Roman" w:hAnsi="Times New Roman"/>
          <w:sz w:val="18"/>
          <w:szCs w:val="18"/>
          <w:color w:val="auto"/>
        </w:rPr>
      </w:pPr>
    </w:p>
    <w:p>
      <w:pPr>
        <w:ind w:left="420" w:hanging="173"/>
        <w:spacing w:after="0"/>
        <w:tabs>
          <w:tab w:leader="none" w:pos="4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2022 results have been recast to reflect the realignment of our reportable segments. See Recast Segment Results for further detail.</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Recast Segment Results</w:t>
      </w:r>
    </w:p>
    <w:p>
      <w:pPr>
        <w:spacing w:after="0" w:line="251"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tables present the previously reported and recast financial results reflecting the change in segment reporting for the fiscal year 2022 and 2021.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Q1 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Q3 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Q4 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5"/>
        </w:trPr>
        <w:tc>
          <w:tcPr>
            <w:tcW w:w="2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segment net sales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835.3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703.4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3,198.3</w:t>
            </w: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 segment profit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216.3</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segment net sales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327.4</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252.9</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352.3</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240.5</w:t>
            </w:r>
          </w:p>
        </w:tc>
        <w:tc>
          <w:tcPr>
            <w:tcW w:w="8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327.2</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1,286.4</w:t>
            </w: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segment profit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47"/>
        </w:trPr>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Refrigeration segment net sales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Refrigeration segment profit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net sales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sales from European operations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and other net sales</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costs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45"/>
        </w:trPr>
        <w:tc>
          <w:tcPr>
            <w:tcW w:w="240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Segment profit from European</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operations</w:t>
            </w:r>
          </w:p>
        </w:tc>
        <w:tc>
          <w:tcPr>
            <w:tcW w:w="2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and other segment profit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LII net sales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1,366.3</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1,366.3</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1,244.9</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1,244.9</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1,093.8</w:t>
            </w:r>
          </w:p>
        </w:tc>
        <w:tc>
          <w:tcPr>
            <w:tcW w:w="8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1,093.8</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4,718.4</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4,718.4</w:t>
            </w: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LII total segment profit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80" w:top="916"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7"/>
        </w:trPr>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Q1 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Q3 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Q4 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segment 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620.3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2,775.6</w:t>
            </w: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 segment profit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189.7</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segment net sales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211.5</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292.7</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286.3</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1,188.8</w:t>
            </w: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segment profit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0" w:type="dxa"/>
            <w:vAlign w:val="bottom"/>
          </w:tcPr>
          <w:p>
            <w:pPr>
              <w:spacing w:after="0"/>
              <w:rPr>
                <w:sz w:val="1"/>
                <w:szCs w:val="1"/>
                <w:color w:val="auto"/>
              </w:rPr>
            </w:pPr>
          </w:p>
        </w:tc>
      </w:tr>
      <w:tr>
        <w:trPr>
          <w:trHeight w:val="147"/>
        </w:trPr>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Refrigeration segment net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Refrigeration segment profit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net sales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sales from European operations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0" w:type="dxa"/>
            <w:vAlign w:val="bottom"/>
          </w:tcPr>
          <w:p>
            <w:pPr>
              <w:spacing w:after="0"/>
              <w:rPr>
                <w:sz w:val="1"/>
                <w:szCs w:val="1"/>
                <w:color w:val="auto"/>
              </w:rPr>
            </w:pPr>
          </w:p>
        </w:tc>
      </w:tr>
      <w:tr>
        <w:trPr>
          <w:trHeight w:val="186"/>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and other net sales</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costs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Segment profit from European</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operations</w:t>
            </w:r>
          </w:p>
        </w:tc>
        <w:tc>
          <w:tcPr>
            <w:tcW w:w="24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and other segment profit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LII net sales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1,239.0</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1,239.0</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1,059.9</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1,059.9</w:t>
            </w:r>
          </w:p>
        </w:tc>
        <w:tc>
          <w:tcPr>
            <w:tcW w:w="8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964.8</w:t>
            </w:r>
          </w:p>
        </w:tc>
        <w:tc>
          <w:tcPr>
            <w:tcW w:w="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964.8</w:t>
            </w:r>
          </w:p>
        </w:tc>
        <w:tc>
          <w:tcPr>
            <w:tcW w:w="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4,194.1</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4,194.1</w:t>
            </w: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LII total segment profit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80" w:top="91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4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r>
      <w:tr>
        <w:trPr>
          <w:trHeight w:val="267"/>
        </w:trPr>
        <w:tc>
          <w:tcPr>
            <w:tcW w:w="8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27"/>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7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8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8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160"/>
        <w:spacing w:after="0" w:line="272"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0"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6"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15"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3" w:name="page14"/>
    <w:bookmarkEnd w:id="13"/>
    <w:p>
      <w:pPr>
        <w:jc w:val="both"/>
        <w:spacing w:after="0" w:line="277" w:lineRule="auto"/>
        <w:rPr>
          <w:sz w:val="20"/>
          <w:szCs w:val="20"/>
          <w:color w:val="auto"/>
        </w:rPr>
      </w:pPr>
      <w:r>
        <w:rPr>
          <w:rFonts w:ascii="Times New Roman" w:cs="Times New Roman" w:eastAsia="Times New Roman" w:hAnsi="Times New Roman"/>
          <w:sz w:val="18"/>
          <w:szCs w:val="18"/>
          <w:color w:val="auto"/>
        </w:rPr>
        <w:t>estimate our specific incremental borrowing rates over various periods (ranging from 1-year through 30-years), a comparable market yield curve consistent with our credit quality was calibrated to our publicly outstanding debt instruments.</w:t>
      </w:r>
    </w:p>
    <w:p>
      <w:pPr>
        <w:spacing w:after="0" w:line="19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82%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Liabilities for estimated product warranty costs related to continuing operations are included in the following captions on the accompanying Consolidated Balance Sheets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00" w:type="dxa"/>
            <w:vAlign w:val="bottom"/>
          </w:tcPr>
          <w:p>
            <w:pPr>
              <w:spacing w:after="0"/>
              <w:rPr>
                <w:sz w:val="18"/>
                <w:szCs w:val="18"/>
                <w:color w:val="auto"/>
              </w:rPr>
            </w:pPr>
          </w:p>
        </w:tc>
        <w:tc>
          <w:tcPr>
            <w:tcW w:w="20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45"/>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three months ended March 31, 2023 were as follows (in millions):</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2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2022</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r>
      <w:tr>
        <w:trPr>
          <w:trHeight w:val="227"/>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7"/>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7"/>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March 31, 2023</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March 31, 2023, $546 million was available for repurchase under the Share Repurchase Plans.</w:t>
      </w:r>
    </w:p>
    <w:p>
      <w:pPr>
        <w:spacing w:after="0" w:line="196"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repurchased approximately $2.0 million of shares during the three months ended March 31, 2023 from employees who tendered their shares to satisfy minimum tax withholding obligations upon the vesting and exercise of stock-based compensation awards.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3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560" w:type="dxa"/>
            <w:vAlign w:val="bottom"/>
            <w:tcBorders>
              <w:bottom w:val="single" w:sz="8" w:color="auto"/>
            </w:tcBorders>
            <w:gridSpan w:val="5"/>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2023</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300" w:type="dxa"/>
            <w:vAlign w:val="bottom"/>
          </w:tcPr>
          <w:p>
            <w:pPr>
              <w:spacing w:after="0"/>
              <w:rPr>
                <w:sz w:val="17"/>
                <w:szCs w:val="17"/>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0" w:type="dxa"/>
            <w:vAlign w:val="bottom"/>
          </w:tcPr>
          <w:p>
            <w:pPr>
              <w:spacing w:after="0"/>
              <w:rPr>
                <w:sz w:val="17"/>
                <w:szCs w:val="17"/>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7"/>
                <w:szCs w:val="17"/>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7"/>
                <w:szCs w:val="17"/>
                <w:color w:val="auto"/>
              </w:rPr>
            </w:pPr>
          </w:p>
        </w:tc>
        <w:tc>
          <w:tcPr>
            <w:tcW w:w="15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1,049.4</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61"/>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3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560" w:type="dxa"/>
            <w:vAlign w:val="bottom"/>
            <w:tcBorders>
              <w:bottom w:val="single" w:sz="8" w:color="auto"/>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31,2022 (1)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300" w:type="dxa"/>
            <w:vAlign w:val="bottom"/>
          </w:tcPr>
          <w:p>
            <w:pPr>
              <w:spacing w:after="0"/>
              <w:rPr>
                <w:sz w:val="17"/>
                <w:szCs w:val="17"/>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0" w:type="dxa"/>
            <w:vAlign w:val="bottom"/>
          </w:tcPr>
          <w:p>
            <w:pPr>
              <w:spacing w:after="0"/>
              <w:rPr>
                <w:sz w:val="17"/>
                <w:szCs w:val="17"/>
                <w:color w:val="auto"/>
              </w:rPr>
            </w:pPr>
          </w:p>
        </w:tc>
        <w:tc>
          <w:tcPr>
            <w:tcW w:w="17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7"/>
                <w:szCs w:val="17"/>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7"/>
                <w:szCs w:val="17"/>
                <w:color w:val="auto"/>
              </w:rPr>
            </w:pPr>
          </w:p>
        </w:tc>
        <w:tc>
          <w:tcPr>
            <w:tcW w:w="15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w:t>
            </w: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1,013.4</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247"/>
        <w:spacing w:after="0" w:line="262" w:lineRule="auto"/>
        <w:tabs>
          <w:tab w:leader="none" w:pos="5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2, we adjusted our segment reporting to include the results of our Heatcraft businesses in Commercial and the results of our European portfolio in Corporate and Other. The amounts for the three months ended March 31, 2022 have been recast to reflect the revised segment presentation.</w:t>
      </w:r>
    </w:p>
    <w:p>
      <w:pPr>
        <w:spacing w:after="0" w:line="200" w:lineRule="exact"/>
        <w:rPr>
          <w:sz w:val="20"/>
          <w:szCs w:val="20"/>
          <w:color w:val="auto"/>
        </w:rPr>
      </w:pPr>
    </w:p>
    <w:p>
      <w:pPr>
        <w:jc w:val="both"/>
        <w:ind w:firstLine="2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Residential </w:t>
      </w:r>
      <w:r>
        <w:rPr>
          <w:rFonts w:ascii="Times New Roman" w:cs="Times New Roman" w:eastAsia="Times New Roman" w:hAnsi="Times New Roman"/>
          <w:sz w:val="18"/>
          <w:szCs w:val="18"/>
          <w:color w:val="auto"/>
        </w:rPr>
        <w:t>- We manufacture and market a broad range of furnaces, air conditioners, heat pumps, packaged heating and cooling systems, equipment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2023 and 2022, direct sales represented 70% and 66% of revenues, and sales to independent distributors represented the remainder.</w:t>
      </w:r>
    </w:p>
    <w:p>
      <w:pPr>
        <w:spacing w:after="0" w:line="205"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Commercial </w:t>
      </w:r>
      <w:r>
        <w:rPr>
          <w:rFonts w:ascii="Times New Roman" w:cs="Times New Roman" w:eastAsia="Times New Roman" w:hAnsi="Times New Roman"/>
          <w:sz w:val="18"/>
          <w:szCs w:val="18"/>
          <w:color w:val="auto"/>
        </w:rPr>
        <w:t>- In North America, we manufacture and sell unitary heating and cooling equipment used in light commercial applications, such as low-rise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For the three months ended March 31, 2023 and 2022, equipment sales represented 85% and 87% of revenues and the remainder of our revenue was generated from our service business.</w:t>
      </w:r>
    </w:p>
    <w:p>
      <w:pPr>
        <w:spacing w:after="0" w:line="212" w:lineRule="exact"/>
        <w:rPr>
          <w:sz w:val="20"/>
          <w:szCs w:val="20"/>
          <w:color w:val="auto"/>
        </w:rPr>
      </w:pPr>
    </w:p>
    <w:p>
      <w:pPr>
        <w:jc w:val="both"/>
        <w:ind w:firstLine="2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In Europe, we manufacture and market equipment for the global commercial refrigeration markets. We also manufacture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unitary heating and cooling products and applied systems. A de minimis amount of segment revenue relates to services for start-up and commissioning activities.</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8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2023 and 2022, we recognized revenue of $3.0 million and $3.7 million related to our contract liabilities at January 1, 2023 and 2022, respectively. Impairment losses recognized in our receivables and contract assets were de minimis in 2023 and 2022.</w:t>
      </w:r>
    </w:p>
    <w:p>
      <w:pPr>
        <w:spacing w:after="0" w:line="186" w:lineRule="exact"/>
        <w:rPr>
          <w:sz w:val="20"/>
          <w:szCs w:val="20"/>
          <w:color w:val="auto"/>
        </w:rPr>
      </w:pPr>
    </w:p>
    <w:p>
      <w:pPr>
        <w:ind w:right="8400" w:firstLine="7"/>
        <w:spacing w:after="0" w:line="261" w:lineRule="auto"/>
        <w:tabs>
          <w:tab w:leader="none" w:pos="1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120" w:type="dxa"/>
            <w:vAlign w:val="bottom"/>
          </w:tcPr>
          <w:p>
            <w:pPr>
              <w:spacing w:after="0"/>
              <w:rPr>
                <w:sz w:val="16"/>
                <w:szCs w:val="16"/>
                <w:color w:val="auto"/>
              </w:rPr>
            </w:pPr>
          </w:p>
        </w:tc>
        <w:tc>
          <w:tcPr>
            <w:tcW w:w="16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5"/>
        </w:trPr>
        <w:tc>
          <w:tcPr>
            <w:tcW w:w="7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2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2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904.1</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753.0</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2023, in total and by segment, are summarized in the table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6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foreign</w:t>
            </w:r>
          </w:p>
        </w:tc>
        <w:tc>
          <w:tcPr>
            <w:tcW w:w="140" w:type="dxa"/>
            <w:vAlign w:val="bottom"/>
          </w:tcPr>
          <w:p>
            <w:pPr>
              <w:spacing w:after="0"/>
              <w:rPr>
                <w:sz w:val="13"/>
                <w:szCs w:val="13"/>
                <w:color w:val="auto"/>
              </w:rPr>
            </w:pPr>
          </w:p>
        </w:tc>
        <w:tc>
          <w:tcPr>
            <w:tcW w:w="1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5"/>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7"/>
                <w:szCs w:val="17"/>
                <w:color w:val="auto"/>
              </w:rPr>
            </w:pPr>
          </w:p>
        </w:tc>
        <w:tc>
          <w:tcPr>
            <w:tcW w:w="13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4"/>
                <w:szCs w:val="14"/>
                <w:b w:val="1"/>
                <w:bCs w:val="1"/>
                <w:color w:val="auto"/>
                <w:w w:val="95"/>
              </w:rPr>
              <w:t xml:space="preserve">Reallocation </w:t>
            </w:r>
            <w:r>
              <w:rPr>
                <w:rFonts w:ascii="Times New Roman" w:cs="Times New Roman" w:eastAsia="Times New Roman" w:hAnsi="Times New Roman"/>
                <w:sz w:val="18"/>
                <w:szCs w:val="18"/>
                <w:b w:val="1"/>
                <w:bCs w:val="1"/>
                <w:color w:val="auto"/>
                <w:w w:val="95"/>
                <w:vertAlign w:val="superscript"/>
              </w:rPr>
              <w:t>(1)</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 rates</w:t>
            </w:r>
          </w:p>
        </w:tc>
        <w:tc>
          <w:tcPr>
            <w:tcW w:w="140" w:type="dxa"/>
            <w:vAlign w:val="bottom"/>
          </w:tcPr>
          <w:p>
            <w:pPr>
              <w:spacing w:after="0"/>
              <w:rPr>
                <w:sz w:val="17"/>
                <w:szCs w:val="17"/>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Commercial </w:t>
            </w:r>
            <w:r>
              <w:rPr>
                <w:rFonts w:ascii="Times New Roman" w:cs="Times New Roman" w:eastAsia="Times New Roman" w:hAnsi="Times New Roman"/>
                <w:sz w:val="10"/>
                <w:szCs w:val="10"/>
                <w:color w:val="auto"/>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Refrigeration </w:t>
            </w:r>
            <w:r>
              <w:rPr>
                <w:rFonts w:ascii="Times New Roman" w:cs="Times New Roman" w:eastAsia="Times New Roman" w:hAnsi="Times New Roman"/>
                <w:sz w:val="10"/>
                <w:szCs w:val="10"/>
                <w:color w:val="auto"/>
              </w:rPr>
              <w:t>(1)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0"/>
                <w:szCs w:val="10"/>
                <w:color w:val="auto"/>
              </w:rPr>
              <w:t>(1)</w:t>
            </w: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5"/>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three months ended March 31, 2023.</w:t>
      </w:r>
    </w:p>
    <w:p>
      <w:pPr>
        <w:spacing w:after="0" w:line="190" w:lineRule="exact"/>
        <w:rPr>
          <w:sz w:val="20"/>
          <w:szCs w:val="20"/>
          <w:color w:val="auto"/>
        </w:rPr>
      </w:pPr>
    </w:p>
    <w:p>
      <w:pPr>
        <w:jc w:val="both"/>
        <w:ind w:firstLine="247"/>
        <w:spacing w:after="0" w:line="262" w:lineRule="auto"/>
        <w:tabs>
          <w:tab w:leader="none" w:pos="5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Note 2, we recast our segment presentation to present our Heatcraft Worldwide Refrigeration business as a component of our Commercial segment and our European portfolio as a component of Corporate &amp; Other. Since there is no longer a Refrigeration segment, we allocated goodwill to each segment based upon the relative fair value of the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6" w:name="page17"/>
    <w:bookmarkEnd w:id="16"/>
    <w:p>
      <w:pPr>
        <w:jc w:val="both"/>
        <w:spacing w:after="0" w:line="277" w:lineRule="auto"/>
        <w:rPr>
          <w:sz w:val="20"/>
          <w:szCs w:val="20"/>
          <w:color w:val="auto"/>
        </w:rPr>
      </w:pPr>
      <w:r>
        <w:rPr>
          <w:rFonts w:ascii="Times New Roman" w:cs="Times New Roman" w:eastAsia="Times New Roman" w:hAnsi="Times New Roman"/>
          <w:sz w:val="18"/>
          <w:szCs w:val="18"/>
          <w:color w:val="auto"/>
        </w:rPr>
        <w:t>lower percentages are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1"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August 2024. Unrealized gains or losses from our cash flow hedges are included in Accumulated other comprehensive loss (“AOCL”) and are expected to be reclassified into earnings within the next 17 months based on the prices of the commodities and foreign currencies at the settlement dates. We recorded the following amounts in AOCL related to our cash flow hedges (in millions):</w:t>
      </w:r>
    </w:p>
    <w:p>
      <w:pPr>
        <w:spacing w:after="0" w:line="1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center"/>
              <w:ind w:left="121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1233"/>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5"/>
        </w:trPr>
        <w:tc>
          <w:tcPr>
            <w:tcW w:w="7200" w:type="dxa"/>
            <w:vAlign w:val="bottom"/>
            <w:tcBorders>
              <w:bottom w:val="single" w:sz="8" w:color="CCEEFF"/>
            </w:tcBorders>
            <w:shd w:val="clear" w:color="auto" w:fill="CCEEFF"/>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center"/>
              <w:ind w:left="121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480" w:hanging="153"/>
        <w:spacing w:after="0" w:line="227" w:lineRule="auto"/>
        <w:tabs>
          <w:tab w:leader="none" w:pos="5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prices and foreign currency exchange rates remain constant, we expect to reclassify $0.6 million of derivative losses as of March 31, 2023 into earnings within the next 12 months.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7620</wp:posOffset>
            </wp:positionV>
            <wp:extent cx="1645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285" cy="8255"/>
                    </a:xfrm>
                    <a:prstGeom prst="rect">
                      <a:avLst/>
                    </a:prstGeom>
                    <a:noFill/>
                  </pic:spPr>
                </pic:pic>
              </a:graphicData>
            </a:graphic>
          </wp:anchor>
        </w:drawing>
      </w:r>
    </w:p>
    <w:p>
      <w:pPr>
        <w:spacing w:after="0" w:line="3" w:lineRule="exact"/>
        <w:rPr>
          <w:sz w:val="20"/>
          <w:szCs w:val="20"/>
          <w:color w:val="auto"/>
        </w:rPr>
      </w:pPr>
    </w:p>
    <w:p>
      <w:pPr>
        <w:ind w:left="8980"/>
        <w:spacing w:after="0"/>
        <w:tabs>
          <w:tab w:leader="none" w:pos="1030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049135"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9135" cy="15240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8520" w:val="left"/>
          <w:tab w:leader="none" w:pos="9440" w:val="left"/>
          <w:tab w:leader="none" w:pos="9860" w:val="left"/>
          <w:tab w:leader="none" w:pos="10800" w:val="left"/>
        </w:tabs>
        <w:rPr>
          <w:sz w:val="20"/>
          <w:szCs w:val="20"/>
          <w:color w:val="auto"/>
        </w:rPr>
      </w:pPr>
      <w:r>
        <w:rPr>
          <w:rFonts w:ascii="Times New Roman" w:cs="Times New Roman" w:eastAsia="Times New Roman" w:hAnsi="Times New Roman"/>
          <w:sz w:val="18"/>
          <w:szCs w:val="18"/>
          <w:color w:val="auto"/>
        </w:rPr>
        <w:t>Stock-based 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w:t>
        <w:tab/>
        <w:t>$</w:t>
      </w:r>
      <w:r>
        <w:rPr>
          <w:sz w:val="20"/>
          <w:szCs w:val="20"/>
          <w:color w:val="auto"/>
        </w:rPr>
        <w:tab/>
      </w:r>
      <w:r>
        <w:rPr>
          <w:rFonts w:ascii="Times New Roman" w:cs="Times New Roman" w:eastAsia="Times New Roman" w:hAnsi="Times New Roman"/>
          <w:sz w:val="17"/>
          <w:szCs w:val="17"/>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7"/>
              </w:rPr>
              <w:t>1.1</w:t>
            </w:r>
          </w:p>
        </w:tc>
      </w:tr>
      <w:tr>
        <w:trPr>
          <w:trHeight w:val="22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7"/>
              </w:rPr>
              <w:t>1.5</w:t>
            </w:r>
          </w:p>
        </w:tc>
      </w:tr>
      <w:tr>
        <w:trPr>
          <w:trHeight w:val="22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(2.3)</w:t>
            </w:r>
          </w:p>
        </w:tc>
      </w:tr>
      <w:tr>
        <w:trPr>
          <w:trHeight w:val="22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7"/>
              </w:rPr>
              <w:t>1.5</w:t>
            </w:r>
          </w:p>
        </w:tc>
      </w:tr>
      <w:tr>
        <w:trPr>
          <w:trHeight w:val="22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(0.1)</w:t>
            </w:r>
          </w:p>
        </w:tc>
      </w:tr>
      <w:tr>
        <w:trPr>
          <w:trHeight w:val="22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7"/>
              </w:rPr>
              <w:t>0.1</w:t>
            </w:r>
          </w:p>
        </w:tc>
      </w:tr>
      <w:tr>
        <w:trPr>
          <w:trHeight w:val="22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8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1.8</w:t>
            </w:r>
          </w:p>
        </w:tc>
      </w:tr>
      <w:tr>
        <w:trPr>
          <w:trHeight w:val="20"/>
        </w:trPr>
        <w:tc>
          <w:tcPr>
            <w:tcW w:w="8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As of March 31, 2023, we had approximately $3.8 million in total gross unrecognized tax benefits which, if recognized, would be recorded through the Consolidated Statements of Operations.</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are currently in the Bridge program for our U.S. federal income taxes under the Internal Revenue Service’s Compliance Assurance Program for 2021. Our 2022 U.S. federal income tax return will be examined under the Internal Revenue Service’s pilot Bridge Plus program. We are also subject to examination by numerous other taxing authorities in the U.S. and in foreign jurisdictions. We are generally no longer subject to U.S. federal, state and local, or non-U.S. income tax examinations by taxing authorities for years prior to 2016.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our outstanding debt obligations and their classification in the accompanying Consolidated Balance Sheets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0"/>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w:t>
            </w: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March 31, 2023 or December 31, 2022 and there were no borrowings or repayments on these facilities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49" w:lineRule="exact"/>
        <w:rPr>
          <w:sz w:val="20"/>
          <w:szCs w:val="20"/>
          <w:color w:val="auto"/>
        </w:rPr>
      </w:pPr>
    </w:p>
    <w:p>
      <w:pPr>
        <w:jc w:val="both"/>
        <w:ind w:right="80" w:firstLine="241"/>
        <w:spacing w:after="0" w:line="252"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212" w:lineRule="exact"/>
        <w:rPr>
          <w:sz w:val="20"/>
          <w:szCs w:val="20"/>
          <w:color w:val="auto"/>
        </w:rPr>
      </w:pPr>
    </w:p>
    <w:p>
      <w:pPr>
        <w:jc w:val="both"/>
        <w:ind w:right="80" w:firstLine="241"/>
        <w:spacing w:after="0" w:line="257" w:lineRule="auto"/>
        <w:rPr>
          <w:sz w:val="20"/>
          <w:szCs w:val="20"/>
          <w:color w:val="auto"/>
        </w:rPr>
      </w:pPr>
      <w:r>
        <w:rPr>
          <w:rFonts w:ascii="Times New Roman" w:cs="Times New Roman" w:eastAsia="Times New Roman" w:hAnsi="Times New Roman"/>
          <w:sz w:val="18"/>
          <w:szCs w:val="18"/>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80" w:firstLine="241"/>
        <w:spacing w:after="0" w:line="253"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March 31, 2023 and December 31, 2022 were 5.58% and 5.17%,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14" w:lineRule="exact"/>
        <w:rPr>
          <w:sz w:val="20"/>
          <w:szCs w:val="20"/>
          <w:color w:val="auto"/>
        </w:rPr>
      </w:pPr>
    </w:p>
    <w:p>
      <w:pPr>
        <w:jc w:val="both"/>
        <w:ind w:right="80" w:firstLine="241"/>
        <w:spacing w:after="0" w:line="257"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Credit Agreement (as defined below), senior unsecured notes and any other indebtedness we may have over $75.0 million. The administrative agent under the ASP is also a participant in our Credit Agreement, as defined below. The participating financial institutions have investment grade credit ratings. As of March 31, 2023,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right="80" w:firstLine="241"/>
        <w:spacing w:after="0" w:line="262" w:lineRule="auto"/>
        <w:rPr>
          <w:sz w:val="20"/>
          <w:szCs w:val="20"/>
          <w:color w:val="auto"/>
        </w:rPr>
      </w:pPr>
      <w:r>
        <w:rPr>
          <w:rFonts w:ascii="Times New Roman" w:cs="Times New Roman" w:eastAsia="Times New Roman" w:hAnsi="Times New Roman"/>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189" w:lineRule="exact"/>
        <w:rPr>
          <w:sz w:val="20"/>
          <w:szCs w:val="20"/>
          <w:color w:val="auto"/>
        </w:rPr>
      </w:pPr>
    </w:p>
    <w:p>
      <w:pPr>
        <w:jc w:val="both"/>
        <w:ind w:right="80" w:firstLine="241"/>
        <w:spacing w:after="0" w:line="247" w:lineRule="auto"/>
        <w:rPr>
          <w:sz w:val="20"/>
          <w:szCs w:val="20"/>
          <w:color w:val="auto"/>
        </w:rPr>
      </w:pPr>
      <w:r>
        <w:rPr>
          <w:rFonts w:ascii="Times New Roman" w:cs="Times New Roman" w:eastAsia="Times New Roman" w:hAnsi="Times New Roman"/>
          <w:sz w:val="18"/>
          <w:szCs w:val="18"/>
          <w:color w:val="auto"/>
        </w:rPr>
        <w:t>The Credit Agreement consists of a $750.0 million unsecured revolving credit facility. We had outstanding borrowings of $388.0 million as well as $2.0 million committed to standby letters of credit as of March 31, 2023. Subject to covenant limitations, $360.0 million was available for future borrowings.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4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234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r>
    </w:tbl>
    <w:p>
      <w:pPr>
        <w:spacing w:after="0" w:line="316" w:lineRule="exact"/>
        <w:rPr>
          <w:sz w:val="20"/>
          <w:szCs w:val="20"/>
          <w:color w:val="auto"/>
        </w:rPr>
      </w:pPr>
    </w:p>
    <w:p>
      <w:pPr>
        <w:jc w:val="both"/>
        <w:ind w:right="80" w:firstLine="241"/>
        <w:spacing w:after="0" w:line="27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w:t>
      </w: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20" w:top="881" w:right="25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18"/>
          <w:szCs w:val="18"/>
          <w:color w:val="auto"/>
        </w:rPr>
        <w:t>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 (cross default), and bankruptcy. A cross default under our Credit Agreement could occur if:</w:t>
      </w:r>
    </w:p>
    <w:p>
      <w:pPr>
        <w:spacing w:after="0" w:line="204" w:lineRule="exact"/>
        <w:rPr>
          <w:sz w:val="20"/>
          <w:szCs w:val="20"/>
          <w:color w:val="auto"/>
        </w:rPr>
      </w:pPr>
    </w:p>
    <w:p>
      <w:pPr>
        <w:ind w:left="360" w:hanging="113"/>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47" w:lineRule="exact"/>
        <w:rPr>
          <w:rFonts w:ascii="Times New Roman" w:cs="Times New Roman" w:eastAsia="Times New Roman" w:hAnsi="Times New Roman"/>
          <w:sz w:val="18"/>
          <w:szCs w:val="18"/>
          <w:color w:val="auto"/>
        </w:rPr>
      </w:pPr>
    </w:p>
    <w:p>
      <w:pPr>
        <w:jc w:val="both"/>
        <w:ind w:firstLine="247"/>
        <w:spacing w:after="0" w:line="262" w:lineRule="auto"/>
        <w:tabs>
          <w:tab w:leader="none" w:pos="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Credit Agreement,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 As of March 31, 2023,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209"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2023,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29"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7620</wp:posOffset>
            </wp:positionV>
            <wp:extent cx="14757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 Statements of Operations</w:t>
            </w:r>
          </w:p>
        </w:tc>
      </w:tr>
      <w:tr>
        <w:trPr>
          <w:trHeight w:val="19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(Losses) Gains on Cash Flow Hedges:</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60" w:type="dxa"/>
            <w:vAlign w:val="bottom"/>
            <w:shd w:val="clear" w:color="auto" w:fill="CCEEFF"/>
          </w:tcPr>
          <w:p>
            <w:pPr>
              <w:spacing w:after="0"/>
              <w:rPr>
                <w:sz w:val="17"/>
                <w:szCs w:val="17"/>
                <w:color w:val="auto"/>
              </w:rPr>
            </w:pP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Losses (gains) and other expenses, net</w:t>
            </w: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shd w:val="clear" w:color="auto" w:fill="CCEEFF"/>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160"/>
        </w:trPr>
        <w:tc>
          <w:tcPr>
            <w:tcW w:w="35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7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shd w:val="clear" w:color="auto" w:fill="CCEEFF"/>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0"/>
        </w:trPr>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tcPr>
          <w:p>
            <w:pPr>
              <w:spacing w:after="0"/>
              <w:rPr>
                <w:sz w:val="19"/>
                <w:szCs w:val="19"/>
                <w:color w:val="auto"/>
              </w:rPr>
            </w:pPr>
          </w:p>
        </w:tc>
      </w:tr>
      <w:tr>
        <w:trPr>
          <w:trHeight w:val="24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(0.6)</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4.6</w:t>
            </w:r>
          </w:p>
        </w:tc>
        <w:tc>
          <w:tcPr>
            <w:tcW w:w="10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three months ended March 31, 2023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 of equity</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(Losses) Gains on</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method</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investments other</w:t>
            </w:r>
          </w:p>
        </w:tc>
        <w:tc>
          <w:tcPr>
            <w:tcW w:w="13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140" w:type="dxa"/>
            <w:vAlign w:val="bottom"/>
          </w:tcPr>
          <w:p>
            <w:pPr>
              <w:spacing w:after="0"/>
              <w:rPr>
                <w:sz w:val="13"/>
                <w:szCs w:val="13"/>
                <w:color w:val="auto"/>
              </w:rPr>
            </w:pP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8"/>
              </w:rPr>
              <w:t>(4.9)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w:t>
            </w:r>
          </w:p>
        </w:tc>
        <w:tc>
          <w:tcPr>
            <w:tcW w:w="0" w:type="dxa"/>
            <w:vAlign w:val="bottom"/>
          </w:tcPr>
          <w:p>
            <w:pPr>
              <w:spacing w:after="0"/>
              <w:rPr>
                <w:sz w:val="1"/>
                <w:szCs w:val="1"/>
                <w:color w:val="auto"/>
              </w:rPr>
            </w:pPr>
          </w:p>
        </w:tc>
      </w:tr>
      <w:tr>
        <w:trPr>
          <w:trHeight w:val="174"/>
        </w:trPr>
        <w:tc>
          <w:tcPr>
            <w:tcW w:w="43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0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7"/>
              </w:rPr>
              <w:t>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at March 31, 2023 were the same as those used at December 31,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1"/>
        <w:spacing w:after="0" w:line="285"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1" w:name="page22"/>
    <w:bookmarkEnd w:id="21"/>
    <w:p>
      <w:pPr>
        <w:ind w:firstLine="241"/>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spacing w:after="0"/>
              <w:rPr>
                <w:sz w:val="18"/>
                <w:szCs w:val="18"/>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64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5"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2022,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reportable segments are Residential and Commercial. For additional information regarding our reportable segments, see Note 2 in the Notes to the Consolidated Financial Statements.</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2"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Change in Segment Reporting</w:t>
      </w:r>
    </w:p>
    <w:p>
      <w:pPr>
        <w:spacing w:after="0" w:line="251"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 xml:space="preserve">Prior to January 1, 2023, we operated in three reportable business segments. In November 2022, we announced the decision to explore strategic alternatives for our European commercial HVAC and refrigeration businesses. We will continue to operate and invest in our Heatcraft Worldwide Refrigeration business which became part of the Commercial segment effective on January 1, 2023, while the European portfolio will be presented with Corporate and Other until disposition. The consolidation of our Heatcraft business within the Commercial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 All amounts discussed in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reflect the revised segment presentation. See "Recast Segment Results" in Note 2 for both the previously presented segment results as well as the recast financial information to reflect the change in segment presentation.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Results for the first quarter of 2023 were driven by overall year-over-year sales and profit increases. Net sales decreased less than 1% and segment profit increased $3 million for the Residential segment. Net sales increased 10% and segment profit increased $26 million for the Commercial segment. Net sales increased 15% and segment loss increased $3 million for the Corporate &amp; Other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right="20" w:hanging="313"/>
        <w:spacing w:after="0" w:line="25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$36 million to $1,049 million in the first quarter of 2023 driven by favorable price and mix partially offset by lower sales volume and unfavorable foreign currency.</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first quarter of 2023 increased $28 million to $139.5 million primarily driven by higher net sales partially offset by rising costs.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of 2023 was $98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$2.75 per share in the first quarter of 2023 compared to $2.29 per share in the first quarter of 2022.</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we returned $38 million to shareholders through dividend payments.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 Compared to Three Months Ended March 31, 2022 -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480" w:type="dxa"/>
            <w:vAlign w:val="bottom"/>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1,013.4</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24.7 %</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for the first quarter of 2023 compared to the first quarter of 2022 increased as a result of favorable price of 6% and favorable product mix of 5% which was partially offset by lower sales volume of 7% due to general lower residential industry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Gross profit margins in the first quarter of 2023 increased 270 basis points ("bps") to 29.2% compared to 26.5% in the first quarter of 2022. Gross margins increased 400 bps from favorable price, 290 bps from favorable product mix and 90 bps from favorable commodity costs. Partially offsetting these increases were 180 bps from lower volume, 120 bps from higher other product costs, 100 bps from higher component costs, 60 bps from factory inefficiencies, 40 bps from higher freight and distribution costs, and 10 bps from miscellaneous other items.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$12 million to $167.5 million in the first quarter of 2023 compared to $155.3 million in the first quarter of 2022 due to higher employee related costs. As a percentage of net sales, SG&amp;A increased 70 bps to 16.0%.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first quarter of 2023 and 2022 included the following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322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8"/>
        </w:trPr>
        <w:tc>
          <w:tcPr>
            <w:tcW w:w="77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settled future contracts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8"/>
              </w:rPr>
              <w:t>(0.9)</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unsettled futures contracts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8"/>
              </w:rPr>
              <w:t>(0.7)</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7"/>
              </w:rPr>
              <w:t>2.1</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7"/>
              </w:rPr>
              <w:t>0.3</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0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7"/>
              </w:rPr>
              <w:t>0.5</w:t>
            </w:r>
          </w:p>
        </w:tc>
      </w:tr>
      <w:tr>
        <w:trPr>
          <w:trHeight w:val="245"/>
        </w:trPr>
        <w:tc>
          <w:tcPr>
            <w:tcW w:w="77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06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7"/>
              </w:rPr>
              <w:t>0.4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Restructuring charges were immaterial in the first quarter of 2023 and 2022. Restructuring charges related to ongoing cost reduction actions taken in prior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We recognized income from equity method investments of $1 million in the first quarter of 2023 and a loss of $0.1 million in the first quarter of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Interest expense, net increased to $14 million in the first quarter of 2023 from $7 million in the first quarter of 2022 due to higher borrowings costs during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6" w:lineRule="exact"/>
        <w:rPr>
          <w:sz w:val="20"/>
          <w:szCs w:val="20"/>
          <w:color w:val="auto"/>
        </w:rPr>
      </w:pPr>
    </w:p>
    <w:p>
      <w:pPr>
        <w:ind w:right="180" w:firstLine="241"/>
        <w:spacing w:after="0" w:line="246" w:lineRule="auto"/>
        <w:rPr>
          <w:sz w:val="20"/>
          <w:szCs w:val="20"/>
          <w:color w:val="auto"/>
        </w:rPr>
      </w:pPr>
      <w:r>
        <w:rPr>
          <w:rFonts w:ascii="Times New Roman" w:cs="Times New Roman" w:eastAsia="Times New Roman" w:hAnsi="Times New Roman"/>
          <w:sz w:val="18"/>
          <w:szCs w:val="18"/>
          <w:color w:val="auto"/>
        </w:rPr>
        <w:t>Our effective tax rate was 21.7% for the first quarter of 2023 compared to 19.9% for the first quarter of 2022. The rate increased primarily due to a shift in earnings between jurisdictions.</w:t>
      </w:r>
    </w:p>
    <w:p>
      <w:pPr>
        <w:spacing w:after="0" w:line="204"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We expect our annual effective tax rate to be 19-21%, excluding the impacts of excess tax benefits recorded as a reduction of income taxes under ASU No. 2016-09.</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First Quarter of 2023 Compared to First Quarter of 2022 -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Residential segment's net sales and profit for the first quarter of 2023 and 2022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5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1"/>
        </w:trPr>
        <w:tc>
          <w:tcPr>
            <w:tcW w:w="45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681.0</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8"/>
              </w:rPr>
              <w:t>682.2</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8"/>
              </w:rPr>
              <w:t>111.1</w:t>
            </w:r>
          </w:p>
        </w:tc>
        <w:tc>
          <w:tcPr>
            <w:tcW w:w="16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8"/>
              </w:rPr>
              <w:t>107.6</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Net sales decreased 0.2% in the first quarter of 2023 compared to 2022, as sales volume declined 8% and foreign currency and other was 1% unfavorable.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Offsetting these declines were favorable product mix of 5% and higher price of 4%.</w:t>
      </w:r>
    </w:p>
    <w:p>
      <w:pPr>
        <w:spacing w:after="0" w:line="228"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Segment profit in the first quarter of 2023 compared to 2022 increased by $3 million, driven by $25 million from higher price, $9 million from favorable product mix, $6 million from lower commodity costs and $5 million from lower product warranty costs. Partially offsetting these increases were $12 million from lower sales volume, $6 million from higher component costs, $6 million from higher distribution and freight charges, $6 million from higher SG&amp;A costs, $5 million from factory inefficiencies, $4 million from miscellaneous other costs, and $3 million from higher other product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Commercial segment's net sales and profit for the first quarter of 2023 and 2022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35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308.7</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279.5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2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110.1 %</w:t>
            </w: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firstLine="7"/>
        <w:spacing w:after="0" w:line="277"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amounts have been recast to reflect the changes in segment reporting. Please see Note 2 in the Notes to the Consolidated Financial Statements for further detail.</w:t>
      </w:r>
    </w:p>
    <w:p>
      <w:pPr>
        <w:spacing w:after="0" w:line="190"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10% in the first quarter of 2023 compared to 2022 as price increased 9% and improved product mix was 7% favorable. Partially offsetting these increases was a decline in sales volume of 6%.</w:t>
      </w:r>
    </w:p>
    <w:p>
      <w:pPr>
        <w:spacing w:after="0" w:line="190"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7"/>
          <w:szCs w:val="17"/>
          <w:color w:val="auto"/>
        </w:rPr>
        <w:t>Segment profit in the first quarter of 2023 compared to 2022 increased $26 million due to $26 million from favorable price,$16 million from favorable product mix, $4 million from lower commodity prices, $2 million from favorable freight and distribution costs, and $1 million from favorable factory productivity. Partially offsetting these increases was $9 million from higher other product costs, $5 million from lower sales volume, $3 million from higher component costs, $3 million from higher SG&amp;A costs, $2 million from higher product warranty costs, and $1 million from higher miscellaneous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profit for the first quarter of 2023 and 2022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 xml:space="preserve">2022 </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bl>
    <w:p>
      <w:pPr>
        <w:spacing w:after="0" w:line="310" w:lineRule="exact"/>
        <w:rPr>
          <w:sz w:val="20"/>
          <w:szCs w:val="20"/>
          <w:color w:val="auto"/>
        </w:rPr>
      </w:pPr>
    </w:p>
    <w:p>
      <w:pPr>
        <w:ind w:firstLine="7"/>
        <w:spacing w:after="0" w:line="277"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amounts have been recast to reflect the changes in segment reporting. Please see Note 2 in the Notes to the Consolidated Financial Statements for further detail.</w:t>
      </w:r>
    </w:p>
    <w:p>
      <w:pPr>
        <w:spacing w:after="0" w:line="19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Net sales increased $8 million and segment profit decreased $3 million in the first quarter of 2023 compared to 2022. Corporate and Other profit excluding the results of Europe decreased $6 million to $19 million in the first quarter of 2023 compared to 2022, primarily due to increased incentive compensation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three months ended March 31, 2023 and 2022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Borders>
              <w:bottom w:val="single" w:sz="8" w:color="CCEEFF"/>
            </w:tcBorders>
          </w:tcPr>
          <w:p>
            <w:pPr>
              <w:spacing w:after="0"/>
              <w:rPr>
                <w:sz w:val="18"/>
                <w:szCs w:val="18"/>
                <w:color w:val="auto"/>
              </w:rPr>
            </w:pPr>
          </w:p>
        </w:tc>
        <w:tc>
          <w:tcPr>
            <w:tcW w:w="3140" w:type="dxa"/>
            <w:vAlign w:val="bottom"/>
            <w:tcBorders>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0"/>
        </w:trPr>
        <w:tc>
          <w:tcPr>
            <w:tcW w:w="79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(97.9)</w:t>
            </w:r>
          </w:p>
        </w:tc>
      </w:tr>
      <w:tr>
        <w:trPr>
          <w:trHeight w:val="22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(25.7)</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129.1</w:t>
            </w:r>
          </w:p>
        </w:tc>
      </w:tr>
    </w:tbl>
    <w:p>
      <w:pPr>
        <w:spacing w:after="0" w:line="295" w:lineRule="exact"/>
        <w:rPr>
          <w:sz w:val="20"/>
          <w:szCs w:val="20"/>
          <w:color w:val="auto"/>
        </w:rPr>
      </w:pPr>
    </w:p>
    <w:p>
      <w:pPr>
        <w:jc w:val="both"/>
        <w:ind w:firstLine="2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 </w:t>
      </w:r>
      <w:r>
        <w:rPr>
          <w:rFonts w:ascii="Times New Roman" w:cs="Times New Roman" w:eastAsia="Times New Roman" w:hAnsi="Times New Roman"/>
          <w:sz w:val="18"/>
          <w:szCs w:val="18"/>
          <w:color w:val="auto"/>
        </w:rPr>
        <w:t>The change in net cash used in operating activities for the three months ended March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operating activities for the same period in 2022 reflects changes in working capital and an increase in net income.</w:t>
      </w:r>
    </w:p>
    <w:p>
      <w:pPr>
        <w:spacing w:after="0" w:line="187"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$35 million for the three months ended March 31, 2023 compared to $26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2022. Capital expenditures in 2023 were related to our Commercial factory in Mexico, the general expansion of manufacturing capacity and equipment, and investments in systems and software to support the overall enterprise.</w:t>
      </w:r>
    </w:p>
    <w:p>
      <w:pPr>
        <w:spacing w:after="0" w:line="20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 </w:t>
      </w:r>
      <w:r>
        <w:rPr>
          <w:rFonts w:ascii="Times New Roman" w:cs="Times New Roman" w:eastAsia="Times New Roman" w:hAnsi="Times New Roman"/>
          <w:sz w:val="18"/>
          <w:szCs w:val="18"/>
          <w:color w:val="auto"/>
        </w:rPr>
        <w:t>Net cash provided by financing activities for the three months ended March 31, 2023 decreased to $101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$129 million used in the same period of 2022. The change was primarily due to less net borrowings partially offset by less spent on share repurchases. We did not repurchase any shares for the three months ended March 31, 2023 and $200 million in the same period of 2022. We returned $38 million to shareholders through dividend payments for the three months ended March 31, 2023 and $34 million in the same period of 2022. For additional information on share repurchases, refer to Note 5 in the Notes to the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March 31, 2023 (in millions):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2"/>
        </w:trPr>
        <w:tc>
          <w:tcPr>
            <w:tcW w:w="9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0" w:type="dxa"/>
            <w:vAlign w:val="bottom"/>
          </w:tcPr>
          <w:p>
            <w:pPr>
              <w:spacing w:after="0"/>
              <w:rPr>
                <w:sz w:val="1"/>
                <w:szCs w:val="1"/>
                <w:color w:val="auto"/>
              </w:rPr>
            </w:pPr>
          </w:p>
        </w:tc>
      </w:tr>
      <w:tr>
        <w:trPr>
          <w:trHeight w:val="209"/>
        </w:trPr>
        <w:tc>
          <w:tcPr>
            <w:tcW w:w="9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27"/>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9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Credit agreement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7"/>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0"/>
        </w:trPr>
        <w:tc>
          <w:tcPr>
            <w:tcW w:w="9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2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1,667.6</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 w:hanging="313"/>
        <w:spacing w:after="0" w:line="238" w:lineRule="auto"/>
        <w:tabs>
          <w:tab w:leader="none" w:pos="179"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available future borrowings on our Credit Agreement (as defined below) are $360.0 million, after being reduced by the outstanding borrowings and $2.0 million in outstanding standby letters of credit. Refer to Note 10 in the Notes to the Consolidated Financial Statements for more information.</w:t>
      </w:r>
    </w:p>
    <w:p>
      <w:pPr>
        <w:spacing w:after="0" w:line="36" w:lineRule="exact"/>
        <w:rPr>
          <w:rFonts w:ascii="Times New Roman" w:cs="Times New Roman" w:eastAsia="Times New Roman" w:hAnsi="Times New Roman"/>
          <w:sz w:val="22"/>
          <w:szCs w:val="22"/>
          <w:color w:val="auto"/>
          <w:vertAlign w:val="superscript"/>
        </w:rPr>
      </w:pPr>
    </w:p>
    <w:p>
      <w:pPr>
        <w:ind w:left="320" w:hanging="313"/>
        <w:spacing w:after="0" w:line="268" w:lineRule="auto"/>
        <w:tabs>
          <w:tab w:leader="none" w:pos="176"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maximum securitization amount ranges from $300.0 million to $450.0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Both our Asset Securitization Program as well as our $350.0 million 2023 Notes will mature during the year. We are currently evaluating our options related to these obligations including refinancing and other alternatives. We do not believe that our options or alternatives will have any material impact on our results of operations or liquidity.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210"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March 31, 2023, we believe we were in compliance with all covenant requirements.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77" w:lineRule="auto"/>
        <w:rPr>
          <w:sz w:val="20"/>
          <w:szCs w:val="20"/>
          <w:color w:val="auto"/>
        </w:rPr>
      </w:pPr>
      <w:r>
        <w:rPr>
          <w:rFonts w:ascii="Times New Roman" w:cs="Times New Roman" w:eastAsia="Times New Roman" w:hAnsi="Times New Roman"/>
          <w:sz w:val="18"/>
          <w:szCs w:val="18"/>
          <w:color w:val="auto"/>
        </w:rPr>
        <w:t>the appropriate targets for capital expenditures and share repurchases under our share repurchase programs. Our debt-to-total-capital ratio decreased to 108% at March 31, 2023 from 115% at December 31, 2022.</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As of March 31, 2023,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believe our cash and cash equivalents of $40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$40 million as of March 31, 2023 was $22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28"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and are unconditionally guaranteed by certain of our subsidiaries (the "Guarantor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0"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2022. Our exposure to market risk has not changed materially since December 31,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2023,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2022, which could materially affect our business, financial condition or results of operations. There have been no material changes to our risk factors from those disclosed in our Annual Report on Form 10-K for the year ended December 31, 2022.</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first quarter of 2023, we purchased shares of our common stock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95"/>
              <w:spacing w:after="0" w:line="161"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460" w:type="dxa"/>
            <w:vAlign w:val="bottom"/>
          </w:tcPr>
          <w:p>
            <w:pPr>
              <w:jc w:val="right"/>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20"/>
                <w:szCs w:val="20"/>
                <w:b w:val="1"/>
                <w:bCs w:val="1"/>
                <w:color w:val="auto"/>
                <w:w w:val="98"/>
                <w:vertAlign w:val="superscript"/>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w:t>
            </w:r>
          </w:p>
        </w:tc>
        <w:tc>
          <w:tcPr>
            <w:tcW w:w="2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24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00" w:hanging="153"/>
        <w:spacing w:after="0" w:line="227" w:lineRule="auto"/>
        <w:tabs>
          <w:tab w:leader="none" w:pos="446"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shares of common stock we repurchased in January, February and March of 2023 to satisfy employee tax-withholding obligations in connection with the exercise of long-term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1"/>
            <w:shd w:val="clear" w:color="auto" w:fill="CCEEFF"/>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4"/>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9920" w:type="dxa"/>
            <w:vAlign w:val="bottom"/>
            <w:tcBorders>
              <w:bottom w:val="single" w:sz="8" w:color="0000FF"/>
            </w:tcBorders>
            <w:gridSpan w:val="11"/>
            <w:shd w:val="clear" w:color="auto" w:fill="CCEEFF"/>
          </w:tcPr>
          <w:p>
            <w:pPr>
              <w:spacing w:after="0" w:line="187"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Indenture, dated as of May 3, 2010, between LII and U.S. Bank National Association, as trustee (filed as Exhibit 4.3 to LII’s Post-Effective</w:t>
              </w:r>
            </w:hyperlink>
          </w:p>
        </w:tc>
        <w:tc>
          <w:tcPr>
            <w:tcW w:w="320" w:type="dxa"/>
            <w:vAlign w:val="bottom"/>
            <w:tcBorders>
              <w:bottom w:val="single" w:sz="8" w:color="CCEEFF"/>
            </w:tcBorders>
            <w:gridSpan w:val="10"/>
            <w:shd w:val="clear" w:color="auto" w:fill="CCEEFF"/>
          </w:tcPr>
          <w:p>
            <w:pPr>
              <w:spacing w:after="0"/>
              <w:rPr>
                <w:sz w:val="16"/>
                <w:szCs w:val="16"/>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10220" w:type="dxa"/>
            <w:vAlign w:val="bottom"/>
            <w:tcBorders>
              <w:bottom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Amendment No. 1 to Registration Statement on S-3 (Registration No. 333-155796) filed on May 3, 2010 and incorporated herein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Sixth Supplemental Indenture, dated as of November 3, 2016, among LII, each other existing Guarantor under the Indenture, dated as of May 3</w:t>
              </w:r>
            </w:hyperlink>
          </w:p>
        </w:tc>
      </w:tr>
      <w:tr>
        <w:trPr>
          <w:trHeight w:val="154"/>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8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filed on November 3, 2016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3.000% Notes due 2023 (filed as Exhibit A in Exhibit 4.2 to LII’s Current Report on Form 8-K filed on November 3, 2016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incorporated herein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4"/>
        </w:trPr>
        <w:tc>
          <w:tcPr>
            <w:tcW w:w="920" w:type="dxa"/>
            <w:vAlign w:val="bottom"/>
          </w:tcPr>
          <w:p>
            <w:pPr>
              <w:spacing w:after="0"/>
              <w:rPr>
                <w:sz w:val="13"/>
                <w:szCs w:val="13"/>
                <w:color w:val="auto"/>
              </w:rPr>
            </w:pPr>
          </w:p>
        </w:tc>
        <w:tc>
          <w:tcPr>
            <w:tcW w:w="101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2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Form of 1.350% Notes due 2025 (filed as Exhibit A in Exhibit 4.2 to LII’s Current Report on Form 8-K filed on July 30, 2020 and incorporate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4"/>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4"/>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List of Guarantor Subsidiaries (filed as Exhibit 22.1 to LII's Annual Report on Form 10-K filed on February 21, 2023 and incorporated herein</w:t>
              </w:r>
            </w:hyperlink>
          </w:p>
        </w:tc>
      </w:tr>
      <w:tr>
        <w:trPr>
          <w:trHeight w:val="154"/>
        </w:trPr>
        <w:tc>
          <w:tcPr>
            <w:tcW w:w="920" w:type="dxa"/>
            <w:vAlign w:val="bottom"/>
          </w:tcPr>
          <w:p>
            <w:pPr>
              <w:spacing w:after="0"/>
              <w:rPr>
                <w:sz w:val="13"/>
                <w:szCs w:val="13"/>
                <w:color w:val="auto"/>
              </w:rPr>
            </w:pPr>
          </w:p>
        </w:tc>
        <w:tc>
          <w:tcPr>
            <w:tcW w:w="101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by reference).</w:t>
              </w:r>
            </w:hyperlink>
          </w:p>
        </w:tc>
        <w:tc>
          <w:tcPr>
            <w:tcW w:w="140" w:type="dxa"/>
            <w:vAlign w:val="bottom"/>
            <w:gridSpan w:val="7"/>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(filed herewith).</w:t>
            </w:r>
          </w:p>
        </w:tc>
        <w:tc>
          <w:tcPr>
            <w:tcW w:w="5760" w:type="dxa"/>
            <w:vAlign w:val="bottom"/>
            <w:tcBorders>
              <w:bottom w:val="single" w:sz="8" w:color="CCEEFF"/>
            </w:tcBorders>
            <w:gridSpan w:val="14"/>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1"/>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FF"/>
            </w:tcBorders>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420" w:type="dxa"/>
            <w:vAlign w:val="bottom"/>
            <w:tcBorders>
              <w:bottom w:val="single" w:sz="8" w:color="CCEEFF"/>
            </w:tcBorders>
            <w:gridSpan w:val="11"/>
            <w:shd w:val="clear" w:color="auto" w:fill="CCEEFF"/>
          </w:tcPr>
          <w:p>
            <w:pPr>
              <w:spacing w:after="0"/>
              <w:rPr>
                <w:sz w:val="18"/>
                <w:szCs w:val="18"/>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INS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1160" w:hanging="89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79" w:right="239" w:bottom="1440" w:gutter="0" w:footer="0" w:header="0"/>
        </w:sectPr>
      </w:pPr>
    </w:p>
    <w:bookmarkStart w:id="31" w:name="page32"/>
    <w:bookmarkEnd w:id="3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Joseph W. Reitmeier</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420"/>
          </w:cols>
          <w:pgMar w:left="320" w:top="1119" w:right="11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960" w:right="180" w:hanging="312"/>
        <w:spacing w:after="0" w:line="262" w:lineRule="auto"/>
        <w:tabs>
          <w:tab w:leader="none" w:pos="9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960" w:right="480" w:hanging="312"/>
        <w:spacing w:after="0" w:line="262" w:lineRule="auto"/>
        <w:tabs>
          <w:tab w:leader="none" w:pos="9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960" w:right="640" w:hanging="312"/>
        <w:spacing w:after="0" w:line="308" w:lineRule="auto"/>
        <w:tabs>
          <w:tab w:leader="none" w:pos="9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60" w:right="180" w:hanging="312"/>
        <w:spacing w:after="0" w:line="262" w:lineRule="auto"/>
        <w:tabs>
          <w:tab w:leader="none" w:pos="9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960" w:right="80" w:hanging="312"/>
        <w:spacing w:after="0" w:line="277" w:lineRule="auto"/>
        <w:tabs>
          <w:tab w:leader="none" w:pos="9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960" w:right="40" w:hanging="312"/>
        <w:spacing w:after="0" w:line="277" w:lineRule="auto"/>
        <w:tabs>
          <w:tab w:leader="none" w:pos="9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4"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1280" w:right="40" w:hanging="632"/>
        <w:spacing w:after="0" w:line="262" w:lineRule="auto"/>
        <w:tabs>
          <w:tab w:leader="none" w:pos="12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280" w:right="40" w:hanging="632"/>
        <w:spacing w:after="0" w:line="262"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right="580" w:hanging="632"/>
        <w:spacing w:after="0" w:line="308" w:lineRule="auto"/>
        <w:tabs>
          <w:tab w:leader="none" w:pos="12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7"/>
          <w:szCs w:val="17"/>
          <w:color w:val="auto"/>
        </w:rPr>
      </w:pPr>
    </w:p>
    <w:p>
      <w:pPr>
        <w:ind w:left="1280" w:right="260" w:hanging="632"/>
        <w:spacing w:after="0" w:line="277" w:lineRule="auto"/>
        <w:tabs>
          <w:tab w:leader="none" w:pos="12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60" w:firstLine="441"/>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March 31, 2023 as filed with the Securities and Exchange Commission on the date hereof (the “Report”), each of the undersigned, Alok Maskara,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9" w:lineRule="exact"/>
        <w:rPr>
          <w:sz w:val="20"/>
          <w:szCs w:val="20"/>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2023</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2023</w:t>
      </w:r>
    </w:p>
    <w:p>
      <w:pPr>
        <w:spacing w:after="0" w:line="16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972"/>
    </w:lvl>
  </w:abstractNum>
  <w:abstractNum w:abstractNumId="3">
    <w:nsid w:val="1F16E9E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45" Type="http://schemas.openxmlformats.org/officeDocument/2006/relationships/hyperlink" Target="https://www.sec.gov/Archives/edgar/data/1069202/000162828023004257/lii-ex31_20221231x10k.htm" TargetMode="External"/><Relationship Id="rId46" Type="http://schemas.openxmlformats.org/officeDocument/2006/relationships/hyperlink" Target="https://www.sec.gov/Archives/edgar/data/1069202/000162828023004257/lii-ex32_20221231x10k.htm" TargetMode="External"/><Relationship Id="rId47" Type="http://schemas.openxmlformats.org/officeDocument/2006/relationships/hyperlink" Target="https://www.sec.gov/Archives/edgar/data/1017609/000095012310042399/d72548exv4w3.htm" TargetMode="External"/><Relationship Id="rId48" Type="http://schemas.openxmlformats.org/officeDocument/2006/relationships/hyperlink" Target="https://www.sec.gov/Archives/edgar/data/1069202/000119312516758285/d284193dex42.htm" TargetMode="External"/><Relationship Id="rId49" Type="http://schemas.openxmlformats.org/officeDocument/2006/relationships/hyperlink" Target="https://www.sec.gov/Archives/edgar/data/1069202/000119312520203588/d22651dex42.htm" TargetMode="External"/><Relationship Id="rId50" Type="http://schemas.openxmlformats.org/officeDocument/2006/relationships/hyperlink" Target="https://www.sec.gov/Archives/edgar/data/1069202/000162828022002664/lii-ex47_20211231x10k.htm" TargetMode="External"/><Relationship Id="rId51" Type="http://schemas.openxmlformats.org/officeDocument/2006/relationships/hyperlink" Target="https://www.sec.gov/Archives/edgar/data/1069202/000162828023004257/lii-ex221_2022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2023-04-27T11:30:32Z</dcterms:created>
  <dcterms:modified xsi:type="dcterms:W3CDTF">2023-04-27T11:30:32Z</dcterms:modified>
</cp:coreProperties>
</file>