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10-K</w:t>
      </w:r>
    </w:p>
    <w:p>
      <w:pPr>
        <w:spacing w:after="0" w:line="206"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001-15149</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LENNOX INTERNATIONAL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6" w:lineRule="exact"/>
        <w:rPr>
          <w:sz w:val="24"/>
          <w:szCs w:val="24"/>
          <w:color w:val="auto"/>
        </w:rPr>
      </w:pPr>
    </w:p>
    <w:tbl>
      <w:tblPr>
        <w:tblLayout w:type="fixed"/>
        <w:tblInd w:w="3660" w:type="dxa"/>
        <w:tblCellMar>
          <w:top w:w="0" w:type="dxa"/>
          <w:left w:w="0" w:type="dxa"/>
          <w:bottom w:w="0" w:type="dxa"/>
          <w:right w:w="0" w:type="dxa"/>
        </w:tblCellMar>
      </w:tblPr>
      <w:tr>
        <w:trPr>
          <w:trHeight w:val="210"/>
        </w:trPr>
        <w:tc>
          <w:tcPr>
            <w:tcW w:w="2260" w:type="dxa"/>
            <w:vAlign w:val="bottom"/>
          </w:tcPr>
          <w:p>
            <w:pPr>
              <w:jc w:val="center"/>
              <w:ind w:right="465"/>
              <w:spacing w:after="0"/>
              <w:rPr>
                <w:sz w:val="20"/>
                <w:szCs w:val="20"/>
                <w:color w:val="auto"/>
              </w:rPr>
            </w:pPr>
            <w:r>
              <w:rPr>
                <w:rFonts w:ascii="Arial" w:cs="Arial" w:eastAsia="Arial" w:hAnsi="Arial"/>
                <w:sz w:val="16"/>
                <w:szCs w:val="16"/>
                <w:b w:val="1"/>
                <w:bCs w:val="1"/>
                <w:color w:val="auto"/>
                <w:w w:val="91"/>
              </w:rPr>
              <w:t>Delaware</w:t>
            </w:r>
          </w:p>
        </w:tc>
        <w:tc>
          <w:tcPr>
            <w:tcW w:w="1880" w:type="dxa"/>
            <w:vAlign w:val="bottom"/>
          </w:tcPr>
          <w:p>
            <w:pPr>
              <w:jc w:val="center"/>
              <w:ind w:left="465"/>
              <w:spacing w:after="0"/>
              <w:rPr>
                <w:sz w:val="20"/>
                <w:szCs w:val="20"/>
                <w:color w:val="auto"/>
              </w:rPr>
            </w:pPr>
            <w:r>
              <w:rPr>
                <w:rFonts w:ascii="Arial" w:cs="Arial" w:eastAsia="Arial" w:hAnsi="Arial"/>
                <w:sz w:val="16"/>
                <w:szCs w:val="16"/>
                <w:b w:val="1"/>
                <w:bCs w:val="1"/>
                <w:color w:val="auto"/>
                <w:w w:val="91"/>
              </w:rPr>
              <w:t>42-0991521</w:t>
            </w:r>
          </w:p>
        </w:tc>
      </w:tr>
      <w:tr>
        <w:trPr>
          <w:trHeight w:val="224"/>
        </w:trPr>
        <w:tc>
          <w:tcPr>
            <w:tcW w:w="2260" w:type="dxa"/>
            <w:vAlign w:val="bottom"/>
          </w:tcPr>
          <w:p>
            <w:pPr>
              <w:jc w:val="center"/>
              <w:ind w:right="465"/>
              <w:spacing w:after="0"/>
              <w:rPr>
                <w:sz w:val="20"/>
                <w:szCs w:val="20"/>
                <w:color w:val="auto"/>
              </w:rPr>
            </w:pPr>
            <w:r>
              <w:rPr>
                <w:rFonts w:ascii="Arial" w:cs="Arial" w:eastAsia="Arial" w:hAnsi="Arial"/>
                <w:sz w:val="14"/>
                <w:szCs w:val="14"/>
                <w:color w:val="auto"/>
                <w:w w:val="95"/>
              </w:rPr>
              <w:t>(State or other jurisdiction of</w:t>
            </w:r>
          </w:p>
        </w:tc>
        <w:tc>
          <w:tcPr>
            <w:tcW w:w="1880" w:type="dxa"/>
            <w:vAlign w:val="bottom"/>
          </w:tcPr>
          <w:p>
            <w:pPr>
              <w:jc w:val="center"/>
              <w:ind w:left="465"/>
              <w:spacing w:after="0"/>
              <w:rPr>
                <w:sz w:val="20"/>
                <w:szCs w:val="20"/>
                <w:color w:val="auto"/>
              </w:rPr>
            </w:pPr>
            <w:r>
              <w:rPr>
                <w:rFonts w:ascii="Arial" w:cs="Arial" w:eastAsia="Arial" w:hAnsi="Arial"/>
                <w:sz w:val="14"/>
                <w:szCs w:val="14"/>
                <w:color w:val="auto"/>
                <w:w w:val="95"/>
              </w:rPr>
              <w:t>(I.R.S. Employer</w:t>
            </w:r>
          </w:p>
        </w:tc>
      </w:tr>
      <w:tr>
        <w:trPr>
          <w:trHeight w:val="203"/>
        </w:trPr>
        <w:tc>
          <w:tcPr>
            <w:tcW w:w="2260" w:type="dxa"/>
            <w:vAlign w:val="bottom"/>
          </w:tcPr>
          <w:p>
            <w:pPr>
              <w:jc w:val="center"/>
              <w:ind w:right="465"/>
              <w:spacing w:after="0"/>
              <w:rPr>
                <w:sz w:val="20"/>
                <w:szCs w:val="20"/>
                <w:color w:val="auto"/>
              </w:rPr>
            </w:pPr>
            <w:r>
              <w:rPr>
                <w:rFonts w:ascii="Arial" w:cs="Arial" w:eastAsia="Arial" w:hAnsi="Arial"/>
                <w:sz w:val="14"/>
                <w:szCs w:val="14"/>
                <w:color w:val="auto"/>
                <w:w w:val="94"/>
              </w:rPr>
              <w:t>incorporation or organization)</w:t>
            </w:r>
          </w:p>
        </w:tc>
        <w:tc>
          <w:tcPr>
            <w:tcW w:w="1880" w:type="dxa"/>
            <w:vAlign w:val="bottom"/>
          </w:tcPr>
          <w:p>
            <w:pPr>
              <w:jc w:val="center"/>
              <w:ind w:left="465"/>
              <w:spacing w:after="0"/>
              <w:rPr>
                <w:sz w:val="20"/>
                <w:szCs w:val="20"/>
                <w:color w:val="auto"/>
              </w:rPr>
            </w:pPr>
            <w:r>
              <w:rPr>
                <w:rFonts w:ascii="Arial" w:cs="Arial" w:eastAsia="Arial" w:hAnsi="Arial"/>
                <w:sz w:val="14"/>
                <w:szCs w:val="14"/>
                <w:color w:val="auto"/>
                <w:w w:val="97"/>
              </w:rPr>
              <w:t>Identification Number)</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2140 Lake Park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Richardson, Texas 75080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497-5000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1"/>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Common Stock, $.01 par value per share</w:t>
            </w:r>
          </w:p>
        </w:tc>
        <w:tc>
          <w:tcPr>
            <w:tcW w:w="8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4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9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by checkmark if the registrant is a well-known seasoned issuer, as defined in Rule 405 of the Securities Act.</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Yes [X] No [ ]</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if the registrant is not required to file reports pursuant to Section 13 or 15(d) of the Exchange Act.</w:t>
      </w:r>
    </w:p>
    <w:p>
      <w:pPr>
        <w:spacing w:after="0" w:line="23"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Yes [ ] No [X]</w:t>
      </w:r>
    </w:p>
    <w:p>
      <w:pPr>
        <w:spacing w:after="0" w:line="116" w:lineRule="exact"/>
        <w:rPr>
          <w:sz w:val="24"/>
          <w:szCs w:val="24"/>
          <w:color w:val="auto"/>
        </w:rPr>
      </w:pPr>
    </w:p>
    <w:p>
      <w:pPr>
        <w:jc w:val="both"/>
        <w:ind w:firstLine="23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87" w:lineRule="exact"/>
        <w:rPr>
          <w:sz w:val="24"/>
          <w:szCs w:val="24"/>
          <w:color w:val="auto"/>
        </w:rPr>
      </w:pPr>
    </w:p>
    <w:p>
      <w:pPr>
        <w:jc w:val="both"/>
        <w:ind w:firstLine="23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S-T(§232.405 of this chapter) during the preceding 12 months (or for such shorter period that the registrant was required to submit and post such files). Yes [X] No [ ]</w:t>
      </w:r>
    </w:p>
    <w:p>
      <w:pPr>
        <w:spacing w:after="0" w:line="87" w:lineRule="exact"/>
        <w:rPr>
          <w:sz w:val="24"/>
          <w:szCs w:val="24"/>
          <w:color w:val="auto"/>
        </w:rPr>
      </w:pPr>
    </w:p>
    <w:p>
      <w:pPr>
        <w:jc w:val="both"/>
        <w:ind w:firstLine="23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87" w:lineRule="exact"/>
        <w:rPr>
          <w:sz w:val="24"/>
          <w:szCs w:val="24"/>
          <w:color w:val="auto"/>
        </w:rPr>
      </w:pPr>
    </w:p>
    <w:p>
      <w:pPr>
        <w:jc w:val="both"/>
        <w:spacing w:after="0" w:line="27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ind w:left="1860"/>
        <w:spacing w:after="0"/>
        <w:rPr>
          <w:sz w:val="20"/>
          <w:szCs w:val="20"/>
          <w:color w:val="auto"/>
        </w:rPr>
      </w:pPr>
      <w:r>
        <w:rPr>
          <w:rFonts w:ascii="Arial" w:cs="Arial" w:eastAsia="Arial" w:hAnsi="Arial"/>
          <w:sz w:val="18"/>
          <w:szCs w:val="18"/>
          <w:color w:val="auto"/>
        </w:rPr>
        <w:t>Large Accelerated Filer [X] Accelerated Filer [ ] Non-Accelerated Filer [ ] Smaller Reporting Company [ ]</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116" w:lineRule="exact"/>
        <w:rPr>
          <w:sz w:val="24"/>
          <w:szCs w:val="24"/>
          <w:color w:val="auto"/>
        </w:rPr>
      </w:pPr>
    </w:p>
    <w:p>
      <w:pPr>
        <w:jc w:val="both"/>
        <w:ind w:firstLine="230"/>
        <w:spacing w:after="0" w:line="264" w:lineRule="auto"/>
        <w:rPr>
          <w:sz w:val="20"/>
          <w:szCs w:val="20"/>
          <w:color w:val="auto"/>
        </w:rPr>
      </w:pPr>
      <w:r>
        <w:rPr>
          <w:rFonts w:ascii="Arial" w:cs="Arial" w:eastAsia="Arial" w:hAnsi="Arial"/>
          <w:sz w:val="18"/>
          <w:szCs w:val="18"/>
          <w:color w:val="auto"/>
        </w:rPr>
        <w:t>As of June 30, 2013, the aggregate market value of the common stock held by non-affiliates of the registrant was approximately $3.2 billion based on the closing price of the registrant's common stock on the New York Stock Exchange on the prior business day. As of February 7, 2014, there were 48,939,790 shares of the registrant's common stock outstanding.</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4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Portions of the registrant's Definitive Proxy Statement to be filed with the Securities and Exchange Commission in connection with the registrant's 2014 Annual Meeting of Stockholders to be held on May 15, 2014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8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5"/>
          </w:tcPr>
          <w:p>
            <w:pPr>
              <w:ind w:left="20"/>
              <w:spacing w:after="0"/>
              <w:rPr>
                <w:sz w:val="20"/>
                <w:szCs w:val="20"/>
                <w:color w:val="auto"/>
              </w:rPr>
            </w:pPr>
            <w:r>
              <w:rPr>
                <w:rFonts w:ascii="Arial" w:cs="Arial" w:eastAsia="Arial" w:hAnsi="Arial"/>
                <w:sz w:val="18"/>
                <w:szCs w:val="18"/>
                <w:b w:val="1"/>
                <w:bCs w:val="1"/>
                <w:color w:val="auto"/>
              </w:rPr>
              <w:t>Page</w:t>
            </w:r>
          </w:p>
        </w:tc>
      </w:tr>
      <w:tr>
        <w:trPr>
          <w:trHeight w:val="27"/>
        </w:trPr>
        <w:tc>
          <w:tcPr>
            <w:tcW w:w="1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91"/>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3"/>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1.</w:t>
            </w:r>
          </w:p>
        </w:tc>
        <w:tc>
          <w:tcPr>
            <w:tcW w:w="7560" w:type="dxa"/>
            <w:vAlign w:val="bottom"/>
            <w:gridSpan w:val="24"/>
            <w:shd w:val="clear" w:color="auto" w:fill="CCEEFF"/>
          </w:tcPr>
          <w:p>
            <w:pPr>
              <w:ind w:lef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480" w:type="dxa"/>
            <w:vAlign w:val="bottom"/>
            <w:gridSpan w:val="4"/>
            <w:shd w:val="clear" w:color="auto" w:fill="CCEEFF"/>
          </w:tcPr>
          <w:p>
            <w:pPr>
              <w:jc w:val="center"/>
              <w:ind w:left="19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80" w:type="dxa"/>
            <w:vAlign w:val="bottom"/>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1A.</w:t>
            </w:r>
          </w:p>
        </w:tc>
        <w:tc>
          <w:tcPr>
            <w:tcW w:w="7560" w:type="dxa"/>
            <w:vAlign w:val="bottom"/>
            <w:gridSpan w:val="24"/>
          </w:tcPr>
          <w:p>
            <w:pPr>
              <w:ind w:lef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480" w:type="dxa"/>
            <w:vAlign w:val="bottom"/>
            <w:gridSpan w:val="4"/>
          </w:tcPr>
          <w:p>
            <w:pPr>
              <w:jc w:val="center"/>
              <w:ind w:left="190"/>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28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1B.</w:t>
            </w:r>
          </w:p>
        </w:tc>
        <w:tc>
          <w:tcPr>
            <w:tcW w:w="2060" w:type="dxa"/>
            <w:vAlign w:val="bottom"/>
            <w:gridSpan w:val="12"/>
            <w:shd w:val="clear" w:color="auto" w:fill="CCEEFF"/>
          </w:tcPr>
          <w:p>
            <w:pPr>
              <w:ind w:left="20"/>
              <w:spacing w:after="0" w:line="202"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Unresolved Staff Comments</w:t>
              </w:r>
            </w:hyperlink>
          </w:p>
        </w:tc>
        <w:tc>
          <w:tcPr>
            <w:tcW w:w="5500" w:type="dxa"/>
            <w:vAlign w:val="bottom"/>
            <w:gridSpan w:val="12"/>
            <w:shd w:val="clear" w:color="auto" w:fill="CCEEFF"/>
          </w:tcPr>
          <w:p>
            <w:pPr>
              <w:spacing w:after="0"/>
              <w:rPr>
                <w:sz w:val="17"/>
                <w:szCs w:val="17"/>
                <w:color w:val="auto"/>
              </w:rPr>
            </w:pPr>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12</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2.</w:t>
            </w:r>
          </w:p>
        </w:tc>
        <w:tc>
          <w:tcPr>
            <w:tcW w:w="2060" w:type="dxa"/>
            <w:vAlign w:val="bottom"/>
            <w:gridSpan w:val="12"/>
          </w:tcPr>
          <w:p>
            <w:pPr>
              <w:ind w:left="2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Properties</w:t>
              </w:r>
            </w:hyperlink>
          </w:p>
        </w:tc>
        <w:tc>
          <w:tcPr>
            <w:tcW w:w="5500" w:type="dxa"/>
            <w:vAlign w:val="bottom"/>
            <w:gridSpan w:val="12"/>
          </w:tcPr>
          <w:p>
            <w:pPr>
              <w:spacing w:after="0"/>
              <w:rPr>
                <w:sz w:val="17"/>
                <w:szCs w:val="17"/>
                <w:color w:val="auto"/>
              </w:rPr>
            </w:pPr>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13</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3.</w:t>
            </w:r>
          </w:p>
        </w:tc>
        <w:tc>
          <w:tcPr>
            <w:tcW w:w="7560" w:type="dxa"/>
            <w:vAlign w:val="bottom"/>
            <w:gridSpan w:val="24"/>
            <w:shd w:val="clear" w:color="auto" w:fill="CCEEFF"/>
          </w:tcPr>
          <w:p>
            <w:pPr>
              <w:ind w:left="2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Legal Proceedings</w:t>
              </w:r>
            </w:hyperlink>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15">
              <w:r>
                <w:rPr>
                  <w:rFonts w:ascii="Arial" w:cs="Arial" w:eastAsia="Arial" w:hAnsi="Arial"/>
                  <w:sz w:val="18"/>
                  <w:szCs w:val="18"/>
                  <w:color w:val="0000FF"/>
                  <w:w w:val="89"/>
                </w:rPr>
                <w:t>13</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4.</w:t>
            </w:r>
          </w:p>
        </w:tc>
        <w:tc>
          <w:tcPr>
            <w:tcW w:w="7560" w:type="dxa"/>
            <w:vAlign w:val="bottom"/>
            <w:gridSpan w:val="24"/>
          </w:tcPr>
          <w:p>
            <w:pPr>
              <w:ind w:left="2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Mine Safety Disclosures</w:t>
              </w:r>
            </w:hyperlink>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97"/>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3"/>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13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ITEM 5.</w:t>
            </w:r>
          </w:p>
        </w:tc>
        <w:tc>
          <w:tcPr>
            <w:tcW w:w="7320" w:type="dxa"/>
            <w:vAlign w:val="bottom"/>
            <w:tcBorders>
              <w:bottom w:val="single" w:sz="8" w:color="0000FF"/>
            </w:tcBorders>
            <w:gridSpan w:val="23"/>
            <w:shd w:val="clear" w:color="auto" w:fill="CCEEFF"/>
          </w:tcPr>
          <w:p>
            <w:pPr>
              <w:ind w:left="20"/>
              <w:spacing w:after="0" w:line="202" w:lineRule="exact"/>
              <w:rPr>
                <w:rFonts w:ascii="Arial" w:cs="Arial" w:eastAsia="Arial" w:hAnsi="Arial"/>
                <w:sz w:val="18"/>
                <w:szCs w:val="18"/>
                <w:color w:val="0000FF"/>
                <w:w w:val="90"/>
              </w:rPr>
            </w:pPr>
            <w:hyperlink w:anchor="page16">
              <w:r>
                <w:rPr>
                  <w:rFonts w:ascii="Arial" w:cs="Arial" w:eastAsia="Arial" w:hAnsi="Arial"/>
                  <w:sz w:val="18"/>
                  <w:szCs w:val="18"/>
                  <w:color w:val="0000FF"/>
                  <w:w w:val="90"/>
                </w:rPr>
                <w:t>Market for Registrant's Common Equity, Related Stockholder Matters and Issuer Purchases of Equity</w:t>
              </w:r>
            </w:hyperlink>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0"/>
              <w:spacing w:after="0" w:line="196" w:lineRule="exact"/>
              <w:rPr>
                <w:rFonts w:ascii="Arial" w:cs="Arial" w:eastAsia="Arial" w:hAnsi="Arial"/>
                <w:sz w:val="18"/>
                <w:szCs w:val="18"/>
                <w:color w:val="0000FF"/>
                <w:w w:val="85"/>
              </w:rPr>
            </w:pPr>
            <w:hyperlink w:anchor="page16">
              <w:r>
                <w:rPr>
                  <w:rFonts w:ascii="Arial" w:cs="Arial" w:eastAsia="Arial" w:hAnsi="Arial"/>
                  <w:sz w:val="18"/>
                  <w:szCs w:val="18"/>
                  <w:color w:val="0000FF"/>
                  <w:w w:val="85"/>
                </w:rPr>
                <w:t>Securities</w:t>
              </w:r>
            </w:hyperlink>
          </w:p>
        </w:tc>
        <w:tc>
          <w:tcPr>
            <w:tcW w:w="6840" w:type="dxa"/>
            <w:vAlign w:val="bottom"/>
            <w:gridSpan w:val="22"/>
            <w:shd w:val="clear" w:color="auto" w:fill="CCEEFF"/>
          </w:tcPr>
          <w:p>
            <w:pPr>
              <w:spacing w:after="0"/>
              <w:rPr>
                <w:sz w:val="17"/>
                <w:szCs w:val="17"/>
                <w:color w:val="auto"/>
              </w:rPr>
            </w:pPr>
          </w:p>
        </w:tc>
        <w:tc>
          <w:tcPr>
            <w:tcW w:w="760" w:type="dxa"/>
            <w:vAlign w:val="bottom"/>
            <w:gridSpan w:val="5"/>
            <w:shd w:val="clear" w:color="auto" w:fill="CCEEFF"/>
          </w:tcPr>
          <w:p>
            <w:pPr>
              <w:jc w:val="center"/>
              <w:spacing w:after="0" w:line="196"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6.</w:t>
            </w:r>
          </w:p>
        </w:tc>
        <w:tc>
          <w:tcPr>
            <w:tcW w:w="7560" w:type="dxa"/>
            <w:vAlign w:val="bottom"/>
            <w:gridSpan w:val="24"/>
          </w:tcPr>
          <w:p>
            <w:pPr>
              <w:ind w:left="2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Selected Financial Data</w:t>
              </w:r>
            </w:hyperlink>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17">
              <w:r>
                <w:rPr>
                  <w:rFonts w:ascii="Arial" w:cs="Arial" w:eastAsia="Arial" w:hAnsi="Arial"/>
                  <w:sz w:val="18"/>
                  <w:szCs w:val="18"/>
                  <w:color w:val="0000FF"/>
                  <w:w w:val="89"/>
                </w:rPr>
                <w:t>16</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7.</w:t>
            </w:r>
          </w:p>
        </w:tc>
        <w:tc>
          <w:tcPr>
            <w:tcW w:w="6460" w:type="dxa"/>
            <w:vAlign w:val="bottom"/>
            <w:gridSpan w:val="20"/>
            <w:shd w:val="clear" w:color="auto" w:fill="CCEEFF"/>
          </w:tcPr>
          <w:p>
            <w:pPr>
              <w:ind w:left="20"/>
              <w:spacing w:after="0" w:line="202" w:lineRule="exact"/>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1100" w:type="dxa"/>
            <w:vAlign w:val="bottom"/>
            <w:gridSpan w:val="4"/>
            <w:shd w:val="clear" w:color="auto" w:fill="CCEEFF"/>
          </w:tcPr>
          <w:p>
            <w:pPr>
              <w:spacing w:after="0"/>
              <w:rPr>
                <w:sz w:val="17"/>
                <w:szCs w:val="17"/>
                <w:color w:val="auto"/>
              </w:rPr>
            </w:pPr>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7A.</w:t>
            </w:r>
          </w:p>
        </w:tc>
        <w:tc>
          <w:tcPr>
            <w:tcW w:w="6460" w:type="dxa"/>
            <w:vAlign w:val="bottom"/>
            <w:gridSpan w:val="20"/>
          </w:tcPr>
          <w:p>
            <w:pPr>
              <w:ind w:left="2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1100" w:type="dxa"/>
            <w:vAlign w:val="bottom"/>
            <w:gridSpan w:val="4"/>
          </w:tcPr>
          <w:p>
            <w:pPr>
              <w:spacing w:after="0"/>
              <w:rPr>
                <w:sz w:val="17"/>
                <w:szCs w:val="17"/>
                <w:color w:val="auto"/>
              </w:rPr>
            </w:pPr>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8.</w:t>
            </w:r>
          </w:p>
        </w:tc>
        <w:tc>
          <w:tcPr>
            <w:tcW w:w="3340" w:type="dxa"/>
            <w:vAlign w:val="bottom"/>
            <w:gridSpan w:val="15"/>
            <w:shd w:val="clear" w:color="auto" w:fill="CCEEFF"/>
          </w:tcPr>
          <w:p>
            <w:pPr>
              <w:ind w:left="20"/>
              <w:spacing w:after="0" w:line="202" w:lineRule="exact"/>
              <w:rPr>
                <w:rFonts w:ascii="Arial" w:cs="Arial" w:eastAsia="Arial" w:hAnsi="Arial"/>
                <w:sz w:val="18"/>
                <w:szCs w:val="18"/>
                <w:color w:val="0000FF"/>
                <w:w w:val="88"/>
              </w:rPr>
            </w:pPr>
            <w:hyperlink w:anchor="page34">
              <w:r>
                <w:rPr>
                  <w:rFonts w:ascii="Arial" w:cs="Arial" w:eastAsia="Arial" w:hAnsi="Arial"/>
                  <w:sz w:val="18"/>
                  <w:szCs w:val="18"/>
                  <w:color w:val="0000FF"/>
                  <w:w w:val="88"/>
                </w:rPr>
                <w:t>Financial Statements and Supplementary Data</w:t>
              </w:r>
            </w:hyperlink>
          </w:p>
        </w:tc>
        <w:tc>
          <w:tcPr>
            <w:tcW w:w="4220" w:type="dxa"/>
            <w:vAlign w:val="bottom"/>
            <w:gridSpan w:val="9"/>
            <w:shd w:val="clear" w:color="auto" w:fill="CCEEFF"/>
          </w:tcPr>
          <w:p>
            <w:pPr>
              <w:spacing w:after="0"/>
              <w:rPr>
                <w:sz w:val="17"/>
                <w:szCs w:val="17"/>
                <w:color w:val="auto"/>
              </w:rPr>
            </w:pPr>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9.</w:t>
            </w:r>
          </w:p>
        </w:tc>
        <w:tc>
          <w:tcPr>
            <w:tcW w:w="7560" w:type="dxa"/>
            <w:vAlign w:val="bottom"/>
            <w:gridSpan w:val="24"/>
          </w:tcPr>
          <w:p>
            <w:pPr>
              <w:ind w:left="20"/>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Changes in and Disagreements With Accountants on Accounting and Financial Disclosure</w:t>
              </w:r>
            </w:hyperlink>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9A.</w:t>
            </w:r>
          </w:p>
        </w:tc>
        <w:tc>
          <w:tcPr>
            <w:tcW w:w="1780" w:type="dxa"/>
            <w:vAlign w:val="bottom"/>
            <w:gridSpan w:val="10"/>
            <w:shd w:val="clear" w:color="auto" w:fill="CCEEFF"/>
          </w:tcPr>
          <w:p>
            <w:pPr>
              <w:ind w:left="20"/>
              <w:spacing w:after="0" w:line="202" w:lineRule="exact"/>
              <w:rPr>
                <w:rFonts w:ascii="Arial" w:cs="Arial" w:eastAsia="Arial" w:hAnsi="Arial"/>
                <w:sz w:val="18"/>
                <w:szCs w:val="18"/>
                <w:color w:val="0000FF"/>
                <w:w w:val="87"/>
              </w:rPr>
            </w:pPr>
            <w:hyperlink w:anchor="page90">
              <w:r>
                <w:rPr>
                  <w:rFonts w:ascii="Arial" w:cs="Arial" w:eastAsia="Arial" w:hAnsi="Arial"/>
                  <w:sz w:val="18"/>
                  <w:szCs w:val="18"/>
                  <w:color w:val="0000FF"/>
                  <w:w w:val="87"/>
                </w:rPr>
                <w:t>Controls and Procedures</w:t>
              </w:r>
            </w:hyperlink>
          </w:p>
        </w:tc>
        <w:tc>
          <w:tcPr>
            <w:tcW w:w="5780" w:type="dxa"/>
            <w:vAlign w:val="bottom"/>
            <w:gridSpan w:val="14"/>
            <w:shd w:val="clear" w:color="auto" w:fill="CCEEFF"/>
          </w:tcPr>
          <w:p>
            <w:pPr>
              <w:spacing w:after="0"/>
              <w:rPr>
                <w:sz w:val="17"/>
                <w:szCs w:val="17"/>
                <w:color w:val="auto"/>
              </w:rPr>
            </w:pPr>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87</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9B.</w:t>
            </w:r>
          </w:p>
        </w:tc>
        <w:tc>
          <w:tcPr>
            <w:tcW w:w="1780" w:type="dxa"/>
            <w:vAlign w:val="bottom"/>
            <w:gridSpan w:val="10"/>
          </w:tcPr>
          <w:p>
            <w:pPr>
              <w:ind w:left="20"/>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Other Information</w:t>
              </w:r>
            </w:hyperlink>
          </w:p>
        </w:tc>
        <w:tc>
          <w:tcPr>
            <w:tcW w:w="5780" w:type="dxa"/>
            <w:vAlign w:val="bottom"/>
            <w:gridSpan w:val="14"/>
          </w:tcPr>
          <w:p>
            <w:pPr>
              <w:spacing w:after="0"/>
              <w:rPr>
                <w:sz w:val="17"/>
                <w:szCs w:val="17"/>
                <w:color w:val="auto"/>
              </w:rPr>
            </w:pPr>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87</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324"/>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43"/>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10.</w:t>
            </w:r>
          </w:p>
        </w:tc>
        <w:tc>
          <w:tcPr>
            <w:tcW w:w="7560" w:type="dxa"/>
            <w:vAlign w:val="bottom"/>
            <w:gridSpan w:val="24"/>
            <w:shd w:val="clear" w:color="auto" w:fill="CCEEFF"/>
          </w:tcPr>
          <w:p>
            <w:pPr>
              <w:ind w:left="20"/>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Directors, Executive Officers and Corporate Governance</w:t>
              </w:r>
            </w:hyperlink>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87</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11.</w:t>
            </w:r>
          </w:p>
        </w:tc>
        <w:tc>
          <w:tcPr>
            <w:tcW w:w="4100" w:type="dxa"/>
            <w:vAlign w:val="bottom"/>
            <w:gridSpan w:val="16"/>
          </w:tcPr>
          <w:p>
            <w:pPr>
              <w:ind w:left="20"/>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Executive Compensation</w:t>
              </w:r>
            </w:hyperlink>
          </w:p>
        </w:tc>
        <w:tc>
          <w:tcPr>
            <w:tcW w:w="3460" w:type="dxa"/>
            <w:vAlign w:val="bottom"/>
            <w:gridSpan w:val="8"/>
          </w:tcPr>
          <w:p>
            <w:pPr>
              <w:spacing w:after="0"/>
              <w:rPr>
                <w:sz w:val="17"/>
                <w:szCs w:val="17"/>
                <w:color w:val="auto"/>
              </w:rPr>
            </w:pPr>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87</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12.</w:t>
            </w:r>
          </w:p>
        </w:tc>
        <w:tc>
          <w:tcPr>
            <w:tcW w:w="7560" w:type="dxa"/>
            <w:vAlign w:val="bottom"/>
            <w:gridSpan w:val="24"/>
            <w:shd w:val="clear" w:color="auto" w:fill="CCEEFF"/>
          </w:tcPr>
          <w:p>
            <w:pPr>
              <w:ind w:left="20"/>
              <w:spacing w:after="0" w:line="202" w:lineRule="exact"/>
              <w:rPr>
                <w:rFonts w:ascii="Arial" w:cs="Arial" w:eastAsia="Arial" w:hAnsi="Arial"/>
                <w:sz w:val="18"/>
                <w:szCs w:val="18"/>
                <w:color w:val="0000FF"/>
                <w:w w:val="93"/>
              </w:rPr>
            </w:pPr>
            <w:hyperlink w:anchor="page90">
              <w:r>
                <w:rPr>
                  <w:rFonts w:ascii="Arial" w:cs="Arial" w:eastAsia="Arial" w:hAnsi="Arial"/>
                  <w:sz w:val="18"/>
                  <w:szCs w:val="18"/>
                  <w:color w:val="0000FF"/>
                  <w:w w:val="93"/>
                </w:rPr>
                <w:t>Security Ownership of Certain Beneficial Owners and Management and Related Stockholder Matters</w:t>
              </w:r>
            </w:hyperlink>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87</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13.</w:t>
            </w:r>
          </w:p>
        </w:tc>
        <w:tc>
          <w:tcPr>
            <w:tcW w:w="7300" w:type="dxa"/>
            <w:vAlign w:val="bottom"/>
            <w:gridSpan w:val="22"/>
          </w:tcPr>
          <w:p>
            <w:pPr>
              <w:ind w:left="2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Certain Relationships and Related Transactions, and Director Independence</w:t>
              </w:r>
            </w:hyperlink>
          </w:p>
        </w:tc>
        <w:tc>
          <w:tcPr>
            <w:tcW w:w="260" w:type="dxa"/>
            <w:vAlign w:val="bottom"/>
            <w:gridSpan w:val="2"/>
          </w:tcPr>
          <w:p>
            <w:pPr>
              <w:spacing w:after="0"/>
              <w:rPr>
                <w:sz w:val="17"/>
                <w:szCs w:val="17"/>
                <w:color w:val="auto"/>
              </w:rPr>
            </w:pPr>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88</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50"/>
        </w:trPr>
        <w:tc>
          <w:tcPr>
            <w:tcW w:w="1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ITEM 14.</w:t>
            </w:r>
          </w:p>
        </w:tc>
        <w:tc>
          <w:tcPr>
            <w:tcW w:w="7560" w:type="dxa"/>
            <w:vAlign w:val="bottom"/>
            <w:gridSpan w:val="24"/>
            <w:shd w:val="clear" w:color="auto" w:fill="CCEEFF"/>
          </w:tcPr>
          <w:p>
            <w:pPr>
              <w:ind w:left="2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Principal Accounting Fees and Services</w:t>
              </w:r>
            </w:hyperlink>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88</w:t>
              </w:r>
            </w:hyperlink>
          </w:p>
        </w:tc>
      </w:tr>
      <w:tr>
        <w:trPr>
          <w:trHeight w:val="338"/>
        </w:trPr>
        <w:tc>
          <w:tcPr>
            <w:tcW w:w="138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50"/>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03"/>
        </w:trPr>
        <w:tc>
          <w:tcPr>
            <w:tcW w:w="1380" w:type="dxa"/>
            <w:vAlign w:val="bottom"/>
          </w:tcPr>
          <w:p>
            <w:pPr>
              <w:ind w:left="160"/>
              <w:spacing w:after="0" w:line="202" w:lineRule="exact"/>
              <w:rPr>
                <w:sz w:val="20"/>
                <w:szCs w:val="20"/>
                <w:color w:val="auto"/>
              </w:rPr>
            </w:pPr>
            <w:r>
              <w:rPr>
                <w:rFonts w:ascii="Arial" w:cs="Arial" w:eastAsia="Arial" w:hAnsi="Arial"/>
                <w:sz w:val="18"/>
                <w:szCs w:val="18"/>
                <w:color w:val="auto"/>
              </w:rPr>
              <w:t>ITEM 15.</w:t>
            </w:r>
          </w:p>
        </w:tc>
        <w:tc>
          <w:tcPr>
            <w:tcW w:w="7560" w:type="dxa"/>
            <w:vAlign w:val="bottom"/>
            <w:gridSpan w:val="24"/>
          </w:tcPr>
          <w:p>
            <w:pPr>
              <w:ind w:left="2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Exhibits and Financial Statement Schedules</w:t>
              </w:r>
            </w:hyperlink>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88</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324"/>
        </w:trPr>
        <w:tc>
          <w:tcPr>
            <w:tcW w:w="1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560" w:type="dxa"/>
            <w:vAlign w:val="bottom"/>
            <w:gridSpan w:val="24"/>
          </w:tcPr>
          <w:p>
            <w:pPr>
              <w:ind w:left="2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SIGNATURES</w:t>
              </w:r>
            </w:hyperlink>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89</w:t>
              </w:r>
            </w:hyperlink>
          </w:p>
        </w:tc>
      </w:tr>
      <w:tr>
        <w:trPr>
          <w:trHeight w:val="48"/>
        </w:trPr>
        <w:tc>
          <w:tcPr>
            <w:tcW w:w="138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1380" w:type="dxa"/>
            <w:vAlign w:val="bottom"/>
            <w:shd w:val="clear" w:color="auto" w:fill="CCEEFF"/>
          </w:tcPr>
          <w:p>
            <w:pPr>
              <w:spacing w:after="0"/>
              <w:rPr>
                <w:sz w:val="17"/>
                <w:szCs w:val="17"/>
                <w:color w:val="auto"/>
              </w:rPr>
            </w:pPr>
          </w:p>
        </w:tc>
        <w:tc>
          <w:tcPr>
            <w:tcW w:w="6260" w:type="dxa"/>
            <w:vAlign w:val="bottom"/>
            <w:gridSpan w:val="19"/>
            <w:shd w:val="clear" w:color="auto" w:fill="CCEEFF"/>
          </w:tcPr>
          <w:p>
            <w:pPr>
              <w:ind w:left="20"/>
              <w:spacing w:after="0" w:line="202" w:lineRule="exact"/>
              <w:rPr>
                <w:rFonts w:ascii="Arial" w:cs="Arial" w:eastAsia="Arial" w:hAnsi="Arial"/>
                <w:sz w:val="18"/>
                <w:szCs w:val="18"/>
                <w:color w:val="0000FF"/>
                <w:w w:val="97"/>
              </w:rPr>
            </w:pPr>
            <w:hyperlink w:anchor="page92">
              <w:r>
                <w:rPr>
                  <w:rFonts w:ascii="Arial" w:cs="Arial" w:eastAsia="Arial" w:hAnsi="Arial"/>
                  <w:sz w:val="18"/>
                  <w:szCs w:val="18"/>
                  <w:color w:val="0000FF"/>
                  <w:w w:val="97"/>
                </w:rPr>
                <w:t>SCHEDULE II - VALUATION AND QUALIFYING ACCOUNTS AND RESERVES</w:t>
              </w:r>
            </w:hyperlink>
          </w:p>
        </w:tc>
        <w:tc>
          <w:tcPr>
            <w:tcW w:w="1300" w:type="dxa"/>
            <w:vAlign w:val="bottom"/>
            <w:gridSpan w:val="5"/>
            <w:shd w:val="clear" w:color="auto" w:fill="CCEEFF"/>
          </w:tcPr>
          <w:p>
            <w:pPr>
              <w:spacing w:after="0"/>
              <w:rPr>
                <w:sz w:val="17"/>
                <w:szCs w:val="17"/>
                <w:color w:val="auto"/>
              </w:rPr>
            </w:pPr>
          </w:p>
        </w:tc>
        <w:tc>
          <w:tcPr>
            <w:tcW w:w="760" w:type="dxa"/>
            <w:vAlign w:val="bottom"/>
            <w:gridSpan w:val="5"/>
            <w:shd w:val="clear" w:color="auto" w:fill="CCEEFF"/>
          </w:tcPr>
          <w:p>
            <w:pPr>
              <w:jc w:val="center"/>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90</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spacing w:after="0"/>
              <w:rPr>
                <w:sz w:val="17"/>
                <w:szCs w:val="17"/>
                <w:color w:val="auto"/>
              </w:rPr>
            </w:pPr>
          </w:p>
        </w:tc>
        <w:tc>
          <w:tcPr>
            <w:tcW w:w="1720" w:type="dxa"/>
            <w:vAlign w:val="bottom"/>
            <w:gridSpan w:val="8"/>
          </w:tcPr>
          <w:p>
            <w:pPr>
              <w:ind w:left="20"/>
              <w:spacing w:after="0" w:line="202" w:lineRule="exact"/>
              <w:rPr>
                <w:rFonts w:ascii="Arial" w:cs="Arial" w:eastAsia="Arial" w:hAnsi="Arial"/>
                <w:sz w:val="18"/>
                <w:szCs w:val="18"/>
                <w:color w:val="0000FF"/>
                <w:w w:val="97"/>
              </w:rPr>
            </w:pPr>
            <w:hyperlink w:anchor="page93">
              <w:r>
                <w:rPr>
                  <w:rFonts w:ascii="Arial" w:cs="Arial" w:eastAsia="Arial" w:hAnsi="Arial"/>
                  <w:sz w:val="18"/>
                  <w:szCs w:val="18"/>
                  <w:color w:val="0000FF"/>
                  <w:w w:val="97"/>
                </w:rPr>
                <w:t>INDEX TO EXHIBITS</w:t>
              </w:r>
            </w:hyperlink>
          </w:p>
        </w:tc>
        <w:tc>
          <w:tcPr>
            <w:tcW w:w="4540" w:type="dxa"/>
            <w:vAlign w:val="bottom"/>
            <w:gridSpan w:val="11"/>
          </w:tcPr>
          <w:p>
            <w:pPr>
              <w:spacing w:after="0"/>
              <w:rPr>
                <w:sz w:val="17"/>
                <w:szCs w:val="17"/>
                <w:color w:val="auto"/>
              </w:rPr>
            </w:pPr>
          </w:p>
        </w:tc>
        <w:tc>
          <w:tcPr>
            <w:tcW w:w="1300" w:type="dxa"/>
            <w:vAlign w:val="bottom"/>
            <w:gridSpan w:val="5"/>
          </w:tcPr>
          <w:p>
            <w:pPr>
              <w:spacing w:after="0"/>
              <w:rPr>
                <w:sz w:val="17"/>
                <w:szCs w:val="17"/>
                <w:color w:val="auto"/>
              </w:rPr>
            </w:pPr>
          </w:p>
        </w:tc>
        <w:tc>
          <w:tcPr>
            <w:tcW w:w="760" w:type="dxa"/>
            <w:vAlign w:val="bottom"/>
            <w:gridSpan w:val="5"/>
          </w:tcPr>
          <w:p>
            <w:pPr>
              <w:jc w:val="center"/>
              <w:spacing w:after="0" w:line="202"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91</w:t>
              </w:r>
            </w:hyperlink>
          </w:p>
        </w:tc>
      </w:tr>
      <w:tr>
        <w:trPr>
          <w:trHeight w:val="507"/>
        </w:trPr>
        <w:tc>
          <w:tcPr>
            <w:tcW w:w="1380" w:type="dxa"/>
            <w:vAlign w:val="bottom"/>
          </w:tcPr>
          <w:p>
            <w:pPr>
              <w:spacing w:after="0"/>
              <w:rPr>
                <w:sz w:val="24"/>
                <w:szCs w:val="24"/>
                <w:color w:val="auto"/>
              </w:rPr>
            </w:pPr>
          </w:p>
        </w:tc>
        <w:tc>
          <w:tcPr>
            <w:tcW w:w="1720" w:type="dxa"/>
            <w:vAlign w:val="bottom"/>
            <w:tcBorders>
              <w:top w:val="single" w:sz="8" w:color="0000FF"/>
            </w:tcBorders>
            <w:gridSpan w:val="8"/>
          </w:tcPr>
          <w:p>
            <w:pPr>
              <w:spacing w:after="0"/>
              <w:rPr>
                <w:sz w:val="24"/>
                <w:szCs w:val="24"/>
                <w:color w:val="auto"/>
              </w:rPr>
            </w:pPr>
          </w:p>
        </w:tc>
        <w:tc>
          <w:tcPr>
            <w:tcW w:w="2380" w:type="dxa"/>
            <w:vAlign w:val="bottom"/>
            <w:gridSpan w:val="8"/>
          </w:tcPr>
          <w:p>
            <w:pPr>
              <w:jc w:val="right"/>
              <w:ind w:right="5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9700"/>
          </w:cols>
          <w:pgMar w:left="1100" w:top="796" w:right="10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0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References in this Annual Report on Form 10-K to “we,” “our,” “us,” “LII” or the “Company” refer to Lennox International Inc. and its subsidiaries,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a leading global provider of climate control solutions and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Shown in the table below are our three business segments, the key products, services and well-known product and brand names within each segment and net sales in 2013 by segment. Segment financial data for 2013, 2012 and 2011, including financial information about foreign and domestic operations, is included in Note 19 of the Notes to our Consolidated Financial Statements in “Item 8. Financial Statements and Supplementary Data” and is incorporated herein by reference.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Net Sales (in</w:t>
            </w:r>
          </w:p>
        </w:tc>
      </w:tr>
      <w:tr>
        <w:trPr>
          <w:trHeight w:val="234"/>
        </w:trPr>
        <w:tc>
          <w:tcPr>
            <w:tcW w:w="2080" w:type="dxa"/>
            <w:vAlign w:val="bottom"/>
            <w:gridSpan w:val="2"/>
          </w:tcPr>
          <w:p>
            <w:pPr>
              <w:ind w:left="660"/>
              <w:spacing w:after="0"/>
              <w:rPr>
                <w:sz w:val="20"/>
                <w:szCs w:val="20"/>
                <w:color w:val="auto"/>
              </w:rPr>
            </w:pPr>
            <w:r>
              <w:rPr>
                <w:rFonts w:ascii="Arial" w:cs="Arial" w:eastAsia="Arial" w:hAnsi="Arial"/>
                <w:sz w:val="18"/>
                <w:szCs w:val="18"/>
                <w:b w:val="1"/>
                <w:bCs w:val="1"/>
                <w:color w:val="auto"/>
              </w:rPr>
              <w:t>Segment</w:t>
            </w:r>
          </w:p>
        </w:tc>
        <w:tc>
          <w:tcPr>
            <w:tcW w:w="3760" w:type="dxa"/>
            <w:vAlign w:val="bottom"/>
            <w:gridSpan w:val="2"/>
          </w:tcPr>
          <w:p>
            <w:pPr>
              <w:ind w:left="1040"/>
              <w:spacing w:after="0"/>
              <w:rPr>
                <w:sz w:val="20"/>
                <w:szCs w:val="20"/>
                <w:color w:val="auto"/>
              </w:rPr>
            </w:pPr>
            <w:r>
              <w:rPr>
                <w:rFonts w:ascii="Arial" w:cs="Arial" w:eastAsia="Arial" w:hAnsi="Arial"/>
                <w:sz w:val="18"/>
                <w:szCs w:val="18"/>
                <w:b w:val="1"/>
                <w:bCs w:val="1"/>
                <w:color w:val="auto"/>
              </w:rPr>
              <w:t>Products &amp; Services</w:t>
            </w:r>
          </w:p>
        </w:tc>
        <w:tc>
          <w:tcPr>
            <w:tcW w:w="4220" w:type="dxa"/>
            <w:vAlign w:val="bottom"/>
          </w:tcPr>
          <w:p>
            <w:pPr>
              <w:ind w:left="1080"/>
              <w:spacing w:after="0"/>
              <w:rPr>
                <w:sz w:val="20"/>
                <w:szCs w:val="20"/>
                <w:color w:val="auto"/>
              </w:rPr>
            </w:pPr>
            <w:r>
              <w:rPr>
                <w:rFonts w:ascii="Arial" w:cs="Arial" w:eastAsia="Arial" w:hAnsi="Arial"/>
                <w:sz w:val="18"/>
                <w:szCs w:val="18"/>
                <w:b w:val="1"/>
                <w:bCs w:val="1"/>
                <w:color w:val="auto"/>
              </w:rPr>
              <w:t>Product and Brand Names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millions)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Heating &amp;</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Furnaces, air conditioners, heat pumps, packaged</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Lennox, Dave Lennox Signature, Armstrong Air,</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1,583.2</w:t>
            </w:r>
          </w:p>
        </w:tc>
      </w:tr>
      <w:tr>
        <w:trPr>
          <w:trHeight w:val="21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Cooling</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heating and cooling systems, indoor air quality</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Ducane, Aire-Flo, Air-Ease, Concord, Magic-Pak, ADP</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 comfort control products,</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Advanced Distributor Products, iComfort and Lennox</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replacement parts</w:t>
            </w: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PartsPlus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Commercial Heating &amp;</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w w:val="98"/>
              </w:rPr>
              <w:t>Unitary heating and air conditioning equipment,</w:t>
            </w:r>
          </w:p>
        </w:tc>
        <w:tc>
          <w:tcPr>
            <w:tcW w:w="4220" w:type="dxa"/>
            <w:vAlign w:val="bottom"/>
          </w:tcPr>
          <w:p>
            <w:pPr>
              <w:ind w:left="20"/>
              <w:spacing w:after="0"/>
              <w:rPr>
                <w:sz w:val="20"/>
                <w:szCs w:val="20"/>
                <w:color w:val="auto"/>
              </w:rPr>
            </w:pPr>
            <w:r>
              <w:rPr>
                <w:rFonts w:ascii="Arial" w:cs="Arial" w:eastAsia="Arial" w:hAnsi="Arial"/>
                <w:sz w:val="18"/>
                <w:szCs w:val="18"/>
                <w:color w:val="auto"/>
              </w:rPr>
              <w:t>Lennox, Allied Commercial, Magic-Pak, Raider,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844.4</w:t>
            </w: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Cooling</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w w:val="94"/>
              </w:rPr>
              <w:t>applied systems, controls, installation and service</w:t>
            </w:r>
          </w:p>
        </w:tc>
        <w:tc>
          <w:tcPr>
            <w:tcW w:w="4220" w:type="dxa"/>
            <w:vAlign w:val="bottom"/>
          </w:tcPr>
          <w:p>
            <w:pPr>
              <w:ind w:left="20"/>
              <w:spacing w:after="0"/>
              <w:rPr>
                <w:sz w:val="20"/>
                <w:szCs w:val="20"/>
                <w:color w:val="auto"/>
              </w:rPr>
            </w:pPr>
            <w:r>
              <w:rPr>
                <w:rFonts w:ascii="Arial" w:cs="Arial" w:eastAsia="Arial" w:hAnsi="Arial"/>
                <w:sz w:val="18"/>
                <w:szCs w:val="18"/>
                <w:color w:val="auto"/>
                <w:w w:val="96"/>
              </w:rPr>
              <w:t>Landmark, Prodigy, Strategos, Energence and Lennox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of commercial heating and cooling equipment</w:t>
            </w:r>
          </w:p>
        </w:tc>
        <w:tc>
          <w:tcPr>
            <w:tcW w:w="4220" w:type="dxa"/>
            <w:vAlign w:val="bottom"/>
          </w:tcPr>
          <w:p>
            <w:pPr>
              <w:ind w:left="20"/>
              <w:spacing w:after="0"/>
              <w:rPr>
                <w:sz w:val="20"/>
                <w:szCs w:val="20"/>
                <w:color w:val="auto"/>
              </w:rPr>
            </w:pPr>
            <w:r>
              <w:rPr>
                <w:rFonts w:ascii="Arial" w:cs="Arial" w:eastAsia="Arial" w:hAnsi="Arial"/>
                <w:sz w:val="18"/>
                <w:szCs w:val="18"/>
                <w:color w:val="auto"/>
              </w:rPr>
              <w:t>National Account Services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Condensing units, unit coolers, fluid coolers, air</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Heatcraft Worldwide Refrigeration, Bohn, Larkin,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771.5</w:t>
            </w: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cooled condensers, air handlers, process chillers,</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Climate Control, Chandler Refrigeration, Kysor/Warren,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controls, compressorized racks, supermarket</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Friga-Bohn, HK Refrigeration, Hyfra, Kirby 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display cases and systems</w:t>
            </w: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Interlink</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57"/>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3,199.1</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March 22, 2013, the Company sold its Service Experts business to a majority-owned entity of American Capital, Ltd. in an all cash transaction for proceeds, excluding transaction costs, of $10.4 million. The Service Experts business had previously been reported within our Service Experts segment along with the Lennox National Account Services ("NAS") commercial services business. Beginning in the third quarter of 2012, the Service Experts business was included in discontinued operations, NAS was included in our Commercial Heating &amp; Cooling segment, and the Service Experts reportable segment was eliminated. Segment results for all periods have been revised to reflect this new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i w:val="1"/>
          <w:iCs w:val="1"/>
          <w:color w:val="auto"/>
        </w:rPr>
        <w:t>Heating &amp; Cooling Products</w:t>
      </w:r>
      <w:r>
        <w:rPr>
          <w:rFonts w:ascii="Arial" w:cs="Arial" w:eastAsia="Arial" w:hAnsi="Arial"/>
          <w:sz w:val="17"/>
          <w:szCs w:val="17"/>
          <w:color w:val="auto"/>
        </w:rPr>
        <w:t>. We manufacture and market a broad range of furnaces, air conditioners, heat pumps, packaged heating and cooling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comfort control products, accessories to improve indoor air quality, replacement parts and related products for both the residential replacement and new construction markets in North America. These products are available in a variety of designs and efficiency levels and at a range of price points, and are intended to provide a complete line of home comfort systems. We believe that by maintaining a broad product line marketed under multiple brand names, we can address different market segments and penetrate multiple distribution channels.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“Lennox” and “Aire-Flo” brands are sold directly to a network of approximately 7,000 independent installing dealers,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 w:name="page4"/>
    <w:bookmarkEnd w:id="3"/>
    <w:p>
      <w:pPr>
        <w:jc w:val="both"/>
        <w:ind w:right="20"/>
        <w:spacing w:after="0" w:line="264" w:lineRule="auto"/>
        <w:rPr>
          <w:sz w:val="20"/>
          <w:szCs w:val="20"/>
          <w:color w:val="auto"/>
        </w:rPr>
      </w:pPr>
      <w:r>
        <w:rPr>
          <w:rFonts w:ascii="Arial" w:cs="Arial" w:eastAsia="Arial" w:hAnsi="Arial"/>
          <w:sz w:val="18"/>
          <w:szCs w:val="18"/>
          <w:color w:val="auto"/>
        </w:rPr>
        <w:t>making us one of the largest wholesale distributors of residential heating and air conditioning products in North America. The Allied Air Enterprise brands (“Armstrong Air,” “Air-Ease,” “Concord,” “Ducane,” and “Magic-Pak”) include a full line of heating and air conditioning products and are sold through independent distributors in North America.</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continuing to grow our network of over 130 Lennox PartsPlus stores across the United States and Canada. These stores provide an easy access solution for contractors and independent dealers to obtain universal service and replacement parts, supplies, convenience items, tools, Lennox equipment and OEM parts.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Advanced Distributor Products (“ADP”) operation builds evaporator coils and air handlers under the “ADP Advanced Distributor Products” brand, as well as the “Lennox” brand. ADP sells its own ADP branded evaporator coils to over 400 HVAC wholesale distributors across North America as well as a full line of evaporator coils to Allied Air Enterprise.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i w:val="1"/>
          <w:iCs w:val="1"/>
          <w:color w:val="auto"/>
        </w:rPr>
        <w:t>North America</w:t>
      </w:r>
      <w:r>
        <w:rPr>
          <w:rFonts w:ascii="Arial" w:cs="Arial" w:eastAsia="Arial" w:hAnsi="Arial"/>
          <w:sz w:val="17"/>
          <w:szCs w:val="17"/>
          <w:color w:val="auto"/>
        </w:rPr>
        <w:t>. In North America, we manufacture and sell unitary heating and cooling equipment used in light commercial applications, such as low-rise</w:t>
      </w:r>
      <w:r>
        <w:rPr>
          <w:rFonts w:ascii="Arial" w:cs="Arial" w:eastAsia="Arial" w:hAnsi="Arial"/>
          <w:sz w:val="17"/>
          <w:szCs w:val="17"/>
          <w:i w:val="1"/>
          <w:iCs w:val="1"/>
          <w:color w:val="auto"/>
        </w:rPr>
        <w:t xml:space="preserve"> </w:t>
      </w:r>
      <w:r>
        <w:rPr>
          <w:rFonts w:ascii="Arial" w:cs="Arial" w:eastAsia="Arial" w:hAnsi="Arial"/>
          <w:sz w:val="17"/>
          <w:szCs w:val="17"/>
          <w:color w:val="auto"/>
        </w:rPr>
        <w:t>office buildings, restaurants, retail centers, churches and schools. Our product offerings for these applications include rooftop units ranging from 2 to 50 tons of cooling capacity and split system/air handler combinations, which range from 1.5 to 20 tons of cooling capacity. These products are distributed primarily through commercial contractors and directly to national account customers. We believe the success of our products is attributable to their efficiency, design flexibility, total cost of ownership, low life-cycle cost, ease of service and advanced control technology.</w:t>
      </w:r>
    </w:p>
    <w:p>
      <w:pPr>
        <w:spacing w:after="0" w:line="1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National Account Services</w:t>
      </w:r>
      <w:r>
        <w:rPr>
          <w:rFonts w:ascii="Arial" w:cs="Arial" w:eastAsia="Arial" w:hAnsi="Arial"/>
          <w:sz w:val="18"/>
          <w:szCs w:val="18"/>
          <w:color w:val="auto"/>
        </w:rPr>
        <w:t>. NAS provides service and preventive maintenance for commercial HVAC national account customers in the United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Canada.</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Europe</w:t>
      </w:r>
      <w:r>
        <w:rPr>
          <w:rFonts w:ascii="Arial" w:cs="Arial" w:eastAsia="Arial" w:hAnsi="Arial"/>
          <w:sz w:val="18"/>
          <w:szCs w:val="18"/>
          <w:color w:val="auto"/>
        </w:rPr>
        <w:t>. In Europe, we manufacture and sell unitary products, which range from 2 to 70 tons of cooling capacity, and applied systems with up to 200 tons</w:t>
      </w:r>
      <w:r>
        <w:rPr>
          <w:rFonts w:ascii="Arial" w:cs="Arial" w:eastAsia="Arial" w:hAnsi="Arial"/>
          <w:sz w:val="18"/>
          <w:szCs w:val="18"/>
          <w:i w:val="1"/>
          <w:iCs w:val="1"/>
          <w:color w:val="auto"/>
        </w:rPr>
        <w:t xml:space="preserve"> </w:t>
      </w:r>
      <w:r>
        <w:rPr>
          <w:rFonts w:ascii="Arial" w:cs="Arial" w:eastAsia="Arial" w:hAnsi="Arial"/>
          <w:sz w:val="18"/>
          <w:szCs w:val="18"/>
          <w:color w:val="auto"/>
        </w:rPr>
        <w:t>of cooling capacity. Our European products consist of small package units, rooftop units, chillers, air handlers and fan coils that serve medium-rise commercial buildings, shopping malls, other retail and entertainment buildings, institutional applications and other field-engineered applications. We manufacture heating and cooling products in several locations in Europe and market these products through both direct and indirect distribution channels in Europe, Russia, Turkey and the Middle East.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manufacture and market equipment for the global commercial refrigeration markets under the Heatcraft Worldwide Refrigeration name. We sell these products to distributors, installing contractors, engineering design firms, original equipment manufacturers and end-users. Our global manufacturing, distribution, sales and marketing footprint serves customers in over 70 countries worldwide.</w:t>
      </w:r>
    </w:p>
    <w:p>
      <w:pPr>
        <w:spacing w:after="0" w:line="18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North America</w:t>
      </w:r>
      <w:r>
        <w:rPr>
          <w:rFonts w:ascii="Arial" w:cs="Arial" w:eastAsia="Arial" w:hAnsi="Arial"/>
          <w:sz w:val="17"/>
          <w:szCs w:val="17"/>
          <w:color w:val="auto"/>
        </w:rPr>
        <w:t>. Our commercial refrigeration products for the North American market include condensing units, unit coolers, fluid coolers, air-cooled</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condensers, air handlers, display cases and refrigeration rack systems. These products preserve food and other perishables in supermarkets, convenience stores, restaurants, warehouses and distribution centers. In addition, our products are used to cool a wide variety of industrial processes, including data centers, cogeneration, machine tooling, and other critical cooling applications. We routinely provide application engineering for consulting engineers, contractors, store planners, end customers and others to support the sale of commercial refrigeration products. In addition to providing complete refrigeration systems and display cases, we also provide turnkey installations for our supermarket customers in Mexico.</w:t>
      </w:r>
    </w:p>
    <w:p>
      <w:pPr>
        <w:spacing w:after="0" w:line="178"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In international markets, we manufacture and market refrigeration products including condensing units, unit coolers, air-cooled condensers,</w:t>
      </w:r>
      <w:r>
        <w:rPr>
          <w:rFonts w:ascii="Arial" w:cs="Arial" w:eastAsia="Arial" w:hAnsi="Arial"/>
          <w:sz w:val="16"/>
          <w:szCs w:val="16"/>
          <w:i w:val="1"/>
          <w:iCs w:val="1"/>
          <w:color w:val="auto"/>
        </w:rPr>
        <w:t xml:space="preserve"> </w:t>
      </w:r>
      <w:r>
        <w:rPr>
          <w:rFonts w:ascii="Arial" w:cs="Arial" w:eastAsia="Arial" w:hAnsi="Arial"/>
          <w:sz w:val="16"/>
          <w:szCs w:val="16"/>
          <w:color w:val="auto"/>
        </w:rPr>
        <w:t>fluid coolers, compressor racks and industrial process chillers. We have manufacturing locations in Germany, France, Brazil and China. In Australia and New Zealand, we are the leading wholesale distribution business serving the refrigeration and HVAC industry with more than 70 locations serving our customers, which also includes the sale of refrigerant. In addition, we own a 50% common stock interest in a joint venture in Mexico that produces unit coolers, air-cooled condensers, condensing units, compressors and compressor racks of the same design and quality as those manufactured by our U.S. business. This joint venture product line is complemented with imports from the U.S., which are sold through the joint venture's distribution network.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Our business strategy is to sustain and expand our premium market position as well as offer a full spectrum of products to meet our customers' needs. We plan to expand our market position through organic growth and acquisitions while maintaining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focus on cost reductions to drive margin expansion and support growth in target business segments. This strategy is supported by the following five strategic priorities: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Innovative Product and System Solutions. </w:t>
      </w:r>
      <w:r>
        <w:rPr>
          <w:rFonts w:ascii="Arial" w:cs="Arial" w:eastAsia="Arial" w:hAnsi="Arial"/>
          <w:sz w:val="18"/>
          <w:szCs w:val="18"/>
          <w:color w:val="auto"/>
        </w:rPr>
        <w:t>In all of our markets, we are building on our heritage of innovation by developing residential, commercial,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refrigeration products that give families and business owners more precise control over more aspects of their indoor environments, while significantly lowering their energy costs.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Manufacturing and Sourcing Excellence. </w:t>
      </w:r>
      <w:r>
        <w:rPr>
          <w:rFonts w:ascii="Arial" w:cs="Arial" w:eastAsia="Arial" w:hAnsi="Arial"/>
          <w:sz w:val="18"/>
          <w:szCs w:val="18"/>
          <w:color w:val="auto"/>
        </w:rPr>
        <w:t>We maintain our commitment to manufacturing and sourcing excellence by driving low-cost assembly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rationalization of our facilities and product lines, maximizing factory efficiencies, and leveraging our purchasing power and sourcing initiatives to expand the use of lower-cost components that meet our high-quality requirements.</w:t>
      </w:r>
    </w:p>
    <w:p>
      <w:pPr>
        <w:spacing w:after="0" w:line="18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i w:val="1"/>
          <w:iCs w:val="1"/>
          <w:color w:val="auto"/>
        </w:rPr>
        <w:t xml:space="preserve">Distribution Excellence. </w:t>
      </w:r>
      <w:r>
        <w:rPr>
          <w:rFonts w:ascii="Arial" w:cs="Arial" w:eastAsia="Arial" w:hAnsi="Arial"/>
          <w:sz w:val="17"/>
          <w:szCs w:val="17"/>
          <w:color w:val="auto"/>
        </w:rPr>
        <w:t>By investing resources in expanding our distribution network, we are making products available to our customers in a timely,</w:t>
      </w:r>
      <w:r>
        <w:rPr>
          <w:rFonts w:ascii="Arial" w:cs="Arial" w:eastAsia="Arial" w:hAnsi="Arial"/>
          <w:sz w:val="17"/>
          <w:szCs w:val="17"/>
          <w:i w:val="1"/>
          <w:iCs w:val="1"/>
          <w:color w:val="auto"/>
        </w:rPr>
        <w:t xml:space="preserve"> </w:t>
      </w:r>
      <w:r>
        <w:rPr>
          <w:rFonts w:ascii="Arial" w:cs="Arial" w:eastAsia="Arial" w:hAnsi="Arial"/>
          <w:sz w:val="17"/>
          <w:szCs w:val="17"/>
          <w:color w:val="auto"/>
        </w:rPr>
        <w:t>cost-efficient manner. Additionally, we provide enhanced dealer support through the use of technology, training, advertising and merchandising.</w:t>
      </w:r>
    </w:p>
    <w:p>
      <w:pPr>
        <w:spacing w:after="0" w:line="1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Geographic Expansion. </w:t>
      </w:r>
      <w:r>
        <w:rPr>
          <w:rFonts w:ascii="Arial" w:cs="Arial" w:eastAsia="Arial" w:hAnsi="Arial"/>
          <w:sz w:val="18"/>
          <w:szCs w:val="18"/>
          <w:color w:val="auto"/>
        </w:rPr>
        <w:t>We are growing our business by extending our successful business model and product knowledge into domestic and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Expense Reduction. </w:t>
      </w:r>
      <w:r>
        <w:rPr>
          <w:rFonts w:ascii="Arial" w:cs="Arial" w:eastAsia="Arial" w:hAnsi="Arial"/>
          <w:sz w:val="18"/>
          <w:szCs w:val="18"/>
          <w:color w:val="auto"/>
        </w:rPr>
        <w:t>Through our cost management initiatives, we are optimizing operating, manufacturing and administrative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and “Aire-Flo” brands in a company-owned process directly to independent dealers that install these heating and cooling products. Also, we sell our products directly to customers through our Lennox PartsPlus stores. We distribute our “Armstrong Air,” “Ducane,” “Air-Ease,” “Concord,” “Magic-Pak” and “ADP Advanced Distributor Products” brands through the traditional independent distribution process pursuant to which we sell our products to distributors who, in turn, sell the products to installing contractors.</w:t>
      </w:r>
    </w:p>
    <w:p>
      <w:pPr>
        <w:spacing w:after="0" w:line="17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Over the years, the “Lennox” brand has become inextricably linked with “Dave Lennox,” a highly recognizable advertising icon in the heating and cooling industry. We utilize the “Dave Lennox” image in mass media advertising, as well as in numerous locally produced dealer advertisements, open houses and trade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operate manufacturing facilities worldwide and utilize the best available manufacturing techniques based on the needs of our businesses, including the use of lean manufacturing and Six Sigma principles.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Sourcing</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rely on various suppliers to furnish the raw materials and components used in the manufacturing of our products. To maximize our buying effectiveness in the marketplace, our central strategic sourcing group consolidates purchases of certain materials, components and indirect items across business segments. The goal of the strategic sourcing group is to develop global strategies for a given component group, concentrate purchases with three to five suppliers and develop long-term relationships with these vendors. By developing these strategies and relationships, we seek to leverage our material needs to reduce costs and improve financial and operating performance. Our strategic sourcing group also works with selected suppliers to reduce costs and improve quality and delivery performance by employing lean manufacturing and Six Sigma, a disciplined, data-driven approach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and methodology for improving quality.</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Compressors, motors and controls constitute our most significant component purchases, while steel, copper and aluminum account for the bulk of our raw material purchases. We own equity interests in joint ventures that manufacture compressors. These joint ventures provide us with compressors for our residential, commercial and refrigeration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Research and development is a key pillar of our growth strategy. We operate a global engineering and technology organization that focuses on new technology invention, product development, product quality improvements and process enhancements. We leverage intellectual property and innovative designs across our 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markets are driven by seasonal weather patterns. HVAC products and services are sold year round, but the volume and mix of product sales and service change significantly by season. The industry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Substantially all markets in which we participate are competitive. The most significant competitive factors we face are product reliability, product performance, service and price, with the relative importance of these factors varying among our businesses. The following are some of the companies we view as significant competitors in each of our three business segments, with relevant brand names, when different from the company name, shown in parentheses. The marks below may be the registered or unregistered trademarks or trade names of their respective owners.</w:t>
      </w:r>
    </w:p>
    <w:p>
      <w:pPr>
        <w:spacing w:after="0" w:line="171" w:lineRule="exact"/>
        <w:rPr>
          <w:sz w:val="20"/>
          <w:szCs w:val="20"/>
          <w:color w:val="auto"/>
        </w:rPr>
      </w:pPr>
    </w:p>
    <w:p>
      <w:pPr>
        <w:jc w:val="both"/>
        <w:ind w:left="420" w:hanging="250"/>
        <w:spacing w:after="0" w:line="286" w:lineRule="auto"/>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Residential Heating &amp; Cooling - United Technologies Corp. (Carrier, Bryant, Tempstar, Comfortmaker, Heil, Arcoaire, KeepRite, Day &amp; Night); Ingersoll-Rand plc (Trane, American Standard); Paloma Industries, Inc. (Rheem, Ruud); Johnson Controls, Inc. (York); Daikin Industries, Ltd. (Goodman, Amana); and Nortek, Inc. (Maytag, Westinghouse, Frigidaire, Tappan, Philco, Kelvinator, Gibson, Broan, NuTone).</w:t>
      </w:r>
    </w:p>
    <w:p>
      <w:pPr>
        <w:spacing w:after="0" w:line="70" w:lineRule="exact"/>
        <w:rPr>
          <w:rFonts w:ascii="Arial" w:cs="Arial" w:eastAsia="Arial" w:hAnsi="Arial"/>
          <w:sz w:val="17"/>
          <w:szCs w:val="17"/>
          <w:color w:val="auto"/>
        </w:rPr>
      </w:pPr>
    </w:p>
    <w:p>
      <w:pPr>
        <w:ind w:left="420" w:hanging="250"/>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Commercial Heating &amp; Cooling - United Technologies Corp. (Carrier, ICP Commercial); Ingersoll-Rand plc (Trane); Paloma Industries, Inc. (Rheem, Ruud); Johnson Controls, Inc. (York); Daikin Industries, Ltd. (Goodman, McQuay); Nortek, Inc. (Mammoth); and AAON, Inc.</w:t>
      </w:r>
    </w:p>
    <w:p>
      <w:pPr>
        <w:spacing w:after="0" w:line="75" w:lineRule="exact"/>
        <w:rPr>
          <w:rFonts w:ascii="Arial" w:cs="Arial" w:eastAsia="Arial" w:hAnsi="Arial"/>
          <w:sz w:val="18"/>
          <w:szCs w:val="18"/>
          <w:color w:val="auto"/>
        </w:rPr>
      </w:pPr>
    </w:p>
    <w:p>
      <w:pPr>
        <w:ind w:left="420" w:hanging="250"/>
        <w:spacing w:after="0" w:line="308" w:lineRule="auto"/>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Refrigeration - Hussmann Corporation; Rheem Manufacturing Company (Heat Transfer Products Group); Emerson Electric Co. (Copeland); United Technologies Corp. (Carrier); GEA Group (Kuba, Searle, Goedhart); Alfa Laval; Guntner GmbH; and Panasonic Corp. (Sanyo).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As of February 7, 2014, we employed approximately 9,700 employees. Approximately 4,300 of these employees were salaried and 5,400 were hourly. The number of hourly workers we employ may vary in order to match our labor needs during periods of fluctuating demand. Approximately 2,700 employees are represented by unions. We believe we have good relationships with our employees and with the unions representing our employees. We currently do not anticipate any material adverse consequences resulting from negotiations to renew any collective bargaining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operations are subject to evolving and often increasingly stringent international, federal, state and local laws and regulations concerning the environment. Environmental laws that affect or could affect our domestic operations include, among others, the National Appliance Energy Conservation Act of 1987, as amended (“NAECA”), the Energy Policy Act, the Clean Air Act, the Clean Water Act, the Resource Conservation and Recovery Act, the Comprehensive Environmental Response, Compensation and Liability Act, the National Environmental Policy Act, the Toxic Substances Control Act, any regulations promulgated under these acts and various other international, federal, state and local laws and regulations governing environmental matters. We believe we are in substantial compliance with such existing environmental laws and regulations.</w:t>
      </w:r>
    </w:p>
    <w:p>
      <w:pPr>
        <w:spacing w:after="0" w:line="17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Energy Efficiency. </w:t>
      </w:r>
      <w:r>
        <w:rPr>
          <w:rFonts w:ascii="Arial" w:cs="Arial" w:eastAsia="Arial" w:hAnsi="Arial"/>
          <w:sz w:val="18"/>
          <w:szCs w:val="18"/>
          <w:color w:val="auto"/>
        </w:rPr>
        <w:t>The U.S. Department of Energy published a direct final rule setting minimum efficiency standards for residential heating and cooling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The standards for non-weatherized furnaces were to take effect in 2013, however, the direct final rule for furnace standards was vacated as the result of a negotiated settlement between the American Public Gas Association (APGA) and the Department of Energy (DOE). Standards for split cooling systems become effective in 2015. We established a process we believe will allow us to offer products that meet or exceed these new standards in advance of effectiveness. The U.S. Department of Energy has numerous active rulemakings that impact residential and commercial heating, air conditioning and refrigeration equipment. We are actively involved in U.S. Department of Energy and Congressional activities related to energy efficiency standards. We believe we are prepared to have compliant products in place in advance of the effectiveness of all such regulations being considered by the U.S. Department of Energy or Congress.</w:t>
      </w:r>
    </w:p>
    <w:p>
      <w:pPr>
        <w:spacing w:after="0" w:line="19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Refrigerants. </w:t>
      </w:r>
      <w:r>
        <w:rPr>
          <w:rFonts w:ascii="Arial" w:cs="Arial" w:eastAsia="Arial" w:hAnsi="Arial"/>
          <w:sz w:val="18"/>
          <w:szCs w:val="18"/>
          <w:color w:val="auto"/>
        </w:rPr>
        <w:t>The use of hydrochlorofluorocarbons, “HCFCs,” and hydroflurocarbons “HFCs” as refrigerants for air conditioning and refrigeration</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is common practice in the HVACR industry. We believe we have complied with applicable rules and regulations governing the use of HCFCs and HFCs. The United States Congress, Environmental Protection Agency and other international regulatory bodies are considering steps to phase down the future use of HFCs in HVACR products. We have been an active participant in the ongoing international and domestic dialogue on this subject and believe we are well positioned to react in a timely manner to any changes in the regulatory landscape. In addition, we are taking proactive steps to implement responsible use principles and guidelines with respect to limiting refrigerants from escaping into the atmosphere throughout the life span of our HVACR equipment.</w:t>
      </w:r>
    </w:p>
    <w:p>
      <w:pPr>
        <w:spacing w:after="0" w:line="18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i w:val="1"/>
          <w:iCs w:val="1"/>
          <w:color w:val="auto"/>
        </w:rPr>
        <w:t>Remediation Activity</w:t>
      </w:r>
      <w:r>
        <w:rPr>
          <w:rFonts w:ascii="Arial" w:cs="Arial" w:eastAsia="Arial" w:hAnsi="Arial"/>
          <w:sz w:val="16"/>
          <w:szCs w:val="16"/>
          <w:color w:val="auto"/>
        </w:rPr>
        <w:t>. In addition to affecting our ongoing operations, applicable environmental laws can impose obligations to remediate hazardous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substances 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10 in the Notes to our Consolidated Financial Statements.</w:t>
      </w:r>
    </w:p>
    <w:p>
      <w:pPr>
        <w:spacing w:after="0" w:line="15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where we have received notice that we are a potentially responsible party will be material.</w:t>
      </w:r>
    </w:p>
    <w:p>
      <w:pPr>
        <w:spacing w:after="0" w:line="17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i w:val="1"/>
          <w:iCs w:val="1"/>
          <w:color w:val="auto"/>
        </w:rPr>
        <w:t xml:space="preserve">European WEEE and RoHS Compliance. </w:t>
      </w:r>
      <w:r>
        <w:rPr>
          <w:rFonts w:ascii="Arial" w:cs="Arial" w:eastAsia="Arial" w:hAnsi="Arial"/>
          <w:sz w:val="16"/>
          <w:szCs w:val="16"/>
          <w:color w:val="auto"/>
        </w:rPr>
        <w:t>In the European marketplace, electrical and electronic equipment is required to comply with the Directive on</w:t>
      </w:r>
      <w:r>
        <w:rPr>
          <w:rFonts w:ascii="Arial" w:cs="Arial" w:eastAsia="Arial" w:hAnsi="Arial"/>
          <w:sz w:val="16"/>
          <w:szCs w:val="16"/>
          <w:i w:val="1"/>
          <w:iCs w:val="1"/>
          <w:color w:val="auto"/>
        </w:rPr>
        <w:t xml:space="preserve"> </w:t>
      </w:r>
      <w:r>
        <w:rPr>
          <w:rFonts w:ascii="Arial" w:cs="Arial" w:eastAsia="Arial" w:hAnsi="Arial"/>
          <w:sz w:val="16"/>
          <w:szCs w:val="16"/>
          <w:color w:val="auto"/>
        </w:rPr>
        <w:t>Waste Electrical and Electronic Equipment (“WEEE”) and the Directive on Restriction of Use of Certain Hazardous Substances (“RoHS”). WEEE aims to prevent waste by encouraging reuse and recycling and RoHS restricts the use of six hazardous substances in electrical and electronic products. All HVACR products and certain components of such products “put on the market” in the EU (whether or not manufactured in the EU) are potentially subject to WEEE and RoHS. Because all HVACR manufacturers selling within or from the EU are subject to the standards promulgated under WEEE and RoHS, we believe that neither WEEE nor RoHS uniquely impact us as compared to such other manufacturers. Similar directives are being introduced in other parts of the world, including the U.S. For example, California, China and Japan have all adopted unique versions of RoHS possessing similar intent. We are actively monitoring the development of such directives and believe we are well positioned to comply with such directives in the required time frames.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0000FF"/>
        </w:rPr>
        <w:t>www.lennoxinternational.com</w:t>
      </w:r>
      <w:r>
        <w:rPr>
          <w:rFonts w:ascii="Arial" w:cs="Arial" w:eastAsia="Arial" w:hAnsi="Arial"/>
          <w:sz w:val="16"/>
          <w:szCs w:val="16"/>
          <w:color w:val="auto"/>
        </w:rPr>
        <w:t>. We make available, free of charge through our web site, our annual reports on Form 10-K, quarterly reports on Form 10-Q, current reports on Form 8-K and amendments to those reports filed or furnished pursuant to the Securities Exchange Act of 1934, as amended (the "Exchange Act"), as soon as reasonably possible after such material is electronically filed with, or furnished to, the Securities and Exchange Commission. The information on our web site is not a part of, or incorporated by reference into, this annual report on Form 10-K.</w:t>
      </w:r>
    </w:p>
    <w:p>
      <w:pPr>
        <w:spacing w:after="0" w:line="15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You can also read and copy any document that we file, including this Annual Report on Form 10-K, at the Securities and Exchange Commission's Public Reference Room at 100 F Street, N.E., Washington, D.C. 20549. Call the Securities and Exchange Commission at 1-800-SEC-0330 for information on the operation of the Public Reference Room. In addition, the Securities and Exchange Commission maintains an Internet site at www.sec.gov that contains reports, proxy and information statements, and other information regarding issuers, including Lennox International, that file electronically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executive officers, their present positions and their ages are as follows as of February 7, 2014:</w:t>
      </w:r>
    </w:p>
    <w:p>
      <w:pPr>
        <w:spacing w:after="0" w:line="370"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Age</w:t>
            </w: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r>
      <w:tr>
        <w:trPr>
          <w:trHeight w:val="48"/>
        </w:trPr>
        <w:tc>
          <w:tcPr>
            <w:tcW w:w="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5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Todd M. Bluedorn</w:t>
            </w:r>
          </w:p>
        </w:tc>
        <w:tc>
          <w:tcPr>
            <w:tcW w:w="1140" w:type="dxa"/>
            <w:vAlign w:val="bottom"/>
            <w:tcBorders>
              <w:bottom w:val="single" w:sz="8" w:color="CCEEFF"/>
            </w:tcBorders>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50</w:t>
            </w:r>
          </w:p>
        </w:tc>
        <w:tc>
          <w:tcPr>
            <w:tcW w:w="2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0" w:type="dxa"/>
            <w:vAlign w:val="bottom"/>
          </w:tcPr>
          <w:p>
            <w:pPr>
              <w:spacing w:after="0"/>
              <w:rPr>
                <w:sz w:val="21"/>
                <w:szCs w:val="21"/>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Joseph W. Reitmeier</w:t>
            </w:r>
          </w:p>
        </w:tc>
        <w:tc>
          <w:tcPr>
            <w:tcW w:w="11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Executive Vice President and President and Chief Operating Officer, LII Residential</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L. Young</w:t>
            </w:r>
          </w:p>
        </w:tc>
        <w:tc>
          <w:tcPr>
            <w:tcW w:w="1140" w:type="dxa"/>
            <w:vAlign w:val="bottom"/>
            <w:tcBorders>
              <w:bottom w:val="single" w:sz="8" w:color="CCEEFF"/>
            </w:tcBorders>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51</w:t>
            </w:r>
          </w:p>
        </w:tc>
        <w:tc>
          <w:tcPr>
            <w:tcW w:w="2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Heating &amp; Cooling</w:t>
            </w:r>
          </w:p>
        </w:tc>
      </w:tr>
      <w:tr>
        <w:trPr>
          <w:trHeight w:val="22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9"/>
              </w:rPr>
              <w:t>Executive Vice President and President and Chief Operating Officer, LII North</w:t>
            </w:r>
          </w:p>
        </w:tc>
      </w:tr>
      <w:tr>
        <w:trPr>
          <w:trHeight w:val="230"/>
        </w:trPr>
        <w:tc>
          <w:tcPr>
            <w:tcW w:w="2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Terry L. Johnston</w:t>
            </w:r>
          </w:p>
        </w:tc>
        <w:tc>
          <w:tcPr>
            <w:tcW w:w="11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America Commercial Heating &amp; Cooling</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Executive Vice President and President and Chief Operating Officer, LII Worldwide</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W. Moon</w:t>
            </w:r>
          </w:p>
        </w:tc>
        <w:tc>
          <w:tcPr>
            <w:tcW w:w="1140" w:type="dxa"/>
            <w:vAlign w:val="bottom"/>
            <w:tcBorders>
              <w:bottom w:val="single" w:sz="8" w:color="CCEEFF"/>
            </w:tcBorders>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52</w:t>
            </w:r>
          </w:p>
        </w:tc>
        <w:tc>
          <w:tcPr>
            <w:tcW w:w="2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Refrigeration</w:t>
            </w:r>
          </w:p>
        </w:tc>
      </w:tr>
      <w:tr>
        <w:trPr>
          <w:trHeight w:val="243"/>
        </w:trPr>
        <w:tc>
          <w:tcPr>
            <w:tcW w:w="20" w:type="dxa"/>
            <w:vAlign w:val="bottom"/>
          </w:tcPr>
          <w:p>
            <w:pPr>
              <w:spacing w:after="0"/>
              <w:rPr>
                <w:sz w:val="21"/>
                <w:szCs w:val="21"/>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Prakash Bedapudi</w:t>
            </w:r>
          </w:p>
        </w:tc>
        <w:tc>
          <w:tcPr>
            <w:tcW w:w="11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Executive Vice President and Chief Technology Officer</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M. Sessa</w:t>
            </w:r>
          </w:p>
        </w:tc>
        <w:tc>
          <w:tcPr>
            <w:tcW w:w="1140" w:type="dxa"/>
            <w:vAlign w:val="bottom"/>
            <w:tcBorders>
              <w:bottom w:val="single" w:sz="8" w:color="CCEEFF"/>
            </w:tcBorders>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49</w:t>
            </w:r>
          </w:p>
        </w:tc>
        <w:tc>
          <w:tcPr>
            <w:tcW w:w="2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43"/>
        </w:trPr>
        <w:tc>
          <w:tcPr>
            <w:tcW w:w="20" w:type="dxa"/>
            <w:vAlign w:val="bottom"/>
          </w:tcPr>
          <w:p>
            <w:pPr>
              <w:spacing w:after="0"/>
              <w:rPr>
                <w:sz w:val="21"/>
                <w:szCs w:val="21"/>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John D. Torres</w:t>
            </w:r>
          </w:p>
        </w:tc>
        <w:tc>
          <w:tcPr>
            <w:tcW w:w="11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 A. Rumbough, Jr.</w:t>
            </w:r>
          </w:p>
        </w:tc>
        <w:tc>
          <w:tcPr>
            <w:tcW w:w="114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89"/>
              </w:rPr>
              <w:t>58</w:t>
            </w:r>
          </w:p>
        </w:tc>
        <w:tc>
          <w:tcPr>
            <w:tcW w:w="220" w:type="dxa"/>
            <w:vAlign w:val="bottom"/>
            <w:shd w:val="clear" w:color="auto" w:fill="CCEEFF"/>
          </w:tcPr>
          <w:p>
            <w:pPr>
              <w:spacing w:after="0"/>
              <w:rPr>
                <w:sz w:val="21"/>
                <w:szCs w:val="21"/>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Controller and Chief Accounting Officer</w:t>
            </w:r>
          </w:p>
        </w:tc>
      </w:tr>
      <w:tr>
        <w:trPr>
          <w:trHeight w:val="27"/>
        </w:trPr>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Todd M. Bluedorn </w:t>
      </w:r>
      <w:r>
        <w:rPr>
          <w:rFonts w:ascii="Arial" w:cs="Arial" w:eastAsia="Arial" w:hAnsi="Arial"/>
          <w:sz w:val="17"/>
          <w:szCs w:val="17"/>
          <w:color w:val="auto"/>
        </w:rPr>
        <w:t>became Chief Executive Officer and was elected to our Board of Directors in April 2007. Mr. Bluedorn was elected Chairman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 May 2012. Prior to joining the company, Mr. Bluedorn served in numerous senior management positions for United Technologies since 1995, including President, Americas - Otis Elevator Company; President, North America - Commercial Heating, Ventilation and Air Conditioning for Carrier Corporation; and President, Hamilton Sundstrand Industrial. He began his professional career with McKinsey &amp; Company in 1992. A graduate of the United States Military Academy at West Point with a B.S. in electrical engineering, Mr. Bluedorn served in the United States Army as a combat engineer officer and United States Army Ranger from 1985 to 1990. He received his MBA from Harvard University in 1992. Mr. Bluedorn currently serves on the Board of Directors of Eaton Corporation, a diversified industrial manufacturer.</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Joseph W. Reitmeier </w:t>
      </w:r>
      <w:r>
        <w:rPr>
          <w:rFonts w:ascii="Arial" w:cs="Arial" w:eastAsia="Arial" w:hAnsi="Arial"/>
          <w:sz w:val="18"/>
          <w:szCs w:val="18"/>
          <w:color w:val="auto"/>
        </w:rPr>
        <w:t>was appointed Executive Vice President and Chief Financial Officer in July 2012. He had previously served 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for the Lennox Commercial business segment since 2007. Mr. Reitmeier first joined LII in 2005 and served as Director of Internal Audit. Before joining LII, Mr. Reitmeier held financial leadership roles at Cummins Inc. and PolyOne Corporation. He holds a BSA in Accounting from the University of Akron and an MBA from Case Western Reserve University.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8" w:name="page9"/>
    <w:bookmarkEnd w:id="8"/>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Douglas L. Young </w:t>
      </w:r>
      <w:r>
        <w:rPr>
          <w:rFonts w:ascii="Arial" w:cs="Arial" w:eastAsia="Arial" w:hAnsi="Arial"/>
          <w:sz w:val="18"/>
          <w:szCs w:val="18"/>
          <w:color w:val="auto"/>
        </w:rPr>
        <w:t>was appointed Executive Vice President and President and Chief Operating Officer of LII's Residential Heating &amp; Cooling segment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2006. Mr. Young had previously served as Vice President and General Manager of North American Residential Products since 2003 and as Vice President and General Manager of Lennox North American Residential Sales, Marketing, and Distribution from 1999 to 2003. Prior to his career with LII, Mr. Young was employed in the Appliances division of GE, where he held various management positions before serving as General Manager of Marketing for GE Appliance division's retail group from 1997 to 1999 and as General Manager of Strategic Initiatives in 1999. He holds a BSBA from Creighton University and an MS in Management from Purdue University.</w:t>
      </w:r>
    </w:p>
    <w:p>
      <w:pPr>
        <w:spacing w:after="0" w:line="19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i w:val="1"/>
          <w:iCs w:val="1"/>
          <w:color w:val="auto"/>
        </w:rPr>
        <w:t xml:space="preserve">Terry L. Johnston </w:t>
      </w:r>
      <w:r>
        <w:rPr>
          <w:rFonts w:ascii="Arial" w:cs="Arial" w:eastAsia="Arial" w:hAnsi="Arial"/>
          <w:sz w:val="16"/>
          <w:szCs w:val="16"/>
          <w:color w:val="auto"/>
        </w:rPr>
        <w:t>was appointed Executive Vice President and President and Chief Operating Officer of LII's North America Commercial Heating &amp;</w:t>
      </w:r>
      <w:r>
        <w:rPr>
          <w:rFonts w:ascii="Arial" w:cs="Arial" w:eastAsia="Arial" w:hAnsi="Arial"/>
          <w:sz w:val="16"/>
          <w:szCs w:val="16"/>
          <w:i w:val="1"/>
          <w:iCs w:val="1"/>
          <w:color w:val="auto"/>
        </w:rPr>
        <w:t xml:space="preserve"> </w:t>
      </w:r>
      <w:r>
        <w:rPr>
          <w:rFonts w:ascii="Arial" w:cs="Arial" w:eastAsia="Arial" w:hAnsi="Arial"/>
          <w:sz w:val="16"/>
          <w:szCs w:val="16"/>
          <w:color w:val="auto"/>
        </w:rPr>
        <w:t>Cooling segment in January 2013. He had previously served as Vice President and General Manager of LII's North America commercial equipment business, and before that, held marketing leadership roles in LII's residential and commercial businesses. Prior to joining LII in 2001, Mr. Johnston spent 20 years at General Electric Company in a variety of product management and sales and marketing roles. He holds a BS in Marketing from the University of Arkansas.</w:t>
      </w:r>
    </w:p>
    <w:p>
      <w:pPr>
        <w:spacing w:after="0" w:line="15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David W. Moon </w:t>
      </w:r>
      <w:r>
        <w:rPr>
          <w:rFonts w:ascii="Arial" w:cs="Arial" w:eastAsia="Arial" w:hAnsi="Arial"/>
          <w:sz w:val="18"/>
          <w:szCs w:val="18"/>
          <w:color w:val="auto"/>
        </w:rPr>
        <w:t>was appointed Executive Vice President and President and Chief Operating Officer of LII's Worldwide Refrigeration segment in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2006. Mr. Moon had previously served as Vice President and General Manager of Worldwide Refrigeration, Americas Operations since 2002. Prior to serving in that position, he served as Managing Director in Australia beginning in 1999, where his responsibilities included heat transfer manufacturing and distribution, refrigeration wholesaling and manufacturing, and HVAC manufacturing and distribution in Australia and New Zealand. Mr. Moon originally joined LII in 1998 as Operations Director, Asia Pacific. Prior to that time, Mr. Moon held various management positions at Allied Signal, Inc., Case Corporation, and Tenneco Inc. in the United States, Hong Kong, Taiwan and Germany. He holds a BS in Civil Engineering and an MBA from Texas A&amp;M University.</w:t>
      </w:r>
    </w:p>
    <w:p>
      <w:pPr>
        <w:spacing w:after="0" w:line="18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i w:val="1"/>
          <w:iCs w:val="1"/>
          <w:color w:val="auto"/>
        </w:rPr>
        <w:t xml:space="preserve">Prakash Bedapudi </w:t>
      </w:r>
      <w:r>
        <w:rPr>
          <w:rFonts w:ascii="Arial" w:cs="Arial" w:eastAsia="Arial" w:hAnsi="Arial"/>
          <w:sz w:val="16"/>
          <w:szCs w:val="16"/>
          <w:color w:val="auto"/>
        </w:rPr>
        <w:t>became Executive Vice President and Chief Technology Officer in July 2008. He had previously served as vice president, global</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BS in Mechanical/Automotive Engineering from Karnataka University, India and an MS in Mechanical/Aeronautical Engineering from the University of Cincinnati.</w:t>
      </w:r>
    </w:p>
    <w:p>
      <w:pPr>
        <w:spacing w:after="0" w:line="15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Daniel M. Sessa </w:t>
      </w:r>
      <w:r>
        <w:rPr>
          <w:rFonts w:ascii="Arial" w:cs="Arial" w:eastAsia="Arial" w:hAnsi="Arial"/>
          <w:sz w:val="18"/>
          <w:szCs w:val="18"/>
          <w:color w:val="auto"/>
        </w:rPr>
        <w:t>was appointed Executive Vice President and Chief Human Resources Officer in June 2007. Mr. Sessa previously served in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human 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JD from the Hofstra University School of Law and a BA in Law &amp; Society from the State University of New York at Binghamton.</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John D. Torres </w:t>
      </w:r>
      <w:r>
        <w:rPr>
          <w:rFonts w:ascii="Arial" w:cs="Arial" w:eastAsia="Arial" w:hAnsi="Arial"/>
          <w:sz w:val="18"/>
          <w:szCs w:val="18"/>
          <w:color w:val="auto"/>
        </w:rPr>
        <w:t>was appointed Executive Vice President and Chief Legal Officer in December 2008. He had previously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and Secretary for Freescale Semiconductor, a semiconductor manufacturer that was originally part of Motorola. He joined Motorola's legal department as Senior Counsel in 1996 and was appointed Vice President, General Counsel of the company's semiconductor business in 2001. Prior to joining Motorola, Mr. Torres served 13 years in private practice in Phoenix, specializing in commercial law. He holds a BA from Notre Dame and a JD from the University of Chicago.</w:t>
      </w:r>
    </w:p>
    <w:p>
      <w:pPr>
        <w:spacing w:after="0" w:line="18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i w:val="1"/>
          <w:iCs w:val="1"/>
          <w:color w:val="auto"/>
        </w:rPr>
        <w:t xml:space="preserve">Roy A. Rumbough, Jr. </w:t>
      </w:r>
      <w:r>
        <w:rPr>
          <w:rFonts w:ascii="Arial" w:cs="Arial" w:eastAsia="Arial" w:hAnsi="Arial"/>
          <w:sz w:val="16"/>
          <w:szCs w:val="16"/>
          <w:color w:val="auto"/>
        </w:rPr>
        <w:t>was appointed Vice President, Controller and Chief Accounting Officer in July 2006. He had previously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Controller of Maytag Corporation, a position he held since 2002. From 1998 to 2002, he served as Vice President, Controller of Blodgett Corporation, a portfolio of food service equipment companies and former affiliate of Maytag. Mr. Rumbough's career at Maytag spanned 17 years and included internal audit, financial planning and analysis, and business unit controller roles. Prior to his career at Maytag, he worked for Deloitte and Touche, LLP. He holds a BA in Accounting from North Carolina State University and an MBA from the Kellogg School of Management, Northwestern University</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Exchange Act that are based on information currently available to management as well as management's assumptions and beliefs. All statements, other than statements of historical fact, included in this Annual Report on Form 10-K constitute forward-looking statements within the meaning of the Private Securities Litigation Reform Act of 1995, including but not limited to statements identified by the words “may,” “will,” “should,” “plan,” “predict,” “anticipate,” “believe,” “intend,” “estimate” and “expect” and similar expressions. Such statements reflect our current views with respect to future events, based on what we believe are reasonable assumptions; however, such statements are subject to certain risks and uncertainties. In addition to the specific uncertainties discussed elsewhere in this Annual Report on Form 10-K, the risk factors set forth in Item 1A. Risk Factors in this Annual Report on Form 10-K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actually occur, our business, financial condition or results of operations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Favorably in the Competitive HVACR Business.</w:t>
      </w:r>
    </w:p>
    <w:p>
      <w:pPr>
        <w:spacing w:after="0" w:line="2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Substantially all of the markets in which we operate are competitive. The most significant competitive factors we face are product reliability, product performance, reputation of our company and brands, service and price, with the relative importance of these factors varying among our product lines. Other factors that affect competition in the HVACR market include the development and application of new technologies, an increasing emphasis on the development of more efficient HVACR products and new product introductions. We may not be able to adapt to market changes as quickly or effectively as our current 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an adverse effect on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Affected by the Conditions of the U.S. Construction Industry.</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business is affected by the performance of the U.S. construction industry. Our sales in the residential and commercial new construction market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For example, the U.S. housing industry experienced a significant downturn, with new construction starts and existing home values declining significantly in many markets. This housing downturn resulted in a decline in the demand for the products and services we sell because fewer homes were constructed and because an uncertain economic environment prompted more homeowners to repair instead of replace existing HVAC systems. Although the industry has recently improved, our sales may not also continue to improve or such improvement may be limited or lower than expected.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Cooler than Normal Summers and Warmer than Normal Winters May Depress Our Sales.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Demand for our products and for our services is seasonal and strongly affected by the weather. Cooler than normal summers depress our sales of replacement air conditioning and refrigeration products and services. Similarly, warmer than normal winters have the same effect on our heating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Changes in Legislation or Government Regulations or Policies Can Have a Significant Impact on Our Results of Operations.</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sales, gross margins and profitability for each of our segments could be directly impacted by changes in legislation or government regulations. Changes in environmental and energy efficiency standards and regulations, in particular, may have a significant impact on the types of products that we are allowed to develop and sell, and the types of products that are developed and sold by our competitors. Our inability or delay in developing or marketing products that match customer demand and that meet applicable efficiency and environmental standards may negatively impact our results. For example, the U.S. Department of Energy vacated certain regional efficiency standards for furnaces scheduled to take effect in May 2013, most likely delaying several expected changes to efficiency standards. The demand for our products and services could also be affected by the size and availability of tax incentives for purchasers of our products and services. Future legislation or regulations, including environmental matters, product certification, product liability, taxes, tax incentives and other matters, may impact the results of each of our operating segments and our consolidated results.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Global General Business, Economic and Market Conditions Could Adversely Affect Our Financial Performance and Limit our Access to the Capital Markets.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Future disruptions in U.S. or global financial and credit markets or increases in the costs of capital might have an adverse impact on our business. The tightening, unavailability or increased costs of credit adversely affects the ability of our customers to obtain financing for significant purchases and operations, which could result in a decrease in sales of our products and services and may impact the ability of our customers to make payments to us. Similarly, tightening of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domestic revolving credit facility. In addition, availability under our asset securitization agreement may be adversely impacted by credit quality and performance of our customer accounts receivable. The availability under our asset securitization agreement is based on the amount of accounts receivable that meet the eligibility criteria of the asset securitization agreement. If receivable losses increase or credit quality deteriorates, the amount of eligible receivables could decline and, in turn, lower the availability under the asset securitization.</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cannot predict the likelihood, duration or severity of any future disruption in financial markets or any adverse economic conditions in the U.S. and other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Risks Including Foreign Currency Fluctuations, Regulations and Other Risks.</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earn revenue, pay expenses, own assets and incur liabilities in countries using currencies other than the U.S. dollar.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1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to the currency exchange risks inherent in operating in foreign countries, our international sales and operations, including purchases of raw materials from international suppliers, are subject to risks associated with local government laws, regulations and policies (including those related to tariffs and trade barriers, investments, taxation, exchange controls, employment regulations and changes in laws and regulations). Our international sales and operations are also sensitive to changes in foreign national priorities, including government budgets, as well as to geopolitical and economic instability. International transactions may involve increased financial and legal risks due to differing legal systems and customs in foreign countries, as well as compliance with anti-corruption laws such as the U.S. Foreign Corrupt Practices Act and the U.K. Bribery Act. The ability to manage these risks could be difficult and may limit our operations and make the manufacture and sale of our products internationally more difficult, which could negatively affect our business and results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230"/>
        <w:spacing w:after="0" w:line="264" w:lineRule="auto"/>
        <w:rPr>
          <w:sz w:val="20"/>
          <w:szCs w:val="20"/>
          <w:color w:val="auto"/>
        </w:rPr>
      </w:pPr>
      <w:r>
        <w:rPr>
          <w:rFonts w:ascii="Arial" w:cs="Arial" w:eastAsia="Arial" w:hAnsi="Arial"/>
          <w:sz w:val="18"/>
          <w:szCs w:val="18"/>
          <w:color w:val="auto"/>
        </w:rPr>
        <w:t>Conflicts, wars, natural disasters or terrorist acts could also cause significant damage or disruption to our operations, employees, facilities, systems, suppliers, distributors, resellers or customers in the United States and internationally for extended periods of time and could also affect demand for our products.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sales outside of the United States comprised 25.5% of our net sales in 2013.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Meet Customer Demand may be Limited by Our Single-Location Production Facilities, Reliance on Certain Key Suppliers and Unanticipated Significant Shifts in Customer Demand.</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manufacture many of our products at single-location production facilities, and we rely on certain suppliers who also may concentrate production in single locations. Any significant interruptions in production at one or more of our facilities, or at a facility of one of our suppliers, could negatively impact our ability to deliver our products to our customers. Further, even with all of our facilities running at full production, we could potentially be unable to fully meet demand during an unanticipated period of exceptionally high demand. Our inability to meet our customers' demand for our products could have a material adverse impact on our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Price Volatility for Commodities and Components We Purchase or Significant Supply Interruptions Could Have an Adverse Effect on Our Cash Flow or Results of Operations.</w:t>
      </w:r>
    </w:p>
    <w:p>
      <w:pPr>
        <w:spacing w:after="0" w:line="1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depend on raw materials, such as steel, copper and aluminum, and components purchased from third parties to manufacture our products. We generally 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Similarly, suppliers of components that we purchase for use in our products may be affected by rising material costs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 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18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Claims Which Could Have an Adverse Effect on Our Results of Operations.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development, manufacture, sale and use of our products involve warranty, intellectual property infringement, product liability claim and other risks. In some cases, we may incur liability claims for the installation and service of our products. Our product liability insurance policies have limits that, if exceeded, may result in substantial costs that would have an adverse effect on our results of operations. In addition, warranty claims are not covered by our product liability insurance and certain product liability claims may also not be covered by our product liability insurance.</w:t>
      </w:r>
    </w:p>
    <w:p>
      <w:pPr>
        <w:spacing w:after="0" w:line="17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For some of our HVAC products, we provide warranty terms ranging from one to 20 years to customers for certain components such as compressors or heat exchangers. For certain limited products, we provided lifetime warranties for heat exchangers.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Successfully Execute our Business Strategy, Our Results of Operations Could be Adversely Impacted</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are engaged in various manufacturing rationalization actions designed to achieve our strategic priorities of manufacturing sourcing and distribution excellence and of lowering our cost structure. For example, we are continuing to reorganize our North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American distribution network in order to better serve our customers' needs by deploying parts and equipment inventory closer to them and are expanding our sourcing activities outside of the U.S. We also continue to rationalize and reorganize various support and administrative functions in order to reduce ongoing selling and administrative expenses. If we cannot successfully implement such distribution and restructuring strategies or other cost savings plans, we may not achieve our expected cost savings in the time anticipated, or at all. In such case, our results of operations and profitability may be negatively impacted, making us less competitive and potentially causing us to lose market share.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Integrate and Operate Businesses that We May Acquire nor Realize the Anticipated Benefits of Strategic Relationships We May Form.</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 successfully do those things, we may not realize the anticipated benefits associated with such transactions, which could adversely affect our business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Significant Percentage of Our Workforce is Unionized in Certain Manufacturing Facilities, We Face Risks of Work Stoppages and Other Labor Relations Problems.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February 7, 2014, approximately 28% of our workforce was unionized. The results of future negotiations with these unions and the effects of any production interruptions or labor stoppages could have an adverse effect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Litigation and Tax, Environmental and Other Regulations that Could Have an Adverse Effect on Our Results of Operations.</w:t>
      </w:r>
    </w:p>
    <w:p>
      <w:pPr>
        <w:spacing w:after="0" w:line="23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involved in various claims and lawsuits incidental to our business, including those involving product liability, labor relations, alleged exposure to asbestos-containing materials and environmental matters, some of which claim significant damages. Estimates related to our claims and lawsuits, including estimates for asbestos-related claims and related insurance recoveries, involve numerous uncertainties. Given the inherent uncertainty of litigation and estimating, we cannot be certain that existing claims or litigation or any future adverse legal developments will not have a material adverse impact on our financial condition. In addition, we are subject to extensive and changing federal, state and local laws and regulations designed to protect the environment. These laws and regulations could impose liability for remediation costs and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Future Determination that a Significant Impairment of the Value of Our Goodwill Intangible Asset Occurred Could Have a Material Adverse Effect on Our Results of Operations.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of December 31, 2013, we had goodwill of $216.8 million on our Consolidated Balance Sheet. Any future determination that an impairment of the value of goodwill occurred would require a write-down of the impaired portion of goodwill to fair value and would reduce our assets and stockholders' equity and could have a material adverse effect on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Capital Markets Could Necessitate Increased Cash Contributions by Us to Our Pension Plans to Maintain Required Levels of Funding.</w:t>
      </w:r>
    </w:p>
    <w:p>
      <w:pPr>
        <w:spacing w:after="0" w:line="2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Volatility in the capital markets may have a significant impact on the funding status of our defined benefit pension plans. If the performance of the capital markets depresses the value of our defined benefit pension plan assets or increases the liabilities, we would be required to make additional contributions to the pension plans. The amount of contributions we may be required to make to our pension plans in the future is uncertain and could be significant, which may have a material impact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breaches and other disruptions or misuse of information systems we rely upon could affect our ability to conduct our business effectively.</w:t>
      </w:r>
    </w:p>
    <w:p>
      <w:pPr>
        <w:spacing w:after="0" w:line="2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information systems and those of our business partners are important to our business activities. We also outsource various information systems, including data management, to third party service providers. Despite our security measures as well as those of our business partners and third-party service providers, the information systems we rely upon may be vulnerable to interruption or damage from computer hackings, computer viruses, worms or other destructive or disruptive software, process breakdowns, denial of service attacks, malicious social engineering or other malicious activities, or any combination thereof. These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systems have been, and will likely continue to be, subject to attack.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 advantages. Further, the laws of certain countries do not protect proprietary rights to the same extent as the laws of the United States.</w:t>
      </w:r>
    </w:p>
    <w:p>
      <w:pPr>
        <w:spacing w:after="0" w:line="18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 prohibiting us from manufacturing, importing, marketing or selling certain of our products. Even if we have agreements to indemnify us, indemnifying parties may be unable or unwilling to do so.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chart lists our principal domestic and international manufacturing, distribution and office facilities as of February 7, 2014 and indicates the business segment that uses such facilities, the approximate size of such facilities and whether such facilities are owned or leased. Also included in the chart are large warehouses that hold significant inventory balances.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Approx. Sq. Ft. (In</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3"/>
        </w:trPr>
        <w:tc>
          <w:tcPr>
            <w:tcW w:w="1680" w:type="dxa"/>
            <w:vAlign w:val="bottom"/>
            <w:gridSpan w:val="3"/>
          </w:tcPr>
          <w:p>
            <w:pPr>
              <w:ind w:left="40"/>
              <w:spacing w:after="0" w:line="183" w:lineRule="exact"/>
              <w:rPr>
                <w:sz w:val="20"/>
                <w:szCs w:val="20"/>
                <w:color w:val="auto"/>
              </w:rPr>
            </w:pPr>
            <w:r>
              <w:rPr>
                <w:rFonts w:ascii="Arial" w:cs="Arial" w:eastAsia="Arial" w:hAnsi="Arial"/>
                <w:sz w:val="16"/>
                <w:szCs w:val="16"/>
                <w:b w:val="1"/>
                <w:bCs w:val="1"/>
                <w:color w:val="auto"/>
              </w:rPr>
              <w:t>Location</w:t>
            </w:r>
          </w:p>
        </w:tc>
        <w:tc>
          <w:tcPr>
            <w:tcW w:w="1820" w:type="dxa"/>
            <w:vAlign w:val="bottom"/>
          </w:tcPr>
          <w:p>
            <w:pPr>
              <w:spacing w:after="0"/>
              <w:rPr>
                <w:sz w:val="15"/>
                <w:szCs w:val="15"/>
                <w:color w:val="auto"/>
              </w:rPr>
            </w:pPr>
          </w:p>
        </w:tc>
        <w:tc>
          <w:tcPr>
            <w:tcW w:w="19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Segment</w:t>
            </w:r>
          </w:p>
        </w:tc>
        <w:tc>
          <w:tcPr>
            <w:tcW w:w="2960" w:type="dxa"/>
            <w:vAlign w:val="bottom"/>
            <w:gridSpan w:val="3"/>
          </w:tcPr>
          <w:p>
            <w:pPr>
              <w:ind w:left="860"/>
              <w:spacing w:after="0" w:line="183" w:lineRule="exact"/>
              <w:rPr>
                <w:sz w:val="20"/>
                <w:szCs w:val="20"/>
                <w:color w:val="auto"/>
              </w:rPr>
            </w:pPr>
            <w:r>
              <w:rPr>
                <w:rFonts w:ascii="Arial" w:cs="Arial" w:eastAsia="Arial" w:hAnsi="Arial"/>
                <w:sz w:val="16"/>
                <w:szCs w:val="16"/>
                <w:b w:val="1"/>
                <w:bCs w:val="1"/>
                <w:color w:val="auto"/>
              </w:rPr>
              <w:t>Type or Use of Facility</w:t>
            </w:r>
          </w:p>
        </w:tc>
        <w:tc>
          <w:tcPr>
            <w:tcW w:w="360" w:type="dxa"/>
            <w:vAlign w:val="bottom"/>
          </w:tcPr>
          <w:p>
            <w:pPr>
              <w:spacing w:after="0"/>
              <w:rPr>
                <w:sz w:val="15"/>
                <w:szCs w:val="15"/>
                <w:color w:val="auto"/>
              </w:rPr>
            </w:pPr>
          </w:p>
        </w:tc>
        <w:tc>
          <w:tcPr>
            <w:tcW w:w="820" w:type="dxa"/>
            <w:vAlign w:val="bottom"/>
            <w:gridSpan w:val="2"/>
          </w:tcPr>
          <w:p>
            <w:pPr>
              <w:jc w:val="center"/>
              <w:ind w:right="80"/>
              <w:spacing w:after="0" w:line="183" w:lineRule="exact"/>
              <w:rPr>
                <w:sz w:val="20"/>
                <w:szCs w:val="20"/>
                <w:color w:val="auto"/>
              </w:rPr>
            </w:pPr>
            <w:r>
              <w:rPr>
                <w:rFonts w:ascii="Arial" w:cs="Arial" w:eastAsia="Arial" w:hAnsi="Arial"/>
                <w:sz w:val="16"/>
                <w:szCs w:val="16"/>
                <w:b w:val="1"/>
                <w:bCs w:val="1"/>
                <w:color w:val="auto"/>
                <w:w w:val="85"/>
              </w:rPr>
              <w:t>thousands)</w:t>
            </w:r>
          </w:p>
        </w:tc>
        <w:tc>
          <w:tcPr>
            <w:tcW w:w="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Owned/Leased</w:t>
            </w: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Marshalltown, IA</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Manufacturing &amp; 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4"/>
              </w:rPr>
              <w:t>1,300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 &amp; 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Orangeburg, SC</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Manufacturing &amp; Distribution</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750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Grenada, MS</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Manufacturing &amp; 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400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Saltillo, Mexico</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Manufacturing</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330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Columbus, OH</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144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McDonough, GA</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254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Romeoville, IL</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Residential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312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Brampton, Canada</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129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Calgary, Canada</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82"/>
              </w:rPr>
              <w:t>110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Kansas City, KS</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82"/>
              </w:rPr>
              <w:t>115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Carrollton, TX</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252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Eastvale, CA</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377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Middletown, PA</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Residential &amp; 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Distribution</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130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Stuttgart, AR</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Commercial Heating &amp; Cooling</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Manufacturing</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750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Longvic, France</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Commercial Heating &amp; Cooling</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Manufacturing</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133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Burgos, Spain</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Commercial Heating &amp; Cooling &amp; Refrigeration</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Manufacturing</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140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Genas, France</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Commercial Heating &amp; Cooling &amp; Refrigeration</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w w:val="99"/>
              </w:rPr>
              <w:t>Manufacturing, Distribution &amp; Offices</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190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Mions, France</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Commercial Heating &amp; Cooling &amp; Refrigeration</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Research &amp; Development</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129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Tifton, GA</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Manufacturing</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570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 &amp; Leased</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Stone Mountain, GA</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Manufacturing &amp; Business Unit</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120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20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Headquarters</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Columbus, GA</w:t>
            </w:r>
          </w:p>
        </w:tc>
        <w:tc>
          <w:tcPr>
            <w:tcW w:w="37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Manufacturing, Warehousing &amp;</w:t>
            </w:r>
          </w:p>
        </w:tc>
        <w:tc>
          <w:tcPr>
            <w:tcW w:w="110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550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 &amp; Leased</w:t>
            </w: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Offices</w:t>
            </w: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Midland, GA</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Warehousing &amp; Offices</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138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Milperra, Australia</w:t>
            </w:r>
          </w:p>
        </w:tc>
        <w:tc>
          <w:tcPr>
            <w:tcW w:w="37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Business Unit Headquarters &amp;</w:t>
            </w:r>
          </w:p>
        </w:tc>
        <w:tc>
          <w:tcPr>
            <w:tcW w:w="110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415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Distribution</w:t>
            </w: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Mt. Wellington, New</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Distribution &amp; Offices</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82"/>
              </w:rPr>
              <w:t>110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206"/>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Zealand</w:t>
            </w: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7"/>
              </w:rPr>
              <w:t>San Jose dos Campos,</w:t>
            </w:r>
          </w:p>
        </w:tc>
        <w:tc>
          <w:tcPr>
            <w:tcW w:w="37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Manufacturing, Warehousing &amp;</w:t>
            </w:r>
          </w:p>
        </w:tc>
        <w:tc>
          <w:tcPr>
            <w:tcW w:w="110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148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9"/>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Brazil</w:t>
            </w:r>
          </w:p>
        </w:tc>
        <w:tc>
          <w:tcPr>
            <w:tcW w:w="18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Offices</w:t>
            </w: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Krunkel, Germany</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w w:val="99"/>
              </w:rPr>
              <w:t>Manufacturing, Distribution &amp; Offices</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Wuxi, China</w:t>
            </w:r>
          </w:p>
        </w:tc>
        <w:tc>
          <w:tcPr>
            <w:tcW w:w="37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Refrigeration</w:t>
            </w:r>
          </w:p>
        </w:tc>
        <w:tc>
          <w:tcPr>
            <w:tcW w:w="29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Manufacturing</w:t>
            </w:r>
          </w:p>
        </w:tc>
        <w:tc>
          <w:tcPr>
            <w:tcW w:w="110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142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 &amp; Leased</w:t>
            </w:r>
          </w:p>
        </w:tc>
      </w:tr>
      <w:tr>
        <w:trPr>
          <w:trHeight w:val="224"/>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Carrollton, TX</w:t>
            </w:r>
          </w:p>
        </w:tc>
        <w:tc>
          <w:tcPr>
            <w:tcW w:w="3720" w:type="dxa"/>
            <w:vAlign w:val="bottom"/>
            <w:gridSpan w:val="3"/>
          </w:tcPr>
          <w:p>
            <w:pPr>
              <w:ind w:left="200"/>
              <w:spacing w:after="0"/>
              <w:rPr>
                <w:sz w:val="20"/>
                <w:szCs w:val="20"/>
                <w:color w:val="auto"/>
              </w:rPr>
            </w:pPr>
            <w:r>
              <w:rPr>
                <w:rFonts w:ascii="Arial" w:cs="Arial" w:eastAsia="Arial" w:hAnsi="Arial"/>
                <w:sz w:val="16"/>
                <w:szCs w:val="16"/>
                <w:color w:val="auto"/>
              </w:rPr>
              <w:t>Corporate and other</w:t>
            </w:r>
          </w:p>
        </w:tc>
        <w:tc>
          <w:tcPr>
            <w:tcW w:w="2960" w:type="dxa"/>
            <w:vAlign w:val="bottom"/>
            <w:gridSpan w:val="3"/>
          </w:tcPr>
          <w:p>
            <w:pPr>
              <w:ind w:left="360"/>
              <w:spacing w:after="0"/>
              <w:rPr>
                <w:sz w:val="20"/>
                <w:szCs w:val="20"/>
                <w:color w:val="auto"/>
              </w:rPr>
            </w:pPr>
            <w:r>
              <w:rPr>
                <w:rFonts w:ascii="Arial" w:cs="Arial" w:eastAsia="Arial" w:hAnsi="Arial"/>
                <w:sz w:val="16"/>
                <w:szCs w:val="16"/>
                <w:color w:val="auto"/>
              </w:rPr>
              <w:t>Research &amp; Development</w:t>
            </w:r>
          </w:p>
        </w:tc>
        <w:tc>
          <w:tcPr>
            <w:tcW w:w="1100" w:type="dxa"/>
            <w:vAlign w:val="bottom"/>
            <w:gridSpan w:val="2"/>
          </w:tcPr>
          <w:p>
            <w:pPr>
              <w:jc w:val="center"/>
              <w:ind w:left="279"/>
              <w:spacing w:after="0"/>
              <w:rPr>
                <w:sz w:val="20"/>
                <w:szCs w:val="20"/>
                <w:color w:val="auto"/>
              </w:rPr>
            </w:pPr>
            <w:r>
              <w:rPr>
                <w:rFonts w:ascii="Arial" w:cs="Arial" w:eastAsia="Arial" w:hAnsi="Arial"/>
                <w:sz w:val="16"/>
                <w:szCs w:val="16"/>
                <w:color w:val="auto"/>
                <w:w w:val="97"/>
              </w:rPr>
              <w:t>294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24"/>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Richardson, TX</w:t>
            </w:r>
          </w:p>
        </w:tc>
        <w:tc>
          <w:tcPr>
            <w:tcW w:w="37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Corporate and other</w:t>
            </w: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Corporate Headquarters</w:t>
            </w:r>
          </w:p>
        </w:tc>
        <w:tc>
          <w:tcPr>
            <w:tcW w:w="110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7"/>
              </w:rPr>
              <w:t>357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 &amp; Leased</w:t>
            </w:r>
          </w:p>
        </w:tc>
      </w:tr>
      <w:tr>
        <w:trPr>
          <w:trHeight w:val="33"/>
        </w:trPr>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properties described above, we lease numerous facilities in the U.S. and worldwide for use as sales offices, service offices and district and regional warehouses.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maintained and estimated costs are recorded for such claims and lawsuits. It is management's opinion that none of these claims or lawsuits will have a material adverse effect, individually or in the aggregate, on our financial position, results of operations or cash flows. For more information, see Note 10 in the 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56" w:lineRule="exact"/>
        <w:rPr>
          <w:sz w:val="20"/>
          <w:szCs w:val="20"/>
          <w:color w:val="auto"/>
        </w:rPr>
      </w:pPr>
    </w:p>
    <w:p>
      <w:pPr>
        <w:ind w:left="20" w:right="2460"/>
        <w:spacing w:after="0" w:line="50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Price for Common Stock</w:t>
      </w:r>
    </w:p>
    <w:p>
      <w:pPr>
        <w:spacing w:after="0" w:line="1"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color w:val="auto"/>
        </w:rPr>
        <w:t>Our common stock is listed for trading on the New York Stock Exchange under the symbol “LII.” The high and low sales prices for our common stock for each quarterly period during 2013 and 2012 were as follows:</w:t>
      </w:r>
    </w:p>
    <w:p>
      <w:pPr>
        <w:spacing w:after="0" w:line="347"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9"/>
          </w:tcPr>
          <w:p>
            <w:pPr>
              <w:jc w:val="right"/>
              <w:ind w:right="200"/>
              <w:spacing w:after="0"/>
              <w:rPr>
                <w:sz w:val="20"/>
                <w:szCs w:val="20"/>
                <w:color w:val="auto"/>
              </w:rPr>
            </w:pPr>
            <w:r>
              <w:rPr>
                <w:rFonts w:ascii="Arial" w:cs="Arial" w:eastAsia="Arial" w:hAnsi="Arial"/>
                <w:sz w:val="16"/>
                <w:szCs w:val="16"/>
                <w:b w:val="1"/>
                <w:bCs w:val="1"/>
                <w:color w:val="auto"/>
                <w:w w:val="92"/>
              </w:rPr>
              <w:t>Price Range per Common Share</w:t>
            </w:r>
          </w:p>
        </w:tc>
        <w:tc>
          <w:tcPr>
            <w:tcW w:w="68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4"/>
              </w:rPr>
              <w:t>2013</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9"/>
              </w:rPr>
              <w:t>2012</w:t>
            </w:r>
          </w:p>
        </w:tc>
        <w:tc>
          <w:tcPr>
            <w:tcW w:w="680" w:type="dxa"/>
            <w:vAlign w:val="bottom"/>
          </w:tcPr>
          <w:p>
            <w:pPr>
              <w:spacing w:after="0"/>
              <w:rPr>
                <w:sz w:val="20"/>
                <w:szCs w:val="20"/>
                <w:color w:val="auto"/>
              </w:rPr>
            </w:pPr>
          </w:p>
        </w:tc>
      </w:tr>
      <w:tr>
        <w:trPr>
          <w:trHeight w:val="33"/>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Arial" w:cs="Arial" w:eastAsia="Arial" w:hAnsi="Arial"/>
                <w:sz w:val="16"/>
                <w:szCs w:val="16"/>
                <w:b w:val="1"/>
                <w:bCs w:val="1"/>
                <w:color w:val="auto"/>
              </w:rPr>
              <w:t>High</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Low</w:t>
            </w:r>
          </w:p>
        </w:tc>
        <w:tc>
          <w:tcPr>
            <w:tcW w:w="20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Arial" w:cs="Arial" w:eastAsia="Arial" w:hAnsi="Arial"/>
                <w:sz w:val="16"/>
                <w:szCs w:val="16"/>
                <w:b w:val="1"/>
                <w:bCs w:val="1"/>
                <w:color w:val="auto"/>
              </w:rPr>
              <w:t>High</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Low</w:t>
            </w:r>
          </w:p>
        </w:tc>
      </w:tr>
      <w:tr>
        <w:trPr>
          <w:trHeight w:val="33"/>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65.96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36.77</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86.14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2013 and 2012, we declared quarterly cash dividends as set forth below:</w:t>
      </w:r>
    </w:p>
    <w:p>
      <w:pPr>
        <w:spacing w:after="0" w:line="388"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Dividends per</w:t>
      </w:r>
    </w:p>
    <w:p>
      <w:pPr>
        <w:spacing w:after="0" w:line="26"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33020</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72"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2012</w:t>
            </w:r>
          </w:p>
        </w:tc>
      </w:tr>
      <w:tr>
        <w:trPr>
          <w:trHeight w:val="33"/>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0.18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0.20</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amount and timing of dividend payments are determined by our Board of Directors and subject to certain restrictions under our domestic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the close of business on February 7, 2014, approximately 890 holders of record held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Total Stockholder Return</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following graph compares the cumulative total returns of LII's common stock with the cumulative total returns of the Standards &amp; Poor's Midcap 400 Index, a broad index of mid-size U.S. companies of which the Company is a part, and with a peer group of U.S. industrial manufacturing and service companies in the heating, ventilation, air conditioning and refrigeration businesses. The graph assumes that $100 was invested on December 31, 2008, with dividends reinvested. Our peer group includes AAON, Inc., Ingersoll-Rand plc, Comfort Systems USA, Inc., United Technologies Corporation, Johnson Controls Inc., and Watsco, Inc. Peer group returns are weighted by market capitalization.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517525</wp:posOffset>
            </wp:positionV>
            <wp:extent cx="5848985" cy="3258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Purchases of LII Equity Securities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Board of Directors has authorized a total of $700.0 million towards the repurchase of shares of our common stock (the “Share Repurchase Plans”), including a $300.0 million share repurchase authorization approved in December 2012. The Share Repurchase Plans do not have an expiration date.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fourth quarter of 2013, we purchased shares of our common stock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Approximate Dollar</w:t>
            </w:r>
          </w:p>
        </w:tc>
      </w:tr>
      <w:tr>
        <w:trPr>
          <w:trHeight w:val="203"/>
        </w:trPr>
        <w:tc>
          <w:tcPr>
            <w:tcW w:w="4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Value of Shares that</w:t>
            </w:r>
          </w:p>
        </w:tc>
      </w:tr>
      <w:tr>
        <w:trPr>
          <w:trHeight w:val="203"/>
        </w:trPr>
        <w:tc>
          <w:tcPr>
            <w:tcW w:w="4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Average Price Paid</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Shares Purchased As</w:t>
            </w:r>
          </w:p>
        </w:tc>
        <w:tc>
          <w:tcPr>
            <w:tcW w:w="22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may yet be Purchased</w:t>
            </w:r>
          </w:p>
        </w:tc>
      </w:tr>
      <w:tr>
        <w:trPr>
          <w:trHeight w:val="203"/>
        </w:trPr>
        <w:tc>
          <w:tcPr>
            <w:tcW w:w="4240" w:type="dxa"/>
            <w:vAlign w:val="bottom"/>
          </w:tcPr>
          <w:p>
            <w:pPr>
              <w:spacing w:after="0"/>
              <w:rPr>
                <w:sz w:val="17"/>
                <w:szCs w:val="17"/>
                <w:color w:val="auto"/>
              </w:rPr>
            </w:pPr>
          </w:p>
        </w:tc>
        <w:tc>
          <w:tcPr>
            <w:tcW w:w="1600" w:type="dxa"/>
            <w:vAlign w:val="bottom"/>
          </w:tcPr>
          <w:p>
            <w:pPr>
              <w:jc w:val="right"/>
              <w:ind w:right="293"/>
              <w:spacing w:after="0"/>
              <w:rPr>
                <w:sz w:val="20"/>
                <w:szCs w:val="20"/>
                <w:color w:val="auto"/>
              </w:rPr>
            </w:pPr>
            <w:r>
              <w:rPr>
                <w:rFonts w:ascii="Arial" w:cs="Arial" w:eastAsia="Arial" w:hAnsi="Arial"/>
                <w:sz w:val="16"/>
                <w:szCs w:val="16"/>
                <w:b w:val="1"/>
                <w:bCs w:val="1"/>
                <w:color w:val="auto"/>
              </w:rPr>
              <w:t>Total Shares</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24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0"/>
              </w:rPr>
              <w:t>fees)</w:t>
            </w:r>
          </w:p>
        </w:tc>
        <w:tc>
          <w:tcPr>
            <w:tcW w:w="2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Plans</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1"/>
              </w:rPr>
              <w:t>(in millions)</w:t>
            </w:r>
          </w:p>
        </w:tc>
      </w:tr>
      <w:tr>
        <w:trPr>
          <w:trHeight w:val="264"/>
        </w:trPr>
        <w:tc>
          <w:tcPr>
            <w:tcW w:w="42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October 1 through October 31 </w:t>
            </w:r>
            <w:r>
              <w:rPr>
                <w:rFonts w:ascii="Arial" w:cs="Arial" w:eastAsia="Arial" w:hAnsi="Arial"/>
                <w:sz w:val="25"/>
                <w:szCs w:val="25"/>
                <w:color w:val="auto"/>
                <w:vertAlign w:val="superscript"/>
              </w:rPr>
              <w:t>(2)</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611,129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76.15</w:t>
            </w: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607,400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246.2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November 1 through November 30</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4,123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80.36</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246.2</w:t>
            </w:r>
          </w:p>
        </w:tc>
      </w:tr>
      <w:tr>
        <w:trPr>
          <w:trHeight w:val="27"/>
        </w:trPr>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December 1 through December 31 </w:t>
            </w:r>
            <w:r>
              <w:rPr>
                <w:rFonts w:ascii="Arial" w:cs="Arial" w:eastAsia="Arial" w:hAnsi="Arial"/>
                <w:sz w:val="25"/>
                <w:szCs w:val="25"/>
                <w:color w:val="auto"/>
                <w:vertAlign w:val="superscript"/>
              </w:rPr>
              <w:t>(3)</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44,261</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82.35</w:t>
            </w:r>
          </w:p>
        </w:tc>
        <w:tc>
          <w:tcPr>
            <w:tcW w:w="2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246.2</w:t>
            </w:r>
          </w:p>
        </w:tc>
      </w:tr>
      <w:tr>
        <w:trPr>
          <w:trHeight w:val="237"/>
        </w:trPr>
        <w:tc>
          <w:tcPr>
            <w:tcW w:w="4240" w:type="dxa"/>
            <w:vAlign w:val="bottom"/>
          </w:tcPr>
          <w:p>
            <w:pPr>
              <w:spacing w:after="0"/>
              <w:rPr>
                <w:sz w:val="20"/>
                <w:szCs w:val="20"/>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659,513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607,400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hanging="169"/>
        <w:spacing w:after="0" w:line="216" w:lineRule="auto"/>
        <w:tabs>
          <w:tab w:leader="none" w:pos="469"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Includes the surrender to LII of 52,113 shares of common stock to satisfy employee tax-withholding obligations in connection with the exercise of vested stock appreciation rights and the vesting of restricted stock units.</w:t>
      </w:r>
    </w:p>
    <w:p>
      <w:pPr>
        <w:spacing w:after="0" w:line="1" w:lineRule="exact"/>
        <w:rPr>
          <w:rFonts w:ascii="Arial" w:cs="Arial" w:eastAsia="Arial" w:hAnsi="Arial"/>
          <w:sz w:val="25"/>
          <w:szCs w:val="25"/>
          <w:color w:val="auto"/>
          <w:vertAlign w:val="superscript"/>
        </w:rPr>
      </w:pPr>
    </w:p>
    <w:p>
      <w:pPr>
        <w:ind w:left="440" w:hanging="189"/>
        <w:spacing w:after="0" w:line="196" w:lineRule="auto"/>
        <w:tabs>
          <w:tab w:leader="none" w:pos="440"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Includes 75,390 shares repurchased in transactions executed in the third quarter of 2013 but settled in October 2013.</w:t>
      </w:r>
    </w:p>
    <w:p>
      <w:pPr>
        <w:spacing w:after="0" w:line="1" w:lineRule="exact"/>
        <w:rPr>
          <w:rFonts w:ascii="Arial" w:cs="Arial" w:eastAsia="Arial" w:hAnsi="Arial"/>
          <w:sz w:val="23"/>
          <w:szCs w:val="23"/>
          <w:color w:val="auto"/>
          <w:vertAlign w:val="superscript"/>
        </w:rPr>
      </w:pPr>
    </w:p>
    <w:p>
      <w:pPr>
        <w:ind w:left="440" w:hanging="189"/>
        <w:spacing w:after="0" w:line="194" w:lineRule="auto"/>
        <w:tabs>
          <w:tab w:leader="none" w:pos="440"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Excludes 195,437 shares repurchased in transactions that were executed in the fourth quarter of 2013 but settled in January 2014.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selected financial data for each of the five years ended December 31, 2009 to 2013 (in millions,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8"/>
          </w:tcPr>
          <w:p>
            <w:pPr>
              <w:ind w:left="300"/>
              <w:spacing w:after="0"/>
              <w:rPr>
                <w:sz w:val="20"/>
                <w:szCs w:val="20"/>
                <w:color w:val="auto"/>
              </w:rPr>
            </w:pPr>
            <w:r>
              <w:rPr>
                <w:rFonts w:ascii="Arial" w:cs="Arial" w:eastAsia="Arial" w:hAnsi="Arial"/>
                <w:sz w:val="16"/>
                <w:szCs w:val="16"/>
                <w:b w:val="1"/>
                <w:bCs w:val="1"/>
                <w:color w:val="auto"/>
              </w:rPr>
              <w:t>For the Years Ended December 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2009</w:t>
            </w:r>
          </w:p>
        </w:tc>
      </w:tr>
      <w:tr>
        <w:trPr>
          <w:trHeight w:val="33"/>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3,199.1</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2,949.4</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2,840.9</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2,585.2</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2,377.6</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289.0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Earnings Per Share From Continuing Operations</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0.56</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38"/>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45.5</w:t>
            </w:r>
          </w:p>
        </w:tc>
      </w:tr>
      <w:tr>
        <w:trPr>
          <w:trHeight w:val="324"/>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1,626.7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400.4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386.6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465.1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231.5</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485.7</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498.3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467.8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589.7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604.4</w:t>
            </w:r>
          </w:p>
        </w:tc>
      </w:tr>
      <w:tr>
        <w:trPr>
          <w:trHeight w:val="27"/>
        </w:trPr>
        <w:tc>
          <w:tcPr>
            <w:tcW w:w="5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73" w:lineRule="exact"/>
        <w:rPr>
          <w:sz w:val="20"/>
          <w:szCs w:val="20"/>
          <w:color w:val="auto"/>
        </w:rPr>
      </w:pPr>
    </w:p>
    <w:p>
      <w:pPr>
        <w:ind w:left="520" w:hanging="188"/>
        <w:spacing w:after="0"/>
        <w:tabs>
          <w:tab w:leader="none" w:pos="52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Amounts exclude capital expenditures and research and development expenses related to discontinued operations.</w:t>
      </w:r>
    </w:p>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Information in the table above is not necessarily indicative of results of future operations. To understand the factors that may affect comparability, the financial data should be read in conjunction with Item 7, "Management's Discussion and Analysis of Financial Condition and Results of Operations," and the Consolidated Financial Statements and the related Notes to the Consolidated Financial Statements in Item 8, "Financial Statements and Supplementary Data," of this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discussion should be read in conjunction with the other sections of this report, including the consolidated financial statements and related notes contained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more detailed information regarding our reportable segments, see Note 19 in the Notes to the Consolidated Financial Statements.</w:t>
      </w:r>
    </w:p>
    <w:p>
      <w:pPr>
        <w:spacing w:after="0" w:line="181"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costs of warranty expense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higher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March 22, 2013, the Company sold its Service Experts business to a majority-owned entity of American Capital, Ltd. (the "Buyer") in an all cash transaction for proceeds of $10.4 million, excluding transaction costs. The gain on sale of the business, the operating results for the business through March 22, 2013, and other gains and losses associated with the business are presented in discontinued operations. The Company also entered into a two-year equipment and parts supply agreement with the Buyer.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increased $250 million, or 8%, to $3,199 million in 2013 from $2,949 million in 2012.</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income from continuing operations in 2013 was $289 million compared to $219 million in 2012. The increase was primarily due to higher volumes, higher margins from improved price and mix and material cost savings.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 2013 increased to $172 million from $90 million in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$3.55 per share in 2013 compared to $2.63 per share in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generated $210 million of cash flow from operating activities in 2013 compared to $221 million in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2013, we returned $125 million to shareholders through share repurchases and $34 million through dividend payments.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Results</w:t>
      </w:r>
    </w:p>
    <w:p>
      <w:pPr>
        <w:spacing w:after="0" w:line="229"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The Residential Heating &amp; Cooling segment led our overall financial performance in 2013, with a 15% increase in net sales and a $77 million increase in segment profit compared to 2012. This segment's results benefited from industry growth in the replacement and new construction markets as well as market share gains. Our Commercial Heating &amp; Cooling segment also performed well in 2013 with an 8% increase in net sales and a $19 million increase in segment profit compared to 2012. This segment's results benefited from market share gains, market growth in North America and material cost savings. Sales in our Refrigeration segment were down 2% and segment profit increased $8 million compared to 2012. This segment's sales were impacted by volume declines and unfavorable foreign currency exchange rates. However, the segment's profits increased due to product price increases, favorable product mix, lower material costs and growth in the Australian refrigerant distribution business, improved price and mix and favorable material product costs.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9" w:name="page20"/>
    <w:bookmarkEnd w:id="19"/>
    <w:p>
      <w:pPr>
        <w:jc w:val="both"/>
        <w:ind w:firstLine="230"/>
        <w:spacing w:after="0" w:line="279" w:lineRule="auto"/>
        <w:rPr>
          <w:sz w:val="20"/>
          <w:szCs w:val="20"/>
          <w:color w:val="auto"/>
        </w:rPr>
      </w:pPr>
      <w:r>
        <w:rPr>
          <w:rFonts w:ascii="Arial" w:cs="Arial" w:eastAsia="Arial" w:hAnsi="Arial"/>
          <w:sz w:val="17"/>
          <w:szCs w:val="17"/>
          <w:color w:val="auto"/>
        </w:rPr>
        <w:t>On a consolidated basis, our product profit margins improved to 26.9% in 2013 due to volume increases in our Residential Heating &amp; Cooling and Commercial Heating &amp; Cooling segments, favorable commodity and non-commodity material costs across all of our segments and favorable price and mix across all of our segments. These improvements were partially offset by higher distribution costs in the Residential Heating &amp; Cooling segment, higher non-material product costs primarily in our Refrigeration segment and higher warranty costs in our Residential Heating &amp; Cooling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a summary of our financial results, including information presented as a percentage of net sales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15"/>
          </w:tcPr>
          <w:p>
            <w:pPr>
              <w:jc w:val="center"/>
              <w:ind w:left="572"/>
              <w:spacing w:after="0"/>
              <w:rPr>
                <w:sz w:val="20"/>
                <w:szCs w:val="20"/>
                <w:color w:val="auto"/>
              </w:rPr>
            </w:pPr>
            <w:r>
              <w:rPr>
                <w:rFonts w:ascii="Arial" w:cs="Arial" w:eastAsia="Arial" w:hAnsi="Arial"/>
                <w:sz w:val="16"/>
                <w:szCs w:val="16"/>
                <w:b w:val="1"/>
                <w:bCs w:val="1"/>
                <w:color w:val="auto"/>
                <w:w w:val="91"/>
              </w:rPr>
              <w:t>For the Years Ended December 31,</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2013</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gridSpan w:val="5"/>
          </w:tcPr>
          <w:p>
            <w:pPr>
              <w:jc w:val="right"/>
              <w:ind w:right="759"/>
              <w:spacing w:after="0"/>
              <w:rPr>
                <w:sz w:val="20"/>
                <w:szCs w:val="20"/>
                <w:color w:val="auto"/>
              </w:rPr>
            </w:pPr>
            <w:r>
              <w:rPr>
                <w:rFonts w:ascii="Arial" w:cs="Arial" w:eastAsia="Arial" w:hAnsi="Arial"/>
                <w:sz w:val="16"/>
                <w:szCs w:val="16"/>
                <w:b w:val="1"/>
                <w:bCs w:val="1"/>
                <w:color w:val="auto"/>
                <w:w w:val="89"/>
              </w:rPr>
              <w:t>2011</w:t>
            </w:r>
          </w:p>
        </w:tc>
      </w:tr>
      <w:tr>
        <w:trPr>
          <w:trHeight w:val="3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rPr>
              <w:t>Dollars</w:t>
            </w: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w w:val="88"/>
              </w:rPr>
              <w:t>Dollars</w:t>
            </w: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1"/>
              <w:spacing w:after="0"/>
              <w:rPr>
                <w:sz w:val="20"/>
                <w:szCs w:val="20"/>
                <w:color w:val="auto"/>
              </w:rPr>
            </w:pPr>
            <w:r>
              <w:rPr>
                <w:rFonts w:ascii="Arial" w:cs="Arial" w:eastAsia="Arial" w:hAnsi="Arial"/>
                <w:sz w:val="16"/>
                <w:szCs w:val="16"/>
                <w:b w:val="1"/>
                <w:bCs w:val="1"/>
                <w:color w:val="auto"/>
                <w:w w:val="92"/>
              </w:rPr>
              <w:t>Dollars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33"/>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3,199.1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6"/>
              </w:rPr>
              <w:t>2,949.4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2,840.9</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86"/>
              </w:rPr>
              <w:t>2,337.9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73.1 %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96"/>
              </w:rPr>
              <w:t>2,227.1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2,171.0</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76.4 %</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23.6 %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507.0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476.9</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16.8 %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other expenses, net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Operational income from continuing operations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320" w:type="dxa"/>
            <w:vAlign w:val="bottom"/>
            <w:gridSpan w:val="8"/>
          </w:tcPr>
          <w:p>
            <w:pPr>
              <w:ind w:left="260"/>
              <w:spacing w:after="0"/>
              <w:rPr>
                <w:sz w:val="20"/>
                <w:szCs w:val="20"/>
                <w:color w:val="auto"/>
              </w:rPr>
            </w:pPr>
            <w:r>
              <w:rPr>
                <w:rFonts w:ascii="Arial" w:cs="Arial" w:eastAsia="Arial" w:hAnsi="Arial"/>
                <w:sz w:val="18"/>
                <w:szCs w:val="18"/>
                <w:color w:val="auto"/>
                <w:w w:val="94"/>
              </w:rPr>
              <w:t>The following table provides net sales by geographic market (dollars in millions):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15"/>
          </w:tcPr>
          <w:p>
            <w:pPr>
              <w:jc w:val="right"/>
              <w:ind w:right="20"/>
              <w:spacing w:after="0"/>
              <w:rPr>
                <w:sz w:val="20"/>
                <w:szCs w:val="20"/>
                <w:color w:val="auto"/>
              </w:rPr>
            </w:pPr>
            <w:r>
              <w:rPr>
                <w:rFonts w:ascii="Arial" w:cs="Arial" w:eastAsia="Arial" w:hAnsi="Arial"/>
                <w:sz w:val="16"/>
                <w:szCs w:val="16"/>
                <w:b w:val="1"/>
                <w:bCs w:val="1"/>
                <w:color w:val="auto"/>
              </w:rPr>
              <w:t>For the Years Ended December 31,</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6"/>
          </w:tcPr>
          <w:p>
            <w:pPr>
              <w:jc w:val="right"/>
              <w:ind w:right="652"/>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2012</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gridSpan w:val="5"/>
          </w:tcPr>
          <w:p>
            <w:pPr>
              <w:jc w:val="right"/>
              <w:ind w:right="739"/>
              <w:spacing w:after="0"/>
              <w:rPr>
                <w:sz w:val="20"/>
                <w:szCs w:val="20"/>
                <w:color w:val="auto"/>
              </w:rPr>
            </w:pPr>
            <w:r>
              <w:rPr>
                <w:rFonts w:ascii="Arial" w:cs="Arial" w:eastAsia="Arial" w:hAnsi="Arial"/>
                <w:sz w:val="16"/>
                <w:szCs w:val="16"/>
                <w:b w:val="1"/>
                <w:bCs w:val="1"/>
                <w:color w:val="auto"/>
                <w:w w:val="95"/>
              </w:rPr>
              <w:t>2011</w:t>
            </w:r>
          </w:p>
        </w:tc>
      </w:tr>
      <w:tr>
        <w:trPr>
          <w:trHeight w:val="3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Dollars</w:t>
            </w:r>
          </w:p>
        </w:tc>
        <w:tc>
          <w:tcPr>
            <w:tcW w:w="92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Dollars</w:t>
            </w:r>
          </w:p>
        </w:tc>
        <w:tc>
          <w:tcPr>
            <w:tcW w:w="880" w:type="dxa"/>
            <w:vAlign w:val="bottom"/>
            <w:gridSpan w:val="3"/>
          </w:tcPr>
          <w:p>
            <w:pPr>
              <w:ind w:left="60"/>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Dollars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33"/>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by Geographic Market: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2,018.1</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180" w:type="dxa"/>
            <w:vAlign w:val="bottom"/>
            <w:tcBorders>
              <w:bottom w:val="single" w:sz="8" w:color="CCEEFF"/>
            </w:tcBorders>
            <w:gridSpan w:val="5"/>
            <w:shd w:val="clear" w:color="auto" w:fill="CCEEFF"/>
          </w:tcPr>
          <w:p>
            <w:pPr>
              <w:jc w:val="right"/>
              <w:ind w:right="99"/>
              <w:spacing w:after="0"/>
              <w:rPr>
                <w:sz w:val="20"/>
                <w:szCs w:val="20"/>
                <w:color w:val="auto"/>
              </w:rPr>
            </w:pPr>
            <w:r>
              <w:rPr>
                <w:rFonts w:ascii="Arial" w:cs="Arial" w:eastAsia="Arial" w:hAnsi="Arial"/>
                <w:sz w:val="18"/>
                <w:szCs w:val="18"/>
                <w:color w:val="auto"/>
              </w:rPr>
              <w:t>7.8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603.6</w:t>
            </w:r>
          </w:p>
        </w:tc>
        <w:tc>
          <w:tcPr>
            <w:tcW w:w="1180" w:type="dxa"/>
            <w:vAlign w:val="bottom"/>
            <w:gridSpan w:val="5"/>
          </w:tcPr>
          <w:p>
            <w:pPr>
              <w:jc w:val="right"/>
              <w:ind w:right="99"/>
              <w:spacing w:after="0"/>
              <w:rPr>
                <w:sz w:val="20"/>
                <w:szCs w:val="20"/>
                <w:color w:val="auto"/>
              </w:rPr>
            </w:pPr>
            <w:r>
              <w:rPr>
                <w:rFonts w:ascii="Arial" w:cs="Arial" w:eastAsia="Arial" w:hAnsi="Arial"/>
                <w:sz w:val="18"/>
                <w:szCs w:val="18"/>
                <w:color w:val="auto"/>
              </w:rPr>
              <w:t>21.2</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2,840.9</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2012 -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Net sales increased 8% in 2013 compared to 2012, with sales volumes up approximately 8% and price and mix up approximately 1%. Also, foreign currency exchange rates had an unfavorable impact of less than 1%. The increase in volume was driven by our Residential Heating &amp; Cooling and Commercial Heating &amp; Cooling segments capturing additional replacement and new construction business. The benefit of price and mix was a combination of price increases across all segments and favorable product mix predominantly in our Residential Heating &amp; Cooling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Gross profit margins improved 240 basis points to 26.9% in 2013 compared to 24.5% in 2012. Increased volume, along with favorable price and mix contributed 200 basis points to profit margin and lower commodity and non-commodity product costs contributed a collective 130 basis points. Partially offsetting these improvements were 70 basis points of higher distribution costs and 20 basis points of higher warranty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SG&amp;A expenses increased by $63 million in 2013 compared to 2012. As a percentage of net sales, SG&amp;A expenses increased 60 basis points from 17.2% to 17.8% in the same periods. The increase in SG&amp;A expenses was principally due to higher employee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2013 and 2012 included the following (in millions):</w:t>
      </w:r>
    </w:p>
    <w:p>
      <w:pPr>
        <w:spacing w:after="0" w:line="172" w:lineRule="exact"/>
        <w:rPr>
          <w:sz w:val="20"/>
          <w:szCs w:val="20"/>
          <w:color w:val="auto"/>
        </w:rPr>
      </w:pPr>
    </w:p>
    <w:p>
      <w:pPr>
        <w:jc w:val="center"/>
        <w:ind w:left="9060"/>
        <w:spacing w:after="0"/>
        <w:rPr>
          <w:sz w:val="20"/>
          <w:szCs w:val="20"/>
          <w:color w:val="auto"/>
        </w:rPr>
      </w:pPr>
      <w:r>
        <w:rPr>
          <w:rFonts w:ascii="Arial" w:cs="Arial" w:eastAsia="Arial" w:hAnsi="Arial"/>
          <w:sz w:val="15"/>
          <w:szCs w:val="15"/>
          <w:b w:val="1"/>
          <w:bCs w:val="1"/>
          <w:color w:val="auto"/>
        </w:rPr>
        <w:t>For the Years Ended December</w:t>
      </w:r>
    </w:p>
    <w:p>
      <w:pPr>
        <w:spacing w:after="0" w:line="38"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2012</w:t>
            </w:r>
          </w:p>
        </w:tc>
      </w:tr>
      <w:tr>
        <w:trPr>
          <w:trHeight w:val="33"/>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on settled futures contracts</w:t>
            </w: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Foreign currency exchange losses</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disposal of fixed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legal contingency charges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Asbestos-related litigation</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57"/>
        </w:trPr>
        <w:tc>
          <w:tcPr>
            <w:tcW w:w="9020" w:type="dxa"/>
            <w:vAlign w:val="bottom"/>
          </w:tcPr>
          <w:p>
            <w:pPr>
              <w:ind w:left="280"/>
              <w:spacing w:after="0"/>
              <w:rPr>
                <w:sz w:val="20"/>
                <w:szCs w:val="20"/>
                <w:color w:val="auto"/>
              </w:rPr>
            </w:pPr>
            <w:r>
              <w:rPr>
                <w:rFonts w:ascii="Arial" w:cs="Arial" w:eastAsia="Arial" w:hAnsi="Arial"/>
                <w:sz w:val="18"/>
                <w:szCs w:val="18"/>
                <w:color w:val="auto"/>
              </w:rPr>
              <w:t>Losses and other expenses, net</w:t>
            </w: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decline in realized losses on settled futures contracts in 2013 was attributable to increases in commodity prices relative to our settled futures contract prices. Conversely, the change in unrealized losses (gains) on unsettled futures contracts was primarily due to lower commodity prices relative to the unsettled futures contract prices. For more information on our derivatives, see Note 8 in the Notes to the Consolidated Financial Statements.</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special legal contingency charges relate to ongoing patent litigation. We also recorded asbestos charges in the fourth quarter of 2013 for known and estimated future asbestos matters. Refer to Note 10 in the Notes to the Consolidated Financial Statements for more information on this litigation and the asbestos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Restructuring charges were $5 million in 2013 compared to $4 million in 2012. The charges in 2013 related to our Regional Distribution Network project as well as anticipated severance charges associated with a relocation of certain Residential Heating &amp; Cooling manufacturing operations to lower cost facilities. The charges in 2012 related primarily to our Regional Distribution Network project. For more information on our restructuring activities, see Note 16 in the Notes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Investments over which we do not exercise control but have significant influence are accounted for using the equity method of accounting. Income from equity method investments increased to $12 million in 2013 compared to $10 million in 2012 due to increases in earnings from our joint ventures.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interest expense of $15 million in 2013 declined from $17 million in 2012 due to a decrease in our weighted-average interest rates in the comparable periods, partially offset by a slight increase in our average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income tax provision was $94 million in 2013 compared to $67 million in 2012, and the effective tax rate was 34.4% in 2013 compared to 33.1% in 2012. Our effective tax rates differ from the statutory federal rate of 35% for certain items, including tax credits, state and local taxes, non-deductible expenses, foreign taxes at rates other than 35% and other permanent tax differences.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Loss from discontinued operations related to the Service Experts business sold in March 2013 and the Hearth business sold in April 2012. In 2013, there were $13 million of pre-tax losses from discontinued operations consisting primarily of operating losses in the Service Experts business. The Hearth business had no significant gains or losses in 2013.</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2012, there were pre-tax losses of $65 million consisting of $51 million of losses related to the Service Experts business and $14 million of losses related to the Hearth business. The $51 million of Service Experts' losses included operating losses of $28 million, goodwill impairment charges of $21 million and $2 million of restructuring and other expenses. The $14 million of losses related to the Hearth business included operating losses of $3 million, a $6 million charge to write down certain long-lived assets to their fair value, a $6 million pension settlement charge for the realization of pension losses related to the transfer of a pension to the buyer of the business, a $1 million loss on the sale of the business, $2 million of other expenses and a $4 million gain for the realization of foreign currency translation adjustments.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Residential Heating &amp; Cooling segment's net sales and profit for 2013 and 2012 (dollars in millions):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6"/>
                <w:szCs w:val="16"/>
                <w:b w:val="1"/>
                <w:bCs w:val="1"/>
                <w:color w:val="auto"/>
                <w:w w:val="98"/>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Difference</w:t>
            </w:r>
          </w:p>
        </w:tc>
        <w:tc>
          <w:tcPr>
            <w:tcW w:w="1240" w:type="dxa"/>
            <w:vAlign w:val="bottom"/>
          </w:tcPr>
          <w:p>
            <w:pPr>
              <w:jc w:val="right"/>
              <w:ind w:right="1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Residential Heating &amp; Cooling net sales increased 15% in 2013 compared to 2012 driven by strong volume increases and favorable price and mix. Sales volume increases contributed 13% and were attributable to industry growth in new construction and replacement markets and market share gains. Benefits of price increases and favorable product mix contributed 2%.</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Segment profit in 2013 increased $77 million due to $57 million in higher sales volumes, $18 million from favorable price and mix, $33 million in commodity and non-commodity material cost savings and $3 million in favorable other product costs due primarily to factory efficiencies. Partially offsetting these increases were $13 million in higher SG&amp;A costs due primarily to higher advertising and employee compensation costs, $17 million of higher distribution expenses due to continued investment in distribution initiatives and $4 million in adjustments to the product warranty accrual.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Commercial Heating &amp; Cooling segment's net sales and profit for 2013 and 2012 (dollars in millions):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6"/>
                <w:szCs w:val="16"/>
                <w:b w:val="1"/>
                <w:bCs w:val="1"/>
                <w:color w:val="auto"/>
                <w:w w:val="98"/>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Difference</w:t>
            </w:r>
          </w:p>
        </w:tc>
        <w:tc>
          <w:tcPr>
            <w:tcW w:w="1240" w:type="dxa"/>
            <w:vAlign w:val="bottom"/>
          </w:tcPr>
          <w:p>
            <w:pPr>
              <w:jc w:val="right"/>
              <w:ind w:right="1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Commercial Heating &amp; Cooling net sales increased 8% in 2013 compared to 2012 driven by higher volumes. The drivers of the volume increases were market share gains and industry growth in the North American markets. Also, foreign currency exchange rates had a favorable impact of less than 1%.</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Segment profit in 2013 increased $19 million compared to 2012 due to increases of $19 million from higher volumes, $11 million for favorable commodity and non-commodity material costs and $4 million for favorable price and mix. Partially offsetting these increases were $4 million of higher distribution expenses due to continued investment in distribution initiatives, $6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of higher SG&amp;A expenses and $5 million of increases primarily to investments in our commercial services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2013 and 2012 (dollars in millions):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6"/>
                <w:szCs w:val="16"/>
                <w:b w:val="1"/>
                <w:bCs w:val="1"/>
                <w:color w:val="auto"/>
                <w:w w:val="97"/>
              </w:rPr>
              <w:t>For the Years Ended December 31,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28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7"/>
        </w:trPr>
        <w:tc>
          <w:tcPr>
            <w:tcW w:w="5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Refrigeration net sales were down 2% in 2013 compared to 2012 due to volume declines and unfavorable foreign currency exchange rates, partially offset by growth in Australia. Volumes declined 2% primarily because of weakness in the North America grocery markets. Also, foreign currency exchange rates had a 1% unfavorable impact over the comparable period. These declines were partially offset by growth of 1% related to the Australia wholesale refrigerant business.</w:t>
      </w:r>
    </w:p>
    <w:p>
      <w:pPr>
        <w:spacing w:after="0" w:line="18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Segment profit for 2013 increased $8 million over 2012, with increases of $14 million from growth in the Australia wholesale refrigerant business which benefited from one-time purchases of lower cost inventory and from investments in related operations, increases of $10 million from favorable price and mix and increases of $11 million from favorable commodity and non-commodity material costs. Partially offsetting these increases were $13 million of higher SG&amp;A expenses primarily related to investments in cost savings initiatives and increases in employee compensation, $11 million of volume-related declines, approximately $2 million from unfavorable foreign currency exchange rates and $1 million of higher distribution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and other expenses increased $28 million in 2013 to $88 million from $60 million in 2012 driven primarily by an increase in incentive compensation due to improved operating results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2011 -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Net sales increased 4% in 2012 compared to 2011, or increased 5% excluding a 1% unfavorable impact from changes in foreign currency exchange rates. Sales volume was up 5% and price and mix were flat from the comparable period. The increase in volume was driven by our Residential Heating &amp; Cooling and Commercial Heating &amp; Cooling segments capturing additional replacement and new construction business. Increases in price and mix at our Commercial Heating &amp; Cooling and Refrigeration segments were largely offset by a decrease in price and mix at our Residential Heating &amp; Cooling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Gross profit margins improved 90 basis points to 24.5% in 2012 from 23.6% in 2011. Improved volume, price and mix contributed 50 basis points to profit margin and improved commodity and non-commodity material costs contributed a collective 90 basis points over 2011. Partially offsetting these increases were 50 basis points of higher freight and distribution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SG&amp;A expenses increased by $30 million in 2012 compared to 2011, and as a percentage of net sales, SG&amp;A expenses increased 40 basis points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16.8% in 2011 to 17.2% in 2012. The increase in SG&amp;A expenses was principally due to higher incentive compensation due to improved operating results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2012 and 2011 included the following (in millions):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828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1"/>
              </w:rPr>
              <w:t>For the Years Ended December 31,</w:t>
            </w:r>
          </w:p>
        </w:tc>
      </w:tr>
      <w:tr>
        <w:trPr>
          <w:trHeight w:val="33"/>
        </w:trPr>
        <w:tc>
          <w:tcPr>
            <w:tcW w:w="8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51"/>
              <w:spacing w:after="0"/>
              <w:rPr>
                <w:sz w:val="20"/>
                <w:szCs w:val="20"/>
                <w:color w:val="auto"/>
              </w:rPr>
            </w:pPr>
            <w:r>
              <w:rPr>
                <w:rFonts w:ascii="Arial" w:cs="Arial" w:eastAsia="Arial" w:hAnsi="Arial"/>
                <w:sz w:val="16"/>
                <w:szCs w:val="16"/>
                <w:b w:val="1"/>
                <w:bCs w:val="1"/>
                <w:color w:val="auto"/>
              </w:rPr>
              <w:t>2011</w:t>
            </w:r>
          </w:p>
        </w:tc>
      </w:tr>
      <w:tr>
        <w:trPr>
          <w:trHeight w:val="33"/>
        </w:trPr>
        <w:tc>
          <w:tcPr>
            <w:tcW w:w="82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losses (gains) on settled futures contracts</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Foreign currency exchange losses</w:t>
            </w:r>
          </w:p>
        </w:tc>
        <w:tc>
          <w:tcPr>
            <w:tcW w:w="7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on disposal of fixed assets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expenses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Special legal contingency charges</w:t>
            </w:r>
          </w:p>
        </w:tc>
        <w:tc>
          <w:tcPr>
            <w:tcW w:w="7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57"/>
        </w:trPr>
        <w:tc>
          <w:tcPr>
            <w:tcW w:w="8280" w:type="dxa"/>
            <w:vAlign w:val="bottom"/>
          </w:tcPr>
          <w:p>
            <w:pPr>
              <w:ind w:left="260"/>
              <w:spacing w:after="0"/>
              <w:rPr>
                <w:sz w:val="20"/>
                <w:szCs w:val="20"/>
                <w:color w:val="auto"/>
              </w:rPr>
            </w:pPr>
            <w:r>
              <w:rPr>
                <w:rFonts w:ascii="Arial" w:cs="Arial" w:eastAsia="Arial" w:hAnsi="Arial"/>
                <w:sz w:val="18"/>
                <w:szCs w:val="18"/>
                <w:color w:val="auto"/>
              </w:rPr>
              <w:t>Losses and other expenses, net</w:t>
            </w: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r>
      <w:tr>
        <w:trPr>
          <w:trHeight w:val="20"/>
        </w:trPr>
        <w:tc>
          <w:tcPr>
            <w:tcW w:w="8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change in realized gains and losses on settled futures contracts in 2012 was attributable to decreases in commodity prices relative to our futures contract prices. Conversely, the change in unrealized gains on unsettled futures contracts was primarily due to higher commodity prices relative to the futures contract prices. For more information on our derivatives, see Note 8 in the Notes to the Consolidated Financial Statements. The special legal contingency charges in 2012 related primarily to ongoing patent litigation. See Note 10 in the Notes to the Consolidated Financial Statements for more information on this litigation.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Restructuring charges were $4 million in 2012 compared to $13 million in 2011. We did not initiate any significant new projects in 2012 and the charges during the year related primarily to our Regional Distribution Network project. The restructuring charges in 2011 were primarily from corporate restructuring charges that included the termination of our corporate airplane lease, closure of our aviation department, and reorganization of certain support functions. Refer to Note 16 in the Notes to the Consolidated Financial Statements for more information on our restructuring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Investments over which we do not exercise control but have significant influence are accounted for using the equity method of accounting. Income from equity method investments increased slightly to $11 million in 2012 compared to $10 million in 2011 primarily due to improved operational performance from our joint ventures.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interest expense of $17 million in 2012 was flat compared to 2011. Similarly, our weighted average interest rates and weighted average borrowings were relatively flat.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income tax provision was $67 million in 2012 compared to $56 million in 2011 and the effective tax rate was 33.1% for 2012 compared to 33.4% for 2011. Our effective rates differ from the statutory federal rate of 35% for certain items, including tax credits, state and local taxes, non-deductible expenses, foreign taxes at rates other than 35% and other permanent tax differences.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loss from discontinued operations relates to the Service Experts business, which we announced plans to sell in September 2012, and the Hearth business, which we sold in April 2012. The Service Experts business had a pre-tax loss of $51 million in 2012 compared to a pre-tax loss of $11 million in 2011. The pre-tax loss from discontinued operations in 2012 included operating losses of $28 million, goodwill impairment of $21 million, and $2 million of restructuring and other expenses. The pre-tax loss in 2011 included operating losses of $7 million and restructuring expenses of $4 million.</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Hearth business had a pre-tax loss in discontinued operations of $14 million in 2012 compared to a pre-tax loss of $26 million in 2011. The pre-tax loss in 2012 included $3 million of operating losses, a $6 million charge to write down the related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assets to their fair value, a $6 million pension settlement charge for the realization of pension losses related to the transfer of a pension obligation to the buyer, a $1 million loss on the sale of the business, $2 million of other expenses and a $4 million gain for the realization of foreign currency translation adjustments. The pre-tax loss in 2011 included operating losses of $12 million and goodwill and long-lived asset impairments of $7 million each.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Residential Heating &amp; Cooling segment's net sales and profit for 2012 and 2011 (dollars in millions):</w:t>
      </w: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Years Ended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7"/>
        </w:trPr>
        <w:tc>
          <w:tcPr>
            <w:tcW w:w="4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Residential Heating &amp; Cooling net sales increased by 9% in 2012 compared to 2011. Sales volumes increased by 11% in 2012 and were partially offset by lower sales mix of 2%. The increase in sales volumes was attributable to industry growth and market share gains in our new construction and replacement businesses during the year. Sales mix was negatively affected by the growth in the new construction business, which generally trends towards lower efficiency products.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for 2012 increased $15 million due to $40 million in higher sales volumes, $16 million in material cost savings and $4 million in favorable pricing. Partially offsetting these increases were $25 million in unfavorable mix, $13 million in higher SG&amp;A costs due primarily to higher incentive compensation from improved operating results in 2012, and higher freight and distribution expenses of $7 million due to continued investment in distribution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Commercial Heating &amp; Cooling segment's net sales and profit for 2012 and 2011 (dollars in millions):</w:t>
      </w: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Years Ended 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7"/>
        </w:trPr>
        <w:tc>
          <w:tcPr>
            <w:tcW w:w="4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Commercial Heating &amp; Cooling net sales increased 1% in 2012 compared to 2011, or increased 3% when excluding the 2% unfavorable impact from foreign currency exchange rates. Sales volumes increased 2% and price and mix increased by 1%. Sales volume growth was somewhat muted during the second half of 2012 as certain customers slowed order rates due to broad economic uncertainties.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Segment profit in 2012 increased $12 million compared to 2011, with increases of $5 million for higher sales volumes, $11 million for favorable price and mix and $5 million for productivity initiatives. Partially offsetting these increases were $5 million in higher SG&amp;A expenses due primarily to higher incentive compensation and higher freight and distribution expenses of $4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Refrigeration segment's net sales and profit for 2012 and 2011 (dollars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Years Ended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31"/>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Difference</w:t>
            </w: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
        </w:trPr>
        <w:tc>
          <w:tcPr>
            <w:tcW w:w="4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Net sales decreased by 2% in 2012 compared to 2011, or were flat excluding the 2% unfavorable impact from foreign currency exchange rates. Price and mix improvements of approximately 3% were offset by volume declines of 3%. Sales volumes were challenged in the second half of 2012 as we experienced some slowing in our European refrigeration markets as well as some customers pushing out orders due to broad economic uncertainties.</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2012 increased $4 million over 2011, with increases of $14 million from growth in our distribution business in Australia and overall favorable price and mix, and increases of approximately $5 million in material and other cost savings. Partially offsetting these increases were volume declines of $4 million, higher freight and distribution costs of $2 million, and higher SG&amp;A expenses of $9 million due primarily to higher incentive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Corporate and other expenses increased $5 million to $60 million in 2012 from $55 million in 2011. The increase was driven by a $12 million increase in incentive compensation due to improved overall operating results that was partially offset by a $7 million reduction in self-insurance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Futures Contracts</w:t>
      </w:r>
    </w:p>
    <w:p>
      <w:pPr>
        <w:spacing w:after="0" w:line="22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and other expenses, net in the accompanying Consolidated Statements of Operations. See Note 8 of the Notes to Consolidated Financial Statements for more information on our derivatives and Note 19 of the Notes to the Consolidated Financial Statements for more information on our segments and for a reconciliation of segment profit to net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years ended 2013, 2012 and 2011 (in millions):</w:t>
      </w:r>
    </w:p>
    <w:p>
      <w:pPr>
        <w:spacing w:after="0" w:line="18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2011</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8"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decreased $11 million to $210 million in 2013 compared to $221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2012. This decrease was primarily attributable to an increase in working capital requirements, partially offset by higher net income. The majority of the increase in working capital in 2013 was related to higher accounts and notes receivable due to sales growth, higher inventory levels due to planned sales growth in 2014 and a decrease in accounts payable due to the timing of payments. Also, contributions to pension plans were $10 million in 2013 compared to $29 million in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162"/>
        <w:spacing w:after="0" w:line="302"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were $78 million, $50 million and $41 million in 2013, 2012 and 2011, respectively.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 2013 were primarily related to an expansion of manufacturing capacity for our Residential Heating &amp; Cooling segment, investments in the operations of the Australia wholesale refrigerant business, investments in our North America distribution networks and other investments in systems and software to support the overall enterprise.</w:t>
      </w:r>
    </w:p>
    <w:p>
      <w:pPr>
        <w:spacing w:after="0" w:line="16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Net cash used in investing activities for 2013 also included $9 million in net proceeds from the sale of the Service Experts business. Net cash used in investing activities for 2012 included $10 million in net proceeds from the sale of the Hearth business. Net cash used in investing activities for 2011 included $143 million used for the acquisition of the Kysor/Warren business and $4 million used for the acquisition of a services business in our Commercial Heating &amp; Cooling segment.</w:t>
      </w:r>
    </w:p>
    <w:p>
      <w:pPr>
        <w:spacing w:after="0" w:line="193"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in financing activities declined to $150 million in 2013 from $180 million in 2012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net borrowings and fewer dividend payments, partially offset by increased share repurchases. Net borrowings increased by $14 million in 2013 primarily to support the working capital increase and we made $14 million less in dividend payments in 2013 due to timing of the payments. We also used $125 million in 2013 to acquire 1.7 million shares of stock under our share repurchase plans compared to purchases of $50 million for 1.1 million shares in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December 31, 2013 (in millions):</w:t>
      </w:r>
    </w:p>
    <w:p>
      <w:pPr>
        <w:spacing w:after="0" w:line="38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Outstanding</w:t>
            </w:r>
          </w:p>
        </w:tc>
        <w:tc>
          <w:tcPr>
            <w:tcW w:w="200" w:type="dxa"/>
            <w:vAlign w:val="bottom"/>
          </w:tcPr>
          <w:p>
            <w:pPr>
              <w:spacing w:after="0"/>
              <w:rPr>
                <w:sz w:val="17"/>
                <w:szCs w:val="17"/>
                <w:color w:val="auto"/>
              </w:rPr>
            </w:pPr>
          </w:p>
        </w:tc>
        <w:tc>
          <w:tcPr>
            <w:tcW w:w="124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Available for</w:t>
            </w:r>
          </w:p>
        </w:tc>
      </w:tr>
      <w:tr>
        <w:trPr>
          <w:trHeight w:val="210"/>
        </w:trPr>
        <w:tc>
          <w:tcPr>
            <w:tcW w:w="578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Maximum Capacity</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Borrowings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Future Borrowings</w:t>
            </w:r>
          </w:p>
        </w:tc>
      </w:tr>
      <w:tr>
        <w:trPr>
          <w:trHeight w:val="33"/>
        </w:trPr>
        <w:tc>
          <w:tcPr>
            <w:tcW w:w="5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Foreign Obligations</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
        </w:trPr>
        <w:tc>
          <w:tcPr>
            <w:tcW w:w="5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5"/>
                <w:szCs w:val="25"/>
                <w:color w:val="auto"/>
                <w:vertAlign w:val="superscript"/>
              </w:rPr>
              <w:t>(1)</w:t>
            </w: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80" w:type="dxa"/>
            <w:vAlign w:val="bottom"/>
          </w:tcPr>
          <w:p>
            <w:pPr>
              <w:ind w:left="280"/>
              <w:spacing w:after="0"/>
              <w:rPr>
                <w:sz w:val="20"/>
                <w:szCs w:val="20"/>
                <w:color w:val="auto"/>
              </w:rPr>
            </w:pPr>
            <w:r>
              <w:rPr>
                <w:rFonts w:ascii="Arial" w:cs="Arial" w:eastAsia="Arial" w:hAnsi="Arial"/>
                <w:sz w:val="18"/>
                <w:szCs w:val="18"/>
                <w:color w:val="auto"/>
              </w:rPr>
              <w:t>Total short-term debt</w:t>
            </w:r>
          </w:p>
        </w:tc>
        <w:tc>
          <w:tcPr>
            <w:tcW w:w="4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
        </w:trPr>
        <w:tc>
          <w:tcPr>
            <w:tcW w:w="5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Maturities:</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Domestic revolving credit facility </w:t>
            </w:r>
            <w:r>
              <w:rPr>
                <w:rFonts w:ascii="Arial" w:cs="Arial" w:eastAsia="Arial" w:hAnsi="Arial"/>
                <w:sz w:val="25"/>
                <w:szCs w:val="25"/>
                <w:color w:val="auto"/>
                <w:vertAlign w:val="superscript"/>
              </w:rPr>
              <w:t>(2)</w:t>
            </w: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599.5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599.5</w:t>
            </w:r>
          </w:p>
        </w:tc>
      </w:tr>
      <w:tr>
        <w:trPr>
          <w:trHeight w:val="257"/>
        </w:trPr>
        <w:tc>
          <w:tcPr>
            <w:tcW w:w="5780" w:type="dxa"/>
            <w:vAlign w:val="bottom"/>
          </w:tcPr>
          <w:p>
            <w:pPr>
              <w:ind w:left="500"/>
              <w:spacing w:after="0"/>
              <w:rPr>
                <w:sz w:val="20"/>
                <w:szCs w:val="20"/>
                <w:color w:val="auto"/>
              </w:rPr>
            </w:pPr>
            <w:r>
              <w:rPr>
                <w:rFonts w:ascii="Arial" w:cs="Arial" w:eastAsia="Arial" w:hAnsi="Arial"/>
                <w:sz w:val="18"/>
                <w:szCs w:val="18"/>
                <w:color w:val="auto"/>
              </w:rPr>
              <w:t>Total debt</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623.3</w:t>
            </w:r>
          </w:p>
        </w:tc>
      </w:tr>
      <w:tr>
        <w:trPr>
          <w:trHeight w:val="20"/>
        </w:trPr>
        <w:tc>
          <w:tcPr>
            <w:tcW w:w="5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740" w:hanging="246"/>
        <w:spacing w:after="0" w:line="262" w:lineRule="auto"/>
        <w:tabs>
          <w:tab w:leader="none" w:pos="7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 November 2013, we amended the Asset Securitization Program ("ASP"), extending its term to November 14, 2014 and increasing the maximum securitization amount from $160.0 million to a range of $160.0 million to $220.0 million, depending on the period. The maximum capacity of the ASP is the lesser of the maximum securitization amount or 100% of the net pool balance less reserves, as defined under the ASP.</w:t>
      </w:r>
    </w:p>
    <w:p>
      <w:pPr>
        <w:spacing w:after="0" w:line="24" w:lineRule="exact"/>
        <w:rPr>
          <w:rFonts w:ascii="Arial" w:cs="Arial" w:eastAsia="Arial" w:hAnsi="Arial"/>
          <w:sz w:val="22"/>
          <w:szCs w:val="22"/>
          <w:color w:val="auto"/>
          <w:vertAlign w:val="superscript"/>
        </w:rPr>
      </w:pPr>
    </w:p>
    <w:p>
      <w:pPr>
        <w:ind w:left="740" w:hanging="246"/>
        <w:spacing w:after="0" w:line="216" w:lineRule="auto"/>
        <w:tabs>
          <w:tab w:leader="none" w:pos="7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available future borrowings on our domestic revolving credit facility are reduced by $33.5 million in outstanding standby letters of credit. We had an additional $26.0 million in standby letters of credit with other banks.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2013, our senior credit ratings were Baa3 with a stable outlook, and BBB- with a stable outlook, by Moody's Investors Service, Inc. ("Moody's") and Standard &amp; Poor's Rating Group ("S&amp;P"), respectively. Obligations rated Baa3 by Moody's and BBB- by S&amp;P are both judged to be lowest investment grade and subject to moderate credit risk and may possess certain speculative characteristics. The security ratings are not a recommendation to buy, sell or hold securities and may be subject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7"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to revision or withdrawal at any time by the assigning rating agency. Each rating should be evaluated independently of any other rating. Our goal is to retain investment grade ratings from Moody's and S&amp;P to ensure the capital markets remain available to us.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debt-to-total-capital ratio increased to 45.2% at December 31, 2013 compared to 43.7% at December 31, 2012. The increase in the ratio in 2013 is primarily due to the increase in our net borrowings, as noted above. We evaluate our debt-to-capital ratio as well as our debt-to-EBITDA ratio in order to determine the appropriate targets for share repurchases under our share repurchase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believe our cash of $38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of $38 million as of December 31, 2013 was $26 million of cash held in foreign locations. Our cash held in foreign locations is used for investing and operating activities in those locations, and we currently do not have the need or intent to repatriate those funds to the United States. If we were to repatriate this cash, we would be required to accrue and to pay taxes in the United States for the amounts that were repatriated.</w:t>
      </w:r>
    </w:p>
    <w:p>
      <w:pPr>
        <w:spacing w:after="0" w:line="158"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As noted above, we made $10 million in contributions to pension plans in 2013. We also made a $10 million contribution to our U.S. defined benefit plan in January 2014 and are not required to make any additional contributions to this plan for the remainder of 2014.</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May 15, 2013, our Board of Directors approved a 20% increase in our quarterly dividend on common stock from $0.20 to $0.24 per share effective with the July 2013 dividend payment. Dividend payments were $34 million in 2013 compared to $48 million in 2012, with the decrease due primarily to the timing of payments of declared dividends. Four quarterly dividends were declared in both 2012 and 2013, whereas five quarterly dividends were paid in 2012 compared to three payments in 2013.</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also continued to increase shareholder value through our share repurchase programs. In 2013, we returned $125 million to our investors through share repurchases with another $246 million of repurchases still available under the programs. We are planning $150 million in share repurchases in 2014 under the existing share repurchase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related to our Debt</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revolving credit facility is guaranteed by certain of our subsidiaries and contains financial covenants relating to leverage and interest coverage. Other covenants contained in the revolving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revolving credit facility are detailed below:</w:t>
      </w:r>
    </w:p>
    <w:p>
      <w:pPr>
        <w:spacing w:after="0" w:line="105" w:lineRule="exact"/>
        <w:rPr>
          <w:sz w:val="20"/>
          <w:szCs w:val="20"/>
          <w:color w:val="auto"/>
        </w:rPr>
      </w:pPr>
    </w:p>
    <w:tbl>
      <w:tblPr>
        <w:tblLayout w:type="fixed"/>
        <w:tblInd w:w="1460" w:type="dxa"/>
        <w:tblCellMar>
          <w:top w:w="0" w:type="dxa"/>
          <w:left w:w="0" w:type="dxa"/>
          <w:bottom w:w="0" w:type="dxa"/>
          <w:right w:w="0" w:type="dxa"/>
        </w:tblCellMar>
      </w:tblP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2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3.5 : 1.0</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Cash Flow to Net Interest Expense Ratio no less than</w:t>
            </w:r>
          </w:p>
        </w:tc>
        <w:tc>
          <w:tcPr>
            <w:tcW w:w="2240" w:type="dxa"/>
            <w:vAlign w:val="bottom"/>
          </w:tcPr>
          <w:p>
            <w:pPr>
              <w:jc w:val="right"/>
              <w:ind w:right="390"/>
              <w:spacing w:after="0"/>
              <w:rPr>
                <w:sz w:val="20"/>
                <w:szCs w:val="20"/>
                <w:color w:val="auto"/>
              </w:rPr>
            </w:pPr>
            <w:r>
              <w:rPr>
                <w:rFonts w:ascii="Arial" w:cs="Arial" w:eastAsia="Arial" w:hAnsi="Arial"/>
                <w:sz w:val="18"/>
                <w:szCs w:val="18"/>
                <w:color w:val="auto"/>
              </w:rPr>
              <w:t>3.0 : 1.0</w:t>
            </w:r>
          </w:p>
        </w:tc>
      </w:tr>
    </w:tbl>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credit facility could occur if:</w:t>
      </w:r>
    </w:p>
    <w:p>
      <w:pPr>
        <w:spacing w:after="0" w:line="181"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23" w:lineRule="exact"/>
        <w:rPr>
          <w:rFonts w:ascii="Arial" w:cs="Arial" w:eastAsia="Arial" w:hAnsi="Arial"/>
          <w:sz w:val="18"/>
          <w:szCs w:val="18"/>
          <w:color w:val="auto"/>
        </w:rPr>
      </w:pPr>
    </w:p>
    <w:p>
      <w:pPr>
        <w:jc w:val="both"/>
        <w:ind w:left="580" w:hanging="248"/>
        <w:spacing w:after="0" w:line="25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19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revolving credit facility, our senior unsecured notes, the Lake Park Renewal, or our ASP were to occur, it could have a wider impact on our liquidity than might otherwise occur from a default of a single debt instrument or lease commitment.</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revolving credit facility and accelerate amounts due under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revolving credit facility (except for a bankruptcy event of default, in which case such amounts will automatically become due and payable and the lenders' commitments will automatically terminate).</w:t>
      </w:r>
    </w:p>
    <w:p>
      <w:pPr>
        <w:spacing w:after="0" w:line="170"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repurchased, plus accrued and unpaid interest, if any. The notes are guaranteed, on a senior unsecured basis, by each of our domestic subsidiaries that guarantee payment by us of any indebtedness under our credit facility.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2013, we were in compliance with all covenant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Commitments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On March 22, 2013, we entered into an agreement with a financial institution to renew the lease of our corporate headquarters in Richardson, Texas for a term of approximately six years through March 1, 2019 (the "Lake Park Renewal"). The agreement provides for financial covenants consistent with our credit agreement and we were in compliance with those covenants as of December 31, 2013. The lease is classified as an operating lease and we expect to realize annualized savings of approximately $2 million in net rent costs from this renewal compared to our previous leasing arrangement.</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2008, we expanded our Tifton, Georgia manufacturing facility using the proceeds from Industrial Development Bonds (“IDBs”). We entered into a lease agreement with the owner of the property and the issuer of the IDBs, and through our lease payments fund the interest payments to investors in the IDBs. We also guaranteed the repayment of the IDBs and entered into letters of credit totaling $14.5 million to fund a potential repurchase of the IDBs in the event investors exercised their right to tender the IDBs to the Trustee. As of December 31, 2013 and 2012, we had a long-term capital lease obligation of $14.2 million related to these transactions.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10 in the Notes to the Consolidated Financial Statements for more details on our leasing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the credit facilities, promissory notes and leasing commitments described above, we also lease real estate and machinery and equipment pursuant to operating leases that are not capitalized on the balance sheet, including high-turnover equipment such as autos and service vehicles and short-lived equipment such as personal computers. Rent expense for these leases was $54 million, $68 million, and $70 million in 2013, 2012, and 2011, respectively. Refer to Notes 10 and 23 of the Notes to the Consolidated Financial Statements for more information on our lease commitments and rent expense,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Summarized below are our contractual obligations as of December 31, 2013 and their expected impact on our liquidity and cash flows in future periods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1 Year or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More than 5</w:t>
            </w: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Less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1 - 3 Years</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3 - 5 Years</w:t>
            </w:r>
          </w:p>
        </w:tc>
        <w:tc>
          <w:tcPr>
            <w:tcW w:w="22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Years</w:t>
            </w:r>
          </w:p>
        </w:tc>
      </w:tr>
      <w:tr>
        <w:trPr>
          <w:trHeight w:val="33"/>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long-term debt obligations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Estimated interest payments on debt obligations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70"/>
        </w:trPr>
        <w:tc>
          <w:tcPr>
            <w:tcW w:w="5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tcPr>
          <w:p>
            <w:pPr>
              <w:ind w:left="28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520" w:hanging="188"/>
        <w:spacing w:after="0"/>
        <w:tabs>
          <w:tab w:leader="none" w:pos="52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Contractual obligations related to capital leases are included as part of long-term debt.</w:t>
      </w:r>
    </w:p>
    <w:p>
      <w:pPr>
        <w:spacing w:after="0" w:line="1" w:lineRule="exact"/>
        <w:rPr>
          <w:rFonts w:ascii="Arial" w:cs="Arial" w:eastAsia="Arial" w:hAnsi="Arial"/>
          <w:sz w:val="23"/>
          <w:szCs w:val="23"/>
          <w:color w:val="auto"/>
          <w:vertAlign w:val="superscript"/>
        </w:rPr>
      </w:pPr>
    </w:p>
    <w:p>
      <w:pPr>
        <w:ind w:left="520" w:hanging="188"/>
        <w:spacing w:after="0" w:line="194" w:lineRule="auto"/>
        <w:tabs>
          <w:tab w:leader="none" w:pos="52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The liability for uncertain tax positions includes interest and penalties.</w:t>
      </w:r>
    </w:p>
    <w:p>
      <w:pPr>
        <w:spacing w:after="0" w:line="2" w:lineRule="exact"/>
        <w:rPr>
          <w:rFonts w:ascii="Arial" w:cs="Arial" w:eastAsia="Arial" w:hAnsi="Arial"/>
          <w:sz w:val="23"/>
          <w:szCs w:val="23"/>
          <w:color w:val="auto"/>
          <w:vertAlign w:val="superscript"/>
        </w:rPr>
      </w:pPr>
    </w:p>
    <w:p>
      <w:pPr>
        <w:ind w:left="520" w:hanging="188"/>
        <w:spacing w:after="0" w:line="194" w:lineRule="auto"/>
        <w:tabs>
          <w:tab w:leader="none" w:pos="52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Purchase obligations consist of aluminum commitments and inventory that is part of our third party logistics programs.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230"/>
        <w:spacing w:after="0" w:line="259" w:lineRule="auto"/>
        <w:rPr>
          <w:sz w:val="20"/>
          <w:szCs w:val="20"/>
          <w:color w:val="auto"/>
        </w:rPr>
      </w:pPr>
      <w:r>
        <w:rPr>
          <w:rFonts w:ascii="Arial" w:cs="Arial" w:eastAsia="Arial" w:hAnsi="Arial"/>
          <w:sz w:val="18"/>
          <w:szCs w:val="18"/>
          <w:color w:val="auto"/>
        </w:rPr>
        <w:t>The table above does not include pension, post-retirement benefit and warranty liabilities because it is not certain when these liabilities will be funded. However, we expect to pay approximately $10 million in contributions to our U.S. defined benefit plans in 2014. For additional information regarding our contractual obligations, see Notes 9, 10, and 11 of the Notes to the Consolidated Financial Statements. See Note 12 of the Notes to the Consolidated Financial Statements for more information on our pension and post-retirement benefits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three-level fair value hierarchy for disclosure of fair value measurements is defined as follows:</w:t>
      </w:r>
    </w:p>
    <w:p>
      <w:pPr>
        <w:spacing w:after="0" w:line="225" w:lineRule="exact"/>
        <w:rPr>
          <w:sz w:val="20"/>
          <w:szCs w:val="20"/>
          <w:color w:val="auto"/>
        </w:rPr>
      </w:pPr>
    </w:p>
    <w:p>
      <w:pPr>
        <w:ind w:left="240"/>
        <w:spacing w:after="0"/>
        <w:tabs>
          <w:tab w:leader="none" w:pos="1080" w:val="left"/>
        </w:tabs>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Quoted prices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instruments in active markets at the measurement date.</w:t>
      </w:r>
    </w:p>
    <w:p>
      <w:pPr>
        <w:spacing w:after="0" w:line="23" w:lineRule="exact"/>
        <w:rPr>
          <w:sz w:val="20"/>
          <w:szCs w:val="20"/>
          <w:color w:val="auto"/>
        </w:rPr>
      </w:pPr>
    </w:p>
    <w:p>
      <w:pPr>
        <w:jc w:val="both"/>
        <w:ind w:left="1300" w:right="20" w:hanging="1066"/>
        <w:spacing w:after="0" w:line="250" w:lineRule="auto"/>
        <w:tabs>
          <w:tab w:leader="none" w:pos="1280" w:val="left"/>
        </w:tabs>
        <w:rPr>
          <w:sz w:val="20"/>
          <w:szCs w:val="20"/>
          <w:color w:val="auto"/>
        </w:rPr>
      </w:pPr>
      <w:r>
        <w:rPr>
          <w:rFonts w:ascii="Arial" w:cs="Arial" w:eastAsia="Arial" w:hAnsi="Arial"/>
          <w:sz w:val="18"/>
          <w:szCs w:val="18"/>
          <w:i w:val="1"/>
          <w:iCs w:val="1"/>
          <w:color w:val="auto"/>
        </w:rPr>
        <w:t>Level 2 -</w:t>
      </w:r>
      <w:r>
        <w:rPr>
          <w:sz w:val="20"/>
          <w:szCs w:val="20"/>
          <w:color w:val="auto"/>
        </w:rPr>
        <w:tab/>
      </w:r>
      <w:r>
        <w:rPr>
          <w:rFonts w:ascii="Arial" w:cs="Arial" w:eastAsia="Arial" w:hAnsi="Arial"/>
          <w:sz w:val="18"/>
          <w:szCs w:val="18"/>
          <w:color w:val="auto"/>
        </w:rPr>
        <w:t xml:space="preserve">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8"/>
          <w:szCs w:val="18"/>
          <w:i w:val="1"/>
          <w:iCs w:val="1"/>
          <w:color w:val="auto"/>
        </w:rPr>
        <w:t>observable</w:t>
      </w:r>
      <w:r>
        <w:rPr>
          <w:rFonts w:ascii="Arial" w:cs="Arial" w:eastAsia="Arial" w:hAnsi="Arial"/>
          <w:sz w:val="18"/>
          <w:szCs w:val="18"/>
          <w:color w:val="auto"/>
        </w:rPr>
        <w:t xml:space="preserve"> in active markets at the measurement date and for the anticipated term of the instrument.</w:t>
      </w:r>
    </w:p>
    <w:p>
      <w:pPr>
        <w:spacing w:after="0" w:line="1" w:lineRule="exact"/>
        <w:rPr>
          <w:sz w:val="20"/>
          <w:szCs w:val="20"/>
          <w:color w:val="auto"/>
        </w:rPr>
      </w:pPr>
    </w:p>
    <w:p>
      <w:pPr>
        <w:jc w:val="both"/>
        <w:ind w:left="1300" w:right="20" w:hanging="1066"/>
        <w:spacing w:after="0" w:line="255" w:lineRule="auto"/>
        <w:tabs>
          <w:tab w:leader="none" w:pos="1280" w:val="left"/>
        </w:tabs>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Valuations derived from valuation techniques in which one or more significant inputs or significant value drivers are </w:t>
      </w:r>
      <w:r>
        <w:rPr>
          <w:rFonts w:ascii="Arial" w:cs="Arial" w:eastAsia="Arial" w:hAnsi="Arial"/>
          <w:sz w:val="18"/>
          <w:szCs w:val="18"/>
          <w:i w:val="1"/>
          <w:iCs w:val="1"/>
          <w:color w:val="auto"/>
        </w:rPr>
        <w:t>unobservable</w:t>
      </w:r>
      <w:r>
        <w:rPr>
          <w:rFonts w:ascii="Arial" w:cs="Arial" w:eastAsia="Arial" w:hAnsi="Arial"/>
          <w:sz w:val="18"/>
          <w:szCs w:val="18"/>
          <w:color w:val="auto"/>
        </w:rPr>
        <w:t xml:space="preserve"> inputs that reflect the reporting entity's own assumptions about the assumptions market participants would use in pricing the asset or liability developed based on the best information available in the circumstances.</w:t>
      </w:r>
    </w:p>
    <w:p>
      <w:pPr>
        <w:spacing w:after="0" w:line="1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2013 and 2012, the measurement dates.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20 of the Notes to the Consolidated Financial Statements for more information on the assets and liabilities measured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322" w:lineRule="exact"/>
        <w:rPr>
          <w:sz w:val="20"/>
          <w:szCs w:val="20"/>
          <w:color w:val="auto"/>
        </w:rPr>
      </w:pPr>
    </w:p>
    <w:tbl>
      <w:tblPr>
        <w:tblLayout w:type="fixed"/>
        <w:tblInd w:w="1800" w:type="dxa"/>
        <w:tblCellMar>
          <w:top w:w="0" w:type="dxa"/>
          <w:left w:w="0" w:type="dxa"/>
          <w:bottom w:w="0" w:type="dxa"/>
          <w:right w:w="0" w:type="dxa"/>
        </w:tblCellMar>
      </w:tblP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Notional amount (pounds of aluminum and copper)</w:t>
            </w:r>
          </w:p>
        </w:tc>
        <w:tc>
          <w:tcPr>
            <w:tcW w:w="17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Carrying amount and fair value of net liability</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from 10% change in forward prices</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4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of the Notes to the Consolidated Financial Statements for additional information regarding our commodity futures contracts.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$0.2 and $0.4 million for the years ended December 31, 2013 and 2012, respectively.</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time to time, we may use an interest rate swap hedging strategy to eliminate the variability of cash flows in a portion of our interest payments. This strategy, when employed, allows us to fix a portion of our interest payments while also taking advantage of historically low interest rates. As of December 31, 2013 and 2012, no interest rate swaps were in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Our results of operations are affected by changes in foreign currency exchange rates. Net sales and expenses in foreign currencies are translated into U.S. dollars for financial reporting purposes based on the average exchange rate for the period. During 2013, 2012 and 2011, net sales from outside the U.S. represented 25.5%, 27.2% and 29.0%, respectively, of our total net sales. For the years ended December 31, 2013 and 2012, foreign currency transaction gains and losses did not have a material impact to our results of operations. A 10% change in foreign exchange rates would have had an estimated $5.0 million and $3.9 million impact to net income for the years ended December 31, 2013 and 2012, respectively.</w:t>
      </w:r>
    </w:p>
    <w:p>
      <w:pPr>
        <w:spacing w:after="0" w:line="1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8 of the Notes to the Consolidated Financial Statements for additional information regarding our foreign currency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critical accounting estimate is one that requires difficult, subjective or complex estimates and assessments and is fundamental to our results of operations and financial condition. The following are our critical accounting estimates and describe how we develop our judgments, assumptions and estimates about future events and how such policies can impact our financial statements:</w:t>
      </w:r>
    </w:p>
    <w:p>
      <w:pPr>
        <w:spacing w:after="0" w:line="181" w:lineRule="exact"/>
        <w:rPr>
          <w:sz w:val="20"/>
          <w:szCs w:val="20"/>
          <w:color w:val="auto"/>
        </w:rPr>
      </w:pPr>
    </w:p>
    <w:p>
      <w:pPr>
        <w:ind w:left="660" w:hanging="409"/>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Product warranties and product-related contingencies;</w:t>
      </w:r>
    </w:p>
    <w:p>
      <w:pPr>
        <w:spacing w:after="0" w:line="23" w:lineRule="exact"/>
        <w:rPr>
          <w:rFonts w:ascii="Arial" w:cs="Arial" w:eastAsia="Arial" w:hAnsi="Arial"/>
          <w:sz w:val="18"/>
          <w:szCs w:val="18"/>
          <w:color w:val="auto"/>
        </w:rPr>
      </w:pPr>
    </w:p>
    <w:p>
      <w:pPr>
        <w:ind w:left="660" w:hanging="42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Self-insurance expense;</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Pension benefits;</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accounting; and</w:t>
      </w:r>
    </w:p>
    <w:p>
      <w:pPr>
        <w:spacing w:after="0" w:line="9" w:lineRule="exact"/>
        <w:rPr>
          <w:rFonts w:ascii="Arial" w:cs="Arial" w:eastAsia="Arial" w:hAnsi="Arial"/>
          <w:sz w:val="18"/>
          <w:szCs w:val="18"/>
          <w:color w:val="auto"/>
        </w:rPr>
      </w:pPr>
    </w:p>
    <w:p>
      <w:pPr>
        <w:ind w:left="660" w:hanging="42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This discussion and analysis should be read in conjunction with our Consolidated Financial Statements and related Notes in “Item 8. Financial Statements and Supplementary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 and Product-Related Contingencies</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 We may also incur costs related to our products that may not be covered under our warranties and are not covered by insurance, and, from time to time, we may repair or replace installed products experiencing quality issues in order to satisfy our customers and protect our brand.</w:t>
      </w:r>
    </w:p>
    <w:p>
      <w:pPr>
        <w:spacing w:after="0" w:line="15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10 in the Notes to the Consolidated Financial Statements for more information on our product warranties and product-related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Expense</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use a combination of third-party insurance and self-insurance plans to provide protection against claims relating to workers' compensation/employers' liability, general liability, product liability, auto liability, auto physical damage and other exposures.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Many of these plans have large deductibles and may also include per occurrence and annual aggregate limits. As a result, we expect to incur costs related to these types of claims in future periods.</w:t>
      </w:r>
    </w:p>
    <w:p>
      <w:pPr>
        <w:spacing w:after="0" w:line="17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The estimates for self-insurance expense and liabilities involve assumptions about the amount, timing and nature of future claim costs. The amounts and timing of payments for future claims may vary depending on numerous factors, including the development and ultimate settlement of reported and unreported claims. We estimate these amounts actuarially based primarily on our historical claims information, as well as industry factors and trends. To the extent actuarial assumptions change and claims experience differ from historical rates, our liabilities may change. The self-insurance liabilities as of December 31, 2013 represent the best estimate of the future payments to be made on reported and unreported losses. See Note 10 in the Notes to the Consolidated Financial Statements for additional information on our self-insurance expense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Over the past several years, we have frozen many of our defined benefit pension and profit sharing plans and replaced them with defined contribution plans. We have a liability for the benefits earned under these inactive plans prior to the date the benefits were frozen. We also have several active defined benefit plans that provide benefits based on years of service. In 2013 and 2012, we contributed $10 million and $29 million, respectively, to our pension plans.</w:t>
      </w:r>
    </w:p>
    <w:p>
      <w:pPr>
        <w:spacing w:after="0" w:line="18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make several assumptions to calculate our liability and the expense for these benefit plans, including the discount rate and expected return on assets. We used an assumed discount rate of 4.88% for pension benefits of our U.S.-based plans as of December 31, 2013. Our assumed discount rates were selected using the yield curve for high-quality corporate bonds, which is dependent upon risk-free interest rates and current credit market conditions. In 2013 and 2012, we utilized an assumed long-term rate of return on assets of 8.00%. These are long-term estimates of equity values and are not dependent on short-term variations of the equity markets. Differences between actual experience and our assumptions are quantified as actuarial gains and losses. These actuarial gains and losses do not immediately impact our earnings as they are deferred in accumulated other comprehensive income (“AOCI”) and are amortized into net periodic benefit cost over the estimated service period.</w:t>
      </w:r>
    </w:p>
    <w:p>
      <w:pPr>
        <w:spacing w:after="0" w:line="17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assumed long-term rate of return on assets and the discount rate have significant effects on the amounts reported for our defined benefit plans. A 25 basis point decrease in the long-term rate of return on assets or discount rate would have the following effects (in millions):</w:t>
      </w:r>
    </w:p>
    <w:p>
      <w:pPr>
        <w:spacing w:after="0" w:line="117"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25 Basis Point</w:t>
            </w:r>
          </w:p>
        </w:tc>
        <w:tc>
          <w:tcPr>
            <w:tcW w:w="220" w:type="dxa"/>
            <w:vAlign w:val="bottom"/>
          </w:tcPr>
          <w:p>
            <w:pPr>
              <w:spacing w:after="0"/>
              <w:rPr>
                <w:sz w:val="17"/>
                <w:szCs w:val="17"/>
                <w:color w:val="auto"/>
              </w:rPr>
            </w:pPr>
          </w:p>
        </w:tc>
        <w:tc>
          <w:tcPr>
            <w:tcW w:w="142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25 Basis Point</w:t>
            </w:r>
          </w:p>
        </w:tc>
      </w:tr>
      <w:tr>
        <w:trPr>
          <w:trHeight w:val="203"/>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Decrease in Long-</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Decrease in Discount</w:t>
            </w:r>
          </w:p>
        </w:tc>
      </w:tr>
      <w:tr>
        <w:trPr>
          <w:trHeight w:val="210"/>
        </w:trPr>
        <w:tc>
          <w:tcPr>
            <w:tcW w:w="6780" w:type="dxa"/>
            <w:vAlign w:val="bottom"/>
          </w:tcPr>
          <w:p>
            <w:pPr>
              <w:spacing w:after="0"/>
              <w:rPr>
                <w:sz w:val="18"/>
                <w:szCs w:val="18"/>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Term Rate of Return</w:t>
            </w:r>
          </w:p>
        </w:tc>
        <w:tc>
          <w:tcPr>
            <w:tcW w:w="220" w:type="dxa"/>
            <w:vAlign w:val="bottom"/>
          </w:tcPr>
          <w:p>
            <w:pPr>
              <w:spacing w:after="0"/>
              <w:rPr>
                <w:sz w:val="18"/>
                <w:szCs w:val="18"/>
                <w:color w:val="auto"/>
              </w:rPr>
            </w:pPr>
          </w:p>
        </w:tc>
        <w:tc>
          <w:tcPr>
            <w:tcW w:w="14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Rate</w:t>
            </w:r>
          </w:p>
        </w:tc>
      </w:tr>
      <w:tr>
        <w:trPr>
          <w:trHeight w:val="33"/>
        </w:trPr>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to net periodic benefit cost for U.S. pension plans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Increase to the pension benefit obligations for U.S. pension plans</w:t>
            </w:r>
          </w:p>
        </w:tc>
        <w:tc>
          <w:tcPr>
            <w:tcW w:w="1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11.0</w:t>
            </w:r>
          </w:p>
        </w:tc>
      </w:tr>
    </w:tbl>
    <w:p>
      <w:pPr>
        <w:spacing w:after="0" w:line="22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Should actual results differ from our estimates and assumptions, revisions to the benefit plan liabilities and the related expenses would be required. Refer to Note 12 in the Notes to the Consolidated Financial Statements for more information on our pension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Accounting</w:t>
      </w:r>
    </w:p>
    <w:p>
      <w:pPr>
        <w:spacing w:after="0" w:line="225"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use futures contracts and fixed forward contracts to mitigate our exposure to volatility in commodity prices in the ordinary course of business. Fluctuations in metal commodity prices impact the value of the derivative instruments that we hold. When metal commodity prices rise, the fair value of our futures contracts increases and conversely, when commodity prices fall, the fair value of our futures contracts decreases. We are required to prepare and maintain contemporaneous documentation for futures contracts that are formally designated as cash flow hedges. Our failure to comply with the strict documentation requirements could result in the de-designation of cash flow hedges, which may significantly impact our consolidated financial statements. Refer to Note 8 in the Notes to the Consolidated Financial Statements for more information on our derivatives.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Goodwill represents the excess of cost over fair value of assets from acquired businesses. Goodwill is not amortized, but is reviewed for impairment annually in the first quarter and whenever events or changes in circumstances indicate the asset may be impaired. The provisions of the accounting standard for goodwill allow us to first assess qualitative factors to determine whether it is necessary to perform a two-step quantitative goodwill impairment test. As part of our qualitative assessment, we monitor economic, legal, regulatory and other factors, industry trends, our market capitalization, recent and forecasted financial performance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of our reporting units and the timing and nature of our restructuring activities for LII as a whole and for each reporting unit.</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test goodwill for impairment annually in the first quarter. We assign goodwill to the reporting units that benefit from the synergies of our acquisitions. If we reorganize our management structure, the related goodwill is allocated to the affected reporting units based upon the relative fair values of those reporting units. Assets and liabilities, including deferred income taxes, are generally directly assigned to the reporting units. However, certain assets and liabilities, including intellectual property assets, information technology assets and pension, self-insurance and environmental liabilities, are centrally managed and are not allocated to the segments in the normal course of our financial reporting process, and therefore must be assigned to the reporting units based upon appropriate methods. Reporting units that we test are generally equivalent to our business segments, or in some cases one level below, and are determined based upon a review of the periodic financial information supplied to and reviewed by our Chief Executive Officer (the chief operating decision maker). Operating units are aggregated into reporting units when those operating units share similar economic characteristics. We review our reporting unit structure each year as part of our annual goodwill impairment testing.</w:t>
      </w:r>
    </w:p>
    <w:p>
      <w:pPr>
        <w:spacing w:after="0" w:line="18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review our indefinite-lived intangible assets for impairment annually in the first quarter and whenever events or changes in circumstances indicate the asset may be impaired. The provisions of the accounting standard for indefinite-lived intangible assets allow us to first assess qualitative factors to determine whether it is necessary to perform a two-step quantitative impairment test. As part of our qualitative assessment, we monitor economic, legal, regulatory and other factors, industry trends, recent and forecasted financial performance of our reporting units and the timing and nature of our restructuring activities for LII as a whole and as they relate to the fair value of the assets.</w:t>
      </w:r>
    </w:p>
    <w:p>
      <w:pPr>
        <w:spacing w:after="0" w:line="18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also periodically review intangible assets with estimable useful lives for impairment as events or changes in circumstances indicate that the carrying amount of such assets might not be recoverable. We assess recoverability by comparing the estimated expected undiscounted future cash flows identified with each intangible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In assessing the fair value of these intangible assets, we must make assumptions that a market participant would make regarding estimated future cash flows and other factors to determine the fair value of the respective assets. If these estimates or the related assumptions change, we may be required to record impairment charges for these assets in the future.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Refer to Note 4 of the Notes to the Consolidated Financial Statements for more information on our goodwill and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July 2012, the FASB updated its guidance on the impairment testing of indefinite-lived intangible assets to allow companies to first assess qualitative factors when determining if it is more likely than not that indefinite-lived intangible assets are impaired. If, as a result of the qualitative assessment, it is determined that it is not more likely than not that the indefinite-lived intangible assets are impaired, then the Company is not required to take further action. This guidance was applicable to our annual impairment tests beginning in the first quarter of 2013.</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February 2013, the FASB updated its guidance related to the presentation of comprehensive income and accumulated other</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comprehensive income ("AOCI"). The updated guidance requires additional footnote disclosure of items reclassified out of AOCI and into net income as well as the effect of the reclassifications on each affected Statement of Operations line item. This updated guidance was applicable beginning in the first quarter of 2013 on a prospective basis. The required disclosures can be found in Note 13 of the Notes to the Consolidated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information required by this item is included under the caption “Market Risk” in Item 7 above.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Management, including our Chief Executive Officer and Chief Financial Officer, has undertaken an assessment of the effectiveness of the Company's internal control over financial reporting as of December 31, 2013,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in 1992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this assessment, management concluded that as of December 31, 2013, the Company's internal control over financial reporting was effective.</w:t>
      </w:r>
    </w:p>
    <w:p>
      <w:pPr>
        <w:spacing w:after="0" w:line="2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2013, a copy of which is included 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Lennox International Inc.:</w:t>
      </w:r>
    </w:p>
    <w:p>
      <w:pPr>
        <w:spacing w:after="0" w:line="31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Lennox International Inc. and subsidiaries (the Company) as of December 31, 2013 and 2012, and the related consolidated statements of operations, comprehensive income, stockholders' equity and cash flows for each of the years in the three-year period ended December 31, 2013. In connection with our audits of the consolidated financial statements, we have audited Schedule II - Valuation and Qualifying Accounts and Reserves (the Schedule). We also have audited the Company's internal control over financial reporting as of December 31, 2013,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in 1992 by the Committee of Sponsoring Organizations of the Treadway Commission (COSO). Lennox International Inc.'s management is responsible for these consolidated financial statements, the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the Schedule and an opinion on the Company's internal control over financial reporting based on our audits.</w:t>
      </w:r>
    </w:p>
    <w:p>
      <w:pPr>
        <w:spacing w:after="0" w:line="16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Lennox International Inc. and subsidiaries as of December 31, 2013 and 2012, and the results of its operations and its cash flows for each of the years in the three-year period ended December 31, 2013, in conformity with U.S. generally accepted accounting principles. Also in our opinion, Schedule II - Valuation and Qualifying Accounts and Reserves, when considered in relation to the basic consolidated financial statements taken as a whole, presents fairly, in all material respects, the information set forth therein. Also in our opinion, Lennox International Inc. maintained, in all material respects, effective internal control over financial reporting as of December 31, 2013,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in 1992 by the Committee of Sponsoring Organizations of the Treadway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millions, except shares and par values)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9020" w:type="dxa"/>
            <w:vAlign w:val="bottom"/>
            <w:vMerge w:val="restart"/>
          </w:tcPr>
          <w:p>
            <w:pPr>
              <w:ind w:left="538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receivable, net of allowances of $9.8 and $9.5 in 2013 and 2012,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of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Preferred stock, $.01 par value, 25,000,000 shares authorized, no shares issued or outstanding</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$.01 par value, 200,000,000 shares authorized, 87,170,197 shares issued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 38,066,794 shares and 36,937,632 shares for 2013 and 2012,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1,626.7</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69"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7"/>
          </w:tcPr>
          <w:p>
            <w:pPr>
              <w:jc w:val="right"/>
              <w:ind w:right="630"/>
              <w:spacing w:after="0"/>
              <w:rPr>
                <w:sz w:val="20"/>
                <w:szCs w:val="20"/>
                <w:color w:val="auto"/>
              </w:rPr>
            </w:pPr>
            <w:r>
              <w:rPr>
                <w:rFonts w:ascii="Arial" w:cs="Arial" w:eastAsia="Arial" w:hAnsi="Arial"/>
                <w:sz w:val="16"/>
                <w:szCs w:val="16"/>
                <w:b w:val="1"/>
                <w:bCs w:val="1"/>
                <w:color w:val="auto"/>
              </w:rPr>
              <w:t>For the Years Ended December 31,</w:t>
            </w:r>
          </w:p>
        </w:tc>
      </w:tr>
      <w:tr>
        <w:trPr>
          <w:trHeight w:val="33"/>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2011</w:t>
            </w: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2,337.9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2,227.1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2,171.0</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Losses and other expenses, net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Income from equity method investments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Operational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Loss from discontinued operations before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r>
      <w:tr>
        <w:trPr>
          <w:trHeight w:val="67"/>
        </w:trPr>
        <w:tc>
          <w:tcPr>
            <w:tcW w:w="75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305"/>
        </w:trPr>
        <w:tc>
          <w:tcPr>
            <w:tcW w:w="7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Earnings per share – Diluted:</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324"/>
        </w:trPr>
        <w:tc>
          <w:tcPr>
            <w:tcW w:w="7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r>
      <w:tr>
        <w:trPr>
          <w:trHeight w:val="27"/>
        </w:trPr>
        <w:tc>
          <w:tcPr>
            <w:tcW w:w="7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69" w:right="239" w:bottom="1440" w:gutter="0" w:footer="0" w:header="0"/>
        </w:sectPr>
      </w:pPr>
    </w:p>
    <w:bookmarkStart w:id="37" w:name="page38"/>
    <w:bookmarkEnd w:id="37"/>
    <w:p>
      <w:pPr>
        <w:ind w:left="346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right"/>
              <w:ind w:right="691"/>
              <w:spacing w:after="0"/>
              <w:rPr>
                <w:sz w:val="20"/>
                <w:szCs w:val="20"/>
                <w:color w:val="auto"/>
              </w:rPr>
            </w:pPr>
            <w:r>
              <w:rPr>
                <w:rFonts w:ascii="Arial" w:cs="Arial" w:eastAsia="Arial" w:hAnsi="Arial"/>
                <w:sz w:val="16"/>
                <w:szCs w:val="16"/>
                <w:b w:val="1"/>
                <w:bCs w:val="1"/>
                <w:color w:val="auto"/>
              </w:rPr>
              <w:t>For the Years Ended December 31,</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1"/>
              <w:spacing w:after="0"/>
              <w:rPr>
                <w:sz w:val="20"/>
                <w:szCs w:val="20"/>
                <w:color w:val="auto"/>
              </w:rPr>
            </w:pPr>
            <w:r>
              <w:rPr>
                <w:rFonts w:ascii="Arial" w:cs="Arial" w:eastAsia="Arial" w:hAnsi="Arial"/>
                <w:sz w:val="16"/>
                <w:szCs w:val="16"/>
                <w:b w:val="1"/>
                <w:bCs w:val="1"/>
                <w:color w:val="auto"/>
              </w:rPr>
              <w:t>2011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Reclassification of foreign currency translation adjustments into earnings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pension and post-retirement benefit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fair value of available-for-sale marketable equity securities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fair value of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cash flow hedge losses (gains) into earnings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6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2013, 2012 and 2011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1380" w:type="dxa"/>
            <w:vAlign w:val="bottom"/>
            <w:gridSpan w:val="5"/>
          </w:tcPr>
          <w:p>
            <w:pPr>
              <w:jc w:val="center"/>
              <w:ind w:right="100"/>
              <w:spacing w:after="0"/>
              <w:rPr>
                <w:sz w:val="20"/>
                <w:szCs w:val="20"/>
                <w:color w:val="auto"/>
              </w:rPr>
            </w:pPr>
            <w:r>
              <w:rPr>
                <w:rFonts w:ascii="Arial" w:cs="Arial" w:eastAsia="Arial" w:hAnsi="Arial"/>
                <w:sz w:val="15"/>
                <w:szCs w:val="15"/>
                <w:b w:val="1"/>
                <w:bCs w:val="1"/>
                <w:color w:val="auto"/>
                <w:w w:val="90"/>
              </w:rPr>
              <w:t>Common Stock</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480" w:type="dxa"/>
            <w:vAlign w:val="bottom"/>
            <w:gridSpan w:val="6"/>
          </w:tcPr>
          <w:p>
            <w:pPr>
              <w:jc w:val="right"/>
              <w:ind w:right="200"/>
              <w:spacing w:after="0"/>
              <w:rPr>
                <w:sz w:val="20"/>
                <w:szCs w:val="20"/>
                <w:color w:val="auto"/>
              </w:rPr>
            </w:pPr>
            <w:r>
              <w:rPr>
                <w:rFonts w:ascii="Arial" w:cs="Arial" w:eastAsia="Arial" w:hAnsi="Arial"/>
                <w:sz w:val="15"/>
                <w:szCs w:val="15"/>
                <w:b w:val="1"/>
                <w:bCs w:val="1"/>
                <w:color w:val="auto"/>
              </w:rPr>
              <w:t>Treasury Stock at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20" w:type="dxa"/>
            <w:vAlign w:val="bottom"/>
            <w:gridSpan w:val="3"/>
          </w:tcPr>
          <w:p>
            <w:pPr>
              <w:jc w:val="center"/>
              <w:ind w:left="308"/>
              <w:spacing w:after="0" w:line="162" w:lineRule="exact"/>
              <w:rPr>
                <w:sz w:val="20"/>
                <w:szCs w:val="20"/>
                <w:color w:val="auto"/>
              </w:rPr>
            </w:pPr>
            <w:r>
              <w:rPr>
                <w:rFonts w:ascii="Arial" w:cs="Arial" w:eastAsia="Arial" w:hAnsi="Arial"/>
                <w:sz w:val="15"/>
                <w:szCs w:val="15"/>
                <w:b w:val="1"/>
                <w:bCs w:val="1"/>
                <w:color w:val="auto"/>
                <w:w w:val="88"/>
              </w:rPr>
              <w:t>Issued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9"/>
              </w:rPr>
              <w:t>Other</w:t>
            </w:r>
          </w:p>
        </w:tc>
        <w:tc>
          <w:tcPr>
            <w:tcW w:w="520" w:type="dxa"/>
            <w:vAlign w:val="bottom"/>
          </w:tcPr>
          <w:p>
            <w:pPr>
              <w:spacing w:after="0"/>
              <w:rPr>
                <w:sz w:val="14"/>
                <w:szCs w:val="14"/>
                <w:color w:val="auto"/>
              </w:rPr>
            </w:pPr>
          </w:p>
        </w:tc>
        <w:tc>
          <w:tcPr>
            <w:tcW w:w="960" w:type="dxa"/>
            <w:vAlign w:val="bottom"/>
            <w:gridSpan w:val="5"/>
          </w:tcPr>
          <w:p>
            <w:pPr>
              <w:ind w:left="40"/>
              <w:spacing w:after="0" w:line="162" w:lineRule="exact"/>
              <w:rPr>
                <w:sz w:val="20"/>
                <w:szCs w:val="20"/>
                <w:color w:val="auto"/>
              </w:rPr>
            </w:pPr>
            <w:r>
              <w:rPr>
                <w:rFonts w:ascii="Arial" w:cs="Arial" w:eastAsia="Arial" w:hAnsi="Arial"/>
                <w:sz w:val="15"/>
                <w:szCs w:val="15"/>
                <w:b w:val="1"/>
                <w:bCs w:val="1"/>
                <w:color w:val="auto"/>
              </w:rPr>
              <w:t>Cost</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3"/>
              </w:rPr>
              <w:t>Non-</w:t>
            </w:r>
          </w:p>
        </w:tc>
        <w:tc>
          <w:tcPr>
            <w:tcW w:w="200" w:type="dxa"/>
            <w:vAlign w:val="bottom"/>
          </w:tcPr>
          <w:p>
            <w:pPr>
              <w:spacing w:after="0"/>
              <w:rPr>
                <w:sz w:val="14"/>
                <w:szCs w:val="14"/>
                <w:color w:val="auto"/>
              </w:rPr>
            </w:pPr>
          </w:p>
        </w:tc>
        <w:tc>
          <w:tcPr>
            <w:tcW w:w="820" w:type="dxa"/>
            <w:vAlign w:val="bottom"/>
          </w:tcPr>
          <w:p>
            <w:pPr>
              <w:jc w:val="center"/>
              <w:ind w:right="128"/>
              <w:spacing w:after="0" w:line="162"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780" w:type="dxa"/>
            <w:vAlign w:val="bottom"/>
            <w:gridSpan w:val="3"/>
            <w:vMerge w:val="restart"/>
          </w:tcPr>
          <w:p>
            <w:pPr>
              <w:ind w:left="40"/>
              <w:spacing w:after="0" w:line="159" w:lineRule="exact"/>
              <w:rPr>
                <w:sz w:val="20"/>
                <w:szCs w:val="20"/>
                <w:color w:val="auto"/>
              </w:rPr>
            </w:pPr>
            <w:r>
              <w:rPr>
                <w:rFonts w:ascii="Arial" w:cs="Arial" w:eastAsia="Arial" w:hAnsi="Arial"/>
                <w:sz w:val="15"/>
                <w:szCs w:val="15"/>
                <w:b w:val="1"/>
                <w:bCs w:val="1"/>
                <w:color w:val="auto"/>
              </w:rPr>
              <w:t>Retained</w:t>
            </w:r>
          </w:p>
        </w:tc>
        <w:tc>
          <w:tcPr>
            <w:tcW w:w="1220" w:type="dxa"/>
            <w:vAlign w:val="bottom"/>
            <w:gridSpan w:val="3"/>
            <w:vMerge w:val="restart"/>
          </w:tcPr>
          <w:p>
            <w:pPr>
              <w:jc w:val="center"/>
              <w:ind w:right="120"/>
              <w:spacing w:after="0" w:line="159" w:lineRule="exact"/>
              <w:rPr>
                <w:sz w:val="20"/>
                <w:szCs w:val="20"/>
                <w:color w:val="auto"/>
              </w:rPr>
            </w:pPr>
            <w:r>
              <w:rPr>
                <w:rFonts w:ascii="Arial" w:cs="Arial" w:eastAsia="Arial" w:hAnsi="Arial"/>
                <w:sz w:val="15"/>
                <w:szCs w:val="15"/>
                <w:b w:val="1"/>
                <w:bCs w:val="1"/>
                <w:color w:val="auto"/>
                <w:w w:val="90"/>
              </w:rPr>
              <w:t>Comprehensive</w:t>
            </w: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ind w:left="40"/>
              <w:spacing w:after="0" w:line="159" w:lineRule="exact"/>
              <w:rPr>
                <w:sz w:val="20"/>
                <w:szCs w:val="20"/>
                <w:color w:val="auto"/>
              </w:rPr>
            </w:pPr>
            <w:r>
              <w:rPr>
                <w:rFonts w:ascii="Arial" w:cs="Arial" w:eastAsia="Arial" w:hAnsi="Arial"/>
                <w:sz w:val="15"/>
                <w:szCs w:val="15"/>
                <w:b w:val="1"/>
                <w:bCs w:val="1"/>
                <w:color w:val="auto"/>
              </w:rPr>
              <w:t>controlling</w:t>
            </w:r>
          </w:p>
        </w:tc>
        <w:tc>
          <w:tcPr>
            <w:tcW w:w="1020" w:type="dxa"/>
            <w:vAlign w:val="bottom"/>
            <w:gridSpan w:val="2"/>
            <w:vMerge w:val="restart"/>
          </w:tcPr>
          <w:p>
            <w:pPr>
              <w:jc w:val="center"/>
              <w:spacing w:after="0" w:line="159"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84"/>
        </w:trPr>
        <w:tc>
          <w:tcPr>
            <w:tcW w:w="3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5"/>
                <w:szCs w:val="15"/>
                <w:b w:val="1"/>
                <w:bCs w:val="1"/>
                <w:color w:val="auto"/>
                <w:w w:val="95"/>
              </w:rPr>
              <w:t>Shares</w:t>
            </w:r>
          </w:p>
        </w:tc>
        <w:tc>
          <w:tcPr>
            <w:tcW w:w="120" w:type="dxa"/>
            <w:vAlign w:val="bottom"/>
          </w:tcPr>
          <w:p>
            <w:pPr>
              <w:spacing w:after="0"/>
              <w:rPr>
                <w:sz w:val="17"/>
                <w:szCs w:val="17"/>
                <w:color w:val="auto"/>
              </w:rPr>
            </w:pPr>
          </w:p>
        </w:tc>
        <w:tc>
          <w:tcPr>
            <w:tcW w:w="680" w:type="dxa"/>
            <w:vAlign w:val="bottom"/>
            <w:gridSpan w:val="3"/>
          </w:tcPr>
          <w:p>
            <w:pPr>
              <w:ind w:left="2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780" w:type="dxa"/>
            <w:vAlign w:val="bottom"/>
            <w:gridSpan w:val="3"/>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Income (Loss)</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w w:val="95"/>
              </w:rPr>
              <w:t>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Interests</w:t>
            </w:r>
          </w:p>
        </w:tc>
        <w:tc>
          <w:tcPr>
            <w:tcW w:w="200" w:type="dxa"/>
            <w:vAlign w:val="bottom"/>
          </w:tcPr>
          <w:p>
            <w:pPr>
              <w:spacing w:after="0"/>
              <w:rPr>
                <w:sz w:val="17"/>
                <w:szCs w:val="17"/>
                <w:color w:val="auto"/>
              </w:rPr>
            </w:pPr>
          </w:p>
        </w:tc>
        <w:tc>
          <w:tcPr>
            <w:tcW w:w="820" w:type="dxa"/>
            <w:vAlign w:val="bottom"/>
          </w:tcPr>
          <w:p>
            <w:pPr>
              <w:jc w:val="center"/>
              <w:ind w:right="108"/>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5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2010</w:t>
            </w: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863.5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590.9</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$0.72 per share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liability changes, net of tax</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 of $13.5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57"/>
        </w:trPr>
        <w:tc>
          <w:tcPr>
            <w:tcW w:w="3780" w:type="dxa"/>
            <w:vAlign w:val="bottom"/>
          </w:tcPr>
          <w:p>
            <w:pPr>
              <w:ind w:left="280"/>
              <w:spacing w:after="0" w:line="157" w:lineRule="exact"/>
              <w:rPr>
                <w:sz w:val="20"/>
                <w:szCs w:val="20"/>
                <w:color w:val="auto"/>
              </w:rPr>
            </w:pPr>
            <w:r>
              <w:rPr>
                <w:rFonts w:ascii="Arial" w:cs="Arial" w:eastAsia="Arial" w:hAnsi="Arial"/>
                <w:sz w:val="14"/>
                <w:szCs w:val="14"/>
                <w:color w:val="auto"/>
                <w:w w:val="95"/>
              </w:rPr>
              <w:t>Change in fair value of available-for-sale marketable equity</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80"/>
              <w:spacing w:after="0"/>
              <w:rPr>
                <w:sz w:val="20"/>
                <w:szCs w:val="20"/>
                <w:color w:val="auto"/>
              </w:rPr>
            </w:pPr>
            <w:r>
              <w:rPr>
                <w:rFonts w:ascii="Arial" w:cs="Arial" w:eastAsia="Arial" w:hAnsi="Arial"/>
                <w:sz w:val="14"/>
                <w:szCs w:val="14"/>
                <w:color w:val="auto"/>
              </w:rPr>
              <w:t>securities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Change in cash flow hedges, net of tax benefit of $9.5</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issued</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Treasury stock purchases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benefits of stock-based compensation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780" w:type="dxa"/>
            <w:vAlign w:val="bottom"/>
          </w:tcPr>
          <w:p>
            <w:pPr>
              <w:ind w:left="40"/>
              <w:spacing w:after="0"/>
              <w:rPr>
                <w:sz w:val="20"/>
                <w:szCs w:val="20"/>
                <w:color w:val="auto"/>
              </w:rPr>
            </w:pPr>
            <w:r>
              <w:rPr>
                <w:rFonts w:ascii="Arial" w:cs="Arial" w:eastAsia="Arial" w:hAnsi="Arial"/>
                <w:sz w:val="14"/>
                <w:szCs w:val="14"/>
                <w:color w:val="auto"/>
              </w:rPr>
              <w:t>Balance as of December 31, 2011</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881.2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692.9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36.1</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(1,070.1)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Dividends, $0.76 per share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57"/>
        </w:trPr>
        <w:tc>
          <w:tcPr>
            <w:tcW w:w="3780" w:type="dxa"/>
            <w:vAlign w:val="bottom"/>
          </w:tcPr>
          <w:p>
            <w:pPr>
              <w:ind w:left="280"/>
              <w:spacing w:after="0" w:line="157" w:lineRule="exact"/>
              <w:rPr>
                <w:sz w:val="20"/>
                <w:szCs w:val="20"/>
                <w:color w:val="auto"/>
              </w:rPr>
            </w:pPr>
            <w:r>
              <w:rPr>
                <w:rFonts w:ascii="Arial" w:cs="Arial" w:eastAsia="Arial" w:hAnsi="Arial"/>
                <w:sz w:val="14"/>
                <w:szCs w:val="14"/>
                <w:color w:val="auto"/>
              </w:rPr>
              <w:t>Pension and post-retirement liability changes, net of tax</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80"/>
              <w:spacing w:after="0"/>
              <w:rPr>
                <w:sz w:val="20"/>
                <w:szCs w:val="20"/>
                <w:color w:val="auto"/>
              </w:rPr>
            </w:pPr>
            <w:r>
              <w:rPr>
                <w:rFonts w:ascii="Arial" w:cs="Arial" w:eastAsia="Arial" w:hAnsi="Arial"/>
                <w:sz w:val="14"/>
                <w:szCs w:val="14"/>
                <w:color w:val="auto"/>
              </w:rPr>
              <w:t>benefit of $2.7</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Change in fair value of available-for-sale marketable equity</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securities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cash flow hedges, net of tax expense of $4.8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Common stock issued</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purchases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Tax benefits of stock-based compensation</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6"/>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2012</w:t>
            </w: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898.3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(1,124.5)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498.3</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171.8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$0.92 per share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liability changes, net of tax</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expense of $24.7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57"/>
        </w:trPr>
        <w:tc>
          <w:tcPr>
            <w:tcW w:w="3780" w:type="dxa"/>
            <w:vAlign w:val="bottom"/>
          </w:tcPr>
          <w:p>
            <w:pPr>
              <w:ind w:left="280"/>
              <w:spacing w:after="0" w:line="157" w:lineRule="exact"/>
              <w:rPr>
                <w:sz w:val="20"/>
                <w:szCs w:val="20"/>
                <w:color w:val="auto"/>
              </w:rPr>
            </w:pPr>
            <w:r>
              <w:rPr>
                <w:rFonts w:ascii="Arial" w:cs="Arial" w:eastAsia="Arial" w:hAnsi="Arial"/>
                <w:sz w:val="14"/>
                <w:szCs w:val="14"/>
                <w:color w:val="auto"/>
                <w:w w:val="95"/>
              </w:rPr>
              <w:t>Change in fair value of available-for-sale marketable equity</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80"/>
              <w:spacing w:after="0"/>
              <w:rPr>
                <w:sz w:val="20"/>
                <w:szCs w:val="20"/>
                <w:color w:val="auto"/>
              </w:rPr>
            </w:pPr>
            <w:r>
              <w:rPr>
                <w:rFonts w:ascii="Arial" w:cs="Arial" w:eastAsia="Arial" w:hAnsi="Arial"/>
                <w:sz w:val="14"/>
                <w:szCs w:val="14"/>
                <w:color w:val="auto"/>
              </w:rPr>
              <w:t>securities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Change in cash flow hedges, net of tax benefit of $1.0</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shares reissued for common stock</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3780" w:type="dxa"/>
            <w:vAlign w:val="bottom"/>
          </w:tcPr>
          <w:p>
            <w:pPr>
              <w:ind w:left="300"/>
              <w:spacing w:after="0"/>
              <w:rPr>
                <w:sz w:val="20"/>
                <w:szCs w:val="20"/>
                <w:color w:val="auto"/>
              </w:rPr>
            </w:pPr>
            <w:r>
              <w:rPr>
                <w:rFonts w:ascii="Arial" w:cs="Arial" w:eastAsia="Arial" w:hAnsi="Arial"/>
                <w:sz w:val="14"/>
                <w:szCs w:val="14"/>
                <w:color w:val="auto"/>
              </w:rPr>
              <w:t>Additional investment in subsidiary</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purchases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Tax benefits of stock-based compensation</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2013</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(1,238.1)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5" w:right="2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Years Ended December 31, 2013, 2012 and 2011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380"/>
          </w:cols>
          <w:pgMar w:left="280" w:top="769" w:right="239" w:bottom="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-129540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loss from discontinued operations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from equity method investments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Dividends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Restructuring expenses, net of cash paid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Provision for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Unrealized losses (gains) on derivative contracts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Pension costs in excess of (less than) contributions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Changes in assets and liabilities, net of effects of acquisitions and divestitures: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Accounts and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Inventories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Accounts payable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taxes payable and receivable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used in discontinued operations</w:t>
      </w:r>
    </w:p>
    <w:p>
      <w:pPr>
        <w:spacing w:after="0" w:line="6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investing activities: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Proceeds from the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Purchases of property, plant and equipment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proceeds from sale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Acquisition of businesses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used in discontinued operations</w:t>
      </w:r>
    </w:p>
    <w:p>
      <w:pPr>
        <w:spacing w:after="0" w:line="7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financing activities: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Short-term borrowings,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Asset securitization borrowings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Asset securitization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Long-term debt payments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Borrowings from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Payments on revolving credit facility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Payments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Additional investment in subsidiary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Proceeds from employee stock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Repurchases of common stock</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Repurchases of common stock to satisfy employee withholding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Excess tax benefits related to share-based payments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Net cash used in financing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Effect of exchange rates on cash and cash equivalents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221615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6"/>
                <w:szCs w:val="16"/>
                <w:b w:val="1"/>
                <w:bCs w:val="1"/>
                <w:color w:val="auto"/>
              </w:rPr>
              <w:t>2011</w:t>
            </w:r>
          </w:p>
        </w:tc>
      </w:tr>
      <w:tr>
        <w:trPr>
          <w:trHeight w:val="47"/>
        </w:trPr>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489"/>
        </w:trPr>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171.8</w:t>
            </w:r>
          </w:p>
        </w:tc>
        <w:tc>
          <w:tcPr>
            <w:tcW w:w="100" w:type="dxa"/>
            <w:vAlign w:val="bottom"/>
          </w:tcPr>
          <w:p>
            <w:pPr>
              <w:spacing w:after="0"/>
              <w:rPr>
                <w:sz w:val="24"/>
                <w:szCs w:val="24"/>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90.0</w:t>
            </w:r>
          </w:p>
        </w:tc>
        <w:tc>
          <w:tcPr>
            <w:tcW w:w="12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88.3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23.2</w:t>
            </w:r>
          </w:p>
        </w:tc>
      </w:tr>
      <w:tr>
        <w:trPr>
          <w:trHeight w:val="540"/>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11.0</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13.7</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56.6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w:t>
            </w:r>
          </w:p>
        </w:tc>
      </w:tr>
      <w:tr>
        <w:trPr>
          <w:trHeight w:val="540"/>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1.4</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(41.7)</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(26.1)</w:t>
            </w:r>
          </w:p>
        </w:tc>
      </w:tr>
      <w:tr>
        <w:trPr>
          <w:trHeight w:val="31"/>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9"/>
        </w:trPr>
        <w:tc>
          <w:tcPr>
            <w:tcW w:w="2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76.2</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0.2</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(41.4)</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0.6</w:t>
            </w:r>
          </w:p>
        </w:tc>
      </w:tr>
      <w:tr>
        <w:trPr>
          <w:trHeight w:val="270"/>
        </w:trPr>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(147.7)</w:t>
            </w:r>
          </w:p>
        </w:tc>
      </w:tr>
      <w:tr>
        <w:trPr>
          <w:trHeight w:val="270"/>
        </w:trPr>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12.2</w:t>
            </w:r>
          </w:p>
        </w:tc>
      </w:tr>
      <w:tr>
        <w:trPr>
          <w:trHeight w:val="270"/>
        </w:trPr>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9"/>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(177.8)</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3.8</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330.0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645.0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345.0</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(345.0)</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1,425.5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967.0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1,539.5</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(1,543.5)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(1,396.5)</w:t>
            </w:r>
          </w:p>
        </w:tc>
      </w:tr>
      <w:tr>
        <w:trPr>
          <w:trHeight w:val="270"/>
        </w:trPr>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2.5</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(119.7)</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1.4</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w:t>
            </w:r>
          </w:p>
        </w:tc>
      </w:tr>
      <w:tr>
        <w:trPr>
          <w:trHeight w:val="31"/>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9"/>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(113.5)</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160.0</w:t>
            </w:r>
          </w:p>
        </w:tc>
      </w:tr>
      <w:tr>
        <w:trPr>
          <w:trHeight w:val="31"/>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9"/>
        </w:trPr>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51.8</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45.0</w:t>
            </w:r>
          </w:p>
        </w:tc>
      </w:tr>
      <w:tr>
        <w:trPr>
          <w:trHeight w:val="31"/>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300"/>
          </w:cols>
          <w:pgMar w:left="280" w:top="769" w:right="239" w:bottom="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Supplementary disclosures of cash flow information:</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paid during the year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246620" cy="10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380"/>
          </w:cols>
          <w:pgMar w:left="280" w:top="769" w:right="23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Interest, net</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380"/>
              <w:spacing w:after="0"/>
              <w:rPr>
                <w:sz w:val="20"/>
                <w:szCs w:val="20"/>
                <w:color w:val="auto"/>
              </w:rPr>
            </w:pPr>
            <w:r>
              <w:rPr>
                <w:rFonts w:ascii="Arial" w:cs="Arial" w:eastAsia="Arial" w:hAnsi="Arial"/>
                <w:sz w:val="17"/>
                <w:szCs w:val="17"/>
                <w:color w:val="auto"/>
              </w:rPr>
              <w:t>Income taxes (net of refunds)</w:t>
            </w: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20" w:type="dxa"/>
            <w:vAlign w:val="bottom"/>
            <w:vMerge w:val="continue"/>
          </w:tcPr>
          <w:p>
            <w:pPr>
              <w:spacing w:after="0"/>
              <w:rPr>
                <w:sz w:val="17"/>
                <w:szCs w:val="17"/>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17"/>
                <w:szCs w:val="17"/>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7"/>
                <w:szCs w:val="17"/>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Lennox International Inc., a Delaware corporation, through its subsidiaries (referred to herein as "we," "our," "us," "LII," or the "Company"), is a leading global provider of climate control solutions. We design, manufacture, market and service a broad range of products for the heating, ventilation, air conditioning and refrigeration ("HVACR") markets and sell our products and services through a combination of direct sales, distributors and company-owned parts and supplies stores. We operate in three reportable business segments: Residential Heating &amp; Cooling, Commercial Heating &amp; Cooling, and Refrigeration. See Note 19 for financial information regarding our reportable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consolidated financial statements include the accounts of Lennox International Inc. and our majority-owned subsidiaries. All intercompany transactions, profits and balances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consider all highly liquid temporary investments with original maturity dates of three months or less to be cash equivalents. Cash and cash equivalents consisted primarily of bank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Accounts and notes receivable are shown in the accompanying Consolidated Balance Sheets,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of uncollectible receivables after management's review of our ability to collect, as noted above. We have no significant concentrations of credit risk within our accounts and notes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Inventory costs include material, labor, depreciation and plant overhead. Inventories of $187.3 million and $176.2 million as of December 31, 2013 and 2012, respectively, were valued at the lower of cost or market using the last-in, first-out (“LIFO”) cost method. The remainder of inventory is valued at the lower of cost or market with cost determined primarily using either the first-in, first-out (“FIFO”) or average cost methods.</w:t>
      </w:r>
    </w:p>
    <w:p>
      <w:pPr>
        <w:spacing w:after="0" w:line="166"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We use the FIFO cost method for our foreign-based manufacturing facilities. See Note 3 for more information on our inventories.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 Depreciation is computed using the straight-line method over the following estimated useful lives: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2" w:name="page43"/>
    <w:bookmarkEnd w:id="4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380365</wp:posOffset>
            </wp:positionH>
            <wp:positionV relativeFrom="page">
              <wp:posOffset>466090</wp:posOffset>
            </wp:positionV>
            <wp:extent cx="6800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0850" cy="171450"/>
                    </a:xfrm>
                    <a:prstGeom prst="rect">
                      <a:avLst/>
                    </a:prstGeom>
                    <a:noFill/>
                  </pic:spPr>
                </pic:pic>
              </a:graphicData>
            </a:graphic>
          </wp:anchor>
        </w:drawing>
        <w:t>Buildings and improvements:</w:t>
      </w:r>
    </w:p>
    <w:p>
      <w:pPr>
        <w:spacing w:after="0" w:line="63"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Buildings and improvements</w:t>
            </w:r>
          </w:p>
        </w:tc>
        <w:tc>
          <w:tcPr>
            <w:tcW w:w="4360" w:type="dxa"/>
            <w:vAlign w:val="bottom"/>
          </w:tcPr>
          <w:p>
            <w:pPr>
              <w:jc w:val="right"/>
              <w:spacing w:after="0"/>
              <w:rPr>
                <w:sz w:val="20"/>
                <w:szCs w:val="20"/>
                <w:color w:val="auto"/>
              </w:rPr>
            </w:pPr>
            <w:r>
              <w:rPr>
                <w:rFonts w:ascii="Arial" w:cs="Arial" w:eastAsia="Arial" w:hAnsi="Arial"/>
                <w:sz w:val="18"/>
                <w:szCs w:val="18"/>
                <w:color w:val="auto"/>
              </w:rPr>
              <w:t>10 to 30 years</w:t>
            </w:r>
          </w:p>
        </w:tc>
      </w:tr>
      <w:tr>
        <w:trPr>
          <w:trHeight w:val="27"/>
        </w:trPr>
        <w:tc>
          <w:tcPr>
            <w:tcW w:w="634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Leasehold improvements</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20 years</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36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Computer hardware</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5 years</w:t>
            </w: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Computer software</w:t>
            </w:r>
          </w:p>
        </w:tc>
        <w:tc>
          <w:tcPr>
            <w:tcW w:w="4360" w:type="dxa"/>
            <w:vAlign w:val="bottom"/>
          </w:tcPr>
          <w:p>
            <w:pPr>
              <w:jc w:val="right"/>
              <w:spacing w:after="0"/>
              <w:rPr>
                <w:sz w:val="20"/>
                <w:szCs w:val="20"/>
                <w:color w:val="auto"/>
              </w:rPr>
            </w:pPr>
            <w:r>
              <w:rPr>
                <w:rFonts w:ascii="Arial" w:cs="Arial" w:eastAsia="Arial" w:hAnsi="Arial"/>
                <w:sz w:val="18"/>
                <w:szCs w:val="18"/>
                <w:color w:val="auto"/>
              </w:rPr>
              <w:t>3 to 10 years</w:t>
            </w:r>
          </w:p>
        </w:tc>
      </w:tr>
      <w:tr>
        <w:trPr>
          <w:trHeight w:val="27"/>
        </w:trPr>
        <w:tc>
          <w:tcPr>
            <w:tcW w:w="634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Factory machinery and equipment</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15 years</w:t>
            </w: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Research and development equipment</w:t>
            </w:r>
          </w:p>
        </w:tc>
        <w:tc>
          <w:tcPr>
            <w:tcW w:w="4360" w:type="dxa"/>
            <w:vAlign w:val="bottom"/>
          </w:tcPr>
          <w:p>
            <w:pPr>
              <w:jc w:val="right"/>
              <w:spacing w:after="0"/>
              <w:rPr>
                <w:sz w:val="20"/>
                <w:szCs w:val="20"/>
                <w:color w:val="auto"/>
              </w:rPr>
            </w:pPr>
            <w:r>
              <w:rPr>
                <w:rFonts w:ascii="Arial" w:cs="Arial" w:eastAsia="Arial" w:hAnsi="Arial"/>
                <w:sz w:val="18"/>
                <w:szCs w:val="18"/>
                <w:color w:val="auto"/>
              </w:rPr>
              <w:t>3 to 15 years</w:t>
            </w:r>
          </w:p>
        </w:tc>
      </w:tr>
      <w:tr>
        <w:trPr>
          <w:trHeight w:val="27"/>
        </w:trPr>
        <w:tc>
          <w:tcPr>
            <w:tcW w:w="634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43"/>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Vehicles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 years</w:t>
            </w:r>
          </w:p>
        </w:tc>
      </w:tr>
      <w:tr>
        <w:trPr>
          <w:trHeight w:val="27"/>
        </w:trPr>
        <w:tc>
          <w:tcPr>
            <w:tcW w:w="634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5 for additional information on our property, plant and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Goodwill represents the excess of cost over fair value of assets from acquired businesses. Goodwill is not amortized, but is reviewed for impairment annually in the first quarter and whenever events or changes in circumstances indicate the asset may be impaired. The provisions of the accounting standard for goodwill allow us to first assess qualitative factors to determine whether it is necessary to perform a two-step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LII as a whole and for each reporting unit. See Note 4 for additional information on our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amortize intangible assets and other assets with finite lives over their respective estimated useful lives to their estimated residual values,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14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w:t>
            </w: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Useful Life</w:t>
            </w:r>
          </w:p>
        </w:tc>
      </w:tr>
      <w:tr>
        <w:trPr>
          <w:trHeight w:val="48"/>
        </w:trPr>
        <w:tc>
          <w:tcPr>
            <w:tcW w:w="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20" w:type="dxa"/>
            <w:vAlign w:val="bottom"/>
          </w:tcPr>
          <w:p>
            <w:pPr>
              <w:spacing w:after="0"/>
              <w:rPr>
                <w:sz w:val="4"/>
                <w:szCs w:val="4"/>
                <w:color w:val="auto"/>
              </w:rPr>
            </w:pPr>
          </w:p>
        </w:tc>
      </w:tr>
      <w:tr>
        <w:trPr>
          <w:trHeight w:val="250"/>
        </w:trPr>
        <w:tc>
          <w:tcPr>
            <w:tcW w:w="3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Effective interest method</w:t>
            </w:r>
          </w:p>
        </w:tc>
      </w:tr>
      <w:tr>
        <w:trPr>
          <w:trHeight w:val="243"/>
        </w:trPr>
        <w:tc>
          <w:tcPr>
            <w:tcW w:w="3140" w:type="dxa"/>
            <w:vAlign w:val="bottom"/>
            <w:gridSpan w:val="3"/>
          </w:tcPr>
          <w:p>
            <w:pPr>
              <w:ind w:left="20"/>
              <w:spacing w:after="0"/>
              <w:rPr>
                <w:sz w:val="20"/>
                <w:szCs w:val="20"/>
                <w:color w:val="auto"/>
              </w:rPr>
            </w:pPr>
            <w:r>
              <w:rPr>
                <w:rFonts w:ascii="Arial" w:cs="Arial" w:eastAsia="Arial" w:hAnsi="Arial"/>
                <w:sz w:val="18"/>
                <w:szCs w:val="18"/>
                <w:color w:val="auto"/>
              </w:rPr>
              <w:t>Customer relationships</w:t>
            </w:r>
          </w:p>
        </w:tc>
        <w:tc>
          <w:tcPr>
            <w:tcW w:w="4860" w:type="dxa"/>
            <w:vAlign w:val="bottom"/>
            <w:gridSpan w:val="2"/>
          </w:tcPr>
          <w:p>
            <w:pPr>
              <w:spacing w:after="0"/>
              <w:rPr>
                <w:sz w:val="20"/>
                <w:szCs w:val="20"/>
                <w:color w:val="auto"/>
              </w:rPr>
            </w:pPr>
            <w:r>
              <w:rPr>
                <w:rFonts w:ascii="Arial" w:cs="Arial" w:eastAsia="Arial" w:hAnsi="Arial"/>
                <w:sz w:val="18"/>
                <w:szCs w:val="18"/>
                <w:color w:val="auto"/>
              </w:rPr>
              <w:t>Straight-line method up to 12 years</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43"/>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Patents and others</w:t>
            </w: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Straight-line method up to 20 years</w:t>
            </w:r>
          </w:p>
        </w:tc>
      </w:tr>
      <w:tr>
        <w:trPr>
          <w:trHeight w:val="27"/>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periodically review intangible assets with estimable useful lives for impairment as events or changes in circumstances indicate that the carrying amount of such assets might not be recoverable. We assess recoverability by comparing the estimated expected undiscounted future cash flows identified with each intangible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In assessing the fair value of these intangible assets, we must make assumptions that a market participant would make regarding estimated future cash flows and other factors to determine the fair value of the respective assets. If these estimates or the related assumptions change, we may be required to record impairment charges for these assets in the future.</w:t>
      </w:r>
    </w:p>
    <w:p>
      <w:pPr>
        <w:spacing w:after="0" w:line="1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review our indefinite-lived intangible assets for impairment annually in the first quarter and whenever events or changes in circumstances indicate the asset may be impaired. The provisions of the accounting standard for indefinite-lived intangible assets allow us to first assess qualitative factors to determine whether it is necessary to perform a two-step quantitative impairment test. As part of our qualitative assessment, we monitor economic, legal, regulatory and other factors, industry trends, recent and forecasted financial performance of our reporting units and the timing and nature of our restructuring activities for LII as a whole and as they relate to the fair value of the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some of our heating, ventilation and air conditioning (“HVAC”) products, we provide warranty terms ranging from 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3" w:name="page44"/>
    <w:bookmarkEnd w:id="43"/>
    <w:p>
      <w:pPr>
        <w:jc w:val="both"/>
        <w:spacing w:after="0" w:line="290" w:lineRule="auto"/>
        <w:rPr>
          <w:sz w:val="20"/>
          <w:szCs w:val="20"/>
          <w:color w:val="auto"/>
        </w:rPr>
      </w:pPr>
      <w:r>
        <w:rPr>
          <w:rFonts w:ascii="Arial" w:cs="Arial" w:eastAsia="Arial" w:hAnsi="Arial"/>
          <w:sz w:val="16"/>
          <w:szCs w:val="16"/>
          <w:color w:val="auto"/>
        </w:rPr>
        <w:t>to 20 years to customers for certain components such as compressors or heat exchangers. For select products, we also provide limited lifetime warranties. A liability for estimated warranty expense is recorded on the date that revenue is recognized. Our estimates of future warranty costs are determined by product line. The number of units we expect to repair or replace is determined by applying an estimated failure rate, which is generally based on historical experience, to the number of units that were sold and are still under warranty. The estimated units to be repaired under warranty are multiplied by the average cost to repair or replace such products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10 for more information on our estimated future warranty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Post-retirement Benefits</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Sheets. Changes in the funded status are recognized in the year in which the changes occur through accumulated other comprehensive income (“AOCI”). Actuarial gains or losses are amortized into net period benefit cost over the estimated service life of covered employees or average life expectancy of participants depending on the plan.</w:t>
      </w:r>
    </w:p>
    <w:p>
      <w:pPr>
        <w:spacing w:after="0" w:line="15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benefit plan assets and liabilities reflect assumptions about the long-range performance of our benefit plans. Should actual results differ from management's estimates, revisions to the benefit plan assets and liabilities would be required. See Note 12 for information regarding those estimates and additional disclosures on pension and post-retirement medical benefits.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Self-insurance expense and liabilities were actuarially determined based primarily on our historical claims information and industry factors and trends. The self-insurance liabilities as of December 31, 2013 represent the best estimate of the future payments to be made on reported and unreported losses for 2013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10 for additional information on our self-insured risks and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use futures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Sheets at fair value and the classification of each derivative instrument is based upon whether the maturity of the instrument is less than or greater than 12 months. See Note 8 for more information on our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recognize deferred tax assets and liabilities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9 for more information related to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passes. Certain customers in our smaller operations, primarily outside of North America, have shipping terms where title and risk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based on historical experience at the time we recognize revenue. Our historical rates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of return are insignificant as a percentage of sales. We also recognize revenue net of sales taxes.</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For our businesses that provide services, revenue is recognized at the time services are completed. Our Commercial Heating &amp; Cooling segment also provides sales, installation, maintenance and repair services under fixed-price contracts. Revenue for these services is recognized over the life of the contract.</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engage in cooperative advertising, customer rebate, cash discount and other miscellaneous programs that result in payments or credits 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 See Note 23 for more information on these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costs of warranty expense and freight and distribution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SG&amp;A expenses include payroll and benefit costs, advertising, commissions, research and development, information technology costs, and other selling, general and administrative related costs such as insurance, travel, non-production depreciation and rent.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recognize compensation expense for stock-based arrangements over the required employee service periods. We measure stock-based compensation costs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14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AOCI in the accompanying Consolidated Balance Sheets. Transaction gains and losses are included in Losses and other expenses, net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and uncertain future economic conditions combine to increase the uncertainty inherent in such estimates and assumptions. Future events and their effects cannot be determined with precision and actual results could differ significantly from these estimates. Changes in these estimates resulting from continuing changes in the economic environment will be reflected in the financial statements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amounts have been reclassified from the prior year presentation to conform to the current year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32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20"/>
                <w:szCs w:val="20"/>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parts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188.9</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180.1</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452.1</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450.1</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current cost over last-in, first-out cost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(73.3)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378.8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374.8</w:t>
            </w:r>
          </w:p>
        </w:tc>
      </w:tr>
      <w:tr>
        <w:trPr>
          <w:trHeight w:val="27"/>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recorded pre-tax income of $0.3 million and $0.1 million in 2013 and 2011, respectively, and pre-tax loss of $0.1 million in 2012 from LIFO inventory liquidations.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changes in the carrying amount of goodwill in 2013 and 2012, in total and by segment, are summarized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Acquisitions /</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Acquisitions /</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Segment:</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 xml:space="preserve">2011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(Dispositions)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(Dispositions)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1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223.8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520" w:hanging="188"/>
        <w:spacing w:after="0"/>
        <w:tabs>
          <w:tab w:leader="none" w:pos="52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Other consists of changes in foreign currency translation rates.</w:t>
      </w:r>
    </w:p>
    <w:p>
      <w:pPr>
        <w:spacing w:after="0" w:line="1" w:lineRule="exact"/>
        <w:rPr>
          <w:rFonts w:ascii="Arial" w:cs="Arial" w:eastAsia="Arial" w:hAnsi="Arial"/>
          <w:sz w:val="23"/>
          <w:szCs w:val="23"/>
          <w:color w:val="auto"/>
          <w:vertAlign w:val="superscript"/>
        </w:rPr>
      </w:pPr>
    </w:p>
    <w:p>
      <w:pPr>
        <w:ind w:left="500" w:right="20" w:hanging="168"/>
        <w:spacing w:after="0" w:line="219" w:lineRule="auto"/>
        <w:tabs>
          <w:tab w:leader="none" w:pos="536"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goodwill balances in the table above are presented net of accumulated impairment charges of $16.4 million, all of which relate to impairments in periods prior to 2011.</w:t>
      </w:r>
    </w:p>
    <w:p>
      <w:pPr>
        <w:spacing w:after="0" w:line="20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performed our annual impairment test of goodwill for 2013 and determined that it was not more likely than not the fair values of our reporting units, individually or collectively, were less than their carrying values based on a qualitative review of impairment indicators. Accordingly, a quantitative impairment analysis was not performed and no impairments were recognized as part of the annual test. No other indicators of impairment were identified from the date of our annual impairment test through December 31, 2013. Also, we did not record any goodwill impairments related to continuing operations in 2011 or 2012. Refer to Note 17 for information on goodwill related to discontinued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2013 and 2012, there were $9.4 million of indefinite-lived intangible assets recorded in Other assets, net in the accompanying Consolidated Balance Sheets. These intangible assets consisted primarily of trademarks and are not subject to amortization.</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Identifiable intangible and other assets subject to amortization were recorded in Other assets, net in the accompanying Consolidated Balance Sheets and were comprised of the following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5"/>
          </w:tcPr>
          <w:p>
            <w:pPr>
              <w:ind w:left="16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Accumulated</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Amount</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Amortization</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Net Amount</w:t>
            </w: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Amortization</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Net Amount</w:t>
            </w:r>
          </w:p>
        </w:tc>
      </w:tr>
      <w:tr>
        <w:trPr>
          <w:trHeight w:val="33"/>
        </w:trPr>
        <w:tc>
          <w:tcPr>
            <w:tcW w:w="3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 and others</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r>
      <w:tr>
        <w:trPr>
          <w:trHeight w:val="20"/>
        </w:trPr>
        <w:tc>
          <w:tcPr>
            <w:tcW w:w="3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 expense related to these intangible and other assets was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2011</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7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Estimated amortization expense for the next five years and thereafter is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238125</wp:posOffset>
            </wp:positionV>
            <wp:extent cx="501713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17135" cy="171450"/>
                    </a:xfrm>
                    <a:prstGeom prst="rect">
                      <a:avLst/>
                    </a:prstGeom>
                    <a:noFill/>
                  </pic:spPr>
                </pic:pic>
              </a:graphicData>
            </a:graphic>
          </wp:anchor>
        </w:drawing>
      </w:r>
    </w:p>
    <w:p>
      <w:pPr>
        <w:spacing w:after="0" w:line="363"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Estimated Future Amortization Expense:</w:t>
      </w:r>
    </w:p>
    <w:p>
      <w:pPr>
        <w:spacing w:after="0" w:line="67"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2014</w:t>
            </w:r>
          </w:p>
        </w:tc>
        <w:tc>
          <w:tcPr>
            <w:tcW w:w="34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2016</w:t>
            </w:r>
          </w:p>
        </w:tc>
        <w:tc>
          <w:tcPr>
            <w:tcW w:w="3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3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2018</w:t>
            </w:r>
          </w:p>
        </w:tc>
        <w:tc>
          <w:tcPr>
            <w:tcW w:w="3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4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374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We did not have any impairments of intangible assets related to continuing operations in 2013 or 2012. See Note 17 for information on impairments of intangible assets related to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Components of Property, plant and equipment, net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212.6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208.6</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Construction in progress and equipment not yet in service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32.1</w:t>
            </w: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(584.8)</w:t>
            </w: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298.2</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Property, plant and equipment, net includes capital lease assets comprised of buildings, improvements, machinery and equipment totaling $15.6 million and $14.4 million, net of accumulated depreciation of $9.6 million and $8.9 million as of December 31, 2013 and 2012, respectively.</w:t>
      </w:r>
    </w:p>
    <w:p>
      <w:pPr>
        <w:spacing w:after="0" w:line="1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 impairment charges were recorded in 2013 or 2012. We recorded $0.2 million of impairment charges for machinery and equipment assets no longer in use for the year ended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Joint Ventures and Other Equity Investments:</w:t>
      </w:r>
    </w:p>
    <w:p>
      <w:pPr>
        <w:spacing w:after="0" w:line="22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participate in two joint ventures, the largest located in the U.S. and the other in Mexico, that are engaged in the manufacture and sale of compressors, unit coolers and condensing units. We exert significant influence over these affiliates based upon our</w:t>
      </w:r>
    </w:p>
    <w:p>
      <w:pPr>
        <w:sectPr>
          <w:pgSz w:w="11900" w:h="16838" w:orient="portrait"/>
          <w:cols w:equalWidth="0" w:num="1">
            <w:col w:w="11420"/>
          </w:cols>
          <w:pgMar w:left="240" w:top="76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60" w:right="239" w:bottom="1440" w:gutter="0" w:footer="0" w:header="0"/>
          <w:type w:val="continuous"/>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respective 25% and 50% ownerships, but do not control them due to venture partner participation. Accordingly, these joint ventures have been accounted for under the equity method and their financial position and results of operations are not consolidated.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combined balance of equity method investments included in Other assets, net totaled (in millions):</w:t>
      </w:r>
    </w:p>
    <w:p>
      <w:pPr>
        <w:spacing w:after="0" w:line="200" w:lineRule="exact"/>
        <w:rPr>
          <w:sz w:val="20"/>
          <w:szCs w:val="20"/>
          <w:color w:val="auto"/>
        </w:rPr>
      </w:pPr>
    </w:p>
    <w:p>
      <w:pPr>
        <w:spacing w:after="0" w:line="201"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37465</wp:posOffset>
            </wp:positionV>
            <wp:extent cx="17837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80" w:lineRule="exact"/>
        <w:rPr>
          <w:sz w:val="20"/>
          <w:szCs w:val="20"/>
          <w:color w:val="auto"/>
        </w:rPr>
      </w:pPr>
    </w:p>
    <w:p>
      <w:pPr>
        <w:ind w:left="7880"/>
        <w:spacing w:after="0"/>
        <w:tabs>
          <w:tab w:leader="none" w:pos="932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37465</wp:posOffset>
            </wp:positionV>
            <wp:extent cx="566864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8645" cy="180340"/>
                    </a:xfrm>
                    <a:prstGeom prst="rect">
                      <a:avLst/>
                    </a:prstGeom>
                    <a:noFill/>
                  </pic:spPr>
                </pic:pic>
              </a:graphicData>
            </a:graphic>
          </wp:anchor>
        </w:drawing>
      </w:r>
    </w:p>
    <w:p>
      <w:pPr>
        <w:spacing w:after="0" w:line="66" w:lineRule="exact"/>
        <w:rPr>
          <w:sz w:val="20"/>
          <w:szCs w:val="20"/>
          <w:color w:val="auto"/>
        </w:rPr>
      </w:pPr>
    </w:p>
    <w:p>
      <w:pPr>
        <w:ind w:left="1280"/>
        <w:spacing w:after="0"/>
        <w:tabs>
          <w:tab w:leader="none" w:pos="7380" w:val="left"/>
          <w:tab w:leader="none" w:pos="8300" w:val="left"/>
          <w:tab w:leader="none" w:pos="8840" w:val="left"/>
          <w:tab w:leader="none" w:pos="9760" w:val="left"/>
        </w:tabs>
        <w:rPr>
          <w:sz w:val="20"/>
          <w:szCs w:val="20"/>
          <w:color w:val="auto"/>
        </w:rPr>
      </w:pPr>
      <w:r>
        <w:rPr>
          <w:rFonts w:ascii="Arial" w:cs="Arial" w:eastAsia="Arial" w:hAnsi="Arial"/>
          <w:sz w:val="18"/>
          <w:szCs w:val="18"/>
          <w:color w:val="auto"/>
        </w:rPr>
        <w:t>Equity method investments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28.0</w:t>
        <w:tab/>
        <w:t>$</w:t>
      </w:r>
      <w:r>
        <w:rPr>
          <w:sz w:val="20"/>
          <w:szCs w:val="20"/>
          <w:color w:val="auto"/>
        </w:rPr>
        <w:tab/>
      </w:r>
      <w:r>
        <w:rPr>
          <w:rFonts w:ascii="Arial" w:cs="Arial" w:eastAsia="Arial" w:hAnsi="Arial"/>
          <w:sz w:val="16"/>
          <w:szCs w:val="16"/>
          <w:color w:val="auto"/>
        </w:rPr>
        <w:t>26.4</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purchase compressors from our U.S. joint venture for use in certain of our products. The amounts of purchases included in Cost of goods sold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were as follows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gridSpan w:val="10"/>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1"/>
        </w:trPr>
        <w:tc>
          <w:tcPr>
            <w:tcW w:w="1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391"/>
              <w:spacing w:after="0"/>
              <w:rPr>
                <w:sz w:val="20"/>
                <w:szCs w:val="20"/>
                <w:color w:val="auto"/>
              </w:rPr>
            </w:pPr>
            <w:r>
              <w:rPr>
                <w:rFonts w:ascii="Arial" w:cs="Arial" w:eastAsia="Arial" w:hAnsi="Arial"/>
                <w:sz w:val="16"/>
                <w:szCs w:val="16"/>
                <w:b w:val="1"/>
                <w:bCs w:val="1"/>
                <w:color w:val="auto"/>
                <w:w w:val="78"/>
              </w:rPr>
              <w:t>2011</w:t>
            </w:r>
          </w:p>
        </w:tc>
        <w:tc>
          <w:tcPr>
            <w:tcW w:w="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122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Purchases of compressors from joint venture</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21"/>
                <w:szCs w:val="21"/>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980" w:type="dxa"/>
            <w:vAlign w:val="bottom"/>
            <w:gridSpan w:val="3"/>
          </w:tcPr>
          <w:p>
            <w:pPr>
              <w:jc w:val="right"/>
              <w:ind w:right="634"/>
              <w:spacing w:after="0"/>
              <w:rPr>
                <w:sz w:val="20"/>
                <w:szCs w:val="20"/>
                <w:color w:val="auto"/>
              </w:rPr>
            </w:pPr>
            <w:r>
              <w:rPr>
                <w:rFonts w:ascii="Arial" w:cs="Arial" w:eastAsia="Arial" w:hAnsi="Arial"/>
                <w:sz w:val="18"/>
                <w:szCs w:val="18"/>
                <w:color w:val="auto"/>
                <w:w w:val="94"/>
              </w:rPr>
              <w:t>The significant components of Accrued expenses are presented below (in millions):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1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7"/>
          </w:tcPr>
          <w:p>
            <w:pPr>
              <w:ind w:left="260"/>
              <w:spacing w:after="0"/>
              <w:rPr>
                <w:sz w:val="20"/>
                <w:szCs w:val="20"/>
                <w:color w:val="auto"/>
              </w:rPr>
            </w:pPr>
            <w:r>
              <w:rPr>
                <w:rFonts w:ascii="Arial" w:cs="Arial" w:eastAsia="Arial" w:hAnsi="Arial"/>
                <w:sz w:val="16"/>
                <w:szCs w:val="16"/>
                <w:b w:val="1"/>
                <w:bCs w:val="1"/>
                <w:color w:val="auto"/>
              </w:rPr>
              <w:t>As of December 31,</w:t>
            </w:r>
          </w:p>
        </w:tc>
        <w:tc>
          <w:tcPr>
            <w:tcW w:w="40" w:type="dxa"/>
            <w:vAlign w:val="bottom"/>
          </w:tcPr>
          <w:p>
            <w:pPr>
              <w:spacing w:after="0"/>
              <w:rPr>
                <w:sz w:val="24"/>
                <w:szCs w:val="24"/>
                <w:color w:val="auto"/>
              </w:rPr>
            </w:pPr>
          </w:p>
        </w:tc>
      </w:tr>
      <w:tr>
        <w:trPr>
          <w:trHeight w:val="33"/>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1"/>
        </w:trPr>
        <w:tc>
          <w:tcPr>
            <w:tcW w:w="1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9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71"/>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122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2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Self insurance reserves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2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2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Accrued warranties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2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quality issues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2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Accrued rebates and promotions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2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2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7"/>
        </w:trPr>
        <w:tc>
          <w:tcPr>
            <w:tcW w:w="1220" w:type="dxa"/>
            <w:vAlign w:val="bottom"/>
            <w:tcBorders>
              <w:right w:val="single" w:sz="8" w:color="CCEEFF"/>
            </w:tcBorders>
          </w:tcPr>
          <w:p>
            <w:pPr>
              <w:spacing w:after="0"/>
              <w:rPr>
                <w:sz w:val="22"/>
                <w:szCs w:val="22"/>
                <w:color w:val="auto"/>
              </w:rPr>
            </w:pP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232.1</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0" w:type="dxa"/>
            <w:vAlign w:val="bottom"/>
            <w:shd w:val="clear" w:color="auto" w:fill="CCEEFF"/>
          </w:tcPr>
          <w:p>
            <w:pPr>
              <w:spacing w:after="0"/>
              <w:rPr>
                <w:sz w:val="22"/>
                <w:szCs w:val="22"/>
                <w:color w:val="auto"/>
              </w:rPr>
            </w:pPr>
          </w:p>
        </w:tc>
      </w:tr>
      <w:tr>
        <w:trPr>
          <w:trHeight w:val="20"/>
        </w:trPr>
        <w:tc>
          <w:tcPr>
            <w:tcW w:w="12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A portion of our debt bears interest at variable interest rates, and as a result, we are subject to variability in the cash paid for interest. To</w:t>
      </w:r>
      <w:r>
        <w:rPr>
          <w:rFonts w:ascii="Arial" w:cs="Arial" w:eastAsia="Arial" w:hAnsi="Arial"/>
          <w:sz w:val="17"/>
          <w:szCs w:val="17"/>
          <w:i w:val="1"/>
          <w:iCs w:val="1"/>
          <w:color w:val="auto"/>
        </w:rPr>
        <w:t xml:space="preserve"> </w:t>
      </w:r>
      <w:r>
        <w:rPr>
          <w:rFonts w:ascii="Arial" w:cs="Arial" w:eastAsia="Arial" w:hAnsi="Arial"/>
          <w:sz w:val="17"/>
          <w:szCs w:val="17"/>
          <w:color w:val="auto"/>
        </w:rPr>
        <w:t>mitigate a portion of that risk, we may choose to engage in an interest rate swap hedging strategy to eliminate the variability of interest payment cash flows. Prior to 2013, we used an interest rate swap hedge to fix the interest payments associated with the first $100 million of the total variable-rate debt outstanding under our revolving credit facility tied to changes in the benchmark interest rate. The variable portion of the interest rate swap was tied to the 1-Month LIBOR (the benchmark interest rate). On a monthly basis, the interest rates for both the interest rate swap and the underlying debt were reset, the swap was settled with the counterparty, and the interest was paid. The interest rate swap was classified as a cash flow hedge and it expired on October 12, 2012. Subsequently, we have not hedged against interest rate risk.</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4" w:right="239" w:bottom="1440" w:gutter="0" w:footer="0" w:header="0"/>
          <w:type w:val="continuous"/>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certain short-term transactions by periodically entering into foreign currency forward contracts. These forward contracts are not designated as hedges and generally expire during the quarter that we enter into them. By entering into forward contracts, we lock in exchange rates that would otherwise cause losses should the U.S. dollar appreciate and gains should the U.S. dollar depreciate.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commodity futures contracts designated as cash flows hedges that are scheduled to mature through June 2015. Unrealized gains or losses from our cash flow hedges are included in accumulated other comprehensive income (“AOCI”) and are expected to be reclassified into earnings within the next 18 months based on the prices of the commodities at the settlement dates. We recorded the following amounts related to our cash flow hedges in AOCI (in millions):</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2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As of December 31,</w:t>
            </w:r>
          </w:p>
        </w:tc>
        <w:tc>
          <w:tcPr>
            <w:tcW w:w="44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Pr>
          <w:p>
            <w:pPr>
              <w:spacing w:after="0"/>
              <w:rPr>
                <w:sz w:val="20"/>
                <w:szCs w:val="20"/>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(gains) on unsettled contracts</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7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7320" w:type="dxa"/>
            <w:vAlign w:val="bottom"/>
            <w:shd w:val="clear" w:color="auto" w:fill="CCEEFF"/>
          </w:tcPr>
          <w:p>
            <w:pPr>
              <w:ind w:left="260"/>
              <w:spacing w:after="0" w:line="264" w:lineRule="exact"/>
              <w:rPr>
                <w:sz w:val="20"/>
                <w:szCs w:val="20"/>
                <w:color w:val="auto"/>
              </w:rPr>
            </w:pPr>
            <w:r>
              <w:rPr>
                <w:rFonts w:ascii="Arial" w:cs="Arial" w:eastAsia="Arial" w:hAnsi="Arial"/>
                <w:sz w:val="18"/>
                <w:szCs w:val="18"/>
                <w:color w:val="auto"/>
              </w:rPr>
              <w:t xml:space="preserve">Losses (gains) included in AOCI, net of tax </w:t>
            </w:r>
            <w:r>
              <w:rPr>
                <w:rFonts w:ascii="Arial" w:cs="Arial" w:eastAsia="Arial" w:hAnsi="Arial"/>
                <w:sz w:val="25"/>
                <w:szCs w:val="25"/>
                <w:color w:val="auto"/>
                <w:vertAlign w:val="superscript"/>
              </w:rPr>
              <w:t>(1)</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85" w:lineRule="exact"/>
        <w:rPr>
          <w:sz w:val="20"/>
          <w:szCs w:val="20"/>
          <w:color w:val="auto"/>
        </w:rPr>
      </w:pPr>
    </w:p>
    <w:p>
      <w:pPr>
        <w:ind w:left="760" w:hanging="185"/>
        <w:spacing w:after="0"/>
        <w:tabs>
          <w:tab w:leader="none" w:pos="7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Assuming commodity prices remain constant, we expect to reclassify $0.7 million of derivative losses into earnings within the next 12 months.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the following outstanding commodity futures contracts designated as cash flow hedges (in millions of pounds):</w:t>
      </w:r>
    </w:p>
    <w:p>
      <w:pPr>
        <w:spacing w:after="0" w:line="185"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37465</wp:posOffset>
            </wp:positionV>
            <wp:extent cx="17151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80"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8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2012</w:t>
            </w:r>
          </w:p>
        </w:tc>
      </w:tr>
      <w:tr>
        <w:trPr>
          <w:trHeight w:val="33"/>
        </w:trPr>
        <w:tc>
          <w:tcPr>
            <w:tcW w:w="7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Copper</w:t>
            </w: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22.9</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r>
      <w:tr>
        <w:trPr>
          <w:trHeight w:val="27"/>
        </w:trPr>
        <w:tc>
          <w:tcPr>
            <w:tcW w:w="7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commodity derivatives not designated as cash flow hedges, we follow the same hedging strategy as derivatives designated as cash flow hedges, except that we elect not to designate them as cash flow hedges at the inception of the arrangement. We had the following outstanding commodity futures contracts not designated as cash flow hedges (in millions of pounds):</w:t>
      </w:r>
    </w:p>
    <w:p>
      <w:pPr>
        <w:spacing w:after="0" w:line="35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70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300" w:type="dxa"/>
            <w:vAlign w:val="bottom"/>
          </w:tcPr>
          <w:p>
            <w:pPr>
              <w:jc w:val="right"/>
              <w:ind w:right="41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3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2012</w:t>
            </w:r>
          </w:p>
        </w:tc>
      </w:tr>
      <w:tr>
        <w:trPr>
          <w:trHeight w:val="33"/>
        </w:trPr>
        <w:tc>
          <w:tcPr>
            <w:tcW w:w="440" w:type="dxa"/>
            <w:vAlign w:val="bottom"/>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Copper</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44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Aluminum</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405"/>
        </w:trPr>
        <w:tc>
          <w:tcPr>
            <w:tcW w:w="9180" w:type="dxa"/>
            <w:vAlign w:val="bottom"/>
            <w:gridSpan w:val="4"/>
          </w:tcPr>
          <w:p>
            <w:pPr>
              <w:spacing w:after="0"/>
              <w:rPr>
                <w:sz w:val="20"/>
                <w:szCs w:val="20"/>
                <w:color w:val="auto"/>
              </w:rPr>
            </w:pPr>
            <w:r>
              <w:rPr>
                <w:rFonts w:ascii="Arial" w:cs="Arial" w:eastAsia="Arial" w:hAnsi="Arial"/>
                <w:sz w:val="18"/>
                <w:szCs w:val="18"/>
                <w:color w:val="auto"/>
                <w:w w:val="98"/>
              </w:rPr>
              <w:t>We had the following outstanding foreign currency forward contracts not designated as cash flow hedges (in millions):</w:t>
            </w:r>
          </w:p>
        </w:tc>
        <w:tc>
          <w:tcPr>
            <w:tcW w:w="1300" w:type="dxa"/>
            <w:vAlign w:val="bottom"/>
          </w:tcPr>
          <w:p>
            <w:pPr>
              <w:spacing w:after="0"/>
              <w:rPr>
                <w:sz w:val="24"/>
                <w:szCs w:val="24"/>
                <w:color w:val="auto"/>
              </w:rPr>
            </w:pPr>
          </w:p>
        </w:tc>
      </w:tr>
      <w:tr>
        <w:trPr>
          <w:trHeight w:val="372"/>
        </w:trPr>
        <w:tc>
          <w:tcPr>
            <w:tcW w:w="4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70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300" w:type="dxa"/>
            <w:vAlign w:val="bottom"/>
          </w:tcPr>
          <w:p>
            <w:pPr>
              <w:jc w:val="right"/>
              <w:ind w:right="41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3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2012</w:t>
            </w:r>
          </w:p>
        </w:tc>
      </w:tr>
      <w:tr>
        <w:trPr>
          <w:trHeight w:val="33"/>
        </w:trPr>
        <w:tc>
          <w:tcPr>
            <w:tcW w:w="440" w:type="dxa"/>
            <w:vAlign w:val="bottom"/>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Notional amounts (in local currency):</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Brazilian Real</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Mexican Peso</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220.2</w:t>
            </w:r>
          </w:p>
        </w:tc>
      </w:tr>
      <w:tr>
        <w:trPr>
          <w:trHeight w:val="243"/>
        </w:trPr>
        <w:tc>
          <w:tcPr>
            <w:tcW w:w="44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Euro</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43"/>
        </w:trPr>
        <w:tc>
          <w:tcPr>
            <w:tcW w:w="44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Indian Rupee</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19.5</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Polish Zloty</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440" w:type="dxa"/>
            <w:vAlign w:val="bottom"/>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the Locations and Amounts of Derivative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provide the locations and amounts of derivative fair values in the Consolidated Balance Sheets and derivative gains and losses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(in millions):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6"/>
                <w:szCs w:val="16"/>
                <w:b w:val="1"/>
                <w:bCs w:val="1"/>
                <w:color w:val="auto"/>
                <w:w w:val="95"/>
              </w:rPr>
              <w:t xml:space="preserve">Fair Values of Derivative Instruments as of December 31 </w:t>
            </w:r>
            <w:r>
              <w:rPr>
                <w:rFonts w:ascii="Arial" w:cs="Arial" w:eastAsia="Arial" w:hAnsi="Arial"/>
                <w:sz w:val="21"/>
                <w:szCs w:val="21"/>
                <w:b w:val="1"/>
                <w:bCs w:val="1"/>
                <w:color w:val="auto"/>
                <w:w w:val="95"/>
                <w:vertAlign w:val="superscript"/>
              </w:rPr>
              <w:t>(1)</w:t>
            </w:r>
          </w:p>
        </w:tc>
        <w:tc>
          <w:tcPr>
            <w:tcW w:w="1140" w:type="dxa"/>
            <w:vAlign w:val="bottom"/>
            <w:tcBorders>
              <w:bottom w:val="single" w:sz="8" w:color="auto"/>
            </w:tcBorders>
          </w:tcPr>
          <w:p>
            <w:pPr>
              <w:spacing w:after="0"/>
              <w:rPr>
                <w:sz w:val="21"/>
                <w:szCs w:val="21"/>
                <w:color w:val="auto"/>
              </w:rPr>
            </w:pPr>
          </w:p>
        </w:tc>
      </w:tr>
      <w:tr>
        <w:trPr>
          <w:trHeight w:val="209"/>
        </w:trPr>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Derivatives Not Designated as</w:t>
            </w:r>
          </w:p>
        </w:tc>
      </w:tr>
      <w:tr>
        <w:trPr>
          <w:trHeight w:val="210"/>
        </w:trPr>
        <w:tc>
          <w:tcPr>
            <w:tcW w:w="4700" w:type="dxa"/>
            <w:vAlign w:val="bottom"/>
          </w:tcPr>
          <w:p>
            <w:pPr>
              <w:spacing w:after="0"/>
              <w:rPr>
                <w:sz w:val="18"/>
                <w:szCs w:val="18"/>
                <w:color w:val="auto"/>
              </w:rPr>
            </w:pPr>
          </w:p>
        </w:tc>
        <w:tc>
          <w:tcPr>
            <w:tcW w:w="342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Derivatives Designated as Hedging Instruments</w:t>
            </w:r>
          </w:p>
        </w:tc>
        <w:tc>
          <w:tcPr>
            <w:tcW w:w="360" w:type="dxa"/>
            <w:vAlign w:val="bottom"/>
          </w:tcPr>
          <w:p>
            <w:pPr>
              <w:spacing w:after="0"/>
              <w:rPr>
                <w:sz w:val="18"/>
                <w:szCs w:val="18"/>
                <w:color w:val="auto"/>
              </w:rPr>
            </w:pPr>
          </w:p>
        </w:tc>
        <w:tc>
          <w:tcPr>
            <w:tcW w:w="294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Hedging Instruments</w:t>
            </w:r>
          </w:p>
        </w:tc>
      </w:tr>
      <w:tr>
        <w:trPr>
          <w:trHeight w:val="3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120" w:type="dxa"/>
            <w:vAlign w:val="bottom"/>
          </w:tcPr>
          <w:p>
            <w:pPr>
              <w:ind w:left="640"/>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2012</w:t>
            </w:r>
          </w:p>
        </w:tc>
      </w:tr>
      <w:tr>
        <w:trPr>
          <w:trHeight w:val="33"/>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1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r>
      <w:tr>
        <w:trPr>
          <w:trHeight w:val="67"/>
        </w:trPr>
        <w:tc>
          <w:tcPr>
            <w:tcW w:w="47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Current Liabilities:</w:t>
            </w: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1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40" w:hanging="189"/>
        <w:spacing w:after="0"/>
        <w:tabs>
          <w:tab w:leader="none" w:pos="44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All derivative instruments are classified as Level 2 within the fair value hierarchy. See Note 20 for more information on fair value measurements.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For the Years Ended December 31,</w:t>
            </w:r>
          </w:p>
        </w:tc>
      </w:tr>
      <w:tr>
        <w:trPr>
          <w:trHeight w:val="33"/>
        </w:trPr>
        <w:tc>
          <w:tcPr>
            <w:tcW w:w="8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r>
      <w:tr>
        <w:trPr>
          <w:trHeight w:val="33"/>
        </w:trPr>
        <w:tc>
          <w:tcPr>
            <w:tcW w:w="8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 of Loss (Gain) Reclassified from AOCI into Income (Effective Portion):</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Commodity futures contracts </w:t>
            </w:r>
            <w:r>
              <w:rPr>
                <w:rFonts w:ascii="Arial" w:cs="Arial" w:eastAsia="Arial" w:hAnsi="Arial"/>
                <w:sz w:val="25"/>
                <w:szCs w:val="25"/>
                <w:color w:val="auto"/>
                <w:vertAlign w:val="superscript"/>
              </w:rPr>
              <w:t>(1)</w:t>
            </w: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5"/>
                <w:szCs w:val="25"/>
                <w:color w:val="auto"/>
                <w:vertAlign w:val="superscript"/>
              </w:rPr>
              <w:t>(2)</w:t>
            </w:r>
          </w:p>
        </w:tc>
        <w:tc>
          <w:tcPr>
            <w:tcW w:w="6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37"/>
        </w:trPr>
        <w:tc>
          <w:tcPr>
            <w:tcW w:w="8120" w:type="dxa"/>
            <w:vAlign w:val="bottom"/>
          </w:tcPr>
          <w:p>
            <w:pPr>
              <w:spacing w:after="0"/>
              <w:rPr>
                <w:sz w:val="20"/>
                <w:szCs w:val="20"/>
                <w:color w:val="auto"/>
              </w:rPr>
            </w:pPr>
          </w:p>
        </w:tc>
        <w:tc>
          <w:tcPr>
            <w:tcW w:w="680" w:type="dxa"/>
            <w:vAlign w:val="bottom"/>
            <w:tcBorders>
              <w:top w:val="single" w:sz="8" w:color="auto"/>
            </w:tcBorders>
          </w:tcPr>
          <w:p>
            <w:pPr>
              <w:jc w:val="right"/>
              <w:ind w:right="4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67"/>
        </w:trPr>
        <w:tc>
          <w:tcPr>
            <w:tcW w:w="8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 of (Gain) Loss Recognized in Income on Derivatives (Ineffective Portion):</w:t>
            </w: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341"/>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Commodity futures contracts </w:t>
            </w:r>
            <w:r>
              <w:rPr>
                <w:rFonts w:ascii="Arial" w:cs="Arial" w:eastAsia="Arial" w:hAnsi="Arial"/>
                <w:sz w:val="25"/>
                <w:szCs w:val="25"/>
                <w:color w:val="auto"/>
                <w:vertAlign w:val="superscript"/>
              </w:rPr>
              <w:t>(3)</w:t>
            </w: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449"/>
        </w:trPr>
        <w:tc>
          <w:tcPr>
            <w:tcW w:w="8120" w:type="dxa"/>
            <w:vAlign w:val="bottom"/>
          </w:tcPr>
          <w:p>
            <w:pPr>
              <w:ind w:left="39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
        </w:trPr>
        <w:tc>
          <w:tcPr>
            <w:tcW w:w="8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8"/>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33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For the Years Ended December 31,</w:t>
            </w:r>
          </w:p>
        </w:tc>
      </w:tr>
      <w:tr>
        <w:trPr>
          <w:trHeight w:val="33"/>
        </w:trPr>
        <w:tc>
          <w:tcPr>
            <w:tcW w:w="8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r>
      <w:tr>
        <w:trPr>
          <w:trHeight w:val="33"/>
        </w:trPr>
        <w:tc>
          <w:tcPr>
            <w:tcW w:w="8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 of Loss (Gain) Recognized in Income on Derivatives: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Commodity futures contracts </w:t>
            </w:r>
            <w:r>
              <w:rPr>
                <w:rFonts w:ascii="Arial" w:cs="Arial" w:eastAsia="Arial" w:hAnsi="Arial"/>
                <w:sz w:val="25"/>
                <w:szCs w:val="25"/>
                <w:color w:val="auto"/>
                <w:vertAlign w:val="superscript"/>
              </w:rPr>
              <w:t>(3)</w:t>
            </w: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Foreign currency forward contracts </w:t>
            </w:r>
            <w:r>
              <w:rPr>
                <w:rFonts w:ascii="Arial" w:cs="Arial" w:eastAsia="Arial" w:hAnsi="Arial"/>
                <w:sz w:val="25"/>
                <w:szCs w:val="25"/>
                <w:color w:val="auto"/>
                <w:vertAlign w:val="superscript"/>
              </w:rPr>
              <w:t>(3)</w:t>
            </w:r>
          </w:p>
        </w:tc>
        <w:tc>
          <w:tcPr>
            <w:tcW w:w="6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37"/>
        </w:trPr>
        <w:tc>
          <w:tcPr>
            <w:tcW w:w="8120" w:type="dxa"/>
            <w:vAlign w:val="bottom"/>
          </w:tcPr>
          <w:p>
            <w:pPr>
              <w:spacing w:after="0"/>
              <w:rPr>
                <w:sz w:val="20"/>
                <w:szCs w:val="20"/>
                <w:color w:val="auto"/>
              </w:rPr>
            </w:pP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8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440" w:hanging="189"/>
        <w:spacing w:after="0"/>
        <w:tabs>
          <w:tab w:leader="none" w:pos="44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The loss (gain) was recorded in Cost of goods sold in the accompanying Consolidated Statements of Operations.</w:t>
      </w:r>
    </w:p>
    <w:p>
      <w:pPr>
        <w:spacing w:after="0" w:line="1" w:lineRule="exact"/>
        <w:rPr>
          <w:rFonts w:ascii="Arial" w:cs="Arial" w:eastAsia="Arial" w:hAnsi="Arial"/>
          <w:sz w:val="23"/>
          <w:szCs w:val="23"/>
          <w:color w:val="auto"/>
          <w:vertAlign w:val="superscript"/>
        </w:rPr>
      </w:pPr>
    </w:p>
    <w:p>
      <w:pPr>
        <w:ind w:left="440" w:hanging="189"/>
        <w:spacing w:after="0" w:line="194" w:lineRule="auto"/>
        <w:tabs>
          <w:tab w:leader="none" w:pos="44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The loss was recorded in Interest expense, net in the accompanying Consolidated Statements of Operations.</w:t>
      </w:r>
    </w:p>
    <w:p>
      <w:pPr>
        <w:spacing w:after="0" w:line="2" w:lineRule="exact"/>
        <w:rPr>
          <w:rFonts w:ascii="Arial" w:cs="Arial" w:eastAsia="Arial" w:hAnsi="Arial"/>
          <w:sz w:val="23"/>
          <w:szCs w:val="23"/>
          <w:color w:val="auto"/>
          <w:vertAlign w:val="superscript"/>
        </w:rPr>
      </w:pPr>
    </w:p>
    <w:p>
      <w:pPr>
        <w:ind w:left="440" w:hanging="189"/>
        <w:spacing w:after="0" w:line="194" w:lineRule="auto"/>
        <w:tabs>
          <w:tab w:leader="none" w:pos="44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The loss (gain) was recorded in Losses and other expenses, net in the accompanying Consolidated Statements of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Provision for income taxes from continuing operations consisted of the following (in millions):</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1"/>
              </w:rPr>
              <w:t>For the Years Ended December 31,</w:t>
            </w:r>
          </w:p>
        </w:tc>
      </w:tr>
      <w:tr>
        <w:trPr>
          <w:trHeight w:val="33"/>
        </w:trPr>
        <w:tc>
          <w:tcPr>
            <w:tcW w:w="5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2011</w:t>
            </w:r>
          </w:p>
        </w:tc>
      </w:tr>
      <w:tr>
        <w:trPr>
          <w:trHeight w:val="33"/>
        </w:trPr>
        <w:tc>
          <w:tcPr>
            <w:tcW w:w="50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41.4</w:t>
            </w:r>
          </w:p>
        </w:tc>
      </w:tr>
      <w:tr>
        <w:trPr>
          <w:trHeight w:val="27"/>
        </w:trPr>
        <w:tc>
          <w:tcPr>
            <w:tcW w:w="5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500" w:type="dxa"/>
            <w:vAlign w:val="bottom"/>
          </w:tcPr>
          <w:p>
            <w:pPr>
              <w:spacing w:after="0"/>
              <w:rPr>
                <w:sz w:val="21"/>
                <w:szCs w:val="21"/>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50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00" w:type="dxa"/>
            <w:vAlign w:val="bottom"/>
          </w:tcPr>
          <w:p>
            <w:pPr>
              <w:spacing w:after="0"/>
              <w:rPr>
                <w:sz w:val="22"/>
                <w:szCs w:val="22"/>
                <w:color w:val="auto"/>
              </w:rPr>
            </w:pPr>
          </w:p>
        </w:tc>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r>
      <w:tr>
        <w:trPr>
          <w:trHeight w:val="237"/>
        </w:trPr>
        <w:tc>
          <w:tcPr>
            <w:tcW w:w="50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500" w:type="dxa"/>
            <w:vAlign w:val="bottom"/>
          </w:tcPr>
          <w:p>
            <w:pPr>
              <w:spacing w:after="0"/>
              <w:rPr>
                <w:sz w:val="21"/>
                <w:szCs w:val="21"/>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500" w:type="dxa"/>
            <w:vAlign w:val="bottom"/>
          </w:tcPr>
          <w:p>
            <w:pPr>
              <w:spacing w:after="0"/>
              <w:rPr>
                <w:sz w:val="20"/>
                <w:szCs w:val="20"/>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Total deferred</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50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00" w:type="dxa"/>
            <w:vAlign w:val="bottom"/>
          </w:tcPr>
          <w:p>
            <w:pPr>
              <w:spacing w:after="0"/>
              <w:rPr>
                <w:sz w:val="22"/>
                <w:szCs w:val="22"/>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r>
      <w:tr>
        <w:trPr>
          <w:trHeight w:val="20"/>
        </w:trPr>
        <w:tc>
          <w:tcPr>
            <w:tcW w:w="66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9"/>
        </w:trPr>
        <w:tc>
          <w:tcPr>
            <w:tcW w:w="7900" w:type="dxa"/>
            <w:vAlign w:val="bottom"/>
            <w:gridSpan w:val="5"/>
          </w:tcPr>
          <w:p>
            <w:pPr>
              <w:spacing w:after="0"/>
              <w:rPr>
                <w:sz w:val="20"/>
                <w:szCs w:val="20"/>
                <w:color w:val="auto"/>
              </w:rPr>
            </w:pPr>
            <w:r>
              <w:rPr>
                <w:rFonts w:ascii="Arial" w:cs="Arial" w:eastAsia="Arial" w:hAnsi="Arial"/>
                <w:sz w:val="18"/>
                <w:szCs w:val="18"/>
                <w:color w:val="auto"/>
                <w:w w:val="99"/>
              </w:rPr>
              <w:t>Income from continuing operations before income taxes was comprised of the following (in millions):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2"/>
        </w:trPr>
        <w:tc>
          <w:tcPr>
            <w:tcW w:w="5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1"/>
              </w:rPr>
              <w:t>For the Years Ended December 31,</w:t>
            </w:r>
          </w:p>
        </w:tc>
      </w:tr>
      <w:tr>
        <w:trPr>
          <w:trHeight w:val="33"/>
        </w:trPr>
        <w:tc>
          <w:tcPr>
            <w:tcW w:w="5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2011</w:t>
            </w:r>
          </w:p>
        </w:tc>
      </w:tr>
      <w:tr>
        <w:trPr>
          <w:trHeight w:val="33"/>
        </w:trPr>
        <w:tc>
          <w:tcPr>
            <w:tcW w:w="50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r>
      <w:tr>
        <w:trPr>
          <w:trHeight w:val="243"/>
        </w:trPr>
        <w:tc>
          <w:tcPr>
            <w:tcW w:w="500" w:type="dxa"/>
            <w:vAlign w:val="bottom"/>
          </w:tcPr>
          <w:p>
            <w:pPr>
              <w:spacing w:after="0"/>
              <w:rPr>
                <w:sz w:val="21"/>
                <w:szCs w:val="21"/>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50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00" w:type="dxa"/>
            <w:vAlign w:val="bottom"/>
          </w:tcPr>
          <w:p>
            <w:pPr>
              <w:spacing w:after="0"/>
              <w:rPr>
                <w:sz w:val="22"/>
                <w:szCs w:val="22"/>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r>
      <w:tr>
        <w:trPr>
          <w:trHeight w:val="20"/>
        </w:trPr>
        <w:tc>
          <w:tcPr>
            <w:tcW w:w="5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difference between the income tax provision from continuing operations computed at the statutory federal income tax rate and the financial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summarized as follows (in millions):</w:t>
      </w:r>
    </w:p>
    <w:p>
      <w:pPr>
        <w:spacing w:after="0" w:line="171"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380" w:type="dxa"/>
            <w:vAlign w:val="bottom"/>
            <w:gridSpan w:val="7"/>
          </w:tcPr>
          <w:p>
            <w:pPr>
              <w:jc w:val="right"/>
              <w:ind w:right="173"/>
              <w:spacing w:after="0"/>
              <w:rPr>
                <w:sz w:val="20"/>
                <w:szCs w:val="20"/>
                <w:color w:val="auto"/>
              </w:rPr>
            </w:pPr>
            <w:r>
              <w:rPr>
                <w:rFonts w:ascii="Arial" w:cs="Arial" w:eastAsia="Arial" w:hAnsi="Arial"/>
                <w:sz w:val="16"/>
                <w:szCs w:val="16"/>
                <w:b w:val="1"/>
                <w:bCs w:val="1"/>
                <w:color w:val="auto"/>
              </w:rPr>
              <w:t>For the Years Ended December 31,</w:t>
            </w:r>
          </w:p>
        </w:tc>
        <w:tc>
          <w:tcPr>
            <w:tcW w:w="440" w:type="dxa"/>
            <w:vAlign w:val="bottom"/>
          </w:tcPr>
          <w:p>
            <w:pPr>
              <w:spacing w:after="0"/>
              <w:rPr>
                <w:sz w:val="18"/>
                <w:szCs w:val="18"/>
                <w:color w:val="auto"/>
              </w:rPr>
            </w:pPr>
          </w:p>
        </w:tc>
      </w:tr>
      <w:tr>
        <w:trPr>
          <w:trHeight w:val="33"/>
        </w:trPr>
        <w:tc>
          <w:tcPr>
            <w:tcW w:w="6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6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Pr>
          <w:p>
            <w:pPr>
              <w:spacing w:after="0"/>
              <w:rPr>
                <w:sz w:val="20"/>
                <w:szCs w:val="20"/>
                <w:color w:val="auto"/>
              </w:rPr>
            </w:pPr>
          </w:p>
        </w:tc>
      </w:tr>
      <w:tr>
        <w:trPr>
          <w:trHeight w:val="33"/>
        </w:trPr>
        <w:tc>
          <w:tcPr>
            <w:tcW w:w="6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the U.S. statutory rate of 35%</w:t>
            </w:r>
          </w:p>
        </w:tc>
        <w:tc>
          <w:tcPr>
            <w:tcW w:w="76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58.6</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Increase (reduction) in tax expense resulting from:</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 income tax, net of federal income tax benefit</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100" w:type="dxa"/>
            <w:vAlign w:val="bottom"/>
          </w:tcPr>
          <w:p>
            <w:pPr>
              <w:ind w:left="260"/>
              <w:spacing w:after="0"/>
              <w:rPr>
                <w:sz w:val="20"/>
                <w:szCs w:val="20"/>
                <w:color w:val="auto"/>
              </w:rPr>
            </w:pPr>
            <w:r>
              <w:rPr>
                <w:rFonts w:ascii="Arial" w:cs="Arial" w:eastAsia="Arial" w:hAnsi="Arial"/>
                <w:sz w:val="18"/>
                <w:szCs w:val="18"/>
                <w:color w:val="auto"/>
              </w:rPr>
              <w:t>Other permanent items</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tax credit</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6100" w:type="dxa"/>
            <w:vAlign w:val="bottom"/>
          </w:tcPr>
          <w:p>
            <w:pPr>
              <w:ind w:left="260"/>
              <w:spacing w:after="0"/>
              <w:rPr>
                <w:sz w:val="20"/>
                <w:szCs w:val="20"/>
                <w:color w:val="auto"/>
              </w:rPr>
            </w:pPr>
            <w:r>
              <w:rPr>
                <w:rFonts w:ascii="Arial" w:cs="Arial" w:eastAsia="Arial" w:hAnsi="Arial"/>
                <w:sz w:val="18"/>
                <w:szCs w:val="18"/>
                <w:color w:val="auto"/>
              </w:rPr>
              <w:t>Change in unrecognized tax benefits</w:t>
            </w:r>
          </w:p>
        </w:tc>
        <w:tc>
          <w:tcPr>
            <w:tcW w:w="7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valuation allowance</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100" w:type="dxa"/>
            <w:vAlign w:val="bottom"/>
          </w:tcPr>
          <w:p>
            <w:pPr>
              <w:ind w:left="260"/>
              <w:spacing w:after="0"/>
              <w:rPr>
                <w:sz w:val="20"/>
                <w:szCs w:val="20"/>
                <w:color w:val="auto"/>
              </w:rPr>
            </w:pPr>
            <w:r>
              <w:rPr>
                <w:rFonts w:ascii="Arial" w:cs="Arial" w:eastAsia="Arial" w:hAnsi="Arial"/>
                <w:sz w:val="18"/>
                <w:szCs w:val="18"/>
                <w:color w:val="auto"/>
              </w:rPr>
              <w:t>Foreign taxes at rates other than 35% and miscellaneous other</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66.7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55.8</w:t>
            </w:r>
          </w:p>
        </w:tc>
      </w:tr>
      <w:tr>
        <w:trPr>
          <w:trHeight w:val="20"/>
        </w:trPr>
        <w:tc>
          <w:tcPr>
            <w:tcW w:w="6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Deferred income taxes reflect the tax consequences on future years of temporary differences between the tax basis of assets and liabilities and their financial reporting basis and are reflected as current or non-current depending on the classification of the asset or liability generating the deferred tax. The deferred tax provision for the periods shown represents the effect of changes in the amounts of temporary differences during those periods.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80" w:right="239" w:bottom="1440" w:gutter="0" w:footer="0" w:header="0"/>
          <w:type w:val="continuous"/>
        </w:sectPr>
      </w:pPr>
    </w:p>
    <w:bookmarkStart w:id="51" w:name="page52"/>
    <w:bookmarkEnd w:id="51"/>
    <w:p>
      <w:pPr>
        <w:ind w:left="260"/>
        <w:spacing w:after="0"/>
        <w:rPr>
          <w:sz w:val="20"/>
          <w:szCs w:val="20"/>
          <w:color w:val="auto"/>
        </w:rPr>
      </w:pPr>
      <w:r>
        <w:rPr>
          <w:rFonts w:ascii="Arial" w:cs="Arial" w:eastAsia="Arial" w:hAnsi="Arial"/>
          <w:sz w:val="18"/>
          <w:szCs w:val="18"/>
          <w:color w:val="auto"/>
        </w:rPr>
        <w:t>Deferred tax assets (liabilities) were comprised of the following (in millions):</w:t>
      </w:r>
    </w:p>
    <w:p>
      <w:pPr>
        <w:spacing w:after="0" w:line="200" w:lineRule="exact"/>
        <w:rPr>
          <w:sz w:val="20"/>
          <w:szCs w:val="20"/>
          <w:color w:val="auto"/>
        </w:rPr>
      </w:pPr>
    </w:p>
    <w:p>
      <w:pPr>
        <w:spacing w:after="0" w:line="201"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6"/>
                <w:szCs w:val="16"/>
                <w:b w:val="1"/>
                <w:bCs w:val="1"/>
                <w:color w:val="auto"/>
              </w:rPr>
              <w:t>2012</w:t>
            </w:r>
          </w:p>
        </w:tc>
      </w:tr>
      <w:tr>
        <w:trPr>
          <w:trHeight w:val="33"/>
        </w:trPr>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Warranties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carryforwards (foreign, U.S. and state)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Post-retirement and pension benefits</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reserves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Receivables allowance</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Legal Reserves</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credits, net of federal effect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deferred tax assets, net of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Gross deferred tax liabilities: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700" w:type="dxa"/>
            <w:vAlign w:val="bottom"/>
          </w:tcPr>
          <w:p>
            <w:pPr>
              <w:ind w:left="26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6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of December 31, 2013 and 2012, we had $5.0 million and $0.7 million in tax-effected state net operating loss carryforwards, respectively, and $21.8 million and $19.4 million in tax-effected foreign net operating loss carryforwards, respectively. The state and foreign net operating loss carryforwards begin expiring in 2014. The deferred tax asset valuation allowance relates primarily to the operating loss carryforwards in various states in the U.S., European and Asian tax jurisdictions. The remainder of the valuation allowance relates to state tax credits which begin to expire in 2014.</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 allowances, as of December 31, 2013.</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realize the net deferred tax asset, we will need to generate future foreign taxable income of approximately $84.5 million during the periods in which those temporary differences become deductible. We do not need to generate additional U.S. federal income as we have sufficient carryback capacity to fully realize the federal deferred tax asset. U.S. taxable income for the years ended December 31, 2013 and 2012 was $194.1 million and $59.3 million, respectively.</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No provision was made for income taxes which may become payable upon distribution of our foreign subsidiaries' earnings. It is not practicable to estimate the amount of tax that might be payable because our intent is to permanently reinvest these earnings or to repatriate earnings when it is tax effective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2" w:name="page53"/>
    <w:bookmarkEnd w:id="52"/>
    <w:tbl>
      <w:tblPr>
        <w:tblLayout w:type="fixed"/>
        <w:tblInd w:w="260" w:type="dxa"/>
        <w:tblCellMar>
          <w:top w:w="0" w:type="dxa"/>
          <w:left w:w="0" w:type="dxa"/>
          <w:bottom w:w="0" w:type="dxa"/>
          <w:right w:w="0" w:type="dxa"/>
        </w:tblCellMar>
      </w:tblP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millions):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51"/>
        </w:trPr>
        <w:tc>
          <w:tcPr>
            <w:tcW w:w="7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2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2011</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2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Increases related to prior year tax positions</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7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Decreases related to prior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2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Increases related to current year tax positions</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2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2012</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2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Increases related to prior year tax positions</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7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Decreases related to prior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2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Increases related to current year tax positions</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2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2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2013</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7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the balance of unrecognized tax benefits as of December 31, 2013 are potential benefits of $1.4 million that, if recognized, would affect the effective tax rate on income from continuing operations. As of December 31, 2013, we recognized $0.2 million (net of federal tax benefits) in interest and penalties in income tax expense.</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currently under examination for our U.S. federal income taxes for 2014 and 2013 and are subject to examination by numerous other taxing authorities in the U.S. and in jurisdictions such as Australia, Belgium, France, Canada, and Germany. We are generally no longer subject to U.S. federal, state and local, or non-U.S. income tax examinations by taxing authorities for years before 2008.</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January 1, 2013, numerous states, including New Mexico, North Carolina, North Dakota, Minnesota, Oregon, Texas and West Virginia enacted legislation effective for tax years beginning on or after January 1, 2013, including changes to rates and apportionment methods. The impact of these changes is immaterial.</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January 2, 2013, the American Taxpayer Relief Act of 2012 was enacted which retroactively reinstated and extended the Federal Research and Development Tax Credit (Federal R&amp;D Tax Credit) from January 1, 2012 to December 31, 2013, in addition to other extenders. As a result, the Company's income tax provision for 2013 includes a tax benefit of $0.2 million that reduced the annual effective income tax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We lease certain real and personal property under non-cancelable operating leases. Some of our lease agreements contain rent escalation clauses (including index-based escalations), rent holidays, capital improvement funding or other lease concessions. We recognize our minimum rental expense on a straight-line basis. We amortize this expense over the term of the lease beginning with the date of initial possession, which is the date we enter the leased space and begin to make improvements in preparation for its intended use.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annual minimum lease payments and capital lease commitments as of December 31, 2013 were as follows (in millions):</w:t>
      </w:r>
    </w:p>
    <w:p>
      <w:pPr>
        <w:spacing w:after="0" w:line="388"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Operating</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Leases</w:t>
            </w: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Capital Leases</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line="20" w:lineRule="exact"/>
              <w:rPr>
                <w:sz w:val="1"/>
                <w:szCs w:val="1"/>
                <w:color w:val="auto"/>
              </w:rPr>
            </w:pPr>
          </w:p>
        </w:tc>
      </w:tr>
      <w:tr>
        <w:trPr>
          <w:trHeight w:val="230"/>
        </w:trPr>
        <w:tc>
          <w:tcPr>
            <w:tcW w:w="7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payments</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84" w:right="239" w:bottom="1440" w:gutter="0" w:footer="0" w:header="0"/>
          <w:type w:val="continuous"/>
        </w:sectPr>
      </w:pPr>
    </w:p>
    <w:bookmarkStart w:id="53" w:name="page54"/>
    <w:bookmarkEnd w:id="53"/>
    <w:p>
      <w:pPr>
        <w:jc w:val="both"/>
        <w:ind w:firstLine="243"/>
        <w:spacing w:after="0" w:line="254" w:lineRule="auto"/>
        <w:rPr>
          <w:sz w:val="20"/>
          <w:szCs w:val="20"/>
          <w:color w:val="auto"/>
        </w:rPr>
      </w:pPr>
      <w:r>
        <w:rPr>
          <w:rFonts w:ascii="Arial" w:cs="Arial" w:eastAsia="Arial" w:hAnsi="Arial"/>
          <w:sz w:val="18"/>
          <w:szCs w:val="18"/>
          <w:color w:val="auto"/>
        </w:rPr>
        <w:t>On March 22, 2013, we entered into an agreement with a financial institution to renew the lease of our corporate headquarters in Richardson, Texas for a term of approximately six years through March 1, 2019 (the “Lake Park Renewal”). The leased property consists of an office building of approximately 192,000 square feet, land and related improvements. During the lease term, the Lake Park Renewal requires us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we must pay any such deficit to the financial institution. Any such deficit payment cannot exceed 86% of the lease balance. The Lake Park Renewal is classified as an operating lease and its future annual minimum lease payments are included in the table above.</w:t>
      </w:r>
    </w:p>
    <w:p>
      <w:pPr>
        <w:spacing w:after="0" w:line="19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obligations under the Lake Park Lease are secured by a pledge of our interest in the leased property. The Lake Park Renewal contains customary lease covenants and events of default as well as events of default if (i) indebtedness of $75 million or more is not paid when due, (ii) there is a change of control or</w:t>
      </w:r>
    </w:p>
    <w:p>
      <w:pPr>
        <w:ind w:right="20" w:firstLine="8"/>
        <w:spacing w:after="0" w:line="261" w:lineRule="auto"/>
        <w:tabs>
          <w:tab w:leader="none" w:pos="3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comply with certain covenants incorporated from our Fourth Amended and Restated Revolving Credit Facility Agreement. We were in compliance with these financial covenants as of December 31,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reserves are included in the following captions on the accompanying Consolidated Balance Sheets (in millions):</w:t>
      </w:r>
    </w:p>
    <w:p>
      <w:pPr>
        <w:spacing w:after="0" w:line="131"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3"/>
          </w:tcPr>
          <w:p>
            <w:pPr>
              <w:jc w:val="right"/>
              <w:ind w:right="373"/>
              <w:spacing w:after="0"/>
              <w:rPr>
                <w:sz w:val="20"/>
                <w:szCs w:val="20"/>
                <w:color w:val="auto"/>
              </w:rPr>
            </w:pPr>
            <w:r>
              <w:rPr>
                <w:rFonts w:ascii="Arial" w:cs="Arial" w:eastAsia="Arial" w:hAnsi="Arial"/>
                <w:sz w:val="16"/>
                <w:szCs w:val="16"/>
                <w:b w:val="1"/>
                <w:bCs w:val="1"/>
                <w:color w:val="auto"/>
                <w:w w:val="88"/>
              </w:rPr>
              <w:t>As of December 31,</w:t>
            </w:r>
          </w:p>
        </w:tc>
        <w:tc>
          <w:tcPr>
            <w:tcW w:w="440" w:type="dxa"/>
            <w:vAlign w:val="bottom"/>
          </w:tcPr>
          <w:p>
            <w:pPr>
              <w:spacing w:after="0"/>
              <w:rPr>
                <w:sz w:val="18"/>
                <w:szCs w:val="18"/>
                <w:color w:val="auto"/>
              </w:rPr>
            </w:pPr>
          </w:p>
        </w:tc>
      </w:tr>
      <w:tr>
        <w:trPr>
          <w:trHeight w:val="33"/>
        </w:trPr>
        <w:tc>
          <w:tcPr>
            <w:tcW w:w="6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6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b w:val="1"/>
                <w:bCs w:val="1"/>
                <w:color w:val="auto"/>
              </w:rPr>
              <w:t>2012</w:t>
            </w:r>
          </w:p>
        </w:tc>
        <w:tc>
          <w:tcPr>
            <w:tcW w:w="440" w:type="dxa"/>
            <w:vAlign w:val="bottom"/>
          </w:tcPr>
          <w:p>
            <w:pPr>
              <w:spacing w:after="0"/>
              <w:rPr>
                <w:sz w:val="20"/>
                <w:szCs w:val="20"/>
                <w:color w:val="auto"/>
              </w:rPr>
            </w:pPr>
          </w:p>
        </w:tc>
      </w:tr>
      <w:tr>
        <w:trPr>
          <w:trHeight w:val="33"/>
        </w:trPr>
        <w:tc>
          <w:tcPr>
            <w:tcW w:w="6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environmental reserves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Future environmental costs are estimates and may be subject to change due to changes in environmental remediation regulations, technology or site-specific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 an adverse effect on our results of operations. In addition, warranty claims and certain product liability claims are not covered by our product liability insurance.</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product warranty liabilities related to continuing operations are included in the following captions on the accompanying Consolidated Balance Sheets (in millions):</w:t>
      </w:r>
    </w:p>
    <w:p>
      <w:pPr>
        <w:spacing w:after="0" w:line="130"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88"/>
              </w:rPr>
              <w:t>As of December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p>
        </w:tc>
        <w:tc>
          <w:tcPr>
            <w:tcW w:w="3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rPr>
              <w:t>2012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6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warranty liabilities</w:t>
            </w:r>
          </w:p>
        </w:tc>
        <w:tc>
          <w:tcPr>
            <w:tcW w:w="346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312"/>
              <w:spacing w:after="0"/>
              <w:rPr>
                <w:sz w:val="20"/>
                <w:szCs w:val="20"/>
                <w:color w:val="auto"/>
              </w:rPr>
            </w:pPr>
            <w:r>
              <w:rPr>
                <w:rFonts w:ascii="Arial" w:cs="Arial" w:eastAsia="Arial" w:hAnsi="Arial"/>
                <w:sz w:val="18"/>
                <w:szCs w:val="18"/>
                <w:color w:val="auto"/>
              </w:rPr>
              <w:t>51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4" w:name="page55"/>
    <w:bookmarkEnd w:id="54"/>
    <w:p>
      <w:pPr>
        <w:ind w:left="260"/>
        <w:spacing w:after="0"/>
        <w:rPr>
          <w:sz w:val="20"/>
          <w:szCs w:val="20"/>
          <w:color w:val="auto"/>
        </w:rPr>
      </w:pPr>
      <w:r>
        <w:rPr>
          <w:rFonts w:ascii="Arial" w:cs="Arial" w:eastAsia="Arial" w:hAnsi="Arial"/>
          <w:sz w:val="16"/>
          <w:szCs w:val="16"/>
          <w:color w:val="auto"/>
        </w:rPr>
        <w:t>The changes in product warranty liabilities related to continuing operations for the years ended December 31, 2013 and 2012 were as follows (in millions):</w:t>
      </w:r>
    </w:p>
    <w:p>
      <w:pPr>
        <w:spacing w:after="0" w:line="181" w:lineRule="exact"/>
        <w:rPr>
          <w:sz w:val="20"/>
          <w:szCs w:val="20"/>
          <w:color w:val="auto"/>
        </w:rPr>
      </w:pPr>
    </w:p>
    <w:tbl>
      <w:tblPr>
        <w:tblLayout w:type="fixed"/>
        <w:tblInd w:w="142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December 31, 2011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68.3</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Payments made in 2012</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7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7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foreign currency translation rates and other</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Total warranty liability as of December 31, 2012</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71.9</w:t>
            </w:r>
          </w:p>
        </w:tc>
      </w:tr>
      <w:tr>
        <w:trPr>
          <w:trHeight w:val="27"/>
        </w:trPr>
        <w:tc>
          <w:tcPr>
            <w:tcW w:w="7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made in 2013</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7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Changes in foreign currency translation rates and other</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December 31, 2013</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may also incur costs related to our products that may not be covered under our warranties and are not covered by insurance, and, from time to time, we may repair or replace installed products experiencing quality issues in order to satisfy our customers and to protect our brand. We have non-warranty product quality issues we believe resulted from vendor supplied materials, including a heating and cooling product line produced in 2006 and 2007 and a refrigerant product quality issue. The expenses related to these product quality issues were classified in Cost of goods sold in the Consolidated Statements of Operations and the related liabilities are included in Accrued expenses in the Consolidated Balance Sheets. The liabilities for these product quality issues are not included in the above tables related to our estimated warranty liabilities. We may incur additional charges in the future as more information becomes available.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changes in the accrued product quality issues for the years ended December 31, 2013 and 2012 were as follows (in millions):</w:t>
      </w:r>
    </w:p>
    <w:p>
      <w:pPr>
        <w:spacing w:after="0" w:line="200" w:lineRule="exact"/>
        <w:rPr>
          <w:sz w:val="20"/>
          <w:szCs w:val="20"/>
          <w:color w:val="auto"/>
        </w:rPr>
      </w:pPr>
    </w:p>
    <w:p>
      <w:pPr>
        <w:spacing w:after="0" w:line="283" w:lineRule="exact"/>
        <w:rPr>
          <w:sz w:val="20"/>
          <w:szCs w:val="20"/>
          <w:color w:val="auto"/>
        </w:rPr>
      </w:pPr>
    </w:p>
    <w:tbl>
      <w:tblPr>
        <w:tblLayout w:type="fixed"/>
        <w:tblInd w:w="142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product quality issues as of December 31, 2011</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5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quality claims</w:t>
            </w: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Total accrued product quality issues as of December 31, 2012</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w:t>
            </w:r>
          </w:p>
        </w:tc>
      </w:tr>
      <w:tr>
        <w:trPr>
          <w:trHeight w:val="27"/>
        </w:trPr>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Product quality claims</w:t>
            </w: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product quality issues as of December 31, 2013</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 Insurance</w:t>
      </w:r>
    </w:p>
    <w:p>
      <w:pPr>
        <w:spacing w:after="0" w:line="22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 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17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maintain safety and manufacturing programs that are designed to remove risk, improve the effectiveness of our business processes and reduce the likelihood and significance of our various retained and insured risks. In recent years, our actual claims experience has collectively trended favorably and, as a result, both self-insurance expense and the related liability have decreased.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5" w:name="page56"/>
    <w:bookmarkEnd w:id="55"/>
    <w:p>
      <w:pPr>
        <w:ind w:left="240"/>
        <w:spacing w:after="0"/>
        <w:rPr>
          <w:sz w:val="20"/>
          <w:szCs w:val="20"/>
          <w:color w:val="auto"/>
        </w:rPr>
      </w:pPr>
      <w:r>
        <w:rPr>
          <w:rFonts w:ascii="Arial" w:cs="Arial" w:eastAsia="Arial" w:hAnsi="Arial"/>
          <w:sz w:val="18"/>
          <w:szCs w:val="18"/>
          <w:color w:val="auto"/>
        </w:rPr>
        <w:t>Total self-insurance liabilities were included in the following captions on the accompanying Consolidated Balance Sheets (in millions):</w:t>
      </w:r>
    </w:p>
    <w:p>
      <w:pPr>
        <w:spacing w:after="0" w:line="185"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88"/>
              </w:rPr>
              <w:t>As of December 31,</w:t>
            </w:r>
          </w:p>
        </w:tc>
        <w:tc>
          <w:tcPr>
            <w:tcW w:w="480" w:type="dxa"/>
            <w:vAlign w:val="bottom"/>
          </w:tcPr>
          <w:p>
            <w:pPr>
              <w:spacing w:after="0"/>
              <w:rPr>
                <w:sz w:val="18"/>
                <w:szCs w:val="18"/>
                <w:color w:val="auto"/>
              </w:rPr>
            </w:pPr>
          </w:p>
        </w:tc>
      </w:tr>
      <w:tr>
        <w:trPr>
          <w:trHeight w:val="33"/>
        </w:trPr>
        <w:tc>
          <w:tcPr>
            <w:tcW w:w="6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6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rPr>
              <w:t>2012</w:t>
            </w:r>
          </w:p>
        </w:tc>
        <w:tc>
          <w:tcPr>
            <w:tcW w:w="480" w:type="dxa"/>
            <w:vAlign w:val="bottom"/>
          </w:tcPr>
          <w:p>
            <w:pPr>
              <w:spacing w:after="0"/>
              <w:rPr>
                <w:sz w:val="20"/>
                <w:szCs w:val="20"/>
                <w:color w:val="auto"/>
              </w:rPr>
            </w:pPr>
          </w:p>
        </w:tc>
      </w:tr>
      <w:tr>
        <w:trPr>
          <w:trHeight w:val="33"/>
        </w:trPr>
        <w:tc>
          <w:tcPr>
            <w:tcW w:w="6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6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self-insurance liabilities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0"/>
        </w:trPr>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8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vary depending on several factors, and are subject to policy limits, so we may have greater financial exposure for future settlements and judgments. For the year ended December 31, 2013, we recorded expense of $6.7 million, net of probable insurance recoveries, for known and future asbestos-related litigation.</w:t>
      </w:r>
    </w:p>
    <w:p>
      <w:pPr>
        <w:spacing w:after="0" w:line="167"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We are also involved in patent litigation claims related to products from an acquired business. The Company has indemnification protection, with certain limitations, for these claims. Costs related to this and all other non-asbestos matters were not material to the results of operations for the periods presented.</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in a future period.</w:t>
      </w:r>
    </w:p>
    <w:p>
      <w:pPr>
        <w:spacing w:after="0" w:line="17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 and Financing Arrangements: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summarize our outstanding debt obligations and the classification in the accompanying Consolidated Balance Sheets (in millions):</w:t>
      </w:r>
    </w:p>
    <w:p>
      <w:pPr>
        <w:spacing w:after="0" w:line="208" w:lineRule="exact"/>
        <w:rPr>
          <w:sz w:val="20"/>
          <w:szCs w:val="20"/>
          <w:color w:val="auto"/>
        </w:rPr>
      </w:pPr>
    </w:p>
    <w:tbl>
      <w:tblPr>
        <w:tblLayout w:type="fixed"/>
        <w:tblInd w:w="154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80" w:type="dxa"/>
            <w:vAlign w:val="bottom"/>
            <w:gridSpan w:val="4"/>
          </w:tcPr>
          <w:p>
            <w:pPr>
              <w:jc w:val="right"/>
              <w:ind w:right="171"/>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1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Asset Securitization Program</w:t>
            </w:r>
          </w:p>
        </w:tc>
        <w:tc>
          <w:tcPr>
            <w:tcW w:w="28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160.0</w:t>
            </w:r>
          </w:p>
        </w:tc>
        <w:tc>
          <w:tcPr>
            <w:tcW w:w="160" w:type="dxa"/>
            <w:vAlign w:val="bottom"/>
          </w:tcPr>
          <w:p>
            <w:pPr>
              <w:spacing w:after="0"/>
              <w:rPr>
                <w:sz w:val="21"/>
                <w:szCs w:val="21"/>
                <w:color w:val="auto"/>
              </w:rPr>
            </w:pPr>
          </w:p>
        </w:tc>
        <w:tc>
          <w:tcPr>
            <w:tcW w:w="860" w:type="dxa"/>
            <w:vAlign w:val="bottom"/>
          </w:tcPr>
          <w:p>
            <w:pPr>
              <w:jc w:val="right"/>
              <w:ind w:right="65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obligations</w:t>
            </w:r>
          </w:p>
        </w:tc>
        <w:tc>
          <w:tcPr>
            <w:tcW w:w="19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1980" w:type="dxa"/>
            <w:vAlign w:val="bottom"/>
          </w:tcPr>
          <w:p>
            <w:pPr>
              <w:spacing w:after="0"/>
              <w:rPr>
                <w:sz w:val="20"/>
                <w:szCs w:val="20"/>
                <w:color w:val="auto"/>
              </w:rPr>
            </w:pPr>
          </w:p>
        </w:tc>
        <w:tc>
          <w:tcPr>
            <w:tcW w:w="860" w:type="dxa"/>
            <w:vAlign w:val="bottom"/>
            <w:tcBorders>
              <w:top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165.9</w:t>
            </w: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maturities of long-term debt:</w:t>
            </w:r>
          </w:p>
        </w:tc>
        <w:tc>
          <w:tcPr>
            <w:tcW w:w="1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28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c>
          <w:tcPr>
            <w:tcW w:w="860" w:type="dxa"/>
            <w:vAlign w:val="bottom"/>
          </w:tcPr>
          <w:p>
            <w:pPr>
              <w:jc w:val="right"/>
              <w:ind w:right="65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28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1"/>
                <w:szCs w:val="21"/>
                <w:color w:val="auto"/>
              </w:rPr>
            </w:pPr>
          </w:p>
        </w:tc>
        <w:tc>
          <w:tcPr>
            <w:tcW w:w="860" w:type="dxa"/>
            <w:vAlign w:val="bottom"/>
          </w:tcPr>
          <w:p>
            <w:pPr>
              <w:jc w:val="right"/>
              <w:ind w:right="65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revolving credit facility</w:t>
            </w:r>
          </w:p>
        </w:tc>
        <w:tc>
          <w:tcPr>
            <w:tcW w:w="1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135.0</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1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200.0</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9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233.2</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351.0</w:t>
            </w:r>
          </w:p>
        </w:tc>
        <w:tc>
          <w:tcPr>
            <w:tcW w:w="0" w:type="dxa"/>
            <w:vAlign w:val="bottom"/>
          </w:tcPr>
          <w:p>
            <w:pPr>
              <w:spacing w:after="0"/>
              <w:rPr>
                <w:sz w:val="1"/>
                <w:szCs w:val="1"/>
                <w:color w:val="auto"/>
              </w:rPr>
            </w:pPr>
          </w:p>
        </w:tc>
      </w:tr>
      <w:tr>
        <w:trPr>
          <w:trHeight w:val="237"/>
        </w:trPr>
        <w:tc>
          <w:tcPr>
            <w:tcW w:w="350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1980" w:type="dxa"/>
            <w:vAlign w:val="bottom"/>
          </w:tcPr>
          <w:p>
            <w:pPr>
              <w:spacing w:after="0"/>
              <w:rPr>
                <w:sz w:val="20"/>
                <w:szCs w:val="20"/>
                <w:color w:val="auto"/>
              </w:rPr>
            </w:pPr>
          </w:p>
        </w:tc>
        <w:tc>
          <w:tcPr>
            <w:tcW w:w="860" w:type="dxa"/>
            <w:vAlign w:val="bottom"/>
            <w:tcBorders>
              <w:top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400.4</w:t>
            </w: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386.6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980" w:type="dxa"/>
            <w:vAlign w:val="bottom"/>
            <w:vMerge w:val="restart"/>
          </w:tcPr>
          <w:p>
            <w:pPr>
              <w:jc w:val="right"/>
              <w:ind w:right="1132"/>
              <w:spacing w:after="0"/>
              <w:rPr>
                <w:sz w:val="20"/>
                <w:szCs w:val="20"/>
                <w:color w:val="auto"/>
              </w:rPr>
            </w:pPr>
            <w:r>
              <w:rPr>
                <w:rFonts w:ascii="Arial" w:cs="Arial" w:eastAsia="Arial" w:hAnsi="Arial"/>
                <w:sz w:val="18"/>
                <w:szCs w:val="18"/>
                <w:color w:val="auto"/>
              </w:rPr>
              <w:t>53</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color w:val="auto"/>
        </w:rPr>
        <w:t>As of December 31, 2013, the aggregate amounts of required principal payments on total debt were as follows (in millions):</w:t>
      </w:r>
    </w:p>
    <w:p>
      <w:pPr>
        <w:spacing w:after="0" w:line="375"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2015</w:t>
            </w:r>
          </w:p>
        </w:tc>
        <w:tc>
          <w:tcPr>
            <w:tcW w:w="3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2017</w:t>
            </w:r>
          </w:p>
        </w:tc>
        <w:tc>
          <w:tcPr>
            <w:tcW w:w="3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4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Through several of our foreign subsidiaries, we have available to us facilities to assist in financing seasonal borrowing needs for our foreign locations. We had $5.9 million and $4.9 million of foreign obligations as of December 31, 2013 and 2012, respectively, that were primarily borrowings under non-committed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Under the Asset Securitization Program (“ASP”), we are eligible to sell beneficial interests in a portion of our trade accounts receivable to participating financial institutions for cash. The ASP is subject to annual renewal and contains a provision whereby we retain the right to repurchase all of the outstanding beneficial interests transferred.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sold under the ASP. The fair values assigned to the retained and transferred interests are based on the sold accounts receivable carrying value given the short term to maturity and low credit risk. The sale of the beneficial interests in our trade accounts receivable are reflected as secured borrowings in the accompanying Consolidated Balance Sheets and proceeds received are included in cash flows from financing activities in the accompanying Consolidated Statements of Cash Flows.</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November 2013, we amended the ASP, extending its term to November 14, 2014 and increasing the maximum securitization amount from $160.0 million to a range of $160.0 million to $220.0 million, depending on the period. The maximum capacity under the ASP is the lesser of the maximum securitization amount or 100% of the net pool balance less reserves,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9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552"/>
              <w:spacing w:after="0"/>
              <w:rPr>
                <w:sz w:val="20"/>
                <w:szCs w:val="20"/>
                <w:color w:val="auto"/>
              </w:rPr>
            </w:pPr>
            <w:r>
              <w:rPr>
                <w:rFonts w:ascii="Arial" w:cs="Arial" w:eastAsia="Arial" w:hAnsi="Arial"/>
                <w:sz w:val="16"/>
                <w:szCs w:val="16"/>
                <w:b w:val="1"/>
                <w:bCs w:val="1"/>
                <w:color w:val="auto"/>
                <w:w w:val="84"/>
              </w:rPr>
              <w:t>2012</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9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Beneficial interest sold</w:t>
            </w:r>
          </w:p>
        </w:tc>
        <w:tc>
          <w:tcPr>
            <w:tcW w:w="9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amount available</w:t>
            </w:r>
          </w:p>
        </w:tc>
        <w:tc>
          <w:tcPr>
            <w:tcW w:w="9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0.60%. The average rates as of December 31, 2013 and 2012 were 0.78% and 0.85%, respectively. The unused fee is based on 101% of the maximum available amount less the beneficial interest sold and calculated at a 0.30% fixed rate throughout the term of the agreement. In addition, a 0.05% unused fee is charged on incremental available amounts above $160 million during certain months of the year. We recorded these fees in Interest expense, net in the accompanying Consolidated Statements of Operations.</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Fourth Amended and Restated Revolving Credit Facility Agreement ("Domestic Revolving Credit Facility"), senior unsecured notes and any other indebtedness we may have over $75.0 million. The administrative agent under the ASP is also a participant in our Domestic Revolving Credit Facility. The participating financial institutions have investment grade credit ratings.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We continue to evaluate their credit ratings and have no reason to believe they will not perform under the ASP. As of December 31, 2013, we were in compliance with all covenant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Revolving Credit Facility</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our $650 million Domestic Revolving Credit Facility, we had outstanding borrowings of $17.0 million as well as $59.5 million committed to standby letters of credit as of December 31, 2013. Subject to covenant limitations, $599.5 million was available for future borrowings. This Domestic Revolving Credit Facility provides for issuance of letters of credit for the full amount of the credit facility and matures in October 2016. Additionally, at our request and subject to certain conditions, the commitments under the Domestic Revolving Credit Facility may be increased by a maximum of $100 million as long as existing or new lenders agree to provide such additional commitments.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185"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37465</wp:posOffset>
            </wp:positionV>
            <wp:extent cx="17494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2012</w:t>
            </w:r>
          </w:p>
        </w:tc>
      </w:tr>
      <w:tr>
        <w:trPr>
          <w:trHeight w:val="33"/>
        </w:trPr>
        <w:tc>
          <w:tcPr>
            <w:tcW w:w="8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 rate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86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Domestic Revolving Credit Facility is guaranteed by certain of our subsidiaries and contains financial covenants relating to leverage and interest coverage. Other covenants contained in the Domestic Revolving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Revolving Credit Facility are detailed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Flow to Net Interest Expense Ratio no less than</w:t>
            </w:r>
          </w:p>
        </w:tc>
        <w:tc>
          <w:tcPr>
            <w:tcW w:w="34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7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Domestic Revolving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Revolving Credit Facility could occur if:</w:t>
      </w:r>
    </w:p>
    <w:p>
      <w:pPr>
        <w:spacing w:after="0" w:line="73"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Each of our major debt agreements contains provisions by which a default under one agreement causes a default in the others (a cross default). If a cross default under the Domestic Revolving Credit Facility, our senior unsecured notes, the Lake Park Renewal or our ASP were to occur, it could have a wider impact on our liquidity than might otherwise occur from a default of a single debt instrument or lease commitment.</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Revolving Credit Facility and accelerate amounts due under our Domestic Revolving Credit Facility (except for a bankruptcy event of default, in which case such amounts will automatically become due and payable and the lenders’ commitments will automatically terminate). As of December 31, 2013,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issued $200.0 million of senior unsecured notes in May 2010 through a public offering. Interest is paid semiannually on May 15 and November 15 at a fixed interest rate of 4.90% per annum. These notes mature on May 15, 2017. The notes are guaranteed, on a senior unsecured basis, by each of our domestic subsidiaries that guarantee payment by us of any indebtedness under our Domestic Revolving Credit Facility. The indenture governing the notes contains covenants that, among other things, limit our ability and the ability of the subsidiary guarantors to: create or incur certain liens; enter into certain sale and leaseback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8" w:name="page59"/>
    <w:bookmarkEnd w:id="58"/>
    <w:p>
      <w:pPr>
        <w:jc w:val="both"/>
        <w:spacing w:after="0" w:line="286" w:lineRule="auto"/>
        <w:rPr>
          <w:sz w:val="20"/>
          <w:szCs w:val="20"/>
          <w:color w:val="auto"/>
        </w:rPr>
      </w:pPr>
      <w:r>
        <w:rPr>
          <w:rFonts w:ascii="Arial" w:cs="Arial" w:eastAsia="Arial" w:hAnsi="Arial"/>
          <w:sz w:val="17"/>
          <w:szCs w:val="17"/>
          <w:color w:val="auto"/>
        </w:rPr>
        <w:t>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 As of December 31, 2013, we were in compliance with all covenant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Over the past several years, we have frozen many of our defined benefit pension and profit sharing plans and replaced them with defined contribution plans. We have a liability for the benefits earned under these inactive plans prior to the date the benefits were frozen. Our defined contribution plans generally include both company and employee contributions which are based on predetermined percentages of compensation earned by the employee. We also have several active defined benefit plans that provide benefits based on years of service.</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freezing the benefits of our defined benefit pension plans, we have also eliminated nearly all of our post-retirement medical benefits. In 2012, we amended the post-retirement benefit plan to shift pre-65 medical coverage for the employees of our largest manufacturing plant so that by 2015, retirees would pay 100% of the cost of post-retirement medical coverage. This change resulted in a significant reduction in the projected benefit obligation for post-retirement medical benefits in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recorded the following expenses related to our contributions to the defined contribution plans (in millions):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gridSpan w:val="6"/>
          </w:tcPr>
          <w:p>
            <w:pPr>
              <w:ind w:left="40"/>
              <w:spacing w:after="0"/>
              <w:rPr>
                <w:sz w:val="20"/>
                <w:szCs w:val="20"/>
                <w:color w:val="auto"/>
              </w:rPr>
            </w:pPr>
            <w:r>
              <w:rPr>
                <w:rFonts w:ascii="Arial" w:cs="Arial" w:eastAsia="Arial" w:hAnsi="Arial"/>
                <w:sz w:val="16"/>
                <w:szCs w:val="16"/>
                <w:b w:val="1"/>
                <w:bCs w:val="1"/>
                <w:color w:val="auto"/>
                <w:w w:val="91"/>
              </w:rPr>
              <w:t>For the Years Ended December 31,</w:t>
            </w:r>
          </w:p>
        </w:tc>
        <w:tc>
          <w:tcPr>
            <w:tcW w:w="86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34"/>
              <w:spacing w:after="0"/>
              <w:rPr>
                <w:sz w:val="20"/>
                <w:szCs w:val="20"/>
                <w:color w:val="auto"/>
              </w:rPr>
            </w:pPr>
            <w:r>
              <w:rPr>
                <w:rFonts w:ascii="Arial" w:cs="Arial" w:eastAsia="Arial" w:hAnsi="Arial"/>
                <w:sz w:val="16"/>
                <w:szCs w:val="16"/>
                <w:b w:val="1"/>
                <w:bCs w:val="1"/>
                <w:color w:val="auto"/>
                <w:w w:val="89"/>
              </w:rPr>
              <w:t>2011</w:t>
            </w:r>
          </w:p>
        </w:tc>
      </w:tr>
      <w:tr>
        <w:trPr>
          <w:trHeight w:val="33"/>
        </w:trPr>
        <w:tc>
          <w:tcPr>
            <w:tcW w:w="67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7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Contributions to defined contribution plans </w:t>
            </w:r>
            <w:r>
              <w:rPr>
                <w:rFonts w:ascii="Arial" w:cs="Arial" w:eastAsia="Arial" w:hAnsi="Arial"/>
                <w:sz w:val="25"/>
                <w:szCs w:val="25"/>
                <w:color w:val="auto"/>
                <w:vertAlign w:val="superscript"/>
              </w:rPr>
              <w:t>(1)</w:t>
            </w: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r>
    </w:tbl>
    <w:p>
      <w:pPr>
        <w:spacing w:after="0" w:line="202" w:lineRule="exact"/>
        <w:rPr>
          <w:sz w:val="20"/>
          <w:szCs w:val="20"/>
          <w:color w:val="auto"/>
        </w:rPr>
      </w:pPr>
    </w:p>
    <w:p>
      <w:pPr>
        <w:ind w:left="660" w:hanging="247"/>
        <w:spacing w:after="0" w:line="227" w:lineRule="auto"/>
        <w:tabs>
          <w:tab w:leader="none" w:pos="609"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Contributions of $0.4 million, $2.0 million and $2.7 million were included in Loss from discontinued operations for the years ended December 31, 2013, 2012 and 2011,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tables set forth amounts recognized in our financial statements and the plans' funded status for our pension and post-retirement benefit plans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ind w:left="460"/>
              <w:spacing w:after="0"/>
              <w:rPr>
                <w:sz w:val="20"/>
                <w:szCs w:val="20"/>
                <w:color w:val="auto"/>
              </w:rPr>
            </w:pPr>
            <w:r>
              <w:rPr>
                <w:rFonts w:ascii="Arial" w:cs="Arial" w:eastAsia="Arial" w:hAnsi="Arial"/>
                <w:sz w:val="16"/>
                <w:szCs w:val="16"/>
                <w:b w:val="1"/>
                <w:bCs w:val="1"/>
                <w:color w:val="auto"/>
              </w:rPr>
              <w:t>Pension Benefits</w:t>
            </w:r>
          </w:p>
        </w:tc>
        <w:tc>
          <w:tcPr>
            <w:tcW w:w="120" w:type="dxa"/>
            <w:vAlign w:val="bottom"/>
          </w:tcPr>
          <w:p>
            <w:pPr>
              <w:spacing w:after="0"/>
              <w:rPr>
                <w:sz w:val="18"/>
                <w:szCs w:val="18"/>
                <w:color w:val="auto"/>
              </w:rPr>
            </w:pPr>
          </w:p>
        </w:tc>
        <w:tc>
          <w:tcPr>
            <w:tcW w:w="1720" w:type="dxa"/>
            <w:vAlign w:val="bottom"/>
            <w:gridSpan w:val="3"/>
          </w:tcPr>
          <w:p>
            <w:pPr>
              <w:ind w:left="700"/>
              <w:spacing w:after="0"/>
              <w:rPr>
                <w:sz w:val="20"/>
                <w:szCs w:val="20"/>
                <w:color w:val="auto"/>
              </w:rPr>
            </w:pPr>
            <w:r>
              <w:rPr>
                <w:rFonts w:ascii="Arial" w:cs="Arial" w:eastAsia="Arial" w:hAnsi="Arial"/>
                <w:sz w:val="16"/>
                <w:szCs w:val="16"/>
                <w:b w:val="1"/>
                <w:bCs w:val="1"/>
                <w:color w:val="auto"/>
                <w:w w:val="90"/>
              </w:rPr>
              <w:t>Other Benefits</w:t>
            </w:r>
          </w:p>
        </w:tc>
        <w:tc>
          <w:tcPr>
            <w:tcW w:w="7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371"/>
              <w:spacing w:after="0"/>
              <w:rPr>
                <w:sz w:val="20"/>
                <w:szCs w:val="20"/>
                <w:color w:val="auto"/>
              </w:rPr>
            </w:pPr>
            <w:r>
              <w:rPr>
                <w:rFonts w:ascii="Arial" w:cs="Arial" w:eastAsia="Arial" w:hAnsi="Arial"/>
                <w:sz w:val="16"/>
                <w:szCs w:val="16"/>
                <w:b w:val="1"/>
                <w:bCs w:val="1"/>
                <w:color w:val="auto"/>
                <w:w w:val="84"/>
              </w:rPr>
              <w:t>2012</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projected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413.9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participants'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Amendments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Divestiture</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Settlements and curtailments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318"/>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Actual gain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Employer contribution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participants'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Effect of exchange rates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Divestiture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Plan settlements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 net amount recognized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 consists of: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liability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69"/>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4"/>
          </w:tcPr>
          <w:p>
            <w:pPr>
              <w:jc w:val="right"/>
              <w:ind w:right="11"/>
              <w:spacing w:after="0"/>
              <w:rPr>
                <w:sz w:val="20"/>
                <w:szCs w:val="20"/>
                <w:color w:val="auto"/>
              </w:rPr>
            </w:pPr>
            <w:r>
              <w:rPr>
                <w:rFonts w:ascii="Arial" w:cs="Arial" w:eastAsia="Arial" w:hAnsi="Arial"/>
                <w:sz w:val="16"/>
                <w:szCs w:val="16"/>
                <w:b w:val="1"/>
                <w:bCs w:val="1"/>
                <w:color w:val="auto"/>
                <w:w w:val="90"/>
              </w:rPr>
              <w:t>For the Years Ended December 31,</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371"/>
              <w:spacing w:after="0"/>
              <w:rPr>
                <w:sz w:val="20"/>
                <w:szCs w:val="20"/>
                <w:color w:val="auto"/>
              </w:rPr>
            </w:pPr>
            <w:r>
              <w:rPr>
                <w:rFonts w:ascii="Arial" w:cs="Arial" w:eastAsia="Arial" w:hAnsi="Arial"/>
                <w:sz w:val="16"/>
                <w:szCs w:val="16"/>
                <w:b w:val="1"/>
                <w:bCs w:val="1"/>
                <w:color w:val="auto"/>
                <w:w w:val="84"/>
              </w:rPr>
              <w:t>2012</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Pension plans with a benefit obligation in excess of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413.2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276.1</w:t>
            </w:r>
          </w:p>
        </w:tc>
      </w:tr>
    </w:tbl>
    <w:p>
      <w:pPr>
        <w:spacing w:after="0" w:line="2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U.S.-based pension plans comprised approximately 87% of the projected benefit obligation and 87% of plan assets as of December 31, 2013.</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6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w w:val="87"/>
              </w:rPr>
              <w:t>Pension Benefits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5"/>
          </w:tcPr>
          <w:p>
            <w:pPr>
              <w:spacing w:after="0"/>
              <w:rPr>
                <w:sz w:val="20"/>
                <w:szCs w:val="20"/>
                <w:color w:val="auto"/>
              </w:rPr>
            </w:pPr>
            <w:r>
              <w:rPr>
                <w:rFonts w:ascii="Arial" w:cs="Arial" w:eastAsia="Arial" w:hAnsi="Arial"/>
                <w:sz w:val="16"/>
                <w:szCs w:val="16"/>
                <w:b w:val="1"/>
                <w:bCs w:val="1"/>
                <w:color w:val="auto"/>
                <w:w w:val="90"/>
              </w:rPr>
              <w:t>Other Benefits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ind w:right="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2011</w:t>
            </w:r>
          </w:p>
        </w:tc>
      </w:tr>
      <w:tr>
        <w:trPr>
          <w:trHeight w:val="33"/>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 as of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and curtailments</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060" w:type="dxa"/>
            <w:vAlign w:val="bottom"/>
          </w:tcPr>
          <w:p>
            <w:pPr>
              <w:ind w:left="280"/>
              <w:spacing w:after="0" w:line="264" w:lineRule="exact"/>
              <w:rPr>
                <w:sz w:val="20"/>
                <w:szCs w:val="20"/>
                <w:color w:val="auto"/>
              </w:rPr>
            </w:pPr>
            <w:r>
              <w:rPr>
                <w:rFonts w:ascii="Arial" w:cs="Arial" w:eastAsia="Arial" w:hAnsi="Arial"/>
                <w:sz w:val="18"/>
                <w:szCs w:val="18"/>
                <w:color w:val="auto"/>
              </w:rPr>
              <w:t xml:space="preserve">Net periodic benefit cost </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251"/>
        <w:spacing w:after="0" w:line="227" w:lineRule="auto"/>
        <w:tabs>
          <w:tab w:leader="none" w:pos="289"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Pension expense of $0.2 million, $6.9 million and $0.8 million was included in Loss for discontinued operations for the years ended December 31, 2013, 2012 and 2011 respectively.</w:t>
      </w:r>
    </w:p>
    <w:p>
      <w:pPr>
        <w:spacing w:after="0" w:line="200" w:lineRule="exact"/>
        <w:rPr>
          <w:sz w:val="20"/>
          <w:szCs w:val="20"/>
          <w:color w:val="auto"/>
        </w:rPr>
      </w:pPr>
    </w:p>
    <w:p>
      <w:pPr>
        <w:spacing w:after="0" w:line="21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sets forth amounts recognized in AOCI and Other comprehensive income (loss) in our financial statements for 2013 and 2012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5"/>
          </w:tcPr>
          <w:p>
            <w:pPr>
              <w:ind w:left="220"/>
              <w:spacing w:after="0"/>
              <w:rPr>
                <w:sz w:val="20"/>
                <w:szCs w:val="20"/>
                <w:color w:val="auto"/>
              </w:rPr>
            </w:pPr>
            <w:r>
              <w:rPr>
                <w:rFonts w:ascii="Arial" w:cs="Arial" w:eastAsia="Arial" w:hAnsi="Arial"/>
                <w:sz w:val="16"/>
                <w:szCs w:val="16"/>
                <w:b w:val="1"/>
                <w:bCs w:val="1"/>
                <w:color w:val="auto"/>
              </w:rPr>
              <w:t>Pension Benefits</w:t>
            </w:r>
          </w:p>
        </w:tc>
        <w:tc>
          <w:tcPr>
            <w:tcW w:w="200" w:type="dxa"/>
            <w:vAlign w:val="bottom"/>
          </w:tcPr>
          <w:p>
            <w:pPr>
              <w:spacing w:after="0"/>
              <w:rPr>
                <w:sz w:val="18"/>
                <w:szCs w:val="18"/>
                <w:color w:val="auto"/>
              </w:rPr>
            </w:pPr>
          </w:p>
        </w:tc>
        <w:tc>
          <w:tcPr>
            <w:tcW w:w="172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Other Benefits</w:t>
            </w: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AOCI:</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Prior service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24.2</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amount recognized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74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Changes recognized in other comprehensive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Adjustment to OCI due to reclassification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year prior service costs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year actuarial (gain) loss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recognized in other 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recognized in net periodic benefit cost and other comprehensive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estimated prior service (costs) credits and actuarial losses that will be amortized from AOCI in 2014 are $(0.3) million and $(7.7) million, respectively, for pension benefits and $3.1 million and $(1.5) million, respectively, for other benefits.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tables set forth the weighted-average assumptions used to determine Benefit Obligations and Net Periodic Benefit Cost for the U.S.-based plans in 2013 and 2012:</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160" w:type="dxa"/>
            <w:vAlign w:val="bottom"/>
            <w:gridSpan w:val="4"/>
          </w:tcPr>
          <w:p>
            <w:pPr>
              <w:ind w:left="480"/>
              <w:spacing w:after="0"/>
              <w:rPr>
                <w:sz w:val="20"/>
                <w:szCs w:val="20"/>
                <w:color w:val="auto"/>
              </w:rPr>
            </w:pPr>
            <w:r>
              <w:rPr>
                <w:rFonts w:ascii="Arial" w:cs="Arial" w:eastAsia="Arial" w:hAnsi="Arial"/>
                <w:sz w:val="16"/>
                <w:szCs w:val="16"/>
                <w:b w:val="1"/>
                <w:bCs w:val="1"/>
                <w:color w:val="auto"/>
              </w:rPr>
              <w:t>Pension Benefits</w:t>
            </w:r>
          </w:p>
        </w:tc>
        <w:tc>
          <w:tcPr>
            <w:tcW w:w="2060" w:type="dxa"/>
            <w:vAlign w:val="bottom"/>
            <w:gridSpan w:val="3"/>
          </w:tcPr>
          <w:p>
            <w:pPr>
              <w:jc w:val="right"/>
              <w:ind w:right="413"/>
              <w:spacing w:after="0"/>
              <w:rPr>
                <w:sz w:val="20"/>
                <w:szCs w:val="20"/>
                <w:color w:val="auto"/>
              </w:rPr>
            </w:pPr>
            <w:r>
              <w:rPr>
                <w:rFonts w:ascii="Arial" w:cs="Arial" w:eastAsia="Arial" w:hAnsi="Arial"/>
                <w:sz w:val="16"/>
                <w:szCs w:val="16"/>
                <w:b w:val="1"/>
                <w:bCs w:val="1"/>
                <w:color w:val="auto"/>
              </w:rPr>
              <w:t>Other Benefits</w:t>
            </w:r>
          </w:p>
        </w:tc>
      </w:tr>
      <w:tr>
        <w:trPr>
          <w:trHeight w:val="33"/>
        </w:trPr>
        <w:tc>
          <w:tcPr>
            <w:tcW w:w="7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980" w:type="dxa"/>
            <w:vAlign w:val="bottom"/>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980" w:type="dxa"/>
            <w:vAlign w:val="bottom"/>
          </w:tcPr>
          <w:p>
            <w:pPr>
              <w:jc w:val="right"/>
              <w:ind w:right="233"/>
              <w:spacing w:after="0"/>
              <w:rPr>
                <w:sz w:val="20"/>
                <w:szCs w:val="20"/>
                <w:color w:val="auto"/>
              </w:rPr>
            </w:pPr>
            <w:r>
              <w:rPr>
                <w:rFonts w:ascii="Arial" w:cs="Arial" w:eastAsia="Arial" w:hAnsi="Arial"/>
                <w:sz w:val="16"/>
                <w:szCs w:val="16"/>
                <w:b w:val="1"/>
                <w:bCs w:val="1"/>
                <w:color w:val="auto"/>
              </w:rPr>
              <w:t>2012</w:t>
            </w:r>
          </w:p>
        </w:tc>
      </w:tr>
      <w:tr>
        <w:trPr>
          <w:trHeight w:val="33"/>
        </w:trPr>
        <w:tc>
          <w:tcPr>
            <w:tcW w:w="7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Weighted-average assumptions used to determine benefit obligations as of December 31:</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4.88%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7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675"/>
        </w:trPr>
        <w:tc>
          <w:tcPr>
            <w:tcW w:w="7200" w:type="dxa"/>
            <w:vAlign w:val="bottom"/>
          </w:tcPr>
          <w:p>
            <w:pPr>
              <w:jc w:val="right"/>
              <w:ind w:right="1310"/>
              <w:spacing w:after="0"/>
              <w:rPr>
                <w:sz w:val="20"/>
                <w:szCs w:val="20"/>
                <w:color w:val="auto"/>
              </w:rPr>
            </w:pPr>
            <w:r>
              <w:rPr>
                <w:rFonts w:ascii="Arial" w:cs="Arial" w:eastAsia="Arial" w:hAnsi="Arial"/>
                <w:sz w:val="18"/>
                <w:szCs w:val="18"/>
                <w:color w:val="auto"/>
              </w:rPr>
              <w:t>58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6"/>
                <w:szCs w:val="16"/>
                <w:b w:val="1"/>
                <w:bCs w:val="1"/>
                <w:color w:val="auto"/>
                <w:w w:val="95"/>
              </w:rPr>
              <w:t>Pension Benefits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w w:val="90"/>
              </w:rPr>
              <w:t>Other Benefits</w:t>
            </w:r>
          </w:p>
        </w:tc>
        <w:tc>
          <w:tcPr>
            <w:tcW w:w="860" w:type="dxa"/>
            <w:vAlign w:val="bottom"/>
          </w:tcPr>
          <w:p>
            <w:pPr>
              <w:spacing w:after="0"/>
              <w:rPr>
                <w:sz w:val="18"/>
                <w:szCs w:val="18"/>
                <w:color w:val="auto"/>
              </w:rPr>
            </w:pPr>
          </w:p>
        </w:tc>
      </w:tr>
      <w:tr>
        <w:trPr>
          <w:trHeight w:val="33"/>
        </w:trPr>
        <w:tc>
          <w:tcPr>
            <w:tcW w:w="5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78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2013</w:t>
            </w:r>
          </w:p>
        </w:tc>
        <w:tc>
          <w:tcPr>
            <w:tcW w:w="9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2013</w:t>
            </w:r>
          </w:p>
        </w:tc>
        <w:tc>
          <w:tcPr>
            <w:tcW w:w="96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rPr>
              <w:t>2011</w:t>
            </w:r>
          </w:p>
        </w:tc>
      </w:tr>
      <w:tr>
        <w:trPr>
          <w:trHeight w:val="33"/>
        </w:trPr>
        <w:tc>
          <w:tcPr>
            <w:tcW w:w="5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5"/>
        </w:trPr>
        <w:tc>
          <w:tcPr>
            <w:tcW w:w="57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8"/>
              </w:rPr>
              <w:t>Weighted-average assumptions used to determine net periodic benefit cost</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
        </w:trPr>
        <w:tc>
          <w:tcPr>
            <w:tcW w:w="5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820" w:type="dxa"/>
            <w:vAlign w:val="bottom"/>
          </w:tcPr>
          <w:p>
            <w:pPr>
              <w:jc w:val="right"/>
              <w:spacing w:after="0"/>
              <w:rPr>
                <w:sz w:val="20"/>
                <w:szCs w:val="20"/>
                <w:color w:val="auto"/>
              </w:rPr>
            </w:pPr>
            <w:r>
              <w:rPr>
                <w:rFonts w:ascii="Arial" w:cs="Arial" w:eastAsia="Arial" w:hAnsi="Arial"/>
                <w:sz w:val="18"/>
                <w:szCs w:val="18"/>
                <w:color w:val="auto"/>
              </w:rPr>
              <w:t>4.23%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tables set forth the weighted-average assumptions used to determine Benefit Obligations and Net Periodic Benefit Cost for the non-U.S.-based plans in 2013 and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jc w:val="right"/>
              <w:ind w:right="593"/>
              <w:spacing w:after="0"/>
              <w:rPr>
                <w:sz w:val="20"/>
                <w:szCs w:val="20"/>
                <w:color w:val="auto"/>
              </w:rPr>
            </w:pPr>
            <w:r>
              <w:rPr>
                <w:rFonts w:ascii="Arial" w:cs="Arial" w:eastAsia="Arial" w:hAnsi="Arial"/>
                <w:sz w:val="16"/>
                <w:szCs w:val="16"/>
                <w:b w:val="1"/>
                <w:bCs w:val="1"/>
                <w:color w:val="auto"/>
              </w:rPr>
              <w:t>Pension Benefits</w:t>
            </w:r>
          </w:p>
        </w:tc>
      </w:tr>
      <w:tr>
        <w:trPr>
          <w:trHeight w:val="33"/>
        </w:trPr>
        <w:tc>
          <w:tcPr>
            <w:tcW w:w="8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53"/>
              <w:spacing w:after="0"/>
              <w:rPr>
                <w:sz w:val="20"/>
                <w:szCs w:val="20"/>
                <w:color w:val="auto"/>
              </w:rPr>
            </w:pPr>
            <w:r>
              <w:rPr>
                <w:rFonts w:ascii="Arial" w:cs="Arial" w:eastAsia="Arial" w:hAnsi="Arial"/>
                <w:sz w:val="16"/>
                <w:szCs w:val="16"/>
                <w:b w:val="1"/>
                <w:bCs w:val="1"/>
                <w:color w:val="auto"/>
              </w:rPr>
              <w:t>2012</w:t>
            </w:r>
          </w:p>
        </w:tc>
      </w:tr>
      <w:tr>
        <w:trPr>
          <w:trHeight w:val="33"/>
        </w:trPr>
        <w:tc>
          <w:tcPr>
            <w:tcW w:w="8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assumptions used to determine benefit obligations as of December 31:</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center"/>
              <w:ind w:left="233"/>
              <w:spacing w:after="0"/>
              <w:rPr>
                <w:sz w:val="20"/>
                <w:szCs w:val="20"/>
                <w:color w:val="auto"/>
              </w:rPr>
            </w:pPr>
            <w:r>
              <w:rPr>
                <w:rFonts w:ascii="Arial" w:cs="Arial" w:eastAsia="Arial" w:hAnsi="Arial"/>
                <w:sz w:val="18"/>
                <w:szCs w:val="18"/>
                <w:color w:val="auto"/>
                <w:w w:val="90"/>
              </w:rPr>
              <w:t>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8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0"/>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588"/>
        </w:trPr>
        <w:tc>
          <w:tcPr>
            <w:tcW w:w="8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7"/>
              </w:rPr>
              <w:t>Pension Benefits</w:t>
            </w:r>
          </w:p>
        </w:tc>
        <w:tc>
          <w:tcPr>
            <w:tcW w:w="980" w:type="dxa"/>
            <w:vAlign w:val="bottom"/>
          </w:tcPr>
          <w:p>
            <w:pPr>
              <w:spacing w:after="0"/>
              <w:rPr>
                <w:sz w:val="24"/>
                <w:szCs w:val="24"/>
                <w:color w:val="auto"/>
              </w:rPr>
            </w:pPr>
          </w:p>
        </w:tc>
      </w:tr>
      <w:tr>
        <w:trPr>
          <w:trHeight w:val="33"/>
        </w:trPr>
        <w:tc>
          <w:tcPr>
            <w:tcW w:w="82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2013</w:t>
            </w:r>
          </w:p>
        </w:tc>
        <w:tc>
          <w:tcPr>
            <w:tcW w:w="860" w:type="dxa"/>
            <w:vAlign w:val="bottom"/>
            <w:gridSpan w:val="2"/>
          </w:tcPr>
          <w:p>
            <w:pPr>
              <w:jc w:val="center"/>
              <w:ind w:left="253"/>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2011</w:t>
            </w:r>
          </w:p>
        </w:tc>
      </w:tr>
      <w:tr>
        <w:trPr>
          <w:trHeight w:val="33"/>
        </w:trPr>
        <w:tc>
          <w:tcPr>
            <w:tcW w:w="8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5"/>
        </w:trPr>
        <w:tc>
          <w:tcPr>
            <w:tcW w:w="82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0"/>
              </w:rPr>
              <w:t>Weighted-average assumptions used to determine net periodic benefit cost for the years ended December</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1"/>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31:</w:t>
            </w:r>
          </w:p>
        </w:tc>
        <w:tc>
          <w:tcPr>
            <w:tcW w:w="6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8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develop the expected long-term rate of return on assets assumption for the U.S. plans, we considered the historical returns and the future expectations for returns for each asset category, as well as the target asset allocation of the pension portfolio and the effect of periodic balancing. These results were adjusted for the payment of reasonable expenses of the plan from plan assets. This resulted in the selection of the 8.0% long-term rate of return on assets assumption. A similar process was followed for the non-U.S.-based plans.</w:t>
      </w:r>
    </w:p>
    <w:p>
      <w:pPr>
        <w:spacing w:after="0" w:line="18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To select a discount rate for the purpose of valuing the plan obligations for the U.S. plans, we performed an analysis in which the duration of projected cash flows from defined benefit and retiree healthcare plans was matched with a yield curve based on the appropriate universe of high-quality corporate bonds that were available. We used the results of the yield curve analysis to select the discount rate that matched the duration and payment stream of the benefits in each plan. This resulted in the selection of the 4.94% discount rate assumption for the U.S. qualified pension plans, 4.30% for the U.S. non-qualified pension plans, and 3.57% for the other benefits. A similar process was followed for the non-U.S.-based plans.</w:t>
      </w:r>
    </w:p>
    <w:p>
      <w:pPr>
        <w:spacing w:after="0" w:line="1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Assumed health care cost trend rates have an effect on the amounts reported for our healthcare plan. The following table sets forth the healthcare trend rate assumptions used: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8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2012</w:t>
            </w:r>
          </w:p>
        </w:tc>
      </w:tr>
      <w:tr>
        <w:trPr>
          <w:trHeight w:val="33"/>
        </w:trPr>
        <w:tc>
          <w:tcPr>
            <w:tcW w:w="8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Assumed health care cost trend rates as of December 31:</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2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
        </w:trPr>
        <w:tc>
          <w:tcPr>
            <w:tcW w:w="8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to which the cost rate is assumed to decline (the ultimate trend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2020</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one percentage-point change in assumed healthcare cost trend rates would have the following effects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1-Percentage-Point</w:t>
            </w:r>
          </w:p>
        </w:tc>
        <w:tc>
          <w:tcPr>
            <w:tcW w:w="140" w:type="dxa"/>
            <w:vAlign w:val="bottom"/>
          </w:tcPr>
          <w:p>
            <w:pPr>
              <w:spacing w:after="0"/>
              <w:rPr>
                <w:sz w:val="17"/>
                <w:szCs w:val="17"/>
                <w:color w:val="auto"/>
              </w:rPr>
            </w:pPr>
          </w:p>
        </w:tc>
        <w:tc>
          <w:tcPr>
            <w:tcW w:w="1220" w:type="dxa"/>
            <w:vAlign w:val="bottom"/>
          </w:tcPr>
          <w:p>
            <w:pPr>
              <w:jc w:val="right"/>
              <w:ind w:right="114"/>
              <w:spacing w:after="0"/>
              <w:rPr>
                <w:sz w:val="20"/>
                <w:szCs w:val="20"/>
                <w:color w:val="auto"/>
              </w:rPr>
            </w:pPr>
            <w:r>
              <w:rPr>
                <w:rFonts w:ascii="Arial" w:cs="Arial" w:eastAsia="Arial" w:hAnsi="Arial"/>
                <w:sz w:val="16"/>
                <w:szCs w:val="16"/>
                <w:b w:val="1"/>
                <w:bCs w:val="1"/>
                <w:color w:val="auto"/>
                <w:w w:val="94"/>
              </w:rPr>
              <w:t>1-Percentage-</w:t>
            </w:r>
          </w:p>
        </w:tc>
      </w:t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w:t>
            </w:r>
          </w:p>
        </w:tc>
        <w:tc>
          <w:tcPr>
            <w:tcW w:w="14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Arial" w:cs="Arial" w:eastAsia="Arial" w:hAnsi="Arial"/>
                <w:sz w:val="16"/>
                <w:szCs w:val="16"/>
                <w:b w:val="1"/>
                <w:bCs w:val="1"/>
                <w:color w:val="auto"/>
                <w:w w:val="89"/>
              </w:rPr>
              <w:t>Point Decrease</w:t>
            </w: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on the post-retirement benefit obligation</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760" w:right="239" w:bottom="1440" w:gutter="0" w:footer="0" w:header="0"/>
          <w:type w:val="continuous"/>
        </w:sectPr>
      </w:pPr>
    </w:p>
    <w:bookmarkStart w:id="62" w:name="page63"/>
    <w:bookmarkEnd w:id="62"/>
    <w:p>
      <w:pPr>
        <w:ind w:left="260"/>
        <w:spacing w:after="0"/>
        <w:rPr>
          <w:sz w:val="20"/>
          <w:szCs w:val="20"/>
          <w:color w:val="auto"/>
        </w:rPr>
      </w:pPr>
      <w:r>
        <w:rPr>
          <w:rFonts w:ascii="Arial" w:cs="Arial" w:eastAsia="Arial" w:hAnsi="Arial"/>
          <w:sz w:val="18"/>
          <w:szCs w:val="18"/>
          <w:color w:val="auto"/>
        </w:rPr>
        <w:t>Expected future benefit payments are shown in the table below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60" w:type="dxa"/>
            <w:vAlign w:val="bottom"/>
            <w:gridSpan w:val="9"/>
          </w:tcPr>
          <w:p>
            <w:pPr>
              <w:ind w:left="40"/>
              <w:spacing w:after="0"/>
              <w:rPr>
                <w:sz w:val="20"/>
                <w:szCs w:val="20"/>
                <w:color w:val="auto"/>
              </w:rPr>
            </w:pPr>
            <w:r>
              <w:rPr>
                <w:rFonts w:ascii="Arial" w:cs="Arial" w:eastAsia="Arial" w:hAnsi="Arial"/>
                <w:sz w:val="16"/>
                <w:szCs w:val="16"/>
                <w:b w:val="1"/>
                <w:bCs w:val="1"/>
                <w:color w:val="auto"/>
                <w:w w:val="90"/>
              </w:rPr>
              <w:t>For the Years Ended December 31,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Arial" w:cs="Arial" w:eastAsia="Arial" w:hAnsi="Arial"/>
                <w:sz w:val="16"/>
                <w:szCs w:val="16"/>
                <w:b w:val="1"/>
                <w:bCs w:val="1"/>
                <w:color w:val="auto"/>
                <w:w w:val="91"/>
              </w:rPr>
              <w:t>2019-2023</w:t>
            </w: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benefits</w:t>
            </w: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 Assets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believe asset returns can be optimized at an acceptable level of risk by adequately diversifying the plan assets. Since equity securities have historically generated higher returns than fixed income securities and the plan is not fully funded, we believe it is appropriate to allocate more assets to equities than fixed income securities. In addition, these categories are further diversified among various asset classes including high yield and emerging markets debt, and international and emerging markets equities in order to avoid significant concentrations of risk. Our U.S. pension plan represents 88%, our Canadian pension plan 6%, and our United Kingdom (“U.K.”) pension plan 6% of the total fair value of our plan assets as of December 31, 2013.</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U.S. pension plans' weighted-average asset allocations as of December 31, 2013 and 2012, by asset category, are as follows: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0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4"/>
          </w:tcPr>
          <w:p>
            <w:pPr>
              <w:jc w:val="right"/>
              <w:ind w:right="11"/>
              <w:spacing w:after="0"/>
              <w:rPr>
                <w:sz w:val="20"/>
                <w:szCs w:val="20"/>
                <w:color w:val="auto"/>
              </w:rPr>
            </w:pPr>
            <w:r>
              <w:rPr>
                <w:rFonts w:ascii="Arial" w:cs="Arial" w:eastAsia="Arial" w:hAnsi="Arial"/>
                <w:sz w:val="16"/>
                <w:szCs w:val="16"/>
                <w:b w:val="1"/>
                <w:bCs w:val="1"/>
                <w:color w:val="auto"/>
                <w:w w:val="93"/>
              </w:rPr>
              <w:t>Plan Assets as of December 31,</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 Category:</w:t>
            </w: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6740" w:type="dxa"/>
            <w:vAlign w:val="bottom"/>
            <w:vMerge w:val="continue"/>
          </w:tcPr>
          <w:p>
            <w:pPr>
              <w:spacing w:after="0"/>
              <w:rPr>
                <w:sz w:val="20"/>
                <w:szCs w:val="20"/>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equity</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International 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Money market/cash</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U.S. pension plan assets are invested within the following range targets:</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2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U.S. equity</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equity</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80" w:type="dxa"/>
            <w:vAlign w:val="bottom"/>
          </w:tcPr>
          <w:p>
            <w:pPr>
              <w:spacing w:after="0"/>
              <w:rPr>
                <w:sz w:val="21"/>
                <w:szCs w:val="21"/>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market/cash/guaranteed investment contracts</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Canadian pension plan was invested solely in a balanced fund that maintains diversification among various asset classes, including Canadian common stocks, bonds and money market securities, U.S. equities, other international equities and fixed income investments. Our U.K. pension plan was invested in a broad mix of assets consisting of U.K., U.S. and international equities, and U.K. fixed income securities, including corporate and government bonds.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0" w:right="239" w:bottom="1440" w:gutter="0" w:footer="0" w:header="0"/>
        </w:sectPr>
      </w:pPr>
    </w:p>
    <w:bookmarkStart w:id="63" w:name="page64"/>
    <w:bookmarkEnd w:id="63"/>
    <w:p>
      <w:pPr>
        <w:ind w:left="260"/>
        <w:spacing w:after="0"/>
        <w:rPr>
          <w:sz w:val="20"/>
          <w:szCs w:val="20"/>
          <w:color w:val="auto"/>
        </w:rPr>
      </w:pPr>
      <w:r>
        <w:rPr>
          <w:rFonts w:ascii="Arial" w:cs="Arial" w:eastAsia="Arial" w:hAnsi="Arial"/>
          <w:sz w:val="18"/>
          <w:szCs w:val="18"/>
          <w:color w:val="auto"/>
        </w:rPr>
        <w:t>The fair values of our pension plan assets, by asset category,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40" w:type="dxa"/>
            <w:vAlign w:val="bottom"/>
            <w:gridSpan w:val="6"/>
          </w:tcPr>
          <w:p>
            <w:pPr>
              <w:ind w:left="20"/>
              <w:spacing w:after="0"/>
              <w:rPr>
                <w:sz w:val="20"/>
                <w:szCs w:val="20"/>
                <w:color w:val="auto"/>
              </w:rPr>
            </w:pPr>
            <w:r>
              <w:rPr>
                <w:rFonts w:ascii="Arial" w:cs="Arial" w:eastAsia="Arial" w:hAnsi="Arial"/>
                <w:sz w:val="16"/>
                <w:szCs w:val="16"/>
                <w:b w:val="1"/>
                <w:bCs w:val="1"/>
                <w:color w:val="auto"/>
              </w:rPr>
              <w:t>Fair Value Measurements as of December 31, 2013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Quoted Prices in Active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Significant Other</w:t>
            </w:r>
          </w:p>
        </w:tc>
        <w:tc>
          <w:tcPr>
            <w:tcW w:w="1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Significant Unobservable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8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Commingled pools / Collective Trusts:</w:t>
            </w:r>
          </w:p>
        </w:tc>
        <w:tc>
          <w:tcPr>
            <w:tcW w:w="1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3"/>
                <w:szCs w:val="23"/>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(2)</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(3)</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3"/>
                <w:szCs w:val="23"/>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5"/>
                <w:szCs w:val="25"/>
                <w:color w:val="auto"/>
                <w:vertAlign w:val="superscript"/>
              </w:rPr>
              <w:t>(6)</w:t>
            </w:r>
          </w:p>
        </w:tc>
        <w:tc>
          <w:tcPr>
            <w:tcW w:w="1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U.S. equity</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equity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1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(7)</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(7)</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(8)</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40" w:type="dxa"/>
            <w:vAlign w:val="bottom"/>
            <w:gridSpan w:val="6"/>
          </w:tcPr>
          <w:p>
            <w:pPr>
              <w:ind w:left="20"/>
              <w:spacing w:after="0"/>
              <w:rPr>
                <w:sz w:val="20"/>
                <w:szCs w:val="20"/>
                <w:color w:val="auto"/>
              </w:rPr>
            </w:pPr>
            <w:r>
              <w:rPr>
                <w:rFonts w:ascii="Arial" w:cs="Arial" w:eastAsia="Arial" w:hAnsi="Arial"/>
                <w:sz w:val="16"/>
                <w:szCs w:val="16"/>
                <w:b w:val="1"/>
                <w:bCs w:val="1"/>
                <w:color w:val="auto"/>
              </w:rPr>
              <w:t>Fair Value Measurements as of December 31, 2012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Quoted Prices in Active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Significant Other</w:t>
            </w:r>
          </w:p>
        </w:tc>
        <w:tc>
          <w:tcPr>
            <w:tcW w:w="1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Significant Unobservable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Commingled pools / Collective Trusts:</w:t>
            </w:r>
          </w:p>
        </w:tc>
        <w:tc>
          <w:tcPr>
            <w:tcW w:w="1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3"/>
                <w:szCs w:val="23"/>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(2)</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(3)</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3"/>
                <w:szCs w:val="23"/>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(4)</w:t>
            </w:r>
          </w:p>
        </w:tc>
        <w:tc>
          <w:tcPr>
            <w:tcW w:w="1780" w:type="dxa"/>
            <w:vAlign w:val="bottom"/>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(4)</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(5)</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5"/>
                <w:szCs w:val="25"/>
                <w:color w:val="auto"/>
                <w:vertAlign w:val="superscript"/>
              </w:rPr>
              <w:t>(6)</w:t>
            </w:r>
          </w:p>
        </w:tc>
        <w:tc>
          <w:tcPr>
            <w:tcW w:w="1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U.S. equity</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equity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1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(7)</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(7)</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(8)</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8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Pr>
          <w:p>
            <w:pPr>
              <w:jc w:val="right"/>
              <w:spacing w:after="0"/>
              <w:rPr>
                <w:sz w:val="20"/>
                <w:szCs w:val="20"/>
                <w:color w:val="auto"/>
              </w:rPr>
            </w:pPr>
            <w:r>
              <w:rPr>
                <w:rFonts w:ascii="Arial" w:cs="Arial" w:eastAsia="Arial" w:hAnsi="Arial"/>
                <w:sz w:val="18"/>
                <w:szCs w:val="18"/>
                <w:color w:val="auto"/>
              </w:rPr>
              <w:t>63.5</w:t>
            </w:r>
          </w:p>
        </w:tc>
        <w:tc>
          <w:tcPr>
            <w:tcW w:w="2020" w:type="dxa"/>
            <w:vAlign w:val="bottom"/>
            <w:gridSpan w:val="3"/>
          </w:tcPr>
          <w:p>
            <w:pPr>
              <w:jc w:val="right"/>
              <w:ind w:right="38"/>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2"/>
                <w:szCs w:val="22"/>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1780" w:type="dxa"/>
            <w:vAlign w:val="bottom"/>
          </w:tcPr>
          <w:p>
            <w:pPr>
              <w:jc w:val="right"/>
              <w:ind w:right="253"/>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4" w:name="page65"/>
    <w:bookmarkEnd w:id="64"/>
    <w:p>
      <w:pPr>
        <w:ind w:left="260"/>
        <w:spacing w:after="0"/>
        <w:rPr>
          <w:sz w:val="20"/>
          <w:szCs w:val="20"/>
          <w:color w:val="auto"/>
        </w:rPr>
      </w:pPr>
      <w:r>
        <w:rPr>
          <w:rFonts w:ascii="Arial" w:cs="Arial" w:eastAsia="Arial" w:hAnsi="Arial"/>
          <w:sz w:val="18"/>
          <w:szCs w:val="18"/>
          <w:color w:val="auto"/>
        </w:rPr>
        <w:t>Additional information about assets measured at Net Asset Value (“NAV”) per share (in millions):</w:t>
      </w:r>
    </w:p>
    <w:p>
      <w:pPr>
        <w:spacing w:after="0" w:line="200" w:lineRule="exact"/>
        <w:rPr>
          <w:sz w:val="20"/>
          <w:szCs w:val="20"/>
          <w:color w:val="auto"/>
        </w:rPr>
      </w:pPr>
    </w:p>
    <w:p>
      <w:pPr>
        <w:spacing w:after="0" w:line="201"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37465</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Redemption Frequency</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Notice Period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(if currently eligible)</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Commingled pools / Collective Trusts:</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(1)</w:t>
            </w:r>
          </w:p>
        </w:tc>
        <w:tc>
          <w:tcPr>
            <w:tcW w:w="278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100.1</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(2)</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(3)</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5-15 days</w:t>
            </w:r>
          </w:p>
        </w:tc>
        <w:tc>
          <w:tcPr>
            <w:tcW w:w="0" w:type="dxa"/>
            <w:vAlign w:val="bottom"/>
          </w:tcPr>
          <w:p>
            <w:pPr>
              <w:spacing w:after="0"/>
              <w:rPr>
                <w:sz w:val="1"/>
                <w:szCs w:val="1"/>
                <w:color w:val="auto"/>
              </w:rPr>
            </w:pP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5"/>
                <w:szCs w:val="25"/>
                <w:color w:val="auto"/>
                <w:vertAlign w:val="superscript"/>
              </w:rPr>
              <w:t>(6)</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equity</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International equity</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Pension fund:</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(7)</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 days</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(7)</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7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(8)</w:t>
            </w:r>
          </w:p>
        </w:tc>
        <w:tc>
          <w:tcPr>
            <w:tcW w:w="15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 days</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Total</w:t>
            </w:r>
          </w:p>
        </w:tc>
        <w:tc>
          <w:tcPr>
            <w:tcW w:w="27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294.6</w:t>
            </w: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As of December 31, 2012</w:t>
            </w: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Redemption Frequency</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Notice Period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(if currently eligible)</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Commingled pools / Collective Trusts:</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(1)</w:t>
            </w:r>
          </w:p>
        </w:tc>
        <w:tc>
          <w:tcPr>
            <w:tcW w:w="278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(2)</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5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(3)</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5-15 days</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(4)</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(4)</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(5)</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Balanced pension trust: </w:t>
            </w:r>
            <w:r>
              <w:rPr>
                <w:rFonts w:ascii="Arial" w:cs="Arial" w:eastAsia="Arial" w:hAnsi="Arial"/>
                <w:sz w:val="25"/>
                <w:szCs w:val="25"/>
                <w:color w:val="auto"/>
                <w:vertAlign w:val="superscript"/>
              </w:rPr>
              <w:t>(6)</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equity</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International equity</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 days</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Pension fund:</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U.S. equity </w:t>
            </w:r>
            <w:r>
              <w:rPr>
                <w:rFonts w:ascii="Arial" w:cs="Arial" w:eastAsia="Arial" w:hAnsi="Arial"/>
                <w:sz w:val="25"/>
                <w:szCs w:val="25"/>
                <w:color w:val="auto"/>
                <w:vertAlign w:val="superscript"/>
              </w:rPr>
              <w:t>(7)</w:t>
            </w:r>
          </w:p>
        </w:tc>
        <w:tc>
          <w:tcPr>
            <w:tcW w:w="15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 days</w:t>
            </w:r>
          </w:p>
        </w:tc>
        <w:tc>
          <w:tcPr>
            <w:tcW w:w="0" w:type="dxa"/>
            <w:vAlign w:val="bottom"/>
          </w:tcPr>
          <w:p>
            <w:pPr>
              <w:spacing w:after="0"/>
              <w:rPr>
                <w:sz w:val="1"/>
                <w:szCs w:val="1"/>
                <w:color w:val="auto"/>
              </w:rPr>
            </w:pPr>
          </w:p>
        </w:tc>
      </w:tr>
      <w:tr>
        <w:trPr>
          <w:trHeight w:val="270"/>
        </w:trPr>
        <w:tc>
          <w:tcPr>
            <w:tcW w:w="42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25"/>
                <w:szCs w:val="25"/>
                <w:color w:val="auto"/>
                <w:vertAlign w:val="superscript"/>
              </w:rPr>
              <w:t>(7)</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7 days</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(8)</w:t>
            </w:r>
          </w:p>
        </w:tc>
        <w:tc>
          <w:tcPr>
            <w:tcW w:w="15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 days</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2"/>
                <w:szCs w:val="22"/>
                <w:color w:val="auto"/>
              </w:rPr>
            </w:pPr>
          </w:p>
        </w:tc>
        <w:tc>
          <w:tcPr>
            <w:tcW w:w="1280" w:type="dxa"/>
            <w:vAlign w:val="bottom"/>
            <w:tcBorders>
              <w:bottom w:val="single" w:sz="8" w:color="auto"/>
            </w:tcBorders>
          </w:tcPr>
          <w:p>
            <w:pPr>
              <w:jc w:val="right"/>
              <w:ind w:right="108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272.3</w:t>
            </w: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20" w:type="dxa"/>
            <w:vAlign w:val="bottom"/>
          </w:tcPr>
          <w:p>
            <w:pPr>
              <w:spacing w:after="0"/>
              <w:rPr>
                <w:sz w:val="24"/>
                <w:szCs w:val="24"/>
                <w:color w:val="auto"/>
              </w:rPr>
            </w:pPr>
          </w:p>
        </w:tc>
        <w:tc>
          <w:tcPr>
            <w:tcW w:w="2780" w:type="dxa"/>
            <w:vAlign w:val="bottom"/>
            <w:gridSpan w:val="2"/>
          </w:tcPr>
          <w:p>
            <w:pPr>
              <w:jc w:val="right"/>
              <w:ind w:right="1122"/>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65" w:name="page66"/>
    <w:bookmarkEnd w:id="65"/>
    <w:p>
      <w:pPr>
        <w:ind w:left="500" w:hanging="358"/>
        <w:spacing w:after="0"/>
        <w:tabs>
          <w:tab w:leader="none" w:pos="50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This category includes investments primarily in U.S. equity securities that include large, mid and small capitalization companies.</w:t>
      </w:r>
    </w:p>
    <w:p>
      <w:pPr>
        <w:spacing w:after="0" w:line="55" w:lineRule="exact"/>
        <w:rPr>
          <w:rFonts w:ascii="Arial" w:cs="Arial" w:eastAsia="Arial" w:hAnsi="Arial"/>
          <w:sz w:val="25"/>
          <w:szCs w:val="25"/>
          <w:color w:val="auto"/>
          <w:vertAlign w:val="superscript"/>
        </w:rPr>
      </w:pPr>
    </w:p>
    <w:p>
      <w:pPr>
        <w:ind w:left="500" w:right="40" w:hanging="358"/>
        <w:spacing w:after="0" w:line="208" w:lineRule="auto"/>
        <w:tabs>
          <w:tab w:leader="none" w:pos="500" w:val="left"/>
        </w:tabs>
        <w:numPr>
          <w:ilvl w:val="0"/>
          <w:numId w:val="18"/>
        </w:numPr>
        <w:rPr>
          <w:rFonts w:ascii="Arial" w:cs="Arial" w:eastAsia="Arial" w:hAnsi="Arial"/>
          <w:sz w:val="25"/>
          <w:szCs w:val="25"/>
          <w:color w:val="auto"/>
          <w:vertAlign w:val="subscript"/>
        </w:rPr>
      </w:pPr>
      <w:r>
        <w:rPr>
          <w:rFonts w:ascii="Arial" w:cs="Arial" w:eastAsia="Arial" w:hAnsi="Arial"/>
          <w:sz w:val="18"/>
          <w:szCs w:val="18"/>
          <w:color w:val="auto"/>
        </w:rPr>
        <w:t>This category includes investments primarily in non-U.S. equity securities that include large, mid and small capitalization companies in large developed markets as well as emerging markets equities.</w:t>
      </w:r>
    </w:p>
    <w:p>
      <w:pPr>
        <w:spacing w:after="0" w:line="41" w:lineRule="exact"/>
        <w:rPr>
          <w:rFonts w:ascii="Arial" w:cs="Arial" w:eastAsia="Arial" w:hAnsi="Arial"/>
          <w:sz w:val="25"/>
          <w:szCs w:val="25"/>
          <w:color w:val="auto"/>
          <w:vertAlign w:val="subscript"/>
        </w:rPr>
      </w:pPr>
    </w:p>
    <w:p>
      <w:pPr>
        <w:ind w:left="500" w:right="40" w:hanging="358"/>
        <w:spacing w:after="0" w:line="216" w:lineRule="auto"/>
        <w:tabs>
          <w:tab w:leader="none" w:pos="500" w:val="left"/>
        </w:tabs>
        <w:numPr>
          <w:ilvl w:val="0"/>
          <w:numId w:val="18"/>
        </w:numPr>
        <w:rPr>
          <w:rFonts w:ascii="Arial" w:cs="Arial" w:eastAsia="Arial" w:hAnsi="Arial"/>
          <w:sz w:val="25"/>
          <w:szCs w:val="25"/>
          <w:color w:val="auto"/>
          <w:vertAlign w:val="subscript"/>
        </w:rPr>
      </w:pPr>
      <w:r>
        <w:rPr>
          <w:rFonts w:ascii="Arial" w:cs="Arial" w:eastAsia="Arial" w:hAnsi="Arial"/>
          <w:sz w:val="18"/>
          <w:szCs w:val="18"/>
          <w:color w:val="auto"/>
        </w:rPr>
        <w:t>This category includes investments in U.S. investment grade and high yield fixed income securities, non-U.S. fixed income securities and emerging markets fixed income securities.</w:t>
      </w:r>
    </w:p>
    <w:p>
      <w:pPr>
        <w:spacing w:after="0" w:line="41" w:lineRule="exact"/>
        <w:rPr>
          <w:rFonts w:ascii="Arial" w:cs="Arial" w:eastAsia="Arial" w:hAnsi="Arial"/>
          <w:sz w:val="25"/>
          <w:szCs w:val="25"/>
          <w:color w:val="auto"/>
          <w:vertAlign w:val="subscript"/>
        </w:rPr>
      </w:pPr>
    </w:p>
    <w:p>
      <w:pPr>
        <w:ind w:left="500" w:right="40" w:hanging="358"/>
        <w:spacing w:after="0" w:line="216" w:lineRule="auto"/>
        <w:tabs>
          <w:tab w:leader="none" w:pos="500" w:val="left"/>
        </w:tabs>
        <w:numPr>
          <w:ilvl w:val="0"/>
          <w:numId w:val="18"/>
        </w:numPr>
        <w:rPr>
          <w:rFonts w:ascii="Arial" w:cs="Arial" w:eastAsia="Arial" w:hAnsi="Arial"/>
          <w:sz w:val="25"/>
          <w:szCs w:val="25"/>
          <w:color w:val="auto"/>
          <w:vertAlign w:val="subscript"/>
        </w:rPr>
      </w:pPr>
      <w:r>
        <w:rPr>
          <w:rFonts w:ascii="Arial" w:cs="Arial" w:eastAsia="Arial" w:hAnsi="Arial"/>
          <w:sz w:val="18"/>
          <w:szCs w:val="18"/>
          <w:color w:val="auto"/>
        </w:rPr>
        <w:t>These funds seek capital appreciation and generally invest in common stocks of U.S. and non-U.S. issuers. They may invest in growth stocks or value stocks.</w:t>
      </w:r>
    </w:p>
    <w:p>
      <w:pPr>
        <w:spacing w:after="0" w:line="41" w:lineRule="exact"/>
        <w:rPr>
          <w:rFonts w:ascii="Arial" w:cs="Arial" w:eastAsia="Arial" w:hAnsi="Arial"/>
          <w:sz w:val="25"/>
          <w:szCs w:val="25"/>
          <w:color w:val="auto"/>
          <w:vertAlign w:val="subscript"/>
        </w:rPr>
      </w:pPr>
    </w:p>
    <w:p>
      <w:pPr>
        <w:ind w:left="500" w:right="40" w:hanging="358"/>
        <w:spacing w:after="0" w:line="227" w:lineRule="auto"/>
        <w:tabs>
          <w:tab w:leader="none" w:pos="500" w:val="left"/>
        </w:tabs>
        <w:numPr>
          <w:ilvl w:val="0"/>
          <w:numId w:val="18"/>
        </w:numPr>
        <w:rPr>
          <w:rFonts w:ascii="Arial" w:cs="Arial" w:eastAsia="Arial" w:hAnsi="Arial"/>
          <w:sz w:val="24"/>
          <w:szCs w:val="24"/>
          <w:color w:val="auto"/>
          <w:vertAlign w:val="subscript"/>
        </w:rPr>
      </w:pPr>
      <w:r>
        <w:rPr>
          <w:rFonts w:ascii="Arial" w:cs="Arial" w:eastAsia="Arial" w:hAnsi="Arial"/>
          <w:sz w:val="17"/>
          <w:szCs w:val="17"/>
          <w:color w:val="auto"/>
        </w:rPr>
        <w:t>This fund seeks to provide inflation protection. It currently invests at least 80% of its assets in inflation-indexed bonds issued by the U.S. government. It may invest in bonds of any maturity, though the fund typically maintains a dollar-weighted average maturity of 7 to 20 years.</w:t>
      </w:r>
    </w:p>
    <w:p>
      <w:pPr>
        <w:spacing w:after="0" w:line="40" w:lineRule="exact"/>
        <w:rPr>
          <w:rFonts w:ascii="Arial" w:cs="Arial" w:eastAsia="Arial" w:hAnsi="Arial"/>
          <w:sz w:val="24"/>
          <w:szCs w:val="24"/>
          <w:color w:val="auto"/>
          <w:vertAlign w:val="subscript"/>
        </w:rPr>
      </w:pPr>
    </w:p>
    <w:p>
      <w:pPr>
        <w:ind w:left="500" w:right="40" w:hanging="358"/>
        <w:spacing w:after="0" w:line="245" w:lineRule="auto"/>
        <w:tabs>
          <w:tab w:leader="none" w:pos="500" w:val="left"/>
        </w:tabs>
        <w:numPr>
          <w:ilvl w:val="0"/>
          <w:numId w:val="18"/>
        </w:numPr>
        <w:rPr>
          <w:rFonts w:ascii="Arial" w:cs="Arial" w:eastAsia="Arial" w:hAnsi="Arial"/>
          <w:sz w:val="22"/>
          <w:szCs w:val="22"/>
          <w:color w:val="auto"/>
          <w:vertAlign w:val="subscript"/>
        </w:rPr>
      </w:pPr>
      <w:r>
        <w:rPr>
          <w:rFonts w:ascii="Arial" w:cs="Arial" w:eastAsia="Arial" w:hAnsi="Arial"/>
          <w:sz w:val="16"/>
          <w:szCs w:val="16"/>
          <w:color w:val="auto"/>
        </w:rPr>
        <w:t>The investment objectives of the fund are to provide long-term capital growth and income by investing primarily in a well-diversified, balanced portfolio of Canadian common stocks, bonds and money market securities. The fund also holds a portion of its assets in U.S. and non-U.S. equities.</w:t>
      </w:r>
    </w:p>
    <w:p>
      <w:pPr>
        <w:spacing w:after="0" w:line="40" w:lineRule="exact"/>
        <w:rPr>
          <w:rFonts w:ascii="Arial" w:cs="Arial" w:eastAsia="Arial" w:hAnsi="Arial"/>
          <w:sz w:val="22"/>
          <w:szCs w:val="22"/>
          <w:color w:val="auto"/>
          <w:vertAlign w:val="subscript"/>
        </w:rPr>
      </w:pPr>
    </w:p>
    <w:p>
      <w:pPr>
        <w:ind w:left="500" w:right="40" w:hanging="358"/>
        <w:spacing w:after="0" w:line="216" w:lineRule="auto"/>
        <w:tabs>
          <w:tab w:leader="none" w:pos="500" w:val="left"/>
        </w:tabs>
        <w:numPr>
          <w:ilvl w:val="0"/>
          <w:numId w:val="18"/>
        </w:numPr>
        <w:rPr>
          <w:rFonts w:ascii="Arial" w:cs="Arial" w:eastAsia="Arial" w:hAnsi="Arial"/>
          <w:sz w:val="25"/>
          <w:szCs w:val="25"/>
          <w:color w:val="auto"/>
          <w:vertAlign w:val="subscript"/>
        </w:rPr>
      </w:pPr>
      <w:r>
        <w:rPr>
          <w:rFonts w:ascii="Arial" w:cs="Arial" w:eastAsia="Arial" w:hAnsi="Arial"/>
          <w:sz w:val="18"/>
          <w:szCs w:val="18"/>
          <w:color w:val="auto"/>
        </w:rPr>
        <w:t>This category includes investments in U.S. and non-U.S. equity securities and aims to provide returns consistent with the markets in which it invests and provide broad exposure to countries around the world.</w:t>
      </w:r>
    </w:p>
    <w:p>
      <w:pPr>
        <w:spacing w:after="0" w:line="41" w:lineRule="exact"/>
        <w:rPr>
          <w:rFonts w:ascii="Arial" w:cs="Arial" w:eastAsia="Arial" w:hAnsi="Arial"/>
          <w:sz w:val="25"/>
          <w:szCs w:val="25"/>
          <w:color w:val="auto"/>
          <w:vertAlign w:val="subscript"/>
        </w:rPr>
      </w:pPr>
    </w:p>
    <w:p>
      <w:pPr>
        <w:ind w:left="500" w:right="20" w:hanging="358"/>
        <w:spacing w:after="0" w:line="216" w:lineRule="auto"/>
        <w:tabs>
          <w:tab w:leader="none" w:pos="500" w:val="left"/>
        </w:tabs>
        <w:numPr>
          <w:ilvl w:val="0"/>
          <w:numId w:val="18"/>
        </w:numPr>
        <w:rPr>
          <w:rFonts w:ascii="Arial" w:cs="Arial" w:eastAsia="Arial" w:hAnsi="Arial"/>
          <w:sz w:val="25"/>
          <w:szCs w:val="25"/>
          <w:color w:val="auto"/>
          <w:vertAlign w:val="subscript"/>
        </w:rPr>
      </w:pPr>
      <w:r>
        <w:rPr>
          <w:rFonts w:ascii="Arial" w:cs="Arial" w:eastAsia="Arial" w:hAnsi="Arial"/>
          <w:sz w:val="18"/>
          <w:szCs w:val="18"/>
          <w:color w:val="auto"/>
        </w:rPr>
        <w:t>This category includes investments in U.K. government index-linked securities (index-linked gilts) that have maturity periods of 5 years or longer and investment grade corporate bonds denominated in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72466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-1216025</wp:posOffset>
            </wp:positionV>
            <wp:extent cx="72466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2466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1 for mutual funds and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20 for information about our fair value hierarchies and valuation techniques.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AOCI to Net Income in the accompanying Consolidated Statements of Operations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ind w:right="192"/>
              <w:spacing w:after="0"/>
              <w:rPr>
                <w:sz w:val="20"/>
                <w:szCs w:val="20"/>
                <w:color w:val="auto"/>
              </w:rPr>
            </w:pPr>
            <w:r>
              <w:rPr>
                <w:rFonts w:ascii="Arial" w:cs="Arial" w:eastAsia="Arial" w:hAnsi="Arial"/>
                <w:sz w:val="16"/>
                <w:szCs w:val="16"/>
                <w:b w:val="1"/>
                <w:bCs w:val="1"/>
                <w:color w:val="auto"/>
                <w:w w:val="98"/>
              </w:rPr>
              <w:t>For the Year Ended</w:t>
            </w: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Affected Line Item(s) in the Consolidated Statements of</w:t>
            </w:r>
          </w:p>
        </w:tc>
      </w:tr>
      <w:tr>
        <w:trPr>
          <w:trHeight w:val="210"/>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AOCI Component</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2013</w:t>
            </w:r>
          </w:p>
        </w:tc>
        <w:tc>
          <w:tcPr>
            <w:tcW w:w="10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Operations</w:t>
            </w:r>
          </w:p>
        </w:tc>
      </w:tr>
      <w:tr>
        <w:trPr>
          <w:trHeight w:val="33"/>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Losses on 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Cost of goods sold</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r>
      <w:tr>
        <w:trPr>
          <w:trHeight w:val="23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of tax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97"/>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Defined Benefit Plan Items:</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29"/>
        </w:trPr>
        <w:tc>
          <w:tcPr>
            <w:tcW w:w="4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Cost of goods sold; Selling, general and administrative</w:t>
            </w:r>
          </w:p>
        </w:tc>
      </w:tr>
      <w:tr>
        <w:trPr>
          <w:trHeight w:val="23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Benefits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r>
      <w:tr>
        <w:trPr>
          <w:trHeight w:val="297"/>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r>
      <w:tr>
        <w:trPr>
          <w:trHeight w:val="270"/>
        </w:trPr>
        <w:tc>
          <w:tcPr>
            <w:tcW w:w="50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Sale of foreign business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tcPr>
          <w:p>
            <w:pPr>
              <w:spacing w:after="0"/>
              <w:rPr>
                <w:sz w:val="23"/>
                <w:szCs w:val="23"/>
                <w:color w:val="auto"/>
              </w:rPr>
            </w:pPr>
          </w:p>
        </w:tc>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w:t>
            </w:r>
          </w:p>
        </w:tc>
      </w:tr>
      <w:tr>
        <w:trPr>
          <w:trHeight w:val="291"/>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r>
      <w:tr>
        <w:trPr>
          <w:trHeight w:val="26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reclassifications from AOCI</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right="200" w:hanging="169"/>
        <w:spacing w:after="0" w:line="227" w:lineRule="auto"/>
        <w:tabs>
          <w:tab w:leader="none" w:pos="45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The reclassification of foreign currency translation adjustments related to the sale of the Service Experts business in the first quarter of 2013. Refer to Note 17 for details.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89" w:right="239" w:bottom="1440" w:gutter="0" w:footer="0" w:header="0"/>
        </w:sectPr>
      </w:pPr>
    </w:p>
    <w:bookmarkStart w:id="66" w:name="page67"/>
    <w:bookmarkEnd w:id="66"/>
    <w:p>
      <w:pPr>
        <w:ind w:left="260"/>
        <w:spacing w:after="0"/>
        <w:rPr>
          <w:sz w:val="20"/>
          <w:szCs w:val="20"/>
          <w:color w:val="auto"/>
        </w:rPr>
      </w:pPr>
      <w:r>
        <w:rPr>
          <w:rFonts w:ascii="Arial" w:cs="Arial" w:eastAsia="Arial" w:hAnsi="Arial"/>
          <w:sz w:val="17"/>
          <w:szCs w:val="17"/>
          <w:color w:val="auto"/>
        </w:rPr>
        <w:t>The following table provides information on changes in AOCI, by component (net of tax), for the year ended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Gains (Losses) on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Foreign Currency</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Cash Flow</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(Losses) on Available-</w:t>
            </w: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AOCI</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Hedges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for-Sale Securities</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Plan Items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AOCI</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Net other comprehensive (loss)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Stock-Based compensation expense related to continuing operations was included in Selling, General and Administrative expenses in the accompanying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gridSpan w:val="6"/>
          </w:tcPr>
          <w:p>
            <w:pPr>
              <w:jc w:val="center"/>
              <w:ind w:right="254"/>
              <w:spacing w:after="0"/>
              <w:rPr>
                <w:sz w:val="20"/>
                <w:szCs w:val="20"/>
                <w:color w:val="auto"/>
              </w:rPr>
            </w:pPr>
            <w:r>
              <w:rPr>
                <w:rFonts w:ascii="Arial" w:cs="Arial" w:eastAsia="Arial" w:hAnsi="Arial"/>
                <w:sz w:val="16"/>
                <w:szCs w:val="16"/>
                <w:b w:val="1"/>
                <w:bCs w:val="1"/>
                <w:color w:val="auto"/>
                <w:w w:val="90"/>
              </w:rPr>
              <w:t>For the Years Ended December 31,</w:t>
            </w:r>
          </w:p>
        </w:tc>
        <w:tc>
          <w:tcPr>
            <w:tcW w:w="4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Pr>
          <w:p>
            <w:pPr>
              <w:spacing w:after="0"/>
              <w:rPr>
                <w:sz w:val="20"/>
                <w:szCs w:val="20"/>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Compensation expense</w:t>
            </w:r>
            <w:r>
              <w:rPr>
                <w:rFonts w:ascii="Arial" w:cs="Arial" w:eastAsia="Arial" w:hAnsi="Arial"/>
                <w:sz w:val="25"/>
                <w:szCs w:val="25"/>
                <w:color w:val="auto"/>
                <w:vertAlign w:val="superscript"/>
              </w:rPr>
              <w:t>(1)</w:t>
            </w: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1"/>
              </w:rPr>
              <w:t>29.3</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15.2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13.7</w:t>
            </w:r>
          </w:p>
        </w:tc>
      </w:tr>
    </w:tbl>
    <w:p>
      <w:pPr>
        <w:spacing w:after="0" w:line="179" w:lineRule="exact"/>
        <w:rPr>
          <w:sz w:val="20"/>
          <w:szCs w:val="20"/>
          <w:color w:val="auto"/>
        </w:rPr>
      </w:pPr>
    </w:p>
    <w:p>
      <w:pPr>
        <w:ind w:left="600" w:hanging="187"/>
        <w:spacing w:after="0"/>
        <w:tabs>
          <w:tab w:leader="none" w:pos="6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Stock-Based Compensation expense was recorded in our Corporate and other business segment.</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Incentive Plan</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Under the Lennox International Inc. 2010 Incentive Plan, as amended and restated (the “2010 Incentive Plan”), we are authorized to issue awards for 24.3 million shares of common stock. The 2010 Incentive Plan provides for various long-term incentive awards, including performance share units, restricted stock units and stock appreciation rights. A description of these long-term incentive awards and related activity within each award category is provided below.</w:t>
      </w:r>
    </w:p>
    <w:p>
      <w:pPr>
        <w:spacing w:after="0" w:line="14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December 31, 2013, awards for 20.5 million shares of common stock had been granted, net of cancellations and repurchases, and there were 3.8 million shares available for future issuance.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25"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Performance share units are granted to certain employees at the discretion of the Board of Directors with a three-year performance period beginning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20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Performance share units are classified as equity awards. Compensation expense is recognized ratably over the service period and is based on the expected number of units to be earned and the fair value of the stock at the date of grant. The fair 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7" w:name="page68"/>
    <w:bookmarkEnd w:id="67"/>
    <w:p>
      <w:pPr>
        <w:ind w:left="260"/>
        <w:spacing w:after="0"/>
        <w:rPr>
          <w:sz w:val="20"/>
          <w:szCs w:val="20"/>
          <w:color w:val="auto"/>
        </w:rPr>
      </w:pPr>
      <w:r>
        <w:rPr>
          <w:rFonts w:ascii="Arial" w:cs="Arial" w:eastAsia="Arial" w:hAnsi="Arial"/>
          <w:sz w:val="18"/>
          <w:szCs w:val="18"/>
          <w:color w:val="auto"/>
        </w:rPr>
        <w:t>The following table provides information on our performance share units: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40" w:type="dxa"/>
            <w:vAlign w:val="bottom"/>
          </w:tcPr>
          <w:p>
            <w:pPr>
              <w:spacing w:after="0"/>
              <w:rPr>
                <w:sz w:val="18"/>
                <w:szCs w:val="18"/>
                <w:color w:val="auto"/>
              </w:rPr>
            </w:pPr>
          </w:p>
        </w:tc>
      </w:tr>
      <w:tr>
        <w:trPr>
          <w:trHeight w:val="3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412"/>
              <w:spacing w:after="0"/>
              <w:rPr>
                <w:sz w:val="20"/>
                <w:szCs w:val="20"/>
                <w:color w:val="auto"/>
              </w:rPr>
            </w:pPr>
            <w:r>
              <w:rPr>
                <w:rFonts w:ascii="Arial" w:cs="Arial" w:eastAsia="Arial" w:hAnsi="Arial"/>
                <w:sz w:val="16"/>
                <w:szCs w:val="16"/>
                <w:b w:val="1"/>
                <w:bCs w:val="1"/>
                <w:color w:val="auto"/>
                <w:w w:val="89"/>
              </w:rPr>
              <w:t>2011</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 for performance share units (in millions)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Weighted-average fair value of grants,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31.78</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Payout ratio for shares paid</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summary of the status of our undistributed performance share units as of December 31, 2013, and changes during the year then ended, is presented below (in millions, except per share data):</w:t>
      </w:r>
    </w:p>
    <w:p>
      <w:pPr>
        <w:spacing w:after="0" w:line="117" w:lineRule="exact"/>
        <w:rPr>
          <w:sz w:val="20"/>
          <w:szCs w:val="20"/>
          <w:color w:val="auto"/>
        </w:rPr>
      </w:pPr>
    </w:p>
    <w:tbl>
      <w:tblPr>
        <w:tblLayout w:type="fixed"/>
        <w:tblInd w:w="178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2"/>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5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Average Grant</w:t>
            </w:r>
          </w:p>
        </w:tc>
      </w:tr>
      <w:tr>
        <w:trPr>
          <w:trHeight w:val="203"/>
        </w:trPr>
        <w:tc>
          <w:tcPr>
            <w:tcW w:w="5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Date Fair Value</w:t>
            </w:r>
          </w:p>
        </w:tc>
      </w:tr>
      <w:tr>
        <w:trPr>
          <w:trHeight w:val="210"/>
        </w:trPr>
        <w:tc>
          <w:tcPr>
            <w:tcW w:w="53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2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per Share</w:t>
            </w:r>
          </w:p>
        </w:tc>
      </w:tr>
      <w:tr>
        <w:trPr>
          <w:trHeight w:val="33"/>
        </w:trPr>
        <w:tc>
          <w:tcPr>
            <w:tcW w:w="5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performance share units as of December 31, 2012</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r>
      <w:tr>
        <w:trPr>
          <w:trHeight w:val="243"/>
        </w:trPr>
        <w:tc>
          <w:tcPr>
            <w:tcW w:w="53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78.00</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Adjustments to shares paid based on payout ratio</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43"/>
        </w:trPr>
        <w:tc>
          <w:tcPr>
            <w:tcW w:w="5380" w:type="dxa"/>
            <w:vAlign w:val="bottom"/>
          </w:tcPr>
          <w:p>
            <w:pPr>
              <w:ind w:left="260"/>
              <w:spacing w:after="0"/>
              <w:rPr>
                <w:sz w:val="20"/>
                <w:szCs w:val="20"/>
                <w:color w:val="auto"/>
              </w:rPr>
            </w:pPr>
            <w:r>
              <w:rPr>
                <w:rFonts w:ascii="Arial" w:cs="Arial" w:eastAsia="Arial" w:hAnsi="Arial"/>
                <w:sz w:val="18"/>
                <w:szCs w:val="18"/>
                <w:color w:val="auto"/>
              </w:rPr>
              <w:t>Distributed</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35.26</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35"/>
        </w:trPr>
        <w:tc>
          <w:tcPr>
            <w:tcW w:w="5380" w:type="dxa"/>
            <w:vAlign w:val="bottom"/>
          </w:tcPr>
          <w:p>
            <w:pPr>
              <w:ind w:left="20"/>
              <w:spacing w:after="0"/>
              <w:rPr>
                <w:sz w:val="20"/>
                <w:szCs w:val="20"/>
                <w:color w:val="auto"/>
              </w:rPr>
            </w:pPr>
            <w:r>
              <w:rPr>
                <w:rFonts w:ascii="Arial" w:cs="Arial" w:eastAsia="Arial" w:hAnsi="Arial"/>
                <w:sz w:val="18"/>
                <w:szCs w:val="18"/>
                <w:color w:val="auto"/>
                <w:w w:val="99"/>
              </w:rPr>
              <w:t xml:space="preserve">Undistributed performance share units as of December 31, 2013 </w:t>
            </w:r>
            <w:r>
              <w:rPr>
                <w:rFonts w:ascii="Arial" w:cs="Arial" w:eastAsia="Arial" w:hAnsi="Arial"/>
                <w:sz w:val="25"/>
                <w:szCs w:val="25"/>
                <w:color w:val="auto"/>
                <w:w w:val="99"/>
                <w:vertAlign w:val="superscript"/>
              </w:rPr>
              <w:t>(1)</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w:t>
            </w:r>
          </w:p>
        </w:tc>
      </w:tr>
    </w:tbl>
    <w:p>
      <w:pPr>
        <w:spacing w:after="0" w:line="130" w:lineRule="exact"/>
        <w:rPr>
          <w:sz w:val="20"/>
          <w:szCs w:val="20"/>
          <w:color w:val="auto"/>
        </w:rPr>
      </w:pPr>
    </w:p>
    <w:p>
      <w:pPr>
        <w:ind w:left="980" w:hanging="162"/>
        <w:spacing w:after="0" w:line="232" w:lineRule="auto"/>
        <w:tabs>
          <w:tab w:leader="none" w:pos="101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Undistributed performance share units include approximately 0.5 million units with a weighted-average grant date fair value of $47.81 per share that had not yet vested and 0.2 million units that have vested but were not yet distributed.</w:t>
      </w:r>
    </w:p>
    <w:p>
      <w:pPr>
        <w:spacing w:after="0" w:line="20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of December 31, 2013, we had $19.8 million of total unrecognized compensation cost related to non-vested performance share units that is expected to be recognized over a weighted-average period of 2.1 years. Our estimated forfeiture rate for these performance share units was 16.4% as of December 31, 2013.</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total fair value of performance share units distributed and the resulting tax deductions to realize tax benefits were as follows (in millions):</w:t>
      </w:r>
    </w:p>
    <w:p>
      <w:pPr>
        <w:spacing w:after="0" w:line="197"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gridSpan w:val="6"/>
          </w:tcPr>
          <w:p>
            <w:pPr>
              <w:jc w:val="right"/>
              <w:spacing w:after="0"/>
              <w:rPr>
                <w:sz w:val="20"/>
                <w:szCs w:val="20"/>
                <w:color w:val="auto"/>
              </w:rPr>
            </w:pPr>
            <w:r>
              <w:rPr>
                <w:rFonts w:ascii="Arial" w:cs="Arial" w:eastAsia="Arial" w:hAnsi="Arial"/>
                <w:sz w:val="16"/>
                <w:szCs w:val="16"/>
                <w:b w:val="1"/>
                <w:bCs w:val="1"/>
                <w:color w:val="auto"/>
                <w:w w:val="90"/>
              </w:rPr>
              <w:t>For the Years Ended December 31,</w:t>
            </w:r>
          </w:p>
        </w:tc>
        <w:tc>
          <w:tcPr>
            <w:tcW w:w="78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373"/>
              <w:spacing w:after="0"/>
              <w:rPr>
                <w:sz w:val="20"/>
                <w:szCs w:val="20"/>
                <w:color w:val="auto"/>
              </w:rPr>
            </w:pPr>
            <w:r>
              <w:rPr>
                <w:rFonts w:ascii="Arial" w:cs="Arial" w:eastAsia="Arial" w:hAnsi="Arial"/>
                <w:sz w:val="16"/>
                <w:szCs w:val="16"/>
                <w:b w:val="1"/>
                <w:bCs w:val="1"/>
                <w:color w:val="auto"/>
                <w:w w:val="84"/>
              </w:rPr>
              <w:t>2011</w:t>
            </w:r>
          </w:p>
        </w:tc>
      </w:tr>
      <w:tr>
        <w:trPr>
          <w:trHeight w:val="33"/>
        </w:trPr>
        <w:tc>
          <w:tcPr>
            <w:tcW w:w="6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performance share units distributed</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Realized tax benefits from tax deductions</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on our restricted stock units (in millions, except per share data):</w:t>
      </w:r>
    </w:p>
    <w:p>
      <w:pPr>
        <w:spacing w:after="0" w:line="185" w:lineRule="exact"/>
        <w:rPr>
          <w:sz w:val="20"/>
          <w:szCs w:val="20"/>
          <w:color w:val="auto"/>
        </w:rPr>
      </w:pPr>
    </w:p>
    <w:tbl>
      <w:tblPr>
        <w:tblLayout w:type="fixed"/>
        <w:tblInd w:w="146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7"/>
          </w:tcPr>
          <w:p>
            <w:pPr>
              <w:jc w:val="right"/>
              <w:ind w:right="253"/>
              <w:spacing w:after="0"/>
              <w:rPr>
                <w:sz w:val="20"/>
                <w:szCs w:val="20"/>
                <w:color w:val="auto"/>
              </w:rPr>
            </w:pPr>
            <w:r>
              <w:rPr>
                <w:rFonts w:ascii="Arial" w:cs="Arial" w:eastAsia="Arial" w:hAnsi="Arial"/>
                <w:sz w:val="16"/>
                <w:szCs w:val="16"/>
                <w:b w:val="1"/>
                <w:bCs w:val="1"/>
                <w:color w:val="auto"/>
                <w:w w:val="96"/>
              </w:rPr>
              <w:t>For the Years Ended December 31,</w:t>
            </w:r>
          </w:p>
        </w:tc>
      </w:tr>
      <w:tr>
        <w:trPr>
          <w:trHeight w:val="33"/>
        </w:trPr>
        <w:tc>
          <w:tcPr>
            <w:tcW w:w="3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3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3"/>
              <w:spacing w:after="0"/>
              <w:rPr>
                <w:sz w:val="20"/>
                <w:szCs w:val="20"/>
                <w:color w:val="auto"/>
              </w:rPr>
            </w:pPr>
            <w:r>
              <w:rPr>
                <w:rFonts w:ascii="Arial" w:cs="Arial" w:eastAsia="Arial" w:hAnsi="Arial"/>
                <w:sz w:val="16"/>
                <w:szCs w:val="16"/>
                <w:b w:val="1"/>
                <w:bCs w:val="1"/>
                <w:color w:val="auto"/>
              </w:rPr>
              <w:t>2011</w:t>
            </w:r>
          </w:p>
        </w:tc>
      </w:tr>
      <w:tr>
        <w:trPr>
          <w:trHeight w:val="33"/>
        </w:trPr>
        <w:tc>
          <w:tcPr>
            <w:tcW w:w="38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Compensation expense for restricted stock units</w:t>
            </w: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7"/>
              </w:rPr>
              <w:t>Weighted-average fair value of grants, per share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702"/>
        </w:trPr>
        <w:tc>
          <w:tcPr>
            <w:tcW w:w="3820" w:type="dxa"/>
            <w:vAlign w:val="bottom"/>
          </w:tcPr>
          <w:p>
            <w:pPr>
              <w:spacing w:after="0"/>
              <w:rPr>
                <w:sz w:val="24"/>
                <w:szCs w:val="24"/>
                <w:color w:val="auto"/>
              </w:rPr>
            </w:pPr>
          </w:p>
        </w:tc>
        <w:tc>
          <w:tcPr>
            <w:tcW w:w="1580" w:type="dxa"/>
            <w:vAlign w:val="bottom"/>
          </w:tcPr>
          <w:p>
            <w:pPr>
              <w:jc w:val="right"/>
              <w:ind w:right="97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8" w:name="page69"/>
    <w:bookmarkEnd w:id="68"/>
    <w:p>
      <w:pPr>
        <w:jc w:val="both"/>
        <w:ind w:firstLine="243"/>
        <w:spacing w:after="0" w:line="277" w:lineRule="auto"/>
        <w:rPr>
          <w:sz w:val="20"/>
          <w:szCs w:val="20"/>
          <w:color w:val="auto"/>
        </w:rPr>
      </w:pPr>
      <w:r>
        <w:rPr>
          <w:rFonts w:ascii="Arial" w:cs="Arial" w:eastAsia="Arial" w:hAnsi="Arial"/>
          <w:sz w:val="18"/>
          <w:szCs w:val="18"/>
          <w:color w:val="auto"/>
        </w:rPr>
        <w:t>A summary of our non-vested restricted stock units as of December 31, 2013 and changes during the year then ended is presented below (in millions, except per share data):</w:t>
      </w:r>
    </w:p>
    <w:p>
      <w:pPr>
        <w:spacing w:after="0" w:line="117" w:lineRule="exact"/>
        <w:rPr>
          <w:sz w:val="20"/>
          <w:szCs w:val="20"/>
          <w:color w:val="auto"/>
        </w:rPr>
      </w:pPr>
    </w:p>
    <w:tbl>
      <w:tblPr>
        <w:tblLayout w:type="fixed"/>
        <w:tblInd w:w="182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5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Average Grant</w:t>
            </w:r>
          </w:p>
        </w:tc>
      </w:tr>
      <w:tr>
        <w:trPr>
          <w:trHeight w:val="203"/>
        </w:trPr>
        <w:tc>
          <w:tcPr>
            <w:tcW w:w="5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Date Fair Value</w:t>
            </w:r>
          </w:p>
        </w:tc>
      </w:tr>
      <w:tr>
        <w:trPr>
          <w:trHeight w:val="210"/>
        </w:trPr>
        <w:tc>
          <w:tcPr>
            <w:tcW w:w="538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2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per Share</w:t>
            </w:r>
          </w:p>
        </w:tc>
      </w:tr>
      <w:tr>
        <w:trPr>
          <w:trHeight w:val="33"/>
        </w:trPr>
        <w:tc>
          <w:tcPr>
            <w:tcW w:w="5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as of December 31, 2012</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r>
      <w:tr>
        <w:trPr>
          <w:trHeight w:val="243"/>
        </w:trPr>
        <w:tc>
          <w:tcPr>
            <w:tcW w:w="53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77.26</w:t>
            </w:r>
          </w:p>
        </w:tc>
      </w:tr>
      <w:tr>
        <w:trPr>
          <w:trHeight w:val="27"/>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r>
      <w:tr>
        <w:trPr>
          <w:trHeight w:val="243"/>
        </w:trPr>
        <w:tc>
          <w:tcPr>
            <w:tcW w:w="53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as of December 31, 2013</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r>
      <w:tr>
        <w:trPr>
          <w:trHeight w:val="27"/>
        </w:trPr>
        <w:tc>
          <w:tcPr>
            <w:tcW w:w="5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As of December 31, 2013, we had $13.6 million of total unrecognized compensation cost related to non-vested restricted stock units that is expected to be recognized over a weighted-average period of 2.3 years. Our estimated forfeiture rate for restricted stock units was 17.5% as of December 31, 2013.</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fair value of restricted stock units vested and the resulting tax deductions to realize tax benefits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gridSpan w:val="6"/>
          </w:tcPr>
          <w:p>
            <w:pPr>
              <w:jc w:val="center"/>
              <w:ind w:right="294"/>
              <w:spacing w:after="0"/>
              <w:rPr>
                <w:sz w:val="20"/>
                <w:szCs w:val="20"/>
                <w:color w:val="auto"/>
              </w:rPr>
            </w:pPr>
            <w:r>
              <w:rPr>
                <w:rFonts w:ascii="Arial" w:cs="Arial" w:eastAsia="Arial" w:hAnsi="Arial"/>
                <w:sz w:val="16"/>
                <w:szCs w:val="16"/>
                <w:b w:val="1"/>
                <w:bCs w:val="1"/>
                <w:color w:val="auto"/>
                <w:w w:val="90"/>
              </w:rPr>
              <w:t>For the Years Ended December 31,</w:t>
            </w:r>
          </w:p>
        </w:tc>
        <w:tc>
          <w:tcPr>
            <w:tcW w:w="4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400" w:type="dxa"/>
            <w:vAlign w:val="bottom"/>
          </w:tcPr>
          <w:p>
            <w:pPr>
              <w:spacing w:after="0"/>
              <w:rPr>
                <w:sz w:val="20"/>
                <w:szCs w:val="20"/>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restricted stock units vested</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1"/>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tax benefits from tax deductions</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Stock appreciation rights are issued to certain key employees. Each recipient is given the “right” to receive a value, paid in shares of our common stock, equal to the future appreciation of our common stock price. Stock appreciation rights generally vest in one-third increments beginning on the first anniversary date after the grant date and expire after seven years. Our practice is to issue new shares of common stock or utilize treasury stock to satisfy the exercise of stock appreciation rights.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on our stock appreciation rights (in millions, except per share data):</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jc w:val="right"/>
              <w:ind w:right="273"/>
              <w:spacing w:after="0"/>
              <w:rPr>
                <w:sz w:val="20"/>
                <w:szCs w:val="20"/>
                <w:color w:val="auto"/>
              </w:rPr>
            </w:pPr>
            <w:r>
              <w:rPr>
                <w:rFonts w:ascii="Arial" w:cs="Arial" w:eastAsia="Arial" w:hAnsi="Arial"/>
                <w:sz w:val="16"/>
                <w:szCs w:val="16"/>
                <w:b w:val="1"/>
                <w:bCs w:val="1"/>
                <w:color w:val="auto"/>
                <w:w w:val="96"/>
              </w:rPr>
              <w:t>For the Years Ended December 31,</w:t>
            </w:r>
          </w:p>
        </w:tc>
      </w:tr>
      <w:tr>
        <w:trPr>
          <w:trHeight w:val="33"/>
        </w:trPr>
        <w:tc>
          <w:tcPr>
            <w:tcW w:w="5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2011</w:t>
            </w: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 for stock appreciation rights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Weighted-average fair value of grants, per share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 of the stock appreciation rights granted in 2013, 2012 and 2011 were estimated on the date of grant using the following assumptions:</w:t>
      </w:r>
    </w:p>
    <w:p>
      <w:pPr>
        <w:spacing w:after="0" w:line="197"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3020" w:type="dxa"/>
            <w:vAlign w:val="bottom"/>
          </w:tcPr>
          <w:p>
            <w:pPr>
              <w:spacing w:after="0"/>
              <w:rPr>
                <w:sz w:val="18"/>
                <w:szCs w:val="18"/>
                <w:color w:val="auto"/>
              </w:rPr>
            </w:pPr>
          </w:p>
        </w:tc>
        <w:tc>
          <w:tcPr>
            <w:tcW w:w="28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13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60" w:type="dxa"/>
            <w:vAlign w:val="bottom"/>
          </w:tcPr>
          <w:p>
            <w:pPr>
              <w:spacing w:after="0"/>
              <w:rPr>
                <w:sz w:val="18"/>
                <w:szCs w:val="18"/>
                <w:color w:val="auto"/>
              </w:rPr>
            </w:pPr>
          </w:p>
        </w:tc>
        <w:tc>
          <w:tcPr>
            <w:tcW w:w="13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2011</w:t>
            </w:r>
          </w:p>
        </w:tc>
      </w:tr>
      <w:tr>
        <w:trPr>
          <w:trHeight w:val="33"/>
        </w:trPr>
        <w:tc>
          <w:tcPr>
            <w:tcW w:w="30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7"/>
        </w:trPr>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31.50%</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282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4.07</w:t>
            </w:r>
          </w:p>
        </w:tc>
      </w:tr>
      <w:tr>
        <w:trPr>
          <w:trHeight w:val="702"/>
        </w:trPr>
        <w:tc>
          <w:tcPr>
            <w:tcW w:w="30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9" w:name="page70"/>
    <w:bookmarkEnd w:id="69"/>
    <w:p>
      <w:pPr>
        <w:ind w:right="100" w:firstLine="243"/>
        <w:spacing w:after="0" w:line="277" w:lineRule="auto"/>
        <w:rPr>
          <w:sz w:val="20"/>
          <w:szCs w:val="20"/>
          <w:color w:val="auto"/>
        </w:rPr>
      </w:pPr>
      <w:r>
        <w:rPr>
          <w:rFonts w:ascii="Arial" w:cs="Arial" w:eastAsia="Arial" w:hAnsi="Arial"/>
          <w:sz w:val="18"/>
          <w:szCs w:val="18"/>
          <w:color w:val="auto"/>
        </w:rPr>
        <w:t>A summary of our stock appreciation rights as of December 31, 2013, and changes during the year then ended, is presented below (in millions, except per share data):</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7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Exercise Price per</w:t>
            </w:r>
          </w:p>
        </w:tc>
      </w:tr>
      <w:tr>
        <w:trPr>
          <w:trHeight w:val="210"/>
        </w:trPr>
        <w:tc>
          <w:tcPr>
            <w:tcW w:w="730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6"/>
                <w:szCs w:val="16"/>
                <w:b w:val="1"/>
                <w:bCs w:val="1"/>
                <w:color w:val="auto"/>
                <w:w w:val="89"/>
              </w:rPr>
              <w:t>Shares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Share</w:t>
            </w:r>
          </w:p>
        </w:tc>
      </w:tr>
      <w:tr>
        <w:trPr>
          <w:trHeight w:val="33"/>
        </w:trPr>
        <w:tc>
          <w:tcPr>
            <w:tcW w:w="7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stock appreciation rights as of December 31, 2012</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38.93</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81.11</w:t>
            </w:r>
          </w:p>
        </w:tc>
      </w:tr>
      <w:tr>
        <w:trPr>
          <w:trHeight w:val="27"/>
        </w:trPr>
        <w:tc>
          <w:tcPr>
            <w:tcW w:w="7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36.80</w:t>
            </w:r>
          </w:p>
        </w:tc>
      </w:tr>
      <w:tr>
        <w:trPr>
          <w:trHeight w:val="243"/>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40.16</w:t>
            </w:r>
          </w:p>
        </w:tc>
      </w:tr>
      <w:tr>
        <w:trPr>
          <w:trHeight w:val="27"/>
        </w:trPr>
        <w:tc>
          <w:tcPr>
            <w:tcW w:w="7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stock appreciation rights as of December 31, 2013</w:t>
            </w:r>
          </w:p>
        </w:tc>
        <w:tc>
          <w:tcPr>
            <w:tcW w:w="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45.58</w:t>
            </w:r>
          </w:p>
        </w:tc>
      </w:tr>
      <w:tr>
        <w:trPr>
          <w:trHeight w:val="257"/>
        </w:trPr>
        <w:tc>
          <w:tcPr>
            <w:tcW w:w="7300" w:type="dxa"/>
            <w:vAlign w:val="bottom"/>
          </w:tcPr>
          <w:p>
            <w:pPr>
              <w:ind w:left="20"/>
              <w:spacing w:after="0"/>
              <w:rPr>
                <w:sz w:val="20"/>
                <w:szCs w:val="20"/>
                <w:color w:val="auto"/>
              </w:rPr>
            </w:pPr>
            <w:r>
              <w:rPr>
                <w:rFonts w:ascii="Arial" w:cs="Arial" w:eastAsia="Arial" w:hAnsi="Arial"/>
                <w:sz w:val="18"/>
                <w:szCs w:val="18"/>
                <w:color w:val="auto"/>
              </w:rPr>
              <w:t>Exercisable stock appreciation rights as of December 31, 2013</w:t>
            </w:r>
          </w:p>
        </w:tc>
        <w:tc>
          <w:tcPr>
            <w:tcW w:w="9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37.81</w:t>
            </w:r>
          </w:p>
        </w:tc>
      </w:tr>
      <w:tr>
        <w:trPr>
          <w:trHeight w:val="20"/>
        </w:trPr>
        <w:tc>
          <w:tcPr>
            <w:tcW w:w="7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information about stock appreciation rights outstanding as of December 31, 2013 (in millions, except per share data and years):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6"/>
          </w:tcPr>
          <w:p>
            <w:pPr>
              <w:ind w:left="660"/>
              <w:spacing w:after="0"/>
              <w:rPr>
                <w:sz w:val="20"/>
                <w:szCs w:val="20"/>
                <w:color w:val="auto"/>
              </w:rPr>
            </w:pPr>
            <w:r>
              <w:rPr>
                <w:rFonts w:ascii="Arial" w:cs="Arial" w:eastAsia="Arial" w:hAnsi="Arial"/>
                <w:sz w:val="16"/>
                <w:szCs w:val="16"/>
                <w:b w:val="1"/>
                <w:bCs w:val="1"/>
                <w:color w:val="auto"/>
              </w:rPr>
              <w:t>Stock Appreciation Rights Outstanding</w:t>
            </w:r>
          </w:p>
        </w:tc>
        <w:tc>
          <w:tcPr>
            <w:tcW w:w="3960" w:type="dxa"/>
            <w:vAlign w:val="bottom"/>
            <w:gridSpan w:val="5"/>
          </w:tcPr>
          <w:p>
            <w:pPr>
              <w:jc w:val="right"/>
              <w:ind w:right="554"/>
              <w:spacing w:after="0"/>
              <w:rPr>
                <w:sz w:val="20"/>
                <w:szCs w:val="20"/>
                <w:color w:val="auto"/>
              </w:rPr>
            </w:pPr>
            <w:r>
              <w:rPr>
                <w:rFonts w:ascii="Arial" w:cs="Arial" w:eastAsia="Arial" w:hAnsi="Arial"/>
                <w:sz w:val="16"/>
                <w:szCs w:val="16"/>
                <w:b w:val="1"/>
                <w:bCs w:val="1"/>
                <w:color w:val="auto"/>
              </w:rPr>
              <w:t>Stock Appreciation Rights Exercisable</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2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1060" w:type="dxa"/>
            <w:vAlign w:val="bottom"/>
          </w:tcPr>
          <w:p>
            <w:pPr>
              <w:spacing w:after="0"/>
              <w:rPr>
                <w:sz w:val="12"/>
                <w:szCs w:val="12"/>
                <w:color w:val="auto"/>
              </w:rPr>
            </w:pPr>
          </w:p>
        </w:tc>
        <w:tc>
          <w:tcPr>
            <w:tcW w:w="176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1"/>
              </w:rPr>
              <w:t>Weighted-Average</w:t>
            </w:r>
          </w:p>
        </w:tc>
        <w:tc>
          <w:tcPr>
            <w:tcW w:w="200" w:type="dxa"/>
            <w:vAlign w:val="bottom"/>
          </w:tcPr>
          <w:p>
            <w:pPr>
              <w:spacing w:after="0"/>
              <w:rPr>
                <w:sz w:val="12"/>
                <w:szCs w:val="12"/>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40" w:type="dxa"/>
            <w:vAlign w:val="bottom"/>
            <w:vMerge w:val="restart"/>
          </w:tcPr>
          <w:p>
            <w:pPr>
              <w:spacing w:after="0"/>
              <w:rPr>
                <w:sz w:val="12"/>
                <w:szCs w:val="12"/>
                <w:color w:val="auto"/>
              </w:rPr>
            </w:pPr>
          </w:p>
        </w:tc>
        <w:tc>
          <w:tcPr>
            <w:tcW w:w="10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Shares</w:t>
            </w:r>
          </w:p>
        </w:tc>
        <w:tc>
          <w:tcPr>
            <w:tcW w:w="1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(in years)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$28.24 to $36.935</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0.9</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$46.78 to $51.395</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0.6</w:t>
            </w: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0.3</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$81.105 to $81.14</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As of December 31, 2013, we had $9.2 million of unrecognized compensation cost related to non-vested stock appreciation rights that is expected to be recognized over a weighted-average period of 2.3 years. Our estimated forfeiture rate for stock appreciation rights was 16.0% as of December 31, 2013.</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stock appreciation rights exercised and the resulting tax deductions to realize tax benefits were as follows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gridSpan w:val="7"/>
          </w:tcPr>
          <w:p>
            <w:pPr>
              <w:jc w:val="right"/>
              <w:ind w:right="693"/>
              <w:spacing w:after="0"/>
              <w:rPr>
                <w:sz w:val="20"/>
                <w:szCs w:val="20"/>
                <w:color w:val="auto"/>
              </w:rPr>
            </w:pPr>
            <w:r>
              <w:rPr>
                <w:rFonts w:ascii="Arial" w:cs="Arial" w:eastAsia="Arial" w:hAnsi="Arial"/>
                <w:sz w:val="16"/>
                <w:szCs w:val="16"/>
                <w:b w:val="1"/>
                <w:bCs w:val="1"/>
                <w:color w:val="auto"/>
                <w:w w:val="90"/>
              </w:rPr>
              <w:t>For the Years Ended December 31,</w:t>
            </w:r>
          </w:p>
        </w:tc>
      </w:tr>
      <w:tr>
        <w:trPr>
          <w:trHeight w:val="33"/>
        </w:trPr>
        <w:tc>
          <w:tcPr>
            <w:tcW w:w="7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2011</w:t>
            </w:r>
          </w:p>
        </w:tc>
      </w:tr>
      <w:tr>
        <w:trPr>
          <w:trHeight w:val="33"/>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Intrinsic value of stock appreciation rights exercised</w:t>
            </w: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1"/>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tax benefits from tax deductions</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the 2012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2.5 million shares is authorized for purchase until the ESPP plan termination date of May 10, 2022, unless terminated earlier at the discretion of the Board of Directors. Employees purchased approximately 20,500 shares under the ESPP during the year ended December 31, 2013. Approximately 2.5 million shares remain available for purchase under the ESPP as of December 31,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Repurchases: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Board of Directors has authorized a total of $700.0 million towards the repurchase of shares of our common stock (collectively referred to as the "Share Repurchase Plans"), including a $300.0 million share repurchase authorization in December 2012. The Share Repurchase Plans authorize open market repurchase transactions and do not have a stated expiration date. There were no additional share repurchase authorizations in 2013. As of December 31, 2013, $246.2 million of shares may yet be repurchased under the Share Repurchase Plans.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70" w:name="page71"/>
    <w:bookmarkEnd w:id="70"/>
    <w:p>
      <w:pPr>
        <w:jc w:val="both"/>
        <w:ind w:firstLine="243"/>
        <w:spacing w:after="0" w:line="264" w:lineRule="auto"/>
        <w:rPr>
          <w:sz w:val="20"/>
          <w:szCs w:val="20"/>
          <w:color w:val="auto"/>
        </w:rPr>
      </w:pPr>
      <w:r>
        <w:rPr>
          <w:rFonts w:ascii="Arial" w:cs="Arial" w:eastAsia="Arial" w:hAnsi="Arial"/>
          <w:sz w:val="18"/>
          <w:szCs w:val="18"/>
          <w:color w:val="auto"/>
        </w:rPr>
        <w:t>For the years ended December 31, 2013 and 2012, we repurchased 1.7 million shares for $125.0 million and 1.1 million shares for $50.1 million, respectively, under the Share Repurchase Plans. The repurchases in 2013 included 0.2 million shares repurchased in transactions that were executed in 2013 but settled in January 2014.</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also repurchased 0.2 million shares for $12.0 million and 0.2 million shares for $7.8 million for the years ended December 31, 2013 and 2012, respectively, from employees who surrendered their shares to satisfy minimum tax withholding obligations upon the vesting of stock-based compensation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Charges: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2013</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2008, our Residential Heating &amp; Cooling segment commenced the transition of activities performed at our North American Parts Center in Des Moines, Iowa to other locations, including our North American Distribution Center in Marshalltown, Iowa. In 2013 and 2012, we recorded expenses of $1.3 million and $2.7 million, respectively, primarily related to the relocation of inventory and lease termination charges. These activities were substantially completed in the third quarter of 2013 and we do not expect to incur any future costs.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other restructuring activities in 2013, including ongoing restructuring activities as of December 31, 2013, were individually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Restructuring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regarding the restructuring charges for all plans related to continuing operations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Incurred in 2013</w:t>
            </w: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Incurred to Date</w:t>
            </w:r>
          </w:p>
        </w:tc>
        <w:tc>
          <w:tcPr>
            <w:tcW w:w="120" w:type="dxa"/>
            <w:vAlign w:val="bottom"/>
          </w:tcPr>
          <w:p>
            <w:pPr>
              <w:spacing w:after="0"/>
              <w:rPr>
                <w:sz w:val="14"/>
                <w:szCs w:val="14"/>
                <w:color w:val="auto"/>
              </w:rPr>
            </w:pPr>
          </w:p>
        </w:tc>
        <w:tc>
          <w:tcPr>
            <w:tcW w:w="124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Total Expected to</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b w:val="1"/>
                <w:bCs w:val="1"/>
                <w:color w:val="auto"/>
              </w:rPr>
              <w:t>be Incurred</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expense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Asset write-offs and accelerated depreciation</w:t>
            </w:r>
          </w:p>
        </w:tc>
        <w:tc>
          <w:tcPr>
            <w:tcW w:w="1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moves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Lease termination</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Incurred in 2013</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6"/>
              </w:rPr>
              <w:t>Incurred to Date</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Total Expected to</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be Incurred</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3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3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jc w:val="both"/>
        <w:ind w:right="20" w:firstLine="243"/>
        <w:spacing w:after="0" w:line="277" w:lineRule="auto"/>
        <w:rPr>
          <w:sz w:val="20"/>
          <w:szCs w:val="20"/>
          <w:color w:val="auto"/>
        </w:rPr>
      </w:pPr>
      <w:r>
        <w:rPr>
          <w:rFonts w:ascii="Arial" w:cs="Arial" w:eastAsia="Arial" w:hAnsi="Arial"/>
          <w:sz w:val="18"/>
          <w:szCs w:val="18"/>
          <w:color w:val="auto"/>
        </w:rPr>
        <w:t>Restructuring reserves are included in Accrued expenses in the accompanying Consolidated Balance Sheets. The table below details activity in within the restructuring reserves (in millions):</w:t>
      </w:r>
    </w:p>
    <w:p>
      <w:pPr>
        <w:spacing w:after="0" w:line="9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Balance as of</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Charged to</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Non-Cash</w:t>
            </w:r>
          </w:p>
        </w:tc>
        <w:tc>
          <w:tcPr>
            <w:tcW w:w="120" w:type="dxa"/>
            <w:vAlign w:val="bottom"/>
          </w:tcPr>
          <w:p>
            <w:pPr>
              <w:spacing w:after="0"/>
              <w:rPr>
                <w:sz w:val="14"/>
                <w:szCs w:val="14"/>
                <w:color w:val="auto"/>
              </w:rPr>
            </w:pPr>
          </w:p>
        </w:tc>
        <w:tc>
          <w:tcPr>
            <w:tcW w:w="13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Reserves:</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Cash Utilization</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Utilization and</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vMerge w:val="continue"/>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30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expense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Asset write-offs and accelerated depreciation</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moves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Lease termination</w:t>
            </w: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260"/>
              <w:spacing w:after="0"/>
              <w:rPr>
                <w:sz w:val="20"/>
                <w:szCs w:val="20"/>
                <w:color w:val="auto"/>
              </w:rPr>
            </w:pPr>
            <w:r>
              <w:rPr>
                <w:rFonts w:ascii="Arial" w:cs="Arial" w:eastAsia="Arial" w:hAnsi="Arial"/>
                <w:sz w:val="18"/>
                <w:szCs w:val="18"/>
                <w:color w:val="auto"/>
              </w:rPr>
              <w:t>Total restructuring reserves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Balance as of</w:t>
            </w:r>
          </w:p>
        </w:tc>
        <w:tc>
          <w:tcPr>
            <w:tcW w:w="140" w:type="dxa"/>
            <w:vAlign w:val="bottom"/>
          </w:tcPr>
          <w:p>
            <w:pPr>
              <w:spacing w:after="0"/>
              <w:rPr>
                <w:sz w:val="24"/>
                <w:szCs w:val="2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Charged to</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Non-Cash</w:t>
            </w:r>
          </w:p>
        </w:tc>
        <w:tc>
          <w:tcPr>
            <w:tcW w:w="120" w:type="dxa"/>
            <w:vAlign w:val="bottom"/>
          </w:tcPr>
          <w:p>
            <w:pPr>
              <w:spacing w:after="0"/>
              <w:rPr>
                <w:sz w:val="24"/>
                <w:szCs w:val="24"/>
                <w:color w:val="auto"/>
              </w:rPr>
            </w:pPr>
          </w:p>
        </w:tc>
        <w:tc>
          <w:tcPr>
            <w:tcW w:w="13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Reserves:</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Cash Utilization</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Utilization and</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Asset write-offs and accelerated depreciation</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moves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Lease termination</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360" w:type="dxa"/>
            <w:vAlign w:val="bottom"/>
          </w:tcPr>
          <w:p>
            <w:pPr>
              <w:ind w:left="260"/>
              <w:spacing w:after="0"/>
              <w:rPr>
                <w:sz w:val="20"/>
                <w:szCs w:val="20"/>
                <w:color w:val="auto"/>
              </w:rPr>
            </w:pPr>
            <w:r>
              <w:rPr>
                <w:rFonts w:ascii="Arial" w:cs="Arial" w:eastAsia="Arial" w:hAnsi="Arial"/>
                <w:sz w:val="18"/>
                <w:szCs w:val="18"/>
                <w:color w:val="auto"/>
              </w:rPr>
              <w:t>Total restructuring reserves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Discontinued Operations: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22, 2013, we sold our Service Experts business to a majority-owned entity of American Capital, Ltd. (the "Buyer") in an all-cash transaction for net proceeds of $10.4 million, excluding transaction costs. We also entered into a two-year equipment and parts supply agreement with the Buyer. In April 2012, we sold our Hearth business to Comvest Investment Partners IV in an all-cash transaction for net proceeds of $10.1 million, excluding the transaction costs and cash transferred with the business. The gains and losses on the sale of these businesses and their operating results for all periods are presented in discontinued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Experts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net sales and pre-tax gains and losses for the Service Experts business is detailed below (in millions):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5"/>
          </w:tcPr>
          <w:p>
            <w:pPr>
              <w:jc w:val="right"/>
              <w:ind w:right="592"/>
              <w:spacing w:after="0"/>
              <w:rPr>
                <w:sz w:val="20"/>
                <w:szCs w:val="20"/>
                <w:color w:val="auto"/>
              </w:rPr>
            </w:pPr>
            <w:r>
              <w:rPr>
                <w:rFonts w:ascii="Arial" w:cs="Arial" w:eastAsia="Arial" w:hAnsi="Arial"/>
                <w:sz w:val="16"/>
                <w:szCs w:val="16"/>
                <w:b w:val="1"/>
                <w:bCs w:val="1"/>
                <w:color w:val="auto"/>
              </w:rPr>
              <w:t>For the Years Ended December 31,</w:t>
            </w:r>
          </w:p>
        </w:tc>
      </w:tr>
      <w:tr>
        <w:trPr>
          <w:trHeight w:val="33"/>
        </w:trPr>
        <w:tc>
          <w:tcPr>
            <w:tcW w:w="7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2011</w:t>
            </w:r>
          </w:p>
        </w:tc>
      </w:tr>
      <w:tr>
        <w:trPr>
          <w:trHeight w:val="33"/>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0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73.5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385.1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448.4</w:t>
            </w:r>
          </w:p>
        </w:tc>
      </w:tr>
      <w:tr>
        <w:trPr>
          <w:trHeight w:val="270"/>
        </w:trPr>
        <w:tc>
          <w:tcPr>
            <w:tcW w:w="70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Pre-tax operating loss </w:t>
            </w:r>
            <w:r>
              <w:rPr>
                <w:rFonts w:ascii="Arial" w:cs="Arial" w:eastAsia="Arial" w:hAnsi="Arial"/>
                <w:sz w:val="25"/>
                <w:szCs w:val="25"/>
                <w:color w:val="auto"/>
                <w:vertAlign w:val="superscript"/>
              </w:rPr>
              <w:t>(1)(2)</w:t>
            </w: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73"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Excludes eliminations of intercompany sales and any associated profit.</w:t>
      </w:r>
    </w:p>
    <w:p>
      <w:pPr>
        <w:spacing w:after="0" w:line="1" w:lineRule="exact"/>
        <w:rPr>
          <w:rFonts w:ascii="Arial" w:cs="Arial" w:eastAsia="Arial" w:hAnsi="Arial"/>
          <w:sz w:val="23"/>
          <w:szCs w:val="23"/>
          <w:color w:val="auto"/>
          <w:vertAlign w:val="superscript"/>
        </w:rPr>
      </w:pPr>
    </w:p>
    <w:p>
      <w:pPr>
        <w:ind w:left="520" w:hanging="188"/>
        <w:spacing w:after="0" w:line="194" w:lineRule="auto"/>
        <w:tabs>
          <w:tab w:leader="none" w:pos="52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Pre-tax operating loss for the year ended December 31, 2012 included a $20.5 million goodwill impairment loss.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6" w:right="239" w:bottom="1440" w:gutter="0" w:footer="0" w:header="0"/>
        </w:sectPr>
      </w:pPr>
    </w:p>
    <w:bookmarkStart w:id="72" w:name="page73"/>
    <w:bookmarkEnd w:id="72"/>
    <w:p>
      <w:pPr>
        <w:ind w:left="260"/>
        <w:spacing w:after="0"/>
        <w:rPr>
          <w:sz w:val="20"/>
          <w:szCs w:val="20"/>
          <w:color w:val="auto"/>
        </w:rPr>
      </w:pPr>
      <w:r>
        <w:rPr>
          <w:rFonts w:ascii="Arial" w:cs="Arial" w:eastAsia="Arial" w:hAnsi="Arial"/>
          <w:sz w:val="17"/>
          <w:szCs w:val="17"/>
          <w:color w:val="auto"/>
        </w:rPr>
        <w:t>The assets and liabilities of the Service Experts business included the following in the accompanying Consolidated Balance Sheets (in millions):</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208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rPr>
              <w:t>As of December 31,</w:t>
            </w:r>
          </w:p>
        </w:tc>
        <w:tc>
          <w:tcPr>
            <w:tcW w:w="420" w:type="dxa"/>
            <w:vAlign w:val="bottom"/>
          </w:tcPr>
          <w:p>
            <w:pPr>
              <w:spacing w:after="0"/>
              <w:rPr>
                <w:sz w:val="18"/>
                <w:szCs w:val="18"/>
                <w:color w:val="auto"/>
              </w:rPr>
            </w:pPr>
          </w:p>
        </w:tc>
      </w:tr>
      <w:tr>
        <w:trPr>
          <w:trHeight w:val="33"/>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1"/>
        </w:trPr>
        <w:tc>
          <w:tcPr>
            <w:tcW w:w="8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Pr>
          <w:p>
            <w:pPr>
              <w:spacing w:after="0"/>
              <w:rPr>
                <w:sz w:val="20"/>
                <w:szCs w:val="20"/>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discontinued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2"/>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11.2</w:t>
            </w:r>
          </w:p>
        </w:tc>
      </w:tr>
      <w:tr>
        <w:trPr>
          <w:trHeight w:val="27"/>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and intangible assets, net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66.2</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97"/>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 of discontinued operations</w:t>
            </w: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98.6</w:t>
            </w: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of discontinued operations:</w:t>
            </w:r>
          </w:p>
        </w:tc>
        <w:tc>
          <w:tcPr>
            <w:tcW w:w="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2"/>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16.7</w:t>
            </w:r>
          </w:p>
        </w:tc>
      </w:tr>
      <w:tr>
        <w:trPr>
          <w:trHeight w:val="27"/>
        </w:trPr>
        <w:tc>
          <w:tcPr>
            <w:tcW w:w="8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38.5</w:t>
            </w:r>
          </w:p>
        </w:tc>
      </w:tr>
      <w:tr>
        <w:trPr>
          <w:trHeight w:val="237"/>
        </w:trPr>
        <w:tc>
          <w:tcPr>
            <w:tcW w:w="8400" w:type="dxa"/>
            <w:vAlign w:val="bottom"/>
          </w:tcPr>
          <w:p>
            <w:pPr>
              <w:ind w:left="280"/>
              <w:spacing w:after="0"/>
              <w:rPr>
                <w:sz w:val="20"/>
                <w:szCs w:val="20"/>
                <w:color w:val="auto"/>
              </w:rPr>
            </w:pPr>
            <w:r>
              <w:rPr>
                <w:rFonts w:ascii="Arial" w:cs="Arial" w:eastAsia="Arial" w:hAnsi="Arial"/>
                <w:sz w:val="18"/>
                <w:szCs w:val="18"/>
                <w:color w:val="auto"/>
              </w:rPr>
              <w:t>Total liabilities of discontinued operations</w:t>
            </w:r>
          </w:p>
        </w:tc>
        <w:tc>
          <w:tcPr>
            <w:tcW w:w="82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55.2</w:t>
            </w:r>
          </w:p>
        </w:tc>
      </w:tr>
      <w:tr>
        <w:trPr>
          <w:trHeight w:val="27"/>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820" w:hanging="245"/>
        <w:spacing w:after="0" w:line="216" w:lineRule="auto"/>
        <w:tabs>
          <w:tab w:leader="none" w:pos="782"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Included in the December 31, 2012 amount is goodwill of $66.0 million. No goodwill impairments were recorded in 2013 and all goodwill was eliminated on March 22, 2013 as a result of the sale of the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Hearth</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net sales and pre-tax gains and losses for the Hearth business is detailed below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gridSpan w:val="7"/>
          </w:tcPr>
          <w:p>
            <w:pPr>
              <w:jc w:val="right"/>
              <w:ind w:right="692"/>
              <w:spacing w:after="0"/>
              <w:rPr>
                <w:sz w:val="20"/>
                <w:szCs w:val="20"/>
                <w:color w:val="auto"/>
              </w:rPr>
            </w:pPr>
            <w:r>
              <w:rPr>
                <w:rFonts w:ascii="Arial" w:cs="Arial" w:eastAsia="Arial" w:hAnsi="Arial"/>
                <w:sz w:val="16"/>
                <w:szCs w:val="16"/>
                <w:b w:val="1"/>
                <w:bCs w:val="1"/>
                <w:color w:val="auto"/>
                <w:w w:val="90"/>
              </w:rPr>
              <w:t>For the Years Ended December 31,</w:t>
            </w:r>
          </w:p>
        </w:tc>
      </w:tr>
      <w:tr>
        <w:trPr>
          <w:trHeight w:val="33"/>
        </w:trPr>
        <w:tc>
          <w:tcPr>
            <w:tcW w:w="7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2011</w:t>
            </w:r>
          </w:p>
        </w:tc>
      </w:tr>
      <w:tr>
        <w:trPr>
          <w:trHeight w:val="33"/>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w:t>
            </w: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Pre-tax operating income (loss)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8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left="540" w:right="20" w:hanging="208"/>
        <w:spacing w:after="0" w:line="226" w:lineRule="auto"/>
        <w:tabs>
          <w:tab w:leader="none" w:pos="5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Pre-tax operating loss in 2012 included a $6.3 million pre-tax impairment charge for the write-down of net assets to their estimated fair value, a $6.3 million settlement charge related to actuarial losses recognized upon transition of a pension obligation to the acquirer of the Hearth business and a $3.5 million gain related to realized foreign currency translation adjustments.</w:t>
      </w:r>
    </w:p>
    <w:p>
      <w:pPr>
        <w:spacing w:after="0" w:line="204" w:lineRule="exact"/>
        <w:rPr>
          <w:sz w:val="20"/>
          <w:szCs w:val="20"/>
          <w:color w:val="auto"/>
        </w:rPr>
      </w:pPr>
    </w:p>
    <w:p>
      <w:pPr>
        <w:ind w:right="200" w:firstLine="243"/>
        <w:spacing w:after="0" w:line="277" w:lineRule="auto"/>
        <w:rPr>
          <w:sz w:val="20"/>
          <w:szCs w:val="20"/>
          <w:color w:val="auto"/>
        </w:rPr>
      </w:pPr>
      <w:r>
        <w:rPr>
          <w:rFonts w:ascii="Arial" w:cs="Arial" w:eastAsia="Arial" w:hAnsi="Arial"/>
          <w:sz w:val="18"/>
          <w:szCs w:val="18"/>
          <w:color w:val="auto"/>
        </w:rPr>
        <w:t>There were no assets or liabilities related to the Hearth business included in the accompanying Consolidated Balance Sheets as of December 31, 2013 or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18. Earnings Per Share:</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right"/>
              <w:ind w:right="691"/>
              <w:spacing w:after="0"/>
              <w:rPr>
                <w:sz w:val="20"/>
                <w:szCs w:val="20"/>
                <w:color w:val="auto"/>
              </w:rPr>
            </w:pPr>
            <w:r>
              <w:rPr>
                <w:rFonts w:ascii="Arial" w:cs="Arial" w:eastAsia="Arial" w:hAnsi="Arial"/>
                <w:sz w:val="16"/>
                <w:szCs w:val="16"/>
                <w:b w:val="1"/>
                <w:bCs w:val="1"/>
                <w:color w:val="auto"/>
              </w:rPr>
              <w:t>For the Years Ended December 31,</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1"/>
              <w:spacing w:after="0"/>
              <w:rPr>
                <w:sz w:val="20"/>
                <w:szCs w:val="20"/>
                <w:color w:val="auto"/>
              </w:rPr>
            </w:pPr>
            <w:r>
              <w:rPr>
                <w:rFonts w:ascii="Arial" w:cs="Arial" w:eastAsia="Arial" w:hAnsi="Arial"/>
                <w:sz w:val="16"/>
                <w:szCs w:val="16"/>
                <w:b w:val="1"/>
                <w:bCs w:val="1"/>
                <w:color w:val="auto"/>
              </w:rPr>
              <w:t>2011</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Loss from discontinued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diluted securities attributable to stock-based payments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 diluted</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78"/>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per share - Diluted: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stock appreciation rights were outstanding but not included in the diluted earnings per share calculation because the assumed exercise of such rights would have been anti-dilutive (shares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60" w:type="dxa"/>
            <w:vAlign w:val="bottom"/>
            <w:gridSpan w:val="5"/>
          </w:tcPr>
          <w:p>
            <w:pPr>
              <w:ind w:left="1420"/>
              <w:spacing w:after="0"/>
              <w:rPr>
                <w:sz w:val="20"/>
                <w:szCs w:val="20"/>
                <w:color w:val="auto"/>
              </w:rPr>
            </w:pPr>
            <w:r>
              <w:rPr>
                <w:rFonts w:ascii="Arial" w:cs="Arial" w:eastAsia="Arial" w:hAnsi="Arial"/>
                <w:sz w:val="16"/>
                <w:szCs w:val="16"/>
                <w:b w:val="1"/>
                <w:bCs w:val="1"/>
                <w:color w:val="auto"/>
                <w:w w:val="95"/>
              </w:rPr>
              <w:t>For the Years Ended December 31,</w:t>
            </w:r>
          </w:p>
        </w:tc>
        <w:tc>
          <w:tcPr>
            <w:tcW w:w="12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6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20"/>
                <w:szCs w:val="20"/>
                <w:color w:val="auto"/>
              </w:rPr>
            </w:pPr>
          </w:p>
        </w:tc>
        <w:tc>
          <w:tcPr>
            <w:tcW w:w="16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2011</w:t>
            </w:r>
          </w:p>
        </w:tc>
      </w:tr>
      <w:tr>
        <w:trPr>
          <w:trHeight w:val="33"/>
        </w:trPr>
        <w:tc>
          <w:tcPr>
            <w:tcW w:w="4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w:t>
            </w:r>
          </w:p>
        </w:tc>
        <w:tc>
          <w:tcPr>
            <w:tcW w:w="36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Price ranges per share</w:t>
            </w:r>
          </w:p>
        </w:tc>
        <w:tc>
          <w:tcPr>
            <w:tcW w:w="3660" w:type="dxa"/>
            <w:vAlign w:val="bottom"/>
            <w:gridSpan w:val="2"/>
          </w:tcPr>
          <w:p>
            <w:pPr>
              <w:jc w:val="right"/>
              <w:ind w:right="39"/>
              <w:spacing w:after="0"/>
              <w:rPr>
                <w:sz w:val="20"/>
                <w:szCs w:val="20"/>
                <w:color w:val="auto"/>
              </w:rPr>
            </w:pPr>
            <w:r>
              <w:rPr>
                <w:rFonts w:ascii="Arial" w:cs="Arial" w:eastAsia="Arial" w:hAnsi="Arial"/>
                <w:sz w:val="18"/>
                <w:szCs w:val="18"/>
                <w:color w:val="auto"/>
              </w:rPr>
              <w:t>$81.11 - $81.14</w:t>
            </w:r>
          </w:p>
        </w:tc>
        <w:tc>
          <w:tcPr>
            <w:tcW w:w="2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$51.11 - $51.40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8"/>
              </w:rPr>
              <w:t>$34.06 - $46.78</w:t>
            </w:r>
          </w:p>
        </w:tc>
      </w:tr>
      <w:tr>
        <w:trPr>
          <w:trHeight w:val="702"/>
        </w:trPr>
        <w:tc>
          <w:tcPr>
            <w:tcW w:w="4120" w:type="dxa"/>
            <w:vAlign w:val="bottom"/>
          </w:tcPr>
          <w:p>
            <w:pPr>
              <w:spacing w:after="0"/>
              <w:rPr>
                <w:sz w:val="24"/>
                <w:szCs w:val="24"/>
                <w:color w:val="auto"/>
              </w:rPr>
            </w:pPr>
          </w:p>
        </w:tc>
        <w:tc>
          <w:tcPr>
            <w:tcW w:w="2060" w:type="dxa"/>
            <w:vAlign w:val="bottom"/>
          </w:tcPr>
          <w:p>
            <w:pPr>
              <w:jc w:val="right"/>
              <w:ind w:right="292"/>
              <w:spacing w:after="0"/>
              <w:rPr>
                <w:sz w:val="20"/>
                <w:szCs w:val="20"/>
                <w:color w:val="auto"/>
              </w:rPr>
            </w:pPr>
            <w:r>
              <w:rPr>
                <w:rFonts w:ascii="Arial" w:cs="Arial" w:eastAsia="Arial" w:hAnsi="Arial"/>
                <w:sz w:val="18"/>
                <w:szCs w:val="18"/>
                <w:color w:val="auto"/>
              </w:rPr>
              <w:t>71</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19. Reportable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Segments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Products or Services</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Residential Heating &amp;</w:t>
            </w:r>
          </w:p>
        </w:tc>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Furnaces, air conditioners, heat pumps, packaged heating and</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Cooling</w:t>
            </w:r>
          </w:p>
        </w:tc>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cooling systems, indoor air quality equipment, comfort control</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replacement parts</w:t>
            </w: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i w:val="1"/>
                <w:iCs w:val="1"/>
                <w:color w:val="auto"/>
              </w:rPr>
              <w:t>Commercial Heating &amp;</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w w:val="94"/>
              </w:rPr>
              <w:t>Unitary heating and air conditioning equipment, applied systems,</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48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tcPr>
          <w:p>
            <w:pPr>
              <w:ind w:left="40"/>
              <w:spacing w:after="0"/>
              <w:rPr>
                <w:sz w:val="20"/>
                <w:szCs w:val="20"/>
                <w:color w:val="auto"/>
              </w:rPr>
            </w:pPr>
            <w:r>
              <w:rPr>
                <w:rFonts w:ascii="Arial" w:cs="Arial" w:eastAsia="Arial" w:hAnsi="Arial"/>
                <w:sz w:val="18"/>
                <w:szCs w:val="18"/>
                <w:i w:val="1"/>
                <w:iCs w:val="1"/>
                <w:color w:val="auto"/>
              </w:rPr>
              <w:t>Cooling</w:t>
            </w: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controls, installation and service of commercial heating and</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cooling equipment</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Europe</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Refrigeration</w:t>
            </w:r>
          </w:p>
        </w:tc>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Condensing units, unit coolers, fluid coolers, air cooled</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condensers, air handlers, process chillers, controls,</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compressorized racks, supermarket display cases and systems</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 America</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2012, we announced the planned sale of our Service Experts business. The Service Experts business had previously been reported within the Service Experts reportable segment along with the Lennox National Account Services ("NAS") business. Beginning in the third quarter of 2012, the Service Experts business was included in discontinued operations, NAS was included in our Commercial Heating &amp; Cooling segment, and the Service Experts segment was eliminated. Results for all periods have been revised to reflect this new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below details the items excluded.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recorded these share-based awards as Corporate costs because they are determined at the discretion of the Board of Directors and based on the historical practice of doing so for internal reporting purposes.</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they arise, transactions between segments are recorded on an arm’s-length basis using the relevant market prices. Any intercompany sales and associated profit (and any other intercompany items) are eliminated from segment results. There were no significant intercompany eliminations included in the results presented in the table below.</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and segment profit (loss) by segment, along with a reconciliation of segment profit (loss) to Income from continuing operations before income taxes, are shown below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7"/>
          </w:tcPr>
          <w:p>
            <w:pPr>
              <w:jc w:val="right"/>
              <w:ind w:right="351"/>
              <w:spacing w:after="0"/>
              <w:rPr>
                <w:sz w:val="20"/>
                <w:szCs w:val="20"/>
                <w:color w:val="auto"/>
              </w:rPr>
            </w:pPr>
            <w:r>
              <w:rPr>
                <w:rFonts w:ascii="Arial" w:cs="Arial" w:eastAsia="Arial" w:hAnsi="Arial"/>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25"/>
                <w:szCs w:val="25"/>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1,583.2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1,375.8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1,259.5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5"/>
                <w:szCs w:val="25"/>
                <w:b w:val="1"/>
                <w:bCs w:val="1"/>
                <w:color w:val="auto"/>
                <w:vertAlign w:val="superscript"/>
              </w:rPr>
              <w:t>(2)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 that includes segment profit and eliminations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Reconciliation to income from continuing operations before income taxes: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product quality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Items in Losses and other expenses, net that are excluded from segment profit (loss)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20" w:hanging="169"/>
        <w:spacing w:after="0" w:line="216" w:lineRule="auto"/>
        <w:tabs>
          <w:tab w:leader="none" w:pos="458"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On a consolidated basis, no revenue from transactions with a single customer were 10% or greater of our consolidated net sales for any of the periods presented.</w:t>
      </w:r>
    </w:p>
    <w:p>
      <w:pPr>
        <w:spacing w:after="0" w:line="1" w:lineRule="exact"/>
        <w:rPr>
          <w:rFonts w:ascii="Arial" w:cs="Arial" w:eastAsia="Arial" w:hAnsi="Arial"/>
          <w:sz w:val="25"/>
          <w:szCs w:val="25"/>
          <w:color w:val="auto"/>
          <w:vertAlign w:val="superscript"/>
        </w:rPr>
      </w:pPr>
    </w:p>
    <w:p>
      <w:pPr>
        <w:ind w:left="420" w:hanging="169"/>
        <w:spacing w:after="0" w:line="209" w:lineRule="auto"/>
        <w:tabs>
          <w:tab w:leader="none" w:pos="463"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We define segment profit and loss as a segment's income or loss from continuing operations before income taxes included in the accompanying Consolidated Statements of Operations, excluding:</w:t>
      </w:r>
    </w:p>
    <w:p>
      <w:pPr>
        <w:spacing w:after="0" w:line="1" w:lineRule="exact"/>
        <w:rPr>
          <w:rFonts w:ascii="Arial" w:cs="Arial" w:eastAsia="Arial" w:hAnsi="Arial"/>
          <w:sz w:val="25"/>
          <w:szCs w:val="25"/>
          <w:color w:val="auto"/>
          <w:vertAlign w:val="superscript"/>
        </w:rPr>
      </w:pPr>
    </w:p>
    <w:p>
      <w:pPr>
        <w:ind w:left="740" w:hanging="246"/>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Special product quality adjustments;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Certain items in Losses and other expenses, net (see table note 3 below);</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Goodwill, long-lived asset and equity method investment impairments;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Interest expense,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expense, net.</w:t>
      </w:r>
    </w:p>
    <w:p>
      <w:pPr>
        <w:spacing w:after="0" w:line="9" w:lineRule="exact"/>
        <w:rPr>
          <w:rFonts w:ascii="Arial" w:cs="Arial" w:eastAsia="Arial" w:hAnsi="Arial"/>
          <w:sz w:val="18"/>
          <w:szCs w:val="18"/>
          <w:color w:val="auto"/>
        </w:rPr>
      </w:pPr>
    </w:p>
    <w:p>
      <w:pPr>
        <w:ind w:left="420" w:right="20" w:hanging="169"/>
        <w:spacing w:after="0" w:line="209" w:lineRule="auto"/>
        <w:tabs>
          <w:tab w:leader="none" w:pos="457"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Items in Losses and other expenses, net that are excluded from segment profit or loss are the net change in unrealized gains and/or losses on unsettled futures contracts, special legal contingency charges, asbestos-related litigation and other items.</w:t>
      </w:r>
    </w:p>
    <w:p>
      <w:pPr>
        <w:spacing w:after="0" w:line="325"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assets in the Corporate and other segment primarily consist of cash, short-term investments and deferred tax assets. Assets recorded in the operating segments represent those assets directly associated with those segments. Total assets by segment are shown below (in millions):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4"/>
          </w:tcPr>
          <w:p>
            <w:pPr>
              <w:ind w:left="60"/>
              <w:spacing w:after="0"/>
              <w:rPr>
                <w:sz w:val="20"/>
                <w:szCs w:val="20"/>
                <w:color w:val="auto"/>
              </w:rPr>
            </w:pPr>
            <w:r>
              <w:rPr>
                <w:rFonts w:ascii="Arial" w:cs="Arial" w:eastAsia="Arial" w:hAnsi="Arial"/>
                <w:sz w:val="16"/>
                <w:szCs w:val="16"/>
                <w:b w:val="1"/>
                <w:bCs w:val="1"/>
                <w:color w:val="auto"/>
                <w:w w:val="90"/>
              </w:rPr>
              <w:t>As of December 31,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38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2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37"/>
        </w:trPr>
        <w:tc>
          <w:tcPr>
            <w:tcW w:w="3880" w:type="dxa"/>
            <w:vAlign w:val="bottom"/>
          </w:tcPr>
          <w:p>
            <w:pPr>
              <w:ind w:left="280"/>
              <w:spacing w:after="0"/>
              <w:rPr>
                <w:sz w:val="20"/>
                <w:szCs w:val="20"/>
                <w:color w:val="auto"/>
              </w:rPr>
            </w:pPr>
            <w:r>
              <w:rPr>
                <w:rFonts w:ascii="Arial" w:cs="Arial" w:eastAsia="Arial" w:hAnsi="Arial"/>
                <w:sz w:val="18"/>
                <w:szCs w:val="18"/>
                <w:color w:val="auto"/>
              </w:rPr>
              <w:t>Assets for continuing operations</w:t>
            </w:r>
          </w:p>
        </w:tc>
        <w:tc>
          <w:tcPr>
            <w:tcW w:w="2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(See Note 17)</w:t>
            </w:r>
          </w:p>
        </w:tc>
        <w:tc>
          <w:tcPr>
            <w:tcW w:w="2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57"/>
        </w:trPr>
        <w:tc>
          <w:tcPr>
            <w:tcW w:w="38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320" w:type="dxa"/>
            <w:vAlign w:val="bottom"/>
            <w:vMerge w:val="restart"/>
          </w:tcPr>
          <w:p>
            <w:pPr>
              <w:jc w:val="right"/>
              <w:ind w:right="990"/>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7" w:right="239" w:bottom="1440" w:gutter="0" w:footer="0" w:header="0"/>
        </w:sectPr>
      </w:pPr>
    </w:p>
    <w:bookmarkStart w:id="76" w:name="page77"/>
    <w:bookmarkEnd w:id="76"/>
    <w:p>
      <w:pPr>
        <w:ind w:left="240"/>
        <w:spacing w:after="0"/>
        <w:rPr>
          <w:sz w:val="20"/>
          <w:szCs w:val="20"/>
          <w:color w:val="auto"/>
        </w:rPr>
      </w:pPr>
      <w:r>
        <w:rPr>
          <w:rFonts w:ascii="Arial" w:cs="Arial" w:eastAsia="Arial" w:hAnsi="Arial"/>
          <w:sz w:val="18"/>
          <w:szCs w:val="18"/>
          <w:color w:val="auto"/>
        </w:rPr>
        <w:t>Total capital expenditures by segment are shown below (in millions):</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3860" w:type="dxa"/>
            <w:vAlign w:val="bottom"/>
            <w:gridSpan w:val="8"/>
          </w:tcPr>
          <w:p>
            <w:pPr>
              <w:jc w:val="right"/>
              <w:ind w:right="611"/>
              <w:spacing w:after="0"/>
              <w:rPr>
                <w:sz w:val="20"/>
                <w:szCs w:val="20"/>
                <w:color w:val="auto"/>
              </w:rPr>
            </w:pPr>
            <w:r>
              <w:rPr>
                <w:rFonts w:ascii="Arial" w:cs="Arial" w:eastAsia="Arial" w:hAnsi="Arial"/>
                <w:sz w:val="16"/>
                <w:szCs w:val="16"/>
                <w:b w:val="1"/>
                <w:bCs w:val="1"/>
                <w:color w:val="auto"/>
              </w:rPr>
              <w:t>For the Years Ended December 31,</w:t>
            </w:r>
          </w:p>
        </w:tc>
      </w:tr>
      <w:tr>
        <w:trPr>
          <w:trHeight w:val="33"/>
        </w:trPr>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2011</w:t>
            </w:r>
          </w:p>
        </w:tc>
      </w:tr>
      <w:tr>
        <w:trPr>
          <w:trHeight w:val="33"/>
        </w:trPr>
        <w:tc>
          <w:tcPr>
            <w:tcW w:w="6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8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6200" w:type="dxa"/>
            <w:vAlign w:val="bottom"/>
          </w:tcPr>
          <w:p>
            <w:pPr>
              <w:ind w:left="280"/>
              <w:spacing w:after="0" w:line="264" w:lineRule="exact"/>
              <w:rPr>
                <w:sz w:val="20"/>
                <w:szCs w:val="20"/>
                <w:color w:val="auto"/>
              </w:rPr>
            </w:pPr>
            <w:r>
              <w:rPr>
                <w:rFonts w:ascii="Arial" w:cs="Arial" w:eastAsia="Arial" w:hAnsi="Arial"/>
                <w:sz w:val="18"/>
                <w:szCs w:val="18"/>
                <w:color w:val="auto"/>
              </w:rPr>
              <w:t xml:space="preserve">Total capital expenditures </w:t>
            </w:r>
            <w:r>
              <w:rPr>
                <w:rFonts w:ascii="Arial" w:cs="Arial" w:eastAsia="Arial" w:hAnsi="Arial"/>
                <w:sz w:val="25"/>
                <w:szCs w:val="25"/>
                <w:color w:val="auto"/>
                <w:vertAlign w:val="superscript"/>
              </w:rPr>
              <w:t>(1)</w:t>
            </w: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78.3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6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760" w:hanging="185"/>
        <w:spacing w:after="0"/>
        <w:tabs>
          <w:tab w:leader="none" w:pos="7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amounts recorded under capital leases. There were no significant new capital leases in 2013, 2012 or 2011.</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and amortization expenses by segment are shown below (in millions):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860" w:type="dxa"/>
            <w:vAlign w:val="bottom"/>
            <w:gridSpan w:val="8"/>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8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58.9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The equity method investments are shown below (in millions):</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860" w:type="dxa"/>
            <w:vAlign w:val="bottom"/>
            <w:gridSpan w:val="8"/>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Equity Method Investments:</w:t>
            </w: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(1)</w:t>
            </w:r>
          </w:p>
        </w:tc>
        <w:tc>
          <w:tcPr>
            <w:tcW w:w="8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Total income from equity method investments</w:t>
            </w: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12.2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740" w:hanging="165"/>
        <w:spacing w:after="0" w:line="226" w:lineRule="auto"/>
        <w:tabs>
          <w:tab w:leader="none" w:pos="783"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We allocated $9.6 million, $5.0 million and $4.9 million of income from equity method investments to our Residential Heating &amp; Cooling and Commercial Heating &amp; Cooling segments in 2013, 2012 and 2011, respectively. These allocations were recorded as reductions to the segments' Cost of goods sold 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sales for each major geographic area in which we operate are shown below (in millions):</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7"/>
          </w:tcPr>
          <w:p>
            <w:pPr>
              <w:jc w:val="right"/>
              <w:ind w:right="612"/>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Net Sales to External Customers by Point of Shipment:</w:t>
            </w: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2,382.0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2,147.2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sales to external customers</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3,199.1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990"/>
              <w:spacing w:after="0"/>
              <w:rPr>
                <w:sz w:val="20"/>
                <w:szCs w:val="20"/>
                <w:color w:val="auto"/>
              </w:rPr>
            </w:pPr>
            <w:r>
              <w:rPr>
                <w:rFonts w:ascii="Arial" w:cs="Arial" w:eastAsia="Arial" w:hAnsi="Arial"/>
                <w:sz w:val="18"/>
                <w:szCs w:val="18"/>
                <w:color w:val="auto"/>
              </w:rPr>
              <w:t>74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7" w:name="page78"/>
    <w:bookmarkEnd w:id="77"/>
    <w:p>
      <w:pPr>
        <w:ind w:right="420" w:firstLine="243"/>
        <w:spacing w:after="0" w:line="277" w:lineRule="auto"/>
        <w:rPr>
          <w:sz w:val="20"/>
          <w:szCs w:val="20"/>
          <w:color w:val="auto"/>
        </w:rPr>
      </w:pPr>
      <w:r>
        <w:rPr>
          <w:rFonts w:ascii="Arial" w:cs="Arial" w:eastAsia="Arial" w:hAnsi="Arial"/>
          <w:sz w:val="18"/>
          <w:szCs w:val="18"/>
          <w:color w:val="auto"/>
        </w:rPr>
        <w:t>Property, plant and equipment, net for each major geographic area in which we operate, based on the domicile of our operations, are shown below (in millions):</w:t>
      </w:r>
    </w:p>
    <w:p>
      <w:pPr>
        <w:spacing w:after="0" w:line="130"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4"/>
          </w:tcPr>
          <w:p>
            <w:pPr>
              <w:ind w:left="60"/>
              <w:spacing w:after="0"/>
              <w:rPr>
                <w:sz w:val="20"/>
                <w:szCs w:val="20"/>
                <w:color w:val="auto"/>
              </w:rPr>
            </w:pPr>
            <w:r>
              <w:rPr>
                <w:rFonts w:ascii="Arial" w:cs="Arial" w:eastAsia="Arial" w:hAnsi="Arial"/>
                <w:sz w:val="16"/>
                <w:szCs w:val="16"/>
                <w:b w:val="1"/>
                <w:bCs w:val="1"/>
                <w:color w:val="auto"/>
                <w:w w:val="90"/>
              </w:rPr>
              <w:t>As of December 31,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2011</w:t>
            </w:r>
          </w:p>
        </w:tc>
      </w:tr>
      <w:tr>
        <w:trPr>
          <w:trHeight w:val="33"/>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230.3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Canada</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57"/>
        </w:trPr>
        <w:tc>
          <w:tcPr>
            <w:tcW w:w="620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187"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Quoted prices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instruments in active markets at the measurement date.</w:t>
      </w:r>
    </w:p>
    <w:p>
      <w:pPr>
        <w:spacing w:after="0" w:line="225" w:lineRule="exact"/>
        <w:rPr>
          <w:sz w:val="20"/>
          <w:szCs w:val="20"/>
          <w:color w:val="auto"/>
        </w:rPr>
      </w:pPr>
    </w:p>
    <w:p>
      <w:pPr>
        <w:jc w:val="both"/>
        <w:ind w:left="1300" w:right="20" w:hanging="890"/>
        <w:spacing w:after="0" w:line="264" w:lineRule="auto"/>
        <w:tabs>
          <w:tab w:leader="none" w:pos="1280" w:val="left"/>
        </w:tabs>
        <w:rPr>
          <w:sz w:val="20"/>
          <w:szCs w:val="20"/>
          <w:color w:val="auto"/>
        </w:rPr>
      </w:pPr>
      <w:r>
        <w:rPr>
          <w:rFonts w:ascii="Arial" w:cs="Arial" w:eastAsia="Arial" w:hAnsi="Arial"/>
          <w:sz w:val="18"/>
          <w:szCs w:val="18"/>
          <w:i w:val="1"/>
          <w:iCs w:val="1"/>
          <w:color w:val="auto"/>
        </w:rPr>
        <w:t>Level 2 -</w:t>
      </w:r>
      <w:r>
        <w:rPr>
          <w:sz w:val="20"/>
          <w:szCs w:val="20"/>
          <w:color w:val="auto"/>
        </w:rPr>
        <w:tab/>
      </w:r>
      <w:r>
        <w:rPr>
          <w:rFonts w:ascii="Arial" w:cs="Arial" w:eastAsia="Arial" w:hAnsi="Arial"/>
          <w:sz w:val="18"/>
          <w:szCs w:val="18"/>
          <w:color w:val="auto"/>
        </w:rPr>
        <w:t xml:space="preserve">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8"/>
          <w:szCs w:val="18"/>
          <w:i w:val="1"/>
          <w:iCs w:val="1"/>
          <w:color w:val="auto"/>
        </w:rPr>
        <w:t>observable</w:t>
      </w:r>
      <w:r>
        <w:rPr>
          <w:rFonts w:ascii="Arial" w:cs="Arial" w:eastAsia="Arial" w:hAnsi="Arial"/>
          <w:sz w:val="18"/>
          <w:szCs w:val="18"/>
          <w:color w:val="auto"/>
        </w:rPr>
        <w:t xml:space="preserve"> in active markets at the measurement date and for the anticipated term of the instrument.</w:t>
      </w:r>
    </w:p>
    <w:p>
      <w:pPr>
        <w:spacing w:after="0" w:line="181" w:lineRule="exact"/>
        <w:rPr>
          <w:sz w:val="20"/>
          <w:szCs w:val="20"/>
          <w:color w:val="auto"/>
        </w:rPr>
      </w:pPr>
    </w:p>
    <w:p>
      <w:pPr>
        <w:jc w:val="both"/>
        <w:ind w:left="1300" w:right="20" w:hanging="890"/>
        <w:spacing w:after="0" w:line="264" w:lineRule="auto"/>
        <w:tabs>
          <w:tab w:leader="none" w:pos="1280" w:val="left"/>
        </w:tabs>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Valuations derived from valuation techniques in which one or more significant inputs or significant value drivers are </w:t>
      </w:r>
      <w:r>
        <w:rPr>
          <w:rFonts w:ascii="Arial" w:cs="Arial" w:eastAsia="Arial" w:hAnsi="Arial"/>
          <w:sz w:val="18"/>
          <w:szCs w:val="18"/>
          <w:i w:val="1"/>
          <w:iCs w:val="1"/>
          <w:color w:val="auto"/>
        </w:rPr>
        <w:t>unobservable</w:t>
      </w:r>
      <w:r>
        <w:rPr>
          <w:rFonts w:ascii="Arial" w:cs="Arial" w:eastAsia="Arial" w:hAnsi="Arial"/>
          <w:sz w:val="18"/>
          <w:szCs w:val="18"/>
          <w:color w:val="auto"/>
        </w:rPr>
        <w:t xml:space="preserve"> inputs that reflect the reporting entity's own assumptions about the assumptions market participants would use in pricing the asset or liability developed based on the best information available in the circumstances.</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2013 and 2012, the measurement dates. The methodologies used to determine the fair value of our financial assets and liabilities as of December 31, 2013 were the same as those used as of December 31, 2012.</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Fair values are estimates and are not necessarily indicative of amounts for which we could settle such instruments currently nor indicative of our intent or ability to dispose of or liquidate them.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8 for more information related to our derivative instruments.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Marketable Equity Securities</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presents the fair values of an investment in marketable equity securities, related to publicly traded stock of a non-U.S. company, recorded in Other assets, net in the accompanying Consolidated Balance Sheets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8" w:name="page79"/>
    <w:bookmarkEnd w:id="78"/>
    <w:p>
      <w:pPr>
        <w:jc w:val="center"/>
        <w:ind w:left="836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8920"/>
        <w:spacing w:after="0"/>
        <w:tabs>
          <w:tab w:leader="none" w:pos="1050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Quoted Prices in Active Markets for Identical Assets (Level 1):</w:t>
      </w:r>
    </w:p>
    <w:p>
      <w:pPr>
        <w:spacing w:after="0" w:line="81" w:lineRule="exact"/>
        <w:rPr>
          <w:sz w:val="20"/>
          <w:szCs w:val="20"/>
          <w:color w:val="auto"/>
        </w:rPr>
      </w:pPr>
    </w:p>
    <w:p>
      <w:pPr>
        <w:ind w:left="40"/>
        <w:spacing w:after="0"/>
        <w:tabs>
          <w:tab w:leader="none" w:pos="8340" w:val="left"/>
          <w:tab w:leader="none" w:pos="9480" w:val="left"/>
          <w:tab w:leader="none" w:pos="9960" w:val="left"/>
          <w:tab w:leader="none" w:pos="10980" w:val="left"/>
        </w:tabs>
        <w:rPr>
          <w:sz w:val="20"/>
          <w:szCs w:val="20"/>
          <w:color w:val="auto"/>
        </w:rPr>
      </w:pPr>
      <w:r>
        <w:rPr>
          <w:rFonts w:ascii="Arial" w:cs="Arial" w:eastAsia="Arial" w:hAnsi="Arial"/>
          <w:sz w:val="18"/>
          <w:szCs w:val="18"/>
          <w:color w:val="auto"/>
        </w:rPr>
        <w:t>Investment in marketable equity securities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w:t>
        <w:tab/>
        <w:t>$</w:t>
      </w:r>
      <w:r>
        <w:rPr>
          <w:sz w:val="20"/>
          <w:szCs w:val="20"/>
          <w:color w:val="auto"/>
        </w:rPr>
        <w:tab/>
      </w:r>
      <w:r>
        <w:rPr>
          <w:rFonts w:ascii="Arial" w:cs="Arial" w:eastAsia="Arial" w:hAnsi="Arial"/>
          <w:sz w:val="16"/>
          <w:szCs w:val="16"/>
          <w:color w:val="auto"/>
        </w:rPr>
        <w:t>10.6</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Other current liabilities, and Short-term debt approximate fair value due to the short maturities of these instruments. The carrying amount of our Domestic Revolving Credit Facility in Long-term debt also approximates fair value due to its variable-rate characteristics.</w:t>
      </w:r>
    </w:p>
    <w:p>
      <w:pPr>
        <w:spacing w:after="0" w:line="18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spacing w:after="0" w:line="107"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37465</wp:posOffset>
            </wp:positionV>
            <wp:extent cx="1903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0" w:lineRule="exact"/>
        <w:rPr>
          <w:sz w:val="20"/>
          <w:szCs w:val="20"/>
          <w:color w:val="auto"/>
        </w:rPr>
      </w:pPr>
    </w:p>
    <w:p>
      <w:pPr>
        <w:ind w:left="8820"/>
        <w:spacing w:after="0"/>
        <w:tabs>
          <w:tab w:leader="none" w:pos="1036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37465</wp:posOffset>
            </wp:positionV>
            <wp:extent cx="704088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40880" cy="180340"/>
                    </a:xfrm>
                    <a:prstGeom prst="rect">
                      <a:avLst/>
                    </a:prstGeom>
                    <a:noFill/>
                  </pic:spPr>
                </pic:pic>
              </a:graphicData>
            </a:graphic>
          </wp:anchor>
        </w:drawing>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Quoted Prices in Active Markets for Similar Instruments (Level 2):</w:t>
      </w:r>
    </w:p>
    <w:p>
      <w:pPr>
        <w:spacing w:after="0" w:line="81" w:lineRule="exact"/>
        <w:rPr>
          <w:sz w:val="20"/>
          <w:szCs w:val="20"/>
          <w:color w:val="auto"/>
        </w:rPr>
      </w:pPr>
    </w:p>
    <w:p>
      <w:pPr>
        <w:ind w:left="200"/>
        <w:spacing w:after="0"/>
        <w:tabs>
          <w:tab w:leader="none" w:pos="8260" w:val="left"/>
          <w:tab w:leader="none" w:pos="9180" w:val="left"/>
          <w:tab w:leader="none" w:pos="9820" w:val="left"/>
          <w:tab w:leader="none" w:pos="10720" w:val="left"/>
        </w:tabs>
        <w:rPr>
          <w:sz w:val="20"/>
          <w:szCs w:val="20"/>
          <w:color w:val="auto"/>
        </w:rPr>
      </w:pPr>
      <w:r>
        <w:rPr>
          <w:rFonts w:ascii="Arial" w:cs="Arial" w:eastAsia="Arial" w:hAnsi="Arial"/>
          <w:sz w:val="18"/>
          <w:szCs w:val="18"/>
          <w:color w:val="auto"/>
        </w:rPr>
        <w:t>Senior unsecured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214.0</w:t>
        <w:tab/>
        <w:t>$</w:t>
      </w:r>
      <w:r>
        <w:rPr>
          <w:sz w:val="20"/>
          <w:szCs w:val="20"/>
          <w:color w:val="auto"/>
        </w:rPr>
        <w:tab/>
      </w:r>
      <w:r>
        <w:rPr>
          <w:rFonts w:ascii="Arial" w:cs="Arial" w:eastAsia="Arial" w:hAnsi="Arial"/>
          <w:sz w:val="16"/>
          <w:szCs w:val="16"/>
          <w:color w:val="auto"/>
        </w:rPr>
        <w:t>212.3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Financial Information (unaudited)</w:t>
      </w:r>
      <w:r>
        <w:rPr>
          <w:rFonts w:ascii="Arial" w:cs="Arial" w:eastAsia="Arial" w:hAnsi="Arial"/>
          <w:sz w:val="18"/>
          <w:szCs w:val="18"/>
          <w:color w:val="auto"/>
        </w:rPr>
        <w:t>:</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tables provide information on Net sales, Gross profit, Net income, Earnings per share and Cash dividends declared per share by quarter (in millions, except per share data):</w:t>
      </w:r>
    </w:p>
    <w:p>
      <w:pPr>
        <w:spacing w:after="0" w:line="130"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2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jc w:val="center"/>
              <w:ind w:left="433"/>
              <w:spacing w:after="0"/>
              <w:rPr>
                <w:sz w:val="20"/>
                <w:szCs w:val="20"/>
                <w:color w:val="auto"/>
              </w:rPr>
            </w:pPr>
            <w:r>
              <w:rPr>
                <w:rFonts w:ascii="Arial" w:cs="Arial" w:eastAsia="Arial" w:hAnsi="Arial"/>
                <w:sz w:val="16"/>
                <w:szCs w:val="16"/>
                <w:b w:val="1"/>
                <w:bCs w:val="1"/>
                <w:color w:val="auto"/>
                <w:w w:val="85"/>
              </w:rPr>
              <w:t xml:space="preserve">Net Sales </w:t>
            </w:r>
            <w:r>
              <w:rPr>
                <w:rFonts w:ascii="Arial" w:cs="Arial" w:eastAsia="Arial" w:hAnsi="Arial"/>
                <w:sz w:val="21"/>
                <w:szCs w:val="21"/>
                <w:b w:val="1"/>
                <w:bCs w:val="1"/>
                <w:color w:val="auto"/>
                <w:w w:val="85"/>
                <w:vertAlign w:val="superscript"/>
              </w:rPr>
              <w:t>(1)</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89"/>
              </w:rPr>
              <w:t xml:space="preserve">Gross Profit </w:t>
            </w:r>
            <w:r>
              <w:rPr>
                <w:rFonts w:ascii="Arial" w:cs="Arial" w:eastAsia="Arial" w:hAnsi="Arial"/>
                <w:sz w:val="21"/>
                <w:szCs w:val="21"/>
                <w:b w:val="1"/>
                <w:bCs w:val="1"/>
                <w:color w:val="auto"/>
                <w:w w:val="89"/>
                <w:vertAlign w:val="superscript"/>
              </w:rPr>
              <w:t>(1)</w:t>
            </w:r>
          </w:p>
        </w:tc>
        <w:tc>
          <w:tcPr>
            <w:tcW w:w="180" w:type="dxa"/>
            <w:vAlign w:val="bottom"/>
          </w:tcPr>
          <w:p>
            <w:pPr>
              <w:spacing w:after="0"/>
              <w:rPr>
                <w:sz w:val="21"/>
                <w:szCs w:val="21"/>
                <w:color w:val="auto"/>
              </w:rPr>
            </w:pPr>
          </w:p>
        </w:tc>
        <w:tc>
          <w:tcPr>
            <w:tcW w:w="2320" w:type="dxa"/>
            <w:vAlign w:val="bottom"/>
            <w:gridSpan w:val="5"/>
          </w:tcPr>
          <w:p>
            <w:pPr>
              <w:jc w:val="right"/>
              <w:ind w:right="432"/>
              <w:spacing w:after="0"/>
              <w:rPr>
                <w:sz w:val="20"/>
                <w:szCs w:val="20"/>
                <w:color w:val="auto"/>
              </w:rPr>
            </w:pPr>
            <w:r>
              <w:rPr>
                <w:rFonts w:ascii="Arial" w:cs="Arial" w:eastAsia="Arial" w:hAnsi="Arial"/>
                <w:sz w:val="16"/>
                <w:szCs w:val="16"/>
                <w:b w:val="1"/>
                <w:bCs w:val="1"/>
                <w:color w:val="auto"/>
              </w:rPr>
              <w:t xml:space="preserve">Net Income (Loss)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31"/>
        </w:trPr>
        <w:tc>
          <w:tcPr>
            <w:tcW w:w="25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2013</w:t>
            </w: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913.1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254.0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749.5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594"/>
        </w:trPr>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89"/>
              </w:rPr>
              <w:t>Basic Earnings (Loss)</w:t>
            </w:r>
          </w:p>
        </w:tc>
        <w:tc>
          <w:tcPr>
            <w:tcW w:w="2700" w:type="dxa"/>
            <w:vAlign w:val="bottom"/>
            <w:gridSpan w:val="6"/>
            <w:vMerge w:val="restart"/>
          </w:tcPr>
          <w:p>
            <w:pPr>
              <w:jc w:val="center"/>
              <w:ind w:right="160"/>
              <w:spacing w:after="0"/>
              <w:rPr>
                <w:sz w:val="20"/>
                <w:szCs w:val="20"/>
                <w:color w:val="auto"/>
              </w:rPr>
            </w:pPr>
            <w:r>
              <w:rPr>
                <w:rFonts w:ascii="Arial" w:cs="Arial" w:eastAsia="Arial" w:hAnsi="Arial"/>
                <w:sz w:val="16"/>
                <w:szCs w:val="16"/>
                <w:b w:val="1"/>
                <w:bCs w:val="1"/>
                <w:color w:val="auto"/>
                <w:w w:val="92"/>
              </w:rPr>
              <w:t>Diluted Earnings (Loss) per Share</w:t>
            </w:r>
          </w:p>
        </w:tc>
        <w:tc>
          <w:tcPr>
            <w:tcW w:w="180" w:type="dxa"/>
            <w:vAlign w:val="bottom"/>
          </w:tcPr>
          <w:p>
            <w:pPr>
              <w:spacing w:after="0"/>
              <w:rPr>
                <w:sz w:val="24"/>
                <w:szCs w:val="24"/>
                <w:color w:val="auto"/>
              </w:rPr>
            </w:pPr>
          </w:p>
        </w:tc>
        <w:tc>
          <w:tcPr>
            <w:tcW w:w="2320" w:type="dxa"/>
            <w:vAlign w:val="bottom"/>
            <w:gridSpan w:val="5"/>
          </w:tcPr>
          <w:p>
            <w:pPr>
              <w:jc w:val="right"/>
              <w:ind w:right="112"/>
              <w:spacing w:after="0"/>
              <w:rPr>
                <w:sz w:val="20"/>
                <w:szCs w:val="20"/>
                <w:color w:val="auto"/>
              </w:rPr>
            </w:pPr>
            <w:r>
              <w:rPr>
                <w:rFonts w:ascii="Arial" w:cs="Arial" w:eastAsia="Arial" w:hAnsi="Arial"/>
                <w:sz w:val="16"/>
                <w:szCs w:val="16"/>
                <w:b w:val="1"/>
                <w:bCs w:val="1"/>
                <w:color w:val="auto"/>
                <w:w w:val="94"/>
              </w:rPr>
              <w:t>Cash Dividends per Common</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3"/>
            <w:vMerge w:val="restart"/>
          </w:tcPr>
          <w:p>
            <w:pPr>
              <w:jc w:val="center"/>
              <w:ind w:left="453"/>
              <w:spacing w:after="0"/>
              <w:rPr>
                <w:sz w:val="20"/>
                <w:szCs w:val="20"/>
                <w:color w:val="auto"/>
              </w:rPr>
            </w:pPr>
            <w:r>
              <w:rPr>
                <w:rFonts w:ascii="Arial" w:cs="Arial" w:eastAsia="Arial" w:hAnsi="Arial"/>
                <w:sz w:val="16"/>
                <w:szCs w:val="16"/>
                <w:b w:val="1"/>
                <w:bCs w:val="1"/>
                <w:color w:val="auto"/>
                <w:w w:val="90"/>
              </w:rPr>
              <w:t xml:space="preserve">per Share </w:t>
            </w:r>
            <w:r>
              <w:rPr>
                <w:rFonts w:ascii="Arial" w:cs="Arial" w:eastAsia="Arial" w:hAnsi="Arial"/>
                <w:sz w:val="21"/>
                <w:szCs w:val="21"/>
                <w:b w:val="1"/>
                <w:bCs w:val="1"/>
                <w:color w:val="auto"/>
                <w:w w:val="90"/>
                <w:vertAlign w:val="superscript"/>
              </w:rPr>
              <w:t>(2)</w:t>
            </w: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70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89"/>
              </w:rPr>
              <w:t>Share</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0.70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80" w:hanging="186"/>
        <w:spacing w:after="0"/>
        <w:tabs>
          <w:tab w:leader="none" w:pos="68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The sum of the quarterly results for each of the four quarters may not equal the full year results due to rounding.</w:t>
      </w:r>
    </w:p>
    <w:p>
      <w:pPr>
        <w:spacing w:after="0" w:line="82" w:lineRule="exact"/>
        <w:rPr>
          <w:rFonts w:ascii="Arial" w:cs="Arial" w:eastAsia="Arial" w:hAnsi="Arial"/>
          <w:sz w:val="22"/>
          <w:szCs w:val="22"/>
          <w:color w:val="auto"/>
          <w:vertAlign w:val="superscript"/>
        </w:rPr>
      </w:pPr>
    </w:p>
    <w:p>
      <w:pPr>
        <w:jc w:val="both"/>
        <w:ind w:left="740" w:hanging="246"/>
        <w:spacing w:after="0" w:line="221" w:lineRule="auto"/>
        <w:tabs>
          <w:tab w:leader="none" w:pos="702"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EPS for each quarter is computed using the weighted-average number of shares outstanding during that quarter, while EPS for the fiscal year is computed using the weighted-average number of shares outstanding during the year. Thus, the sum of the EPS for each of the four quarters may not equal the EPS for the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2013 Quarterly Results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unusual or infrequent pre-tax items were included in the 2013 quarterly results: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1st Quarter. </w:t>
      </w:r>
      <w:r>
        <w:rPr>
          <w:rFonts w:ascii="Arial" w:cs="Arial" w:eastAsia="Arial" w:hAnsi="Arial"/>
          <w:sz w:val="18"/>
          <w:szCs w:val="18"/>
          <w:color w:val="auto"/>
        </w:rPr>
        <w:t>On March 22, 2013, we sold our Service Experts business to a majority-owned entity of American Capital, Ltd. (the "Buyer") in an all-cash</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for net proceeds of $10.4 million, excluding transaction costs. We recorded a $1.4 million gain on the sale of the business for the year ended December 31, 2013. Refer to Note 17 for more information.</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760" w:right="239" w:bottom="1440" w:gutter="0" w:footer="0" w:header="0"/>
          <w:type w:val="continuous"/>
        </w:sectPr>
      </w:pPr>
    </w:p>
    <w:bookmarkStart w:id="79" w:name="page80"/>
    <w:bookmarkEnd w:id="79"/>
    <w:p>
      <w:pPr>
        <w:jc w:val="both"/>
        <w:ind w:right="20" w:firstLine="243"/>
        <w:spacing w:after="0" w:line="277" w:lineRule="auto"/>
        <w:rPr>
          <w:sz w:val="20"/>
          <w:szCs w:val="20"/>
          <w:color w:val="auto"/>
        </w:rPr>
      </w:pPr>
      <w:r>
        <w:rPr>
          <w:rFonts w:ascii="Arial" w:cs="Arial" w:eastAsia="Arial" w:hAnsi="Arial"/>
          <w:sz w:val="18"/>
          <w:szCs w:val="18"/>
          <w:i w:val="1"/>
          <w:iCs w:val="1"/>
          <w:color w:val="auto"/>
        </w:rPr>
        <w:t>2nd Quarter</w:t>
      </w:r>
      <w:r>
        <w:rPr>
          <w:rFonts w:ascii="Arial" w:cs="Arial" w:eastAsia="Arial" w:hAnsi="Arial"/>
          <w:sz w:val="18"/>
          <w:szCs w:val="18"/>
          <w:color w:val="auto"/>
        </w:rPr>
        <w:t>. We recorded restructuring charges of $2.4 million primarily related to the completion of the transition activities with our North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Parts Center in Des Moines, Iowa. Refer to Note 16 for more information related to our restructuring activities.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3rd Quarter</w:t>
      </w:r>
      <w:r>
        <w:rPr>
          <w:rFonts w:ascii="Arial" w:cs="Arial" w:eastAsia="Arial" w:hAnsi="Arial"/>
          <w:sz w:val="18"/>
          <w:szCs w:val="18"/>
          <w:color w:val="auto"/>
        </w:rPr>
        <w:t>. We recorded legal contingency charges of $0.8 million associated with ongoing patent litigation. Refer to Note 10 for more information on</w:t>
      </w:r>
      <w:r>
        <w:rPr>
          <w:rFonts w:ascii="Arial" w:cs="Arial" w:eastAsia="Arial" w:hAnsi="Arial"/>
          <w:sz w:val="18"/>
          <w:szCs w:val="18"/>
          <w:i w:val="1"/>
          <w:iCs w:val="1"/>
          <w:color w:val="auto"/>
        </w:rPr>
        <w:t xml:space="preserve"> </w:t>
      </w:r>
      <w:r>
        <w:rPr>
          <w:rFonts w:ascii="Arial" w:cs="Arial" w:eastAsia="Arial" w:hAnsi="Arial"/>
          <w:sz w:val="18"/>
          <w:szCs w:val="18"/>
          <w:color w:val="auto"/>
        </w:rPr>
        <w:t>our legal contingencies.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4th Quarter</w:t>
      </w:r>
      <w:r>
        <w:rPr>
          <w:rFonts w:ascii="Arial" w:cs="Arial" w:eastAsia="Arial" w:hAnsi="Arial"/>
          <w:sz w:val="18"/>
          <w:szCs w:val="18"/>
          <w:color w:val="auto"/>
        </w:rPr>
        <w:t>. We recorded expenses of $6.3 million for asbestos-related litigation. Refer to Note 10 for more information. We also recorded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of $1.8 million primarily related to anticipated severance charges associated with a relocation of certain Residential Heating &amp; Cooling manufacturing operations to lower cost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2012 Quarterly Results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unusual or infrequent pre-tax items were included in the 2012 quarterly results: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1st Quarter. </w:t>
      </w:r>
      <w:r>
        <w:rPr>
          <w:rFonts w:ascii="Arial" w:cs="Arial" w:eastAsia="Arial" w:hAnsi="Arial"/>
          <w:sz w:val="18"/>
          <w:szCs w:val="18"/>
          <w:color w:val="auto"/>
        </w:rPr>
        <w:t>We recorded a $6.3 million impairment charge for the write-down of net assets to their estimated fair value related to our Hearth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Note 17 for more information. We also recognized $2.6 million primarily in lease termination charges related to the Regional Distribution Network restructuring plan. Refer to Note 16 for more details on this restructuring plan.</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2nd Quarter</w:t>
      </w:r>
      <w:r>
        <w:rPr>
          <w:rFonts w:ascii="Arial" w:cs="Arial" w:eastAsia="Arial" w:hAnsi="Arial"/>
          <w:sz w:val="18"/>
          <w:szCs w:val="18"/>
          <w:color w:val="auto"/>
        </w:rPr>
        <w:t>. Related to the sale of our Hearth business, we recorded a $6.3 million settlement charge as a result of actuarial losses recognized upon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of a pension obligation to the acquirer of the business. Partially offsetting this charge was a $3.5 million gain in the second quarter of 2012 related to realized foreign currency translation adjustments. Refer to Note 17 for more information.</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3rd Quarter</w:t>
      </w:r>
      <w:r>
        <w:rPr>
          <w:rFonts w:ascii="Arial" w:cs="Arial" w:eastAsia="Arial" w:hAnsi="Arial"/>
          <w:sz w:val="18"/>
          <w:szCs w:val="18"/>
          <w:color w:val="auto"/>
        </w:rPr>
        <w:t>. We recorded a goodwill impairment of $20.5 million related to the Service Experts business. Partially offsetting this charge was a $2.9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gain for a working capital adjustment to the net proceeds associated with the sale of the Hearth business. Refer to Note 17 for more information on these charges.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4th Quarter</w:t>
      </w:r>
      <w:r>
        <w:rPr>
          <w:rFonts w:ascii="Arial" w:cs="Arial" w:eastAsia="Arial" w:hAnsi="Arial"/>
          <w:sz w:val="18"/>
          <w:szCs w:val="18"/>
          <w:color w:val="auto"/>
        </w:rPr>
        <w:t>. No significant unusual or infrequent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Losses and Other Expenses, net:</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and other expenses, net in our Consolidated Statements of Operations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For the Years Ended December 31,</w:t>
            </w:r>
          </w:p>
        </w:tc>
        <w:tc>
          <w:tcPr>
            <w:tcW w:w="8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91"/>
              <w:spacing w:after="0"/>
              <w:rPr>
                <w:sz w:val="20"/>
                <w:szCs w:val="20"/>
                <w:color w:val="auto"/>
              </w:rPr>
            </w:pPr>
            <w:r>
              <w:rPr>
                <w:rFonts w:ascii="Arial" w:cs="Arial" w:eastAsia="Arial" w:hAnsi="Arial"/>
                <w:sz w:val="16"/>
                <w:szCs w:val="16"/>
                <w:b w:val="1"/>
                <w:bCs w:val="1"/>
                <w:color w:val="auto"/>
                <w:w w:val="95"/>
              </w:rPr>
              <w:t>2011</w:t>
            </w:r>
          </w:p>
        </w:tc>
      </w:tr>
      <w:tr>
        <w:trPr>
          <w:trHeight w:val="33"/>
        </w:trPr>
        <w:tc>
          <w:tcPr>
            <w:tcW w:w="7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(gains) on settled futures contracts</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Foreign currency exchange losses</w:t>
            </w:r>
          </w:p>
        </w:tc>
        <w:tc>
          <w:tcPr>
            <w:tcW w:w="84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disposal of fixed assets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4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Asbestos-related litigation</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Special legal contingency charges </w:t>
            </w:r>
            <w:r>
              <w:rPr>
                <w:rFonts w:ascii="Arial" w:cs="Arial" w:eastAsia="Arial" w:hAnsi="Arial"/>
                <w:sz w:val="25"/>
                <w:szCs w:val="25"/>
                <w:color w:val="auto"/>
                <w:vertAlign w:val="superscript"/>
              </w:rPr>
              <w:t>(2)</w:t>
            </w: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items, net</w:t>
            </w:r>
          </w:p>
        </w:tc>
        <w:tc>
          <w:tcPr>
            <w:tcW w:w="84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7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expenses, net</w:t>
            </w: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0"/>
        </w:trPr>
        <w:tc>
          <w:tcPr>
            <w:tcW w:w="7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520" w:hanging="188"/>
        <w:spacing w:after="0"/>
        <w:tabs>
          <w:tab w:leader="none" w:pos="52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Acquisition expenses in 2011 primarily relate to the Kysor/Warren acquisition.</w:t>
      </w:r>
    </w:p>
    <w:p>
      <w:pPr>
        <w:spacing w:after="0" w:line="1" w:lineRule="exact"/>
        <w:rPr>
          <w:rFonts w:ascii="Arial" w:cs="Arial" w:eastAsia="Arial" w:hAnsi="Arial"/>
          <w:sz w:val="23"/>
          <w:szCs w:val="23"/>
          <w:color w:val="auto"/>
          <w:vertAlign w:val="superscript"/>
        </w:rPr>
      </w:pPr>
    </w:p>
    <w:p>
      <w:pPr>
        <w:ind w:left="580" w:hanging="248"/>
        <w:spacing w:after="0" w:line="219" w:lineRule="auto"/>
        <w:tabs>
          <w:tab w:leader="none" w:pos="529"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Special legal contingency charges in 2013 and 2012 relate to patent litigation claims involving products from an acquired business. See Note 10 for more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23. Supplemental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Below is information about expenses included in our Consolidated Statements of Operations (in millions):</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40" w:type="dxa"/>
            <w:vAlign w:val="bottom"/>
            <w:gridSpan w:val="6"/>
          </w:tcPr>
          <w:p>
            <w:pPr>
              <w:ind w:left="20"/>
              <w:spacing w:after="0"/>
              <w:rPr>
                <w:sz w:val="20"/>
                <w:szCs w:val="20"/>
                <w:color w:val="auto"/>
              </w:rPr>
            </w:pPr>
            <w:r>
              <w:rPr>
                <w:rFonts w:ascii="Arial" w:cs="Arial" w:eastAsia="Arial" w:hAnsi="Arial"/>
                <w:sz w:val="16"/>
                <w:szCs w:val="16"/>
                <w:b w:val="1"/>
                <w:bCs w:val="1"/>
                <w:color w:val="auto"/>
                <w:w w:val="90"/>
              </w:rPr>
              <w:t>For the Years Ended December 31,</w:t>
            </w:r>
          </w:p>
        </w:tc>
        <w:tc>
          <w:tcPr>
            <w:tcW w:w="74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32"/>
              <w:spacing w:after="0"/>
              <w:rPr>
                <w:sz w:val="20"/>
                <w:szCs w:val="20"/>
                <w:color w:val="auto"/>
              </w:rPr>
            </w:pPr>
            <w:r>
              <w:rPr>
                <w:rFonts w:ascii="Arial" w:cs="Arial" w:eastAsia="Arial" w:hAnsi="Arial"/>
                <w:sz w:val="16"/>
                <w:szCs w:val="16"/>
                <w:b w:val="1"/>
                <w:bCs w:val="1"/>
                <w:color w:val="auto"/>
                <w:w w:val="84"/>
              </w:rPr>
              <w:t>2011</w:t>
            </w:r>
          </w:p>
        </w:tc>
      </w:tr>
      <w:tr>
        <w:trPr>
          <w:trHeight w:val="33"/>
        </w:trPr>
        <w:tc>
          <w:tcPr>
            <w:tcW w:w="6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7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(1)</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70"/>
        </w:trPr>
        <w:tc>
          <w:tcPr>
            <w:tcW w:w="6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Advertising, promotions and marketing </w:t>
            </w:r>
            <w:r>
              <w:rPr>
                <w:rFonts w:ascii="Arial" w:cs="Arial" w:eastAsia="Arial" w:hAnsi="Arial"/>
                <w:sz w:val="25"/>
                <w:szCs w:val="25"/>
                <w:color w:val="auto"/>
                <w:vertAlign w:val="superscript"/>
              </w:rPr>
              <w:t>(2)</w:t>
            </w:r>
          </w:p>
        </w:tc>
        <w:tc>
          <w:tcPr>
            <w:tcW w:w="76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0"/>
        </w:trPr>
        <w:tc>
          <w:tcPr>
            <w:tcW w:w="6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Cooperative advertising expenditures </w:t>
            </w:r>
            <w:r>
              <w:rPr>
                <w:rFonts w:ascii="Arial" w:cs="Arial" w:eastAsia="Arial" w:hAnsi="Arial"/>
                <w:sz w:val="25"/>
                <w:szCs w:val="25"/>
                <w:color w:val="auto"/>
                <w:vertAlign w:val="superscript"/>
              </w:rPr>
              <w:t>(3)</w:t>
            </w:r>
          </w:p>
        </w:tc>
        <w:tc>
          <w:tcPr>
            <w:tcW w:w="76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20"/>
        </w:trPr>
        <w:tc>
          <w:tcPr>
            <w:tcW w:w="6760" w:type="dxa"/>
            <w:vAlign w:val="bottom"/>
          </w:tcPr>
          <w:p>
            <w:pPr>
              <w:ind w:left="20"/>
              <w:spacing w:after="0"/>
              <w:rPr>
                <w:sz w:val="20"/>
                <w:szCs w:val="20"/>
                <w:color w:val="auto"/>
              </w:rPr>
            </w:pPr>
            <w:r>
              <w:rPr>
                <w:rFonts w:ascii="Arial" w:cs="Arial" w:eastAsia="Arial" w:hAnsi="Arial"/>
                <w:sz w:val="18"/>
                <w:szCs w:val="18"/>
                <w:color w:val="auto"/>
              </w:rPr>
              <w:t xml:space="preserve">Rent expense </w:t>
            </w:r>
            <w:r>
              <w:rPr>
                <w:rFonts w:ascii="Arial" w:cs="Arial" w:eastAsia="Arial" w:hAnsi="Arial"/>
                <w:sz w:val="25"/>
                <w:szCs w:val="25"/>
                <w:color w:val="auto"/>
                <w:vertAlign w:val="superscript"/>
              </w:rPr>
              <w:t>(4)</w:t>
            </w:r>
          </w:p>
        </w:tc>
        <w:tc>
          <w:tcPr>
            <w:tcW w:w="76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w:t>
            </w:r>
          </w:p>
        </w:tc>
      </w:tr>
    </w:tbl>
    <w:p>
      <w:pPr>
        <w:ind w:left="580" w:hanging="167"/>
        <w:spacing w:after="0" w:line="239" w:lineRule="auto"/>
        <w:tabs>
          <w:tab w:leader="none" w:pos="617"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Includes research and development costs related to discontinued operations of $1.2 million and $3.3 million for the years ended December 31, 2012 and 2011, respectively. No research and development costs related to discontinued operations were recorded for the year ended December 31, 2013.</w:t>
      </w:r>
    </w:p>
    <w:p>
      <w:pPr>
        <w:spacing w:after="0" w:line="40" w:lineRule="exact"/>
        <w:rPr>
          <w:rFonts w:ascii="Arial" w:cs="Arial" w:eastAsia="Arial" w:hAnsi="Arial"/>
          <w:sz w:val="22"/>
          <w:szCs w:val="22"/>
          <w:color w:val="auto"/>
          <w:vertAlign w:val="superscript"/>
        </w:rPr>
      </w:pPr>
    </w:p>
    <w:p>
      <w:pPr>
        <w:ind w:left="580" w:hanging="167"/>
        <w:spacing w:after="0" w:line="227" w:lineRule="auto"/>
        <w:tabs>
          <w:tab w:leader="none" w:pos="611"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Includes advertising, promotions and marketing costs related to discontinued operations of $4.1 million, $20.1 million and $22.2 million for the years ended December 31, 2013, 2012 and 2011, respectively. Cooperative advertising expenditures were not included in these amounts.</w:t>
      </w:r>
    </w:p>
    <w:p>
      <w:pPr>
        <w:spacing w:after="0" w:line="17" w:lineRule="exact"/>
        <w:rPr>
          <w:rFonts w:ascii="Arial" w:cs="Arial" w:eastAsia="Arial" w:hAnsi="Arial"/>
          <w:sz w:val="24"/>
          <w:szCs w:val="24"/>
          <w:color w:val="auto"/>
          <w:vertAlign w:val="superscript"/>
        </w:rPr>
      </w:pPr>
    </w:p>
    <w:p>
      <w:pPr>
        <w:ind w:left="600" w:hanging="187"/>
        <w:spacing w:after="0"/>
        <w:tabs>
          <w:tab w:leader="none" w:pos="60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Cooperative advertising expenditures were included in Selling, general and administrative expenses in the Consolidated Statements of Operations.</w:t>
      </w:r>
    </w:p>
    <w:p>
      <w:pPr>
        <w:spacing w:after="0" w:line="55" w:lineRule="exact"/>
        <w:rPr>
          <w:rFonts w:ascii="Arial" w:cs="Arial" w:eastAsia="Arial" w:hAnsi="Arial"/>
          <w:sz w:val="22"/>
          <w:szCs w:val="22"/>
          <w:color w:val="auto"/>
          <w:vertAlign w:val="superscript"/>
        </w:rPr>
      </w:pPr>
    </w:p>
    <w:p>
      <w:pPr>
        <w:ind w:left="580" w:hanging="167"/>
        <w:spacing w:after="0" w:line="208" w:lineRule="auto"/>
        <w:tabs>
          <w:tab w:leader="none" w:pos="625"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rent expense related to discontinued operations of $4.5 million, $20.1 million and $20.7 million for the years ended December 31, 2013, 2012 and 2011, respectively.</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Interest expense, net in our Consolidated Statements of Operations were as follows (in millions):</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40" w:type="dxa"/>
            <w:vAlign w:val="bottom"/>
            <w:gridSpan w:val="6"/>
          </w:tcPr>
          <w:p>
            <w:pPr>
              <w:jc w:val="right"/>
              <w:spacing w:after="0"/>
              <w:rPr>
                <w:sz w:val="20"/>
                <w:szCs w:val="20"/>
                <w:color w:val="auto"/>
              </w:rPr>
            </w:pPr>
            <w:r>
              <w:rPr>
                <w:rFonts w:ascii="Arial" w:cs="Arial" w:eastAsia="Arial" w:hAnsi="Arial"/>
                <w:sz w:val="16"/>
                <w:szCs w:val="16"/>
                <w:b w:val="1"/>
                <w:bCs w:val="1"/>
                <w:color w:val="auto"/>
                <w:w w:val="91"/>
              </w:rPr>
              <w:t>For the Years Ended December 31,</w:t>
            </w:r>
          </w:p>
        </w:tc>
        <w:tc>
          <w:tcPr>
            <w:tcW w:w="74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32"/>
              <w:spacing w:after="0"/>
              <w:rPr>
                <w:sz w:val="20"/>
                <w:szCs w:val="20"/>
                <w:color w:val="auto"/>
              </w:rPr>
            </w:pPr>
            <w:r>
              <w:rPr>
                <w:rFonts w:ascii="Arial" w:cs="Arial" w:eastAsia="Arial" w:hAnsi="Arial"/>
                <w:sz w:val="16"/>
                <w:szCs w:val="16"/>
                <w:b w:val="1"/>
                <w:bCs w:val="1"/>
                <w:color w:val="auto"/>
                <w:w w:val="84"/>
              </w:rPr>
              <w:t>2011</w:t>
            </w:r>
          </w:p>
        </w:tc>
      </w:tr>
      <w:tr>
        <w:trPr>
          <w:trHeight w:val="33"/>
        </w:trPr>
        <w:tc>
          <w:tcPr>
            <w:tcW w:w="6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capitalized interest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16.5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14.5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6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Condensed Consolidating Financial Statements: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senior unsecured notes are unconditionally guaranteed by certain of the Company’s subsidiaries (the “Guarantor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Subsidiaries”) and are not secured by our other subsidiaries (the “Non-Guarantor Subsidiaries”). The Guarantor Subsidiaries are 100% owned, all guarantees are full and unconditional, and all guarantees are joint and several. As a result of the guarantee arrangements, we are required to present condensed consolidating financial statements.</w:t>
      </w:r>
    </w:p>
    <w:p>
      <w:pPr>
        <w:spacing w:after="0" w:line="1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March 22, 2013, the Company sold its Service Experts business to a majority-owned entity of American Capital, Ltd. The primary subsidiary for the U.S. Service Experts business had previously been included as a "Guarantor Subsidiary" and the Canada Service Experts subsidiary had previously been included as a "Non-Guarantor Subsidiary." As of December 31, 2013, the U.S. and Canada Service Experts businesses were included in discontinued operations of the condensed consolidating financial statements.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condensed consolidating financial statements reflect the investments in subsidiaries of the Company using the equity method of accounting. The principal elimination entries eliminate investments in subsidiaries and intercompany balances and transactions.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Condensed consolidating financial statements of the Company, its Guarantor Subsidiaries and Non-Guarantor Subsidiaries as of December 31, 2013 and December 31, 2012 and for the years ended December 31, 2013, 2012 and 2011 are shown on the following pages.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0"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Accounts and notes receivable, net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Assets of discontinued operations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receivables (payables), net</w:t>
            </w: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1,636.0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1,626.7</w:t>
            </w:r>
          </w:p>
        </w:tc>
        <w:tc>
          <w:tcPr>
            <w:tcW w:w="0" w:type="dxa"/>
            <w:vAlign w:val="bottom"/>
          </w:tcPr>
          <w:p>
            <w:pPr>
              <w:spacing w:after="0"/>
              <w:rPr>
                <w:sz w:val="1"/>
                <w:szCs w:val="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5200" w:type="dxa"/>
            <w:vAlign w:val="bottom"/>
            <w:gridSpan w:val="9"/>
            <w:shd w:val="clear" w:color="auto" w:fill="CCEEFF"/>
          </w:tcPr>
          <w:p>
            <w:pPr>
              <w:jc w:val="right"/>
              <w:ind w:right="931"/>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1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Current maturities of long-term debt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Post-retirement benefits, other than pensions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Pensions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7"/>
        </w:trPr>
        <w:tc>
          <w:tcPr>
            <w:tcW w:w="35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Accounts and notes receivable, net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Assets of discontinued operations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receivables (payables), net</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2,427.2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4180" w:type="dxa"/>
            <w:vAlign w:val="bottom"/>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Current maturities of long-term debt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Post-retirement benefits, other than pensions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Pensions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7"/>
        </w:trPr>
        <w:tc>
          <w:tcPr>
            <w:tcW w:w="35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1,193.6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0"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Condensed Consolidating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Losses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Operational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Condensed Consolidating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1,799.6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2,227.1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Losses and other expenses,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Operational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Condensed Consolidating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Losses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Operational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proceeds from sale of business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Net cash provided by (used in)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Short-term borrowings,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securitization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Asset securitization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Long-term debt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Borrowings from revolving credit facility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Proceeds from employee stock purchases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investment in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Repurchases of common stock to satisfy employee withholding</w:t>
            </w:r>
          </w:p>
        </w:tc>
        <w:tc>
          <w:tcPr>
            <w:tcW w:w="2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Excess tax benefits related to share-based payments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Net cash provided by (used in)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cash used in discontinued operations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Payments on revolving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Repurchases of common stock to satisfy employee withholding</w:t>
            </w:r>
          </w:p>
        </w:tc>
        <w:tc>
          <w:tcPr>
            <w:tcW w:w="2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7"/>
                <w:szCs w:val="17"/>
                <w:color w:val="auto"/>
              </w:rPr>
              <w:t>Excess tax benefits related to share-based payments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 of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 of businesses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cash used in discontinued operations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Payments on revolving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Payments of deferred financing costs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2"/>
        </w:trPr>
        <w:tc>
          <w:tcPr>
            <w:tcW w:w="4700" w:type="dxa"/>
            <w:vAlign w:val="bottom"/>
          </w:tcPr>
          <w:p>
            <w:pPr>
              <w:ind w:left="180"/>
              <w:spacing w:after="0"/>
              <w:rPr>
                <w:sz w:val="20"/>
                <w:szCs w:val="20"/>
                <w:color w:val="auto"/>
              </w:rPr>
            </w:pPr>
            <w:r>
              <w:rPr>
                <w:rFonts w:ascii="Arial" w:cs="Arial" w:eastAsia="Arial" w:hAnsi="Arial"/>
                <w:sz w:val="17"/>
                <w:szCs w:val="17"/>
                <w:color w:val="auto"/>
                <w:w w:val="95"/>
              </w:rPr>
              <w:t>Repurchases of common stock to satisfy employee withholding</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0"/>
        </w:trPr>
        <w:tc>
          <w:tcPr>
            <w:tcW w:w="4700" w:type="dxa"/>
            <w:vAlign w:val="bottom"/>
          </w:tcPr>
          <w:p>
            <w:pPr>
              <w:ind w:left="180"/>
              <w:spacing w:after="0"/>
              <w:rPr>
                <w:sz w:val="20"/>
                <w:szCs w:val="20"/>
                <w:color w:val="auto"/>
              </w:rPr>
            </w:pPr>
            <w:r>
              <w:rPr>
                <w:rFonts w:ascii="Arial" w:cs="Arial" w:eastAsia="Arial" w:hAnsi="Arial"/>
                <w:sz w:val="17"/>
                <w:szCs w:val="17"/>
                <w:color w:val="auto"/>
              </w:rPr>
              <w:t>tax obligations</w:t>
            </w: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Excess tax benefits related to share-based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December 31, 2013,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See “Management's Report on Internal Control Over Financial Reporting” included in Item 8 “Financial Statements and Supplementary Data.”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“Report of Independent Registered Public Accounting Firm” included in 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There were no changes during the fourth quarter ended December 31, 2013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The information in the sections of our 2014 Proxy Statement captioned "Proposal 1: Election of Directors," "Section 16(a) Beneficial Ownership Reporting Compliance," and "Corporate Governance" is incorporated in this Item 10 by reference. Part I, Item 1 "Business - Executive Officers of the Company" of this Annual Report on Form 10-K identifies our executive officers and is incorporated in this Item 10 by reference.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sections of our 2014 Proxy Statement captioned "Executive Compensation," "Director Compensation," "Corporate Governance - Compensation and Human Resource Committee" and "Certain Relationships and Related Party Transactions - Compensation Committee Interlocks and Insider Participation" are incorporated in this Item 11 by reference.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sections of our 2014 Proxy Statement captioned "Equity Compensation Plan Information" and "Ownership of Common Stock" are incorporated in this Item 12 by reference. Also, refer to Note 14 in the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for additional information about our equity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sections of our 2014 Proxy Statement captioned "Corporate Governance - Director Independence and - Board Committees" and "Certain Relationships and Related Party Transactions" are incorporated in this Item 13 by reference.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section of our 2014 Proxy Statement captioned "Proposal 2: Ratification of the Appointment of Independent Registered Public Accounting Firm" is incorporated in this Item 14 by reference.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financial statements are included in Part II, Item 8 of the Annual Report on Form 10-K:</w:t>
      </w:r>
    </w:p>
    <w:p>
      <w:pPr>
        <w:spacing w:after="0" w:line="23" w:lineRule="exact"/>
        <w:rPr>
          <w:sz w:val="20"/>
          <w:szCs w:val="20"/>
          <w:color w:val="auto"/>
        </w:rPr>
      </w:pPr>
    </w:p>
    <w:p>
      <w:pPr>
        <w:ind w:left="820" w:hanging="24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Balance Sheets as of December 31, 2013 and 2012</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2013, 2012 and 2011</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2013, 2012 and 2011</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2013, 2012 and 2011</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2013, 2012 and 2011</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Notes to the Consolidated Financial Statements for the Years Ended December 31, 2013,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financial statement schedule included in this Annual Report on Form 10-K is Schedule II - Valuation and Qualifying Accounts and Reserves for the Years Ended December 31, 2013, 2012 and 2011 (see Schedule II immediately following the signature page of this Annual Report on Form 10-K).</w:t>
      </w:r>
    </w:p>
    <w:p>
      <w:pPr>
        <w:spacing w:after="0" w:line="14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Todd M. Bluedorn</w:t>
      </w:r>
    </w:p>
    <w:p>
      <w:pPr>
        <w:spacing w:after="0" w:line="23" w:lineRule="exact"/>
        <w:rPr>
          <w:sz w:val="20"/>
          <w:szCs w:val="20"/>
          <w:color w:val="auto"/>
        </w:rPr>
      </w:pPr>
    </w:p>
    <w:p>
      <w:pPr>
        <w:jc w:val="center"/>
        <w:ind w:right="6560"/>
        <w:spacing w:after="0"/>
        <w:rPr>
          <w:sz w:val="20"/>
          <w:szCs w:val="20"/>
          <w:color w:val="auto"/>
        </w:rPr>
      </w:pPr>
      <w:r>
        <w:rPr>
          <w:rFonts w:ascii="Arial" w:cs="Arial" w:eastAsia="Arial" w:hAnsi="Arial"/>
          <w:sz w:val="18"/>
          <w:szCs w:val="18"/>
          <w:color w:val="auto"/>
        </w:rPr>
        <w:t>Todd M. Bluedorn</w:t>
      </w:r>
    </w:p>
    <w:p>
      <w:pPr>
        <w:spacing w:after="0" w:line="9" w:lineRule="exact"/>
        <w:rPr>
          <w:sz w:val="20"/>
          <w:szCs w:val="20"/>
          <w:color w:val="auto"/>
        </w:rPr>
      </w:pPr>
    </w:p>
    <w:p>
      <w:pPr>
        <w:ind w:left="500"/>
        <w:spacing w:after="0"/>
        <w:tabs>
          <w:tab w:leader="none" w:pos="2580" w:val="left"/>
        </w:tabs>
        <w:rPr>
          <w:sz w:val="20"/>
          <w:szCs w:val="20"/>
          <w:color w:val="auto"/>
        </w:rPr>
      </w:pPr>
      <w:r>
        <w:rPr>
          <w:rFonts w:ascii="Arial" w:cs="Arial" w:eastAsia="Arial" w:hAnsi="Arial"/>
          <w:sz w:val="18"/>
          <w:szCs w:val="18"/>
          <w:color w:val="auto"/>
        </w:rPr>
        <w:t>February 13, 2014</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3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3"/>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TODD M. BLUEDORN</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Chairman of the Board of Directors</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Todd M. Bluedorn</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JOSEPH W. REITMEIER</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and Chief Financial Officer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Joseph W. Reitmeier</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ROY A. RUMBOUGH</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Vice President, Controller and Chief Accounting Officer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Roy A. Rumbough</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RICHARD L. THOMPSON</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Lead 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Richard L. Thompson</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JANET K. COOPER</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Janet K. Cooper</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C.L. (JERRY) HENRY</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C.L. (Jerry) Henry</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JOHN E. MAJOR</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John E. Major</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JOHN W. NORRIS, III</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John W. Norris, III</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PAUL W. SCHMIDT</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Paul W. Schmidt</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TERRY D. STINSON</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Terry D. Stinson</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GREGORY T. SWIENTON</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Gregory T. Swienton</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/s/ TODD J. TESKE</w:t>
            </w:r>
          </w:p>
        </w:tc>
        <w:tc>
          <w:tcPr>
            <w:tcW w:w="61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w w:val="89"/>
              </w:rPr>
              <w:t>February 13, 2014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Todd J. Teske</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796" w:right="239" w:bottom="1440" w:gutter="0" w:footer="0" w:header="0"/>
          <w:type w:val="continuous"/>
        </w:sectPr>
      </w:pPr>
    </w:p>
    <w:bookmarkStart w:id="92" w:name="page93"/>
    <w:bookmarkEnd w:id="92"/>
    <w:p>
      <w:pPr>
        <w:ind w:left="3340"/>
        <w:spacing w:after="0"/>
        <w:rPr>
          <w:sz w:val="20"/>
          <w:szCs w:val="20"/>
          <w:color w:val="auto"/>
        </w:rPr>
      </w:pPr>
      <w:r>
        <w:rPr>
          <w:rFonts w:ascii="Arial" w:cs="Arial" w:eastAsia="Arial" w:hAnsi="Arial"/>
          <w:sz w:val="18"/>
          <w:szCs w:val="18"/>
          <w:b w:val="1"/>
          <w:bCs w:val="1"/>
          <w:color w:val="auto"/>
        </w:rPr>
        <w:t>LENNOX INTERNATIONAL INC.</w:t>
      </w:r>
    </w:p>
    <w:p>
      <w:pPr>
        <w:spacing w:after="0" w:line="387" w:lineRule="exact"/>
        <w:rPr>
          <w:sz w:val="20"/>
          <w:szCs w:val="20"/>
          <w:color w:val="auto"/>
        </w:rPr>
      </w:pPr>
    </w:p>
    <w:p>
      <w:pPr>
        <w:jc w:val="center"/>
        <w:ind w:left="2160" w:right="760"/>
        <w:spacing w:after="0" w:line="400" w:lineRule="auto"/>
        <w:rPr>
          <w:sz w:val="20"/>
          <w:szCs w:val="20"/>
          <w:color w:val="auto"/>
        </w:rPr>
      </w:pPr>
      <w:r>
        <w:rPr>
          <w:rFonts w:ascii="Arial" w:cs="Arial" w:eastAsia="Arial" w:hAnsi="Arial"/>
          <w:sz w:val="18"/>
          <w:szCs w:val="18"/>
          <w:b w:val="1"/>
          <w:bCs w:val="1"/>
          <w:color w:val="auto"/>
        </w:rPr>
        <w:t>SCHEDULE II - VALUATION AND QUALIFYING ACCOUNTS AND RESERVES For the Years Ended December 31, 2013, 2012 and 2011 (In millions)</w:t>
      </w:r>
    </w:p>
    <w:p>
      <w:pPr>
        <w:spacing w:after="0" w:line="200" w:lineRule="exact"/>
        <w:rPr>
          <w:sz w:val="20"/>
          <w:szCs w:val="20"/>
          <w:color w:val="auto"/>
        </w:rPr>
      </w:pP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Additions</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Balance at</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charged to</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beginning</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cost and</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Balance at</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of year</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2"/>
              </w:rPr>
              <w:t>expenses</w:t>
            </w:r>
          </w:p>
        </w:tc>
        <w:tc>
          <w:tcPr>
            <w:tcW w:w="1020" w:type="dxa"/>
            <w:vAlign w:val="bottom"/>
            <w:gridSpan w:val="3"/>
          </w:tcPr>
          <w:p>
            <w:pPr>
              <w:ind w:left="100"/>
              <w:spacing w:after="0"/>
              <w:rPr>
                <w:sz w:val="20"/>
                <w:szCs w:val="20"/>
                <w:color w:val="auto"/>
              </w:rPr>
            </w:pPr>
            <w:r>
              <w:rPr>
                <w:rFonts w:ascii="Arial" w:cs="Arial" w:eastAsia="Arial" w:hAnsi="Arial"/>
                <w:sz w:val="16"/>
                <w:szCs w:val="16"/>
                <w:b w:val="1"/>
                <w:bCs w:val="1"/>
                <w:color w:val="auto"/>
              </w:rPr>
              <w:t>Write-offs</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end of year</w:t>
            </w:r>
          </w:p>
        </w:tc>
        <w:tc>
          <w:tcPr>
            <w:tcW w:w="0" w:type="dxa"/>
            <w:vAlign w:val="bottom"/>
          </w:tcPr>
          <w:p>
            <w:pPr>
              <w:spacing w:after="0"/>
              <w:rPr>
                <w:sz w:val="1"/>
                <w:szCs w:val="1"/>
                <w:color w:val="auto"/>
              </w:rPr>
            </w:pPr>
          </w:p>
        </w:tc>
      </w:tr>
      <w:tr>
        <w:trPr>
          <w:trHeight w:val="33"/>
        </w:trPr>
        <w:tc>
          <w:tcPr>
            <w:tcW w:w="2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5"/>
              </w:rPr>
              <w:t>Allowance for doubtful accounts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5"/>
              </w:rPr>
              <w:t>Allowance for doubtful accounts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5"/>
              </w:rPr>
              <w:t>Allowance for doubtful accounts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756"/>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58"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720" w:type="dxa"/>
            <w:vAlign w:val="bottom"/>
          </w:tcPr>
          <w:p>
            <w:pPr>
              <w:ind w:left="4240"/>
              <w:spacing w:after="0"/>
              <w:rPr>
                <w:sz w:val="20"/>
                <w:szCs w:val="20"/>
                <w:color w:val="auto"/>
              </w:rPr>
            </w:pPr>
            <w:r>
              <w:rPr>
                <w:rFonts w:ascii="Arial" w:cs="Arial" w:eastAsia="Arial" w:hAnsi="Arial"/>
                <w:sz w:val="18"/>
                <w:szCs w:val="18"/>
                <w:b w:val="1"/>
                <w:bCs w:val="1"/>
                <w:color w:val="auto"/>
              </w:rPr>
              <w:t>INDEX TO EXHIBITS</w:t>
            </w:r>
          </w:p>
        </w:tc>
      </w:tr>
      <w:tr>
        <w:trPr>
          <w:trHeight w:val="567"/>
        </w:trPr>
        <w:tc>
          <w:tcPr>
            <w:tcW w:w="700" w:type="dxa"/>
            <w:vAlign w:val="bottom"/>
          </w:tcPr>
          <w:p>
            <w:pPr>
              <w:spacing w:after="0"/>
              <w:rPr>
                <w:sz w:val="24"/>
                <w:szCs w:val="24"/>
                <w:color w:val="auto"/>
              </w:rPr>
            </w:pPr>
          </w:p>
        </w:tc>
        <w:tc>
          <w:tcPr>
            <w:tcW w:w="10720" w:type="dxa"/>
            <w:vAlign w:val="bottom"/>
          </w:tcPr>
          <w:p>
            <w:pPr>
              <w:spacing w:after="0"/>
              <w:rPr>
                <w:sz w:val="24"/>
                <w:szCs w:val="24"/>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Restated Certificate of Incorporation of Lennox International Inc. (“LII”) (filed as Exhibit 3.1 to LII’s Registration Statement on Form S-1</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(Registration Statement No. 333-75725) filed on April 6, 1999 and incorporated herein by reference).</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3.2</w:t>
            </w:r>
          </w:p>
        </w:tc>
        <w:tc>
          <w:tcPr>
            <w:tcW w:w="10720" w:type="dxa"/>
            <w:vAlign w:val="bottom"/>
          </w:tcPr>
          <w:p>
            <w:pPr>
              <w:ind w:left="260"/>
              <w:spacing w:after="0"/>
              <w:rPr>
                <w:sz w:val="20"/>
                <w:szCs w:val="20"/>
                <w:color w:val="auto"/>
              </w:rPr>
            </w:pPr>
            <w:r>
              <w:rPr>
                <w:rFonts w:ascii="Arial" w:cs="Arial" w:eastAsia="Arial" w:hAnsi="Arial"/>
                <w:sz w:val="18"/>
                <w:szCs w:val="18"/>
                <w:color w:val="auto"/>
                <w:w w:val="94"/>
              </w:rPr>
              <w:t>Amended and Restated Bylaws of LII (filed as Exhibit 3.1 to LII’s Current Report on Form 8-K filed on December 16, 2013 and incorporated</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herein by 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Specimen Stock Certificate for the Common Stock, par value $.01 per share, of LII (filed as Exhibit 4.1 to LII’s Amendment to Registration</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Statement on Form S-1/A (Registration No. 333-75725) filed on June 16, 1999 and incorporated herein by reference).</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4.2</w:t>
            </w:r>
          </w:p>
        </w:tc>
        <w:tc>
          <w:tcPr>
            <w:tcW w:w="10720" w:type="dxa"/>
            <w:vAlign w:val="bottom"/>
          </w:tcPr>
          <w:p>
            <w:pPr>
              <w:ind w:left="260"/>
              <w:spacing w:after="0"/>
              <w:rPr>
                <w:sz w:val="20"/>
                <w:szCs w:val="20"/>
                <w:color w:val="auto"/>
              </w:rPr>
            </w:pPr>
            <w:r>
              <w:rPr>
                <w:rFonts w:ascii="Arial" w:cs="Arial" w:eastAsia="Arial" w:hAnsi="Arial"/>
                <w:sz w:val="18"/>
                <w:szCs w:val="18"/>
                <w:color w:val="auto"/>
                <w:w w:val="95"/>
              </w:rPr>
              <w:t>Indenture, dated as of May 3, 2010, between LII and U.S. Bank National Association, as trustee (filed as Exhibit 4.3 to LII’s Post-Effective</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1"/>
              </w:rPr>
              <w:t>Amendment No. 1 to Registration Statement on S-3 (Registration No. 333-155796) filed on May 3, 2010, and incorporated herein by 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Form of First Supplemental Indenture among LII, the guarantors party thereto and U.S. Bank National Association, as trustee (filed as</w:t>
            </w:r>
          </w:p>
        </w:tc>
      </w:tr>
      <w:tr>
        <w:trPr>
          <w:trHeight w:val="216"/>
        </w:trPr>
        <w:tc>
          <w:tcPr>
            <w:tcW w:w="700" w:type="dxa"/>
            <w:vAlign w:val="bottom"/>
            <w:shd w:val="clear" w:color="auto" w:fill="CCEEFF"/>
          </w:tcPr>
          <w:p>
            <w:pPr>
              <w:spacing w:after="0"/>
              <w:rPr>
                <w:sz w:val="18"/>
                <w:szCs w:val="18"/>
                <w:color w:val="auto"/>
              </w:rPr>
            </w:pP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Exhibit 4.11 to LII’s Post-Effective Amendment No. 1 to Registration Statement on S-3 (Registration No. 333-155796) filed on May 3, 2010,</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and incorporated herein by reference).</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4.4</w:t>
            </w: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Second Supplemental Indenture dated as of March 28, 2011, among Heatcraft Inc., a Mississippi corporation, Heatcraft Refrigeration Products</w:t>
            </w:r>
          </w:p>
        </w:tc>
      </w:tr>
      <w:tr>
        <w:trPr>
          <w:trHeight w:val="216"/>
        </w:trPr>
        <w:tc>
          <w:tcPr>
            <w:tcW w:w="7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5"/>
              </w:rPr>
              <w:t>LLC, a Delaware limited liability company and Advanced Distributor Products LLC, a Delaware limited liability company (the “Guarantors”),</w:t>
            </w:r>
          </w:p>
        </w:tc>
      </w:tr>
      <w:tr>
        <w:trPr>
          <w:trHeight w:val="216"/>
        </w:trPr>
        <w:tc>
          <w:tcPr>
            <w:tcW w:w="7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LII, and each other then existing Guarantor under the Indenture dated as of May 3, 2010, and U.S. Bank National Association as Trustee (filed</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as Exhibit 4.4 to LII’s Quarterly Report on Form 10-Q filed on April 26, 2011, and incorporated herein by 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4.5</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Fourth Supplemental Indenture, dated as of December 10, 2013 among Lennox National Account Services LLC, LGL Australia (US) Inc.,</w:t>
            </w:r>
          </w:p>
        </w:tc>
      </w:tr>
      <w:tr>
        <w:trPr>
          <w:trHeight w:val="216"/>
        </w:trPr>
        <w:tc>
          <w:tcPr>
            <w:tcW w:w="700" w:type="dxa"/>
            <w:vAlign w:val="bottom"/>
            <w:shd w:val="clear" w:color="auto" w:fill="CCEEFF"/>
          </w:tcPr>
          <w:p>
            <w:pPr>
              <w:spacing w:after="0"/>
              <w:rPr>
                <w:sz w:val="18"/>
                <w:szCs w:val="18"/>
                <w:color w:val="auto"/>
              </w:rPr>
            </w:pP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Lennox International Inc., each other existing Guarantor under the Indenture, dated as of May 3, 2010, as subsequently supplemented, and U.S.</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Bank National Association (filed herewith).</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4.6</w:t>
            </w:r>
          </w:p>
        </w:tc>
        <w:tc>
          <w:tcPr>
            <w:tcW w:w="10720" w:type="dxa"/>
            <w:vAlign w:val="bottom"/>
          </w:tcPr>
          <w:p>
            <w:pPr>
              <w:ind w:left="260"/>
              <w:spacing w:after="0"/>
              <w:rPr>
                <w:sz w:val="20"/>
                <w:szCs w:val="20"/>
                <w:color w:val="auto"/>
              </w:rPr>
            </w:pPr>
            <w:r>
              <w:rPr>
                <w:rFonts w:ascii="Arial" w:cs="Arial" w:eastAsia="Arial" w:hAnsi="Arial"/>
                <w:sz w:val="18"/>
                <w:szCs w:val="18"/>
                <w:color w:val="auto"/>
                <w:w w:val="96"/>
              </w:rPr>
              <w:t>Form of 4.900% Note due 2017 (filed as Exhibit 4.3 to LII’s Current Report on Form 8-K filed on May 6, 2010 and incorporated herein by</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Amendment No. 2 to Amended and Restated Receivables Purchase Agreement, effective as of November 15, 2013, among LPAC Corp., as the</w:t>
            </w:r>
          </w:p>
        </w:tc>
      </w:tr>
      <w:tr>
        <w:trPr>
          <w:trHeight w:val="216"/>
        </w:trPr>
        <w:tc>
          <w:tcPr>
            <w:tcW w:w="700" w:type="dxa"/>
            <w:vAlign w:val="bottom"/>
            <w:shd w:val="clear" w:color="auto" w:fill="CCEEFF"/>
          </w:tcPr>
          <w:p>
            <w:pPr>
              <w:spacing w:after="0"/>
              <w:rPr>
                <w:sz w:val="18"/>
                <w:szCs w:val="18"/>
                <w:color w:val="auto"/>
              </w:rPr>
            </w:pP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Seller, Lennox Industries Inc., as the Master Servicer, Victory Receivables Corporation, as a Purchaser, The Bank of Tokyo-Mitsubishi UFJ,</w:t>
            </w:r>
          </w:p>
        </w:tc>
      </w:tr>
      <w:tr>
        <w:trPr>
          <w:trHeight w:val="216"/>
        </w:trPr>
        <w:tc>
          <w:tcPr>
            <w:tcW w:w="700" w:type="dxa"/>
            <w:vAlign w:val="bottom"/>
            <w:shd w:val="clear" w:color="auto" w:fill="CCEEFF"/>
          </w:tcPr>
          <w:p>
            <w:pPr>
              <w:spacing w:after="0"/>
              <w:rPr>
                <w:sz w:val="18"/>
                <w:szCs w:val="18"/>
                <w:color w:val="auto"/>
              </w:rPr>
            </w:pP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Ltd., New York Branch, as Administrative Agent, a Liquidity Bank, and the BTMU Purchaser Agent, and PNC Bank, National Association as a</w:t>
            </w:r>
          </w:p>
        </w:tc>
      </w:tr>
      <w:tr>
        <w:trPr>
          <w:trHeight w:val="216"/>
        </w:trPr>
        <w:tc>
          <w:tcPr>
            <w:tcW w:w="700" w:type="dxa"/>
            <w:vAlign w:val="bottom"/>
            <w:shd w:val="clear" w:color="auto" w:fill="CCEEFF"/>
          </w:tcPr>
          <w:p>
            <w:pPr>
              <w:spacing w:after="0"/>
              <w:rPr>
                <w:sz w:val="18"/>
                <w:szCs w:val="18"/>
                <w:color w:val="auto"/>
              </w:rPr>
            </w:pP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Liquidity Bank and the PNC Purchaser Agent (filed as Exhibit 10.1 to LII's Current Report on Form 8-K filed on November 19, 2013 and</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incorporated herein by reference).</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10.2</w:t>
            </w:r>
          </w:p>
        </w:tc>
        <w:tc>
          <w:tcPr>
            <w:tcW w:w="10720" w:type="dxa"/>
            <w:vAlign w:val="bottom"/>
          </w:tcPr>
          <w:p>
            <w:pPr>
              <w:ind w:left="260"/>
              <w:spacing w:after="0"/>
              <w:rPr>
                <w:sz w:val="20"/>
                <w:szCs w:val="20"/>
                <w:color w:val="auto"/>
              </w:rPr>
            </w:pPr>
            <w:r>
              <w:rPr>
                <w:rFonts w:ascii="Arial" w:cs="Arial" w:eastAsia="Arial" w:hAnsi="Arial"/>
                <w:sz w:val="18"/>
                <w:szCs w:val="18"/>
                <w:color w:val="auto"/>
                <w:w w:val="91"/>
              </w:rPr>
              <w:t>Fourth Amended and Restated Revolving Credit Facility Agreement dated as of October 21, 2011, among Lennox International Inc., a Delaware</w:t>
            </w:r>
          </w:p>
        </w:tc>
      </w:tr>
      <w:tr>
        <w:trPr>
          <w:trHeight w:val="216"/>
        </w:trPr>
        <w:tc>
          <w:tcPr>
            <w:tcW w:w="7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corporation, the Lenders party thereto, and JPMorgan Chase Bank, National Association, as Administrative Agent (filed as Exhibit 10.2 to LII's</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Annual Report on Form 10-K filed on February 16, 2012 and incorporated herein by 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Subsidiary Joinder Agreement dated as of December 10, 2013 signed by Lennox National Account Services LLC and LGL Australia (US) Inc.</w:t>
            </w:r>
          </w:p>
        </w:tc>
      </w:tr>
      <w:tr>
        <w:trPr>
          <w:trHeight w:val="216"/>
        </w:trPr>
        <w:tc>
          <w:tcPr>
            <w:tcW w:w="700" w:type="dxa"/>
            <w:vAlign w:val="bottom"/>
            <w:shd w:val="clear" w:color="auto" w:fill="CCEEFF"/>
          </w:tcPr>
          <w:p>
            <w:pPr>
              <w:spacing w:after="0"/>
              <w:rPr>
                <w:sz w:val="18"/>
                <w:szCs w:val="18"/>
                <w:color w:val="auto"/>
              </w:rPr>
            </w:pP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for the benefit of JPMorgan Chase Bank, National Association and the lenders under the Fourth Amended and Restated Revolving Credit</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Facility Agreement dated as of October 21, 2011 (filed herewith).</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10.4</w:t>
            </w: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Amended and Restated Lease Agreement, dated as of March 22, 2013, by and between BTMU Capital Leasing &amp; Finance, Inc., as lessor, and</w:t>
            </w:r>
          </w:p>
        </w:tc>
      </w:tr>
      <w:tr>
        <w:trPr>
          <w:trHeight w:val="216"/>
        </w:trPr>
        <w:tc>
          <w:tcPr>
            <w:tcW w:w="7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Lennox International Inc., as lessee (filed as Exhibit 10.1 to LII's Current Report on Form 8-K filed on March 25, 2013 and incorporated herein</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by 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Amended and Restated Participation Agreement, dated as of March 22, 2013, by and among Lennox International Inc., as lessee and BTMU</w:t>
            </w:r>
          </w:p>
        </w:tc>
      </w:tr>
      <w:tr>
        <w:trPr>
          <w:trHeight w:val="216"/>
        </w:trPr>
        <w:tc>
          <w:tcPr>
            <w:tcW w:w="700" w:type="dxa"/>
            <w:vAlign w:val="bottom"/>
            <w:shd w:val="clear" w:color="auto" w:fill="CCEEFF"/>
          </w:tcPr>
          <w:p>
            <w:pPr>
              <w:spacing w:after="0"/>
              <w:rPr>
                <w:sz w:val="18"/>
                <w:szCs w:val="18"/>
                <w:color w:val="auto"/>
              </w:rPr>
            </w:pP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Capital Leasing &amp; Finance, Inc., as lessor (filed as Exhibit 10.2 to LII's Current Report on Form 8-K filed on March 25, 2013 and incorporated</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herein by reference).</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10.6</w:t>
            </w:r>
          </w:p>
        </w:tc>
        <w:tc>
          <w:tcPr>
            <w:tcW w:w="10720" w:type="dxa"/>
            <w:vAlign w:val="bottom"/>
          </w:tcPr>
          <w:p>
            <w:pPr>
              <w:ind w:left="260"/>
              <w:spacing w:after="0"/>
              <w:rPr>
                <w:sz w:val="20"/>
                <w:szCs w:val="20"/>
                <w:color w:val="auto"/>
              </w:rPr>
            </w:pPr>
            <w:r>
              <w:rPr>
                <w:rFonts w:ascii="Arial" w:cs="Arial" w:eastAsia="Arial" w:hAnsi="Arial"/>
                <w:sz w:val="18"/>
                <w:szCs w:val="18"/>
                <w:color w:val="auto"/>
                <w:w w:val="91"/>
              </w:rPr>
              <w:t>Amended and Restated Memorandum of Lease, Deed of Trust, Assignment of Leases and Rents, Security Agreement and Fixture Filing, dated</w:t>
            </w:r>
          </w:p>
        </w:tc>
      </w:tr>
      <w:tr>
        <w:trPr>
          <w:trHeight w:val="216"/>
        </w:trPr>
        <w:tc>
          <w:tcPr>
            <w:tcW w:w="7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3"/>
              </w:rPr>
              <w:t>as of March 22, 2013, by and among Lennox International Inc., BTMU Capital Leasing and Finance, Inc. and David Parnell, as Deed of Trust</w:t>
            </w:r>
          </w:p>
        </w:tc>
      </w:tr>
      <w:tr>
        <w:trPr>
          <w:trHeight w:val="216"/>
        </w:trPr>
        <w:tc>
          <w:tcPr>
            <w:tcW w:w="700" w:type="dxa"/>
            <w:vAlign w:val="bottom"/>
          </w:tcPr>
          <w:p>
            <w:pPr>
              <w:spacing w:after="0"/>
              <w:rPr>
                <w:sz w:val="18"/>
                <w:szCs w:val="18"/>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w w:val="93"/>
              </w:rPr>
              <w:t>Trustee, for the benefit of BTMU Capital Leasing &amp; Finance, Inc. (filed as Exhibit 10.3 to LII's Current Report on Form 8-K filed on March 25,</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2013 and incorporated herein by 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10.7</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Mutual Release executed March 13, 2013 among JPMorgan Chase Bank, National Association, Service Experts LLC and Service Experts</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Heating &amp; Air Conditioning LLC (filed herewith).</w:t>
            </w: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10.8*</w:t>
            </w:r>
          </w:p>
        </w:tc>
        <w:tc>
          <w:tcPr>
            <w:tcW w:w="10720" w:type="dxa"/>
            <w:vAlign w:val="bottom"/>
          </w:tcPr>
          <w:p>
            <w:pPr>
              <w:ind w:left="260"/>
              <w:spacing w:after="0"/>
              <w:rPr>
                <w:sz w:val="20"/>
                <w:szCs w:val="20"/>
                <w:color w:val="auto"/>
              </w:rPr>
            </w:pPr>
            <w:r>
              <w:rPr>
                <w:rFonts w:ascii="Arial" w:cs="Arial" w:eastAsia="Arial" w:hAnsi="Arial"/>
                <w:sz w:val="18"/>
                <w:szCs w:val="18"/>
                <w:color w:val="auto"/>
                <w:w w:val="92"/>
              </w:rPr>
              <w:t>Lennox International Inc. 2010 Incentive Plan, as amended and restated (filed as Exhibit 10.1 to LII's Current Report on Form 8-K filed on May</w:t>
            </w:r>
          </w:p>
        </w:tc>
      </w:tr>
      <w:tr>
        <w:trPr>
          <w:trHeight w:val="230"/>
        </w:trPr>
        <w:tc>
          <w:tcPr>
            <w:tcW w:w="700" w:type="dxa"/>
            <w:vAlign w:val="bottom"/>
          </w:tcPr>
          <w:p>
            <w:pPr>
              <w:spacing w:after="0"/>
              <w:rPr>
                <w:sz w:val="20"/>
                <w:szCs w:val="20"/>
                <w:color w:val="auto"/>
              </w:rPr>
            </w:pPr>
          </w:p>
        </w:tc>
        <w:tc>
          <w:tcPr>
            <w:tcW w:w="10720" w:type="dxa"/>
            <w:vAlign w:val="bottom"/>
          </w:tcPr>
          <w:p>
            <w:pPr>
              <w:ind w:left="260"/>
              <w:spacing w:after="0"/>
              <w:rPr>
                <w:sz w:val="20"/>
                <w:szCs w:val="20"/>
                <w:color w:val="auto"/>
              </w:rPr>
            </w:pPr>
            <w:r>
              <w:rPr>
                <w:rFonts w:ascii="Arial" w:cs="Arial" w:eastAsia="Arial" w:hAnsi="Arial"/>
                <w:sz w:val="18"/>
                <w:szCs w:val="18"/>
                <w:color w:val="auto"/>
              </w:rPr>
              <w:t>19, 2010 and incorporated herein by reference).</w:t>
            </w:r>
          </w:p>
        </w:tc>
      </w:tr>
      <w:tr>
        <w:trPr>
          <w:trHeight w:val="27"/>
        </w:trPr>
        <w:tc>
          <w:tcPr>
            <w:tcW w:w="70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10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Form of Long-Term Incentive Award Agreement for U.S. Employees - Vice President and Above (for use under the 2010 Incentive Plan) (filed</w:t>
            </w: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10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herewith).</w:t>
            </w:r>
          </w:p>
        </w:tc>
      </w:tr>
      <w:tr>
        <w:trPr>
          <w:trHeight w:val="459"/>
        </w:trPr>
        <w:tc>
          <w:tcPr>
            <w:tcW w:w="700" w:type="dxa"/>
            <w:vAlign w:val="bottom"/>
          </w:tcPr>
          <w:p>
            <w:pPr>
              <w:spacing w:after="0"/>
              <w:rPr>
                <w:sz w:val="24"/>
                <w:szCs w:val="24"/>
                <w:color w:val="auto"/>
              </w:rPr>
            </w:pPr>
          </w:p>
        </w:tc>
        <w:tc>
          <w:tcPr>
            <w:tcW w:w="10720" w:type="dxa"/>
            <w:vAlign w:val="bottom"/>
          </w:tcPr>
          <w:p>
            <w:pPr>
              <w:ind w:left="492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420"/>
          </w:cols>
          <w:pgMar w:left="240" w:top="796"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10.10*</w:t>
            </w:r>
          </w:p>
        </w:tc>
        <w:tc>
          <w:tcPr>
            <w:tcW w:w="10680" w:type="dxa"/>
            <w:vAlign w:val="bottom"/>
          </w:tcPr>
          <w:p>
            <w:pPr>
              <w:ind w:left="220"/>
              <w:spacing w:after="0"/>
              <w:rPr>
                <w:sz w:val="20"/>
                <w:szCs w:val="20"/>
                <w:color w:val="auto"/>
              </w:rPr>
            </w:pPr>
            <w:r>
              <w:rPr>
                <w:rFonts w:ascii="Arial" w:cs="Arial" w:eastAsia="Arial" w:hAnsi="Arial"/>
                <w:sz w:val="18"/>
                <w:szCs w:val="18"/>
                <w:color w:val="auto"/>
                <w:w w:val="93"/>
              </w:rPr>
              <w:t>Form of Restricted Stock Unit Award Agreement for Non-Employee Directors (for use under the 2010 Incentive Plan) (filed as Exhibit 10.9 to</w:t>
            </w:r>
          </w:p>
        </w:tc>
      </w:tr>
      <w:tr>
        <w:trPr>
          <w:trHeight w:val="230"/>
        </w:trPr>
        <w:tc>
          <w:tcPr>
            <w:tcW w:w="74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LII's Annual Report on Form 10-K filed on February 15, 2013 as incorporated herein by reference).</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Amendment of Long-Term Incentive Award Agreements for U.S. Employees -Vice President and Above and U.S. Employees- Directors (filed</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herewith).</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10.12*</w:t>
            </w:r>
          </w:p>
        </w:tc>
        <w:tc>
          <w:tcPr>
            <w:tcW w:w="10680" w:type="dxa"/>
            <w:vAlign w:val="bottom"/>
          </w:tcPr>
          <w:p>
            <w:pPr>
              <w:ind w:left="220"/>
              <w:spacing w:after="0"/>
              <w:rPr>
                <w:sz w:val="20"/>
                <w:szCs w:val="20"/>
                <w:color w:val="auto"/>
              </w:rPr>
            </w:pPr>
            <w:r>
              <w:rPr>
                <w:rFonts w:ascii="Arial" w:cs="Arial" w:eastAsia="Arial" w:hAnsi="Arial"/>
                <w:sz w:val="18"/>
                <w:szCs w:val="18"/>
                <w:color w:val="auto"/>
                <w:w w:val="94"/>
              </w:rPr>
              <w:t>Amended and Restated 1998 Incentive Plan of Lennox International Inc. (filed as Exhibit 10.1 to LII's Quarterly Report on Form 10-Q for the</w:t>
            </w:r>
          </w:p>
        </w:tc>
      </w:tr>
      <w:tr>
        <w:trPr>
          <w:trHeight w:val="230"/>
        </w:trPr>
        <w:tc>
          <w:tcPr>
            <w:tcW w:w="74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quarter ended March 31, 2005 and incorporated herein by reference).</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Form of 2009 Long-Term Incentive Award Agreement for U.S. Employees of LII under the 1998 Incentive Plan of LII (filed as Exhibit 10.4 to</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LII's Current Report on Form 8-K filed on December 17, 2008 and incorporated herein by reference).</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10.14*</w:t>
            </w:r>
          </w:p>
        </w:tc>
        <w:tc>
          <w:tcPr>
            <w:tcW w:w="10680" w:type="dxa"/>
            <w:vAlign w:val="bottom"/>
          </w:tcPr>
          <w:p>
            <w:pPr>
              <w:ind w:left="220"/>
              <w:spacing w:after="0"/>
              <w:rPr>
                <w:sz w:val="20"/>
                <w:szCs w:val="20"/>
                <w:color w:val="auto"/>
              </w:rPr>
            </w:pPr>
            <w:r>
              <w:rPr>
                <w:rFonts w:ascii="Arial" w:cs="Arial" w:eastAsia="Arial" w:hAnsi="Arial"/>
                <w:sz w:val="18"/>
                <w:szCs w:val="18"/>
                <w:color w:val="auto"/>
                <w:w w:val="95"/>
              </w:rPr>
              <w:t>Form of 2009 Long-Term Incentive Award Agreement Non-Employee Director under the 1998 Incentive Plan of LII (filed as Exhibit 10.9 to</w:t>
            </w:r>
          </w:p>
        </w:tc>
      </w:tr>
      <w:tr>
        <w:trPr>
          <w:trHeight w:val="230"/>
        </w:trPr>
        <w:tc>
          <w:tcPr>
            <w:tcW w:w="74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LII's Annual Report on Form 10-K for the year ended December 31, 2008 and incorporated by reference).</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10.15*</w:t>
            </w:r>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Lennox International Inc. Profit Sharing Restoration Plan, as amended and restated effective January 1, 2009 (filed as Exhibit 10.3 to LII's</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Report on Form 8-K filed on December 17, 2008 and incorporated herein by reference).</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10.16*</w:t>
            </w:r>
          </w:p>
        </w:tc>
        <w:tc>
          <w:tcPr>
            <w:tcW w:w="10680" w:type="dxa"/>
            <w:vAlign w:val="bottom"/>
          </w:tcPr>
          <w:p>
            <w:pPr>
              <w:ind w:left="220"/>
              <w:spacing w:after="0"/>
              <w:rPr>
                <w:sz w:val="20"/>
                <w:szCs w:val="20"/>
                <w:color w:val="auto"/>
              </w:rPr>
            </w:pPr>
            <w:r>
              <w:rPr>
                <w:rFonts w:ascii="Arial" w:cs="Arial" w:eastAsia="Arial" w:hAnsi="Arial"/>
                <w:sz w:val="18"/>
                <w:szCs w:val="18"/>
                <w:color w:val="auto"/>
                <w:w w:val="95"/>
              </w:rPr>
              <w:t>Lennox International Inc. Supplemental Retirement Plan, as amended and restated effective January 1, 2009 (filed as Exhibit 10.2 to LII's</w:t>
            </w:r>
          </w:p>
        </w:tc>
      </w:tr>
      <w:tr>
        <w:trPr>
          <w:trHeight w:val="230"/>
        </w:trPr>
        <w:tc>
          <w:tcPr>
            <w:tcW w:w="74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Current Report on Form 8-K filed on December 17, 2008 and incorporated herein by reference).</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10.17*</w:t>
            </w:r>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Form of Indemnification Agreement entered into between LII and certain executive officers and directors of LII (filed as Exhibit 10.15 to LII's</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Registration Statement on Form S-1 (Registration No. 333-75725) filed on April 6, 1999 and incorporated herein by reference).</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10.18*</w:t>
            </w:r>
          </w:p>
        </w:tc>
        <w:tc>
          <w:tcPr>
            <w:tcW w:w="1068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entered into between LII and certain executive officers of LII (filed as Exhibit 10.30 to LII's Annual Report on</w:t>
            </w:r>
          </w:p>
        </w:tc>
      </w:tr>
      <w:tr>
        <w:trPr>
          <w:trHeight w:val="230"/>
        </w:trPr>
        <w:tc>
          <w:tcPr>
            <w:tcW w:w="74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Form 10-K for the year ended December 31, 2006 and incorporated herein by reference).</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10.19*</w:t>
            </w:r>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Form of Amendment to Employment Agreement entered into between LII and certain executive officers of LII (filed as Exhibit 10.2 to LII's</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Report on Form 8-K filed on December 12, 2007 and incorporated herein by reference).</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10.20*</w:t>
            </w:r>
          </w:p>
        </w:tc>
        <w:tc>
          <w:tcPr>
            <w:tcW w:w="10680" w:type="dxa"/>
            <w:vAlign w:val="bottom"/>
          </w:tcPr>
          <w:p>
            <w:pPr>
              <w:ind w:left="220"/>
              <w:spacing w:after="0"/>
              <w:rPr>
                <w:sz w:val="20"/>
                <w:szCs w:val="20"/>
                <w:color w:val="auto"/>
              </w:rPr>
            </w:pPr>
            <w:r>
              <w:rPr>
                <w:rFonts w:ascii="Arial" w:cs="Arial" w:eastAsia="Arial" w:hAnsi="Arial"/>
                <w:sz w:val="18"/>
                <w:szCs w:val="18"/>
                <w:color w:val="auto"/>
                <w:w w:val="93"/>
              </w:rPr>
              <w:t>Form of Change of Control Employment Agreement entered into between LII and certain executive officers of LII (filed as Exhibit 10.1 to LII's</w:t>
            </w:r>
          </w:p>
        </w:tc>
      </w:tr>
      <w:tr>
        <w:trPr>
          <w:trHeight w:val="230"/>
        </w:trPr>
        <w:tc>
          <w:tcPr>
            <w:tcW w:w="74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Current Report on Form 8-K filed on July 11, 2012 and incorporated herein by reference).</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10.21*</w:t>
            </w:r>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Lennox International Inc. Directors' Retirement Plan (as Amended and Restated as of January 1, 2010) (filed as Exhibit 10.1 to LII's Current</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Report on Form 8-K filed on December 16, 2009 and incorporated herein by reference).</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10.22*</w:t>
            </w:r>
          </w:p>
        </w:tc>
        <w:tc>
          <w:tcPr>
            <w:tcW w:w="10680" w:type="dxa"/>
            <w:vAlign w:val="bottom"/>
          </w:tcPr>
          <w:p>
            <w:pPr>
              <w:ind w:left="220"/>
              <w:spacing w:after="0"/>
              <w:rPr>
                <w:sz w:val="20"/>
                <w:szCs w:val="20"/>
                <w:color w:val="auto"/>
              </w:rPr>
            </w:pPr>
            <w:r>
              <w:rPr>
                <w:rFonts w:ascii="Arial" w:cs="Arial" w:eastAsia="Arial" w:hAnsi="Arial"/>
                <w:sz w:val="18"/>
                <w:szCs w:val="18"/>
                <w:color w:val="auto"/>
                <w:w w:val="93"/>
              </w:rPr>
              <w:t>Form of Change of Control Employment Agreement entered into between LII and certain executive officers of LII (filed as Exhibit 10.1 to LII's</w:t>
            </w:r>
          </w:p>
        </w:tc>
      </w:tr>
      <w:tr>
        <w:trPr>
          <w:trHeight w:val="230"/>
        </w:trPr>
        <w:tc>
          <w:tcPr>
            <w:tcW w:w="74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Current Report on Form 8-K filed on December 17, 2008 and incorporated herein by reference).</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Subsidiaries of LII (filed herewith).</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23.1</w:t>
            </w:r>
          </w:p>
        </w:tc>
        <w:tc>
          <w:tcPr>
            <w:tcW w:w="10680" w:type="dxa"/>
            <w:vAlign w:val="bottom"/>
          </w:tcPr>
          <w:p>
            <w:pPr>
              <w:ind w:left="220"/>
              <w:spacing w:after="0"/>
              <w:rPr>
                <w:sz w:val="20"/>
                <w:szCs w:val="20"/>
                <w:color w:val="auto"/>
              </w:rPr>
            </w:pPr>
            <w:r>
              <w:rPr>
                <w:rFonts w:ascii="Arial" w:cs="Arial" w:eastAsia="Arial" w:hAnsi="Arial"/>
                <w:sz w:val="18"/>
                <w:szCs w:val="18"/>
                <w:color w:val="auto"/>
              </w:rPr>
              <w:t>Consent of KPMG LLP (filed herewith).</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Certification of the principal executive officer (filed herewith).</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31.2</w:t>
            </w:r>
          </w:p>
        </w:tc>
        <w:tc>
          <w:tcPr>
            <w:tcW w:w="10680" w:type="dxa"/>
            <w:vAlign w:val="bottom"/>
          </w:tcPr>
          <w:p>
            <w:pPr>
              <w:ind w:left="220"/>
              <w:spacing w:after="0"/>
              <w:rPr>
                <w:sz w:val="20"/>
                <w:szCs w:val="20"/>
                <w:color w:val="auto"/>
              </w:rPr>
            </w:pPr>
            <w:r>
              <w:rPr>
                <w:rFonts w:ascii="Arial" w:cs="Arial" w:eastAsia="Arial" w:hAnsi="Arial"/>
                <w:sz w:val="18"/>
                <w:szCs w:val="18"/>
                <w:color w:val="auto"/>
              </w:rPr>
              <w:t>Certification of the principal financial officer (filed herewith).</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43"/>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Certification of the principal executive officer and the principal financial officer pursuant to 18 U.S.C. Section 1350 (furnished herewith).</w:t>
            </w:r>
          </w:p>
        </w:tc>
      </w:tr>
      <w:tr>
        <w:trPr>
          <w:trHeight w:val="27"/>
        </w:trPr>
        <w:tc>
          <w:tcPr>
            <w:tcW w:w="740" w:type="dxa"/>
            <w:vAlign w:val="bottom"/>
            <w:shd w:val="clear" w:color="auto" w:fill="CCEEFF"/>
          </w:tcPr>
          <w:p>
            <w:pPr>
              <w:spacing w:after="0"/>
              <w:rPr>
                <w:sz w:val="2"/>
                <w:szCs w:val="2"/>
                <w:color w:val="auto"/>
              </w:rPr>
            </w:pPr>
          </w:p>
        </w:tc>
        <w:tc>
          <w:tcPr>
            <w:tcW w:w="10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Exhibit No. (101).INS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No. (101).SCH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(101).PRE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(101).DEF XBRL Taxonomy Extension Definition Linkbase Document</w:t>
      </w:r>
    </w:p>
    <w:p>
      <w:pPr>
        <w:spacing w:after="0" w:line="373" w:lineRule="exact"/>
        <w:rPr>
          <w:sz w:val="20"/>
          <w:szCs w:val="20"/>
          <w:color w:val="auto"/>
        </w:rPr>
      </w:pPr>
    </w:p>
    <w:p>
      <w:pPr>
        <w:ind w:left="780" w:hanging="320"/>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4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SUPPLEMENTAL INDENTURE</w:t>
      </w:r>
    </w:p>
    <w:p>
      <w:pPr>
        <w:spacing w:after="0" w:line="200" w:lineRule="exact"/>
        <w:rPr>
          <w:sz w:val="20"/>
          <w:szCs w:val="20"/>
          <w:color w:val="auto"/>
        </w:rPr>
      </w:pPr>
    </w:p>
    <w:p>
      <w:pPr>
        <w:spacing w:after="0" w:line="23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This FOURTH SUPPLEMENTAL INDENTURE, dated as of December 10, 2013 (this “</w:t>
      </w:r>
      <w:r>
        <w:rPr>
          <w:rFonts w:ascii="Arial" w:cs="Arial" w:eastAsia="Arial" w:hAnsi="Arial"/>
          <w:sz w:val="18"/>
          <w:szCs w:val="18"/>
          <w:b w:val="1"/>
          <w:bCs w:val="1"/>
          <w:color w:val="auto"/>
        </w:rPr>
        <w:t>Fourth Supplemental Indenture</w:t>
      </w:r>
      <w:r>
        <w:rPr>
          <w:rFonts w:ascii="Arial" w:cs="Arial" w:eastAsia="Arial" w:hAnsi="Arial"/>
          <w:sz w:val="18"/>
          <w:szCs w:val="18"/>
          <w:color w:val="auto"/>
        </w:rPr>
        <w:t>”), is among Lennox National Account Services LLC and LGL Australia (US) Inc. (each, a “</w:t>
      </w:r>
      <w:r>
        <w:rPr>
          <w:rFonts w:ascii="Arial" w:cs="Arial" w:eastAsia="Arial" w:hAnsi="Arial"/>
          <w:sz w:val="18"/>
          <w:szCs w:val="18"/>
          <w:b w:val="1"/>
          <w:bCs w:val="1"/>
          <w:color w:val="auto"/>
        </w:rPr>
        <w:t>Guarantor</w:t>
      </w:r>
      <w:r>
        <w:rPr>
          <w:rFonts w:ascii="Arial" w:cs="Arial" w:eastAsia="Arial" w:hAnsi="Arial"/>
          <w:sz w:val="18"/>
          <w:szCs w:val="18"/>
          <w:color w:val="auto"/>
        </w:rPr>
        <w:t>”), Lennox International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each other existing Guarantor under the Indenture referred to below (the “</w:t>
      </w:r>
      <w:r>
        <w:rPr>
          <w:rFonts w:ascii="Arial" w:cs="Arial" w:eastAsia="Arial" w:hAnsi="Arial"/>
          <w:sz w:val="18"/>
          <w:szCs w:val="18"/>
          <w:b w:val="1"/>
          <w:bCs w:val="1"/>
          <w:color w:val="auto"/>
        </w:rPr>
        <w:t>Existing Guarantors</w:t>
      </w:r>
      <w:r>
        <w:rPr>
          <w:rFonts w:ascii="Arial" w:cs="Arial" w:eastAsia="Arial" w:hAnsi="Arial"/>
          <w:sz w:val="18"/>
          <w:szCs w:val="18"/>
          <w:color w:val="auto"/>
        </w:rPr>
        <w:t>”), and U.S. Bank National Association, as Trustee under the Indenture referred to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35" w:lineRule="exact"/>
        <w:rPr>
          <w:sz w:val="20"/>
          <w:szCs w:val="20"/>
          <w:color w:val="auto"/>
        </w:rPr>
      </w:pPr>
    </w:p>
    <w:p>
      <w:pPr>
        <w:ind w:right="40" w:firstLine="402"/>
        <w:spacing w:after="0" w:line="297" w:lineRule="auto"/>
        <w:rPr>
          <w:sz w:val="20"/>
          <w:szCs w:val="20"/>
          <w:color w:val="auto"/>
        </w:rPr>
      </w:pPr>
      <w:r>
        <w:rPr>
          <w:rFonts w:ascii="Arial" w:cs="Arial" w:eastAsia="Arial" w:hAnsi="Arial"/>
          <w:sz w:val="17"/>
          <w:szCs w:val="17"/>
          <w:color w:val="auto"/>
        </w:rPr>
        <w:t>WHEREAS, the Company, the Existing Guarantors and the Trustee have heretofore become parties to an Indenture, dated as of May 3, 2010 (the “</w:t>
      </w:r>
      <w:r>
        <w:rPr>
          <w:rFonts w:ascii="Arial" w:cs="Arial" w:eastAsia="Arial" w:hAnsi="Arial"/>
          <w:sz w:val="17"/>
          <w:szCs w:val="17"/>
          <w:b w:val="1"/>
          <w:bCs w:val="1"/>
          <w:color w:val="auto"/>
        </w:rPr>
        <w:t>Base</w:t>
      </w:r>
      <w:r>
        <w:rPr>
          <w:rFonts w:ascii="Arial" w:cs="Arial" w:eastAsia="Arial" w:hAnsi="Arial"/>
          <w:sz w:val="17"/>
          <w:szCs w:val="17"/>
          <w:color w:val="auto"/>
        </w:rPr>
        <w:t xml:space="preserve"> </w:t>
      </w:r>
      <w:r>
        <w:rPr>
          <w:rFonts w:ascii="Arial" w:cs="Arial" w:eastAsia="Arial" w:hAnsi="Arial"/>
          <w:sz w:val="17"/>
          <w:szCs w:val="17"/>
          <w:b w:val="1"/>
          <w:bCs w:val="1"/>
          <w:color w:val="auto"/>
        </w:rPr>
        <w:t>Indenture</w:t>
      </w:r>
      <w:r>
        <w:rPr>
          <w:rFonts w:ascii="Arial" w:cs="Arial" w:eastAsia="Arial" w:hAnsi="Arial"/>
          <w:sz w:val="17"/>
          <w:szCs w:val="17"/>
          <w:color w:val="auto"/>
        </w:rPr>
        <w:t>” and, as supplemented by the First Supplemental Indenture (the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dated as of May 6, 2010 providing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4.900% Notes due 2017 of the Company (the “Notes”), the Second Supplemental Indenture (the “</w:t>
      </w:r>
      <w:r>
        <w:rPr>
          <w:rFonts w:ascii="Arial" w:cs="Arial" w:eastAsia="Arial" w:hAnsi="Arial"/>
          <w:sz w:val="17"/>
          <w:szCs w:val="17"/>
          <w:b w:val="1"/>
          <w:bCs w:val="1"/>
          <w:color w:val="auto"/>
        </w:rPr>
        <w:t>Second Supplemental Indenture</w:t>
      </w:r>
      <w:r>
        <w:rPr>
          <w:rFonts w:ascii="Arial" w:cs="Arial" w:eastAsia="Arial" w:hAnsi="Arial"/>
          <w:sz w:val="17"/>
          <w:szCs w:val="17"/>
          <w:color w:val="auto"/>
        </w:rPr>
        <w:t>”), dated as of March 28, 2011, and the Third Supplemental Indenture dated as of October 27, 2011,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57" w:lineRule="exact"/>
        <w:rPr>
          <w:sz w:val="20"/>
          <w:szCs w:val="20"/>
          <w:color w:val="auto"/>
        </w:rPr>
      </w:pPr>
    </w:p>
    <w:p>
      <w:pPr>
        <w:ind w:right="260" w:firstLine="402"/>
        <w:spacing w:after="0" w:line="286" w:lineRule="auto"/>
        <w:rPr>
          <w:sz w:val="20"/>
          <w:szCs w:val="20"/>
          <w:color w:val="auto"/>
        </w:rPr>
      </w:pPr>
      <w:r>
        <w:rPr>
          <w:rFonts w:ascii="Arial" w:cs="Arial" w:eastAsia="Arial" w:hAnsi="Arial"/>
          <w:sz w:val="17"/>
          <w:szCs w:val="17"/>
          <w:color w:val="auto"/>
        </w:rPr>
        <w:t>WHEREAS, Section 8.06 of the First Supplemental Indenture provides that the Company is required to cause the Guarantor to execute and deliver to the Trustee a supplemental indenture evidencing its guarantee of the punctual payment when due of all monetary obligations of the Company under the Indenture and the Notes on the terms and conditions set forth herein and in Article 8 of the First Supplemental Indenture;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WHEREAS, the Guarantor desires to enter into such supplemental indenture for good and valuable</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consideration, including substantial economic benefit in that the financial performance and condition of such Guarantor is dependent on the financial performance and condition of the Company, the obligations hereunder of which such Guarantor has guaranteed; and</w:t>
      </w:r>
    </w:p>
    <w:p>
      <w:pPr>
        <w:spacing w:after="0" w:line="18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WHEREAS, pursuant to Section 8.01 of the Base Indenture, the parties hereto are authorized to execute and deliver this Fourth Supplemental Indenture to amend the Indenture, without the consent of any Holder;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Guarantor, the Company, the Existing Guarantors and the Trustee mutually covenant and agree for the benefit of the Holders of the Notes as follows:</w:t>
      </w:r>
    </w:p>
    <w:p>
      <w:pPr>
        <w:spacing w:after="0" w:line="222" w:lineRule="exact"/>
        <w:rPr>
          <w:sz w:val="20"/>
          <w:szCs w:val="20"/>
          <w:color w:val="auto"/>
        </w:rPr>
      </w:pPr>
    </w:p>
    <w:p>
      <w:pPr>
        <w:ind w:right="80" w:firstLine="413"/>
        <w:spacing w:after="0" w:line="264" w:lineRule="auto"/>
        <w:tabs>
          <w:tab w:leader="none" w:pos="5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Defined Terms. As used in this Fourth Supplemental Indenture, terms defined in the Indenture or in the preamble or recital hereto are used herein as therein defined. The words “herein,” “hereof” and “hereby” and other words of similar import used in this Fourth Supplemental Indenture refer to this Fourth Supplemental Indenture as a whole and not to any particular section hereof.</w:t>
      </w:r>
    </w:p>
    <w:p>
      <w:pPr>
        <w:spacing w:after="0" w:line="73" w:lineRule="exact"/>
        <w:rPr>
          <w:rFonts w:ascii="Arial" w:cs="Arial" w:eastAsia="Arial" w:hAnsi="Arial"/>
          <w:sz w:val="18"/>
          <w:szCs w:val="18"/>
          <w:color w:val="auto"/>
        </w:rPr>
      </w:pPr>
    </w:p>
    <w:p>
      <w:pPr>
        <w:ind w:right="80" w:firstLine="413"/>
        <w:spacing w:after="0" w:line="297" w:lineRule="auto"/>
        <w:tabs>
          <w:tab w:leader="none" w:pos="57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Agreement to Guarantee. Each Guarantor, as a primary obligor and not merely as surety, hereby irrevocably and fully and unconditionally guarantees to each Holder and to the Trustee and its successor and assigns (the “</w:t>
      </w:r>
      <w:r>
        <w:rPr>
          <w:rFonts w:ascii="Arial" w:cs="Arial" w:eastAsia="Arial" w:hAnsi="Arial"/>
          <w:sz w:val="16"/>
          <w:szCs w:val="16"/>
          <w:b w:val="1"/>
          <w:bCs w:val="1"/>
          <w:color w:val="auto"/>
        </w:rPr>
        <w:t>Guarantee</w:t>
      </w:r>
      <w:r>
        <w:rPr>
          <w:rFonts w:ascii="Arial" w:cs="Arial" w:eastAsia="Arial" w:hAnsi="Arial"/>
          <w:sz w:val="16"/>
          <w:szCs w:val="16"/>
          <w:color w:val="auto"/>
        </w:rPr>
        <w:t>”), on a senior unsecured basis and equal in right of payment to all existing and future senior indebtedness of such Guarantor, the punctual payment when due of all monetary obligations of the Company under the Indenture and the Notes, whether for principal of or interest on the Notes, on the terms and subject to the conditions set forth in Article 8 of the First Supplemental Indenture and agrees to be bound by (and shall be entitled to the benefits of) all other applicable provisions of the Indenture as a Guarantor.</w:t>
      </w:r>
    </w:p>
    <w:p>
      <w:pPr>
        <w:spacing w:after="0" w:line="50" w:lineRule="exact"/>
        <w:rPr>
          <w:rFonts w:ascii="Arial" w:cs="Arial" w:eastAsia="Arial" w:hAnsi="Arial"/>
          <w:sz w:val="16"/>
          <w:szCs w:val="16"/>
          <w:color w:val="auto"/>
        </w:rPr>
      </w:pPr>
    </w:p>
    <w:p>
      <w:pPr>
        <w:ind w:right="340" w:firstLine="413"/>
        <w:spacing w:after="0" w:line="342" w:lineRule="auto"/>
        <w:tabs>
          <w:tab w:leader="none" w:pos="58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Termination, Release and Discharge. Each Guarantor’s Guarantee shall terminate and be of no further force or effect, and each Guarantor shall be released and discharged from all obligations in respect of such Guarantee, as and when provided in Section 8.03 of the First Supplemental Indenture.</w:t>
      </w:r>
    </w:p>
    <w:p>
      <w:pPr>
        <w:spacing w:after="0" w:line="15" w:lineRule="exact"/>
        <w:rPr>
          <w:rFonts w:ascii="Arial" w:cs="Arial" w:eastAsia="Arial" w:hAnsi="Arial"/>
          <w:sz w:val="16"/>
          <w:szCs w:val="16"/>
          <w:color w:val="auto"/>
        </w:rPr>
      </w:pPr>
    </w:p>
    <w:p>
      <w:pPr>
        <w:ind w:right="200" w:firstLine="368"/>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Parties. Nothing in this Fourth Supplemental Indenture is intended or shall be construed to give any Person, other than the Holders and the Trustee, any legal or equitable right, remedy or claim under or in respect of each Guarantor’s Guarantee or any provision contained herein or in Article 8 of the First Supplemental Indenture.</w:t>
      </w:r>
    </w:p>
    <w:p>
      <w:pPr>
        <w:spacing w:after="0" w:line="73" w:lineRule="exact"/>
        <w:rPr>
          <w:rFonts w:ascii="Arial" w:cs="Arial" w:eastAsia="Arial" w:hAnsi="Arial"/>
          <w:sz w:val="18"/>
          <w:szCs w:val="18"/>
          <w:color w:val="auto"/>
        </w:rPr>
      </w:pPr>
    </w:p>
    <w:p>
      <w:pPr>
        <w:ind w:right="60" w:firstLine="413"/>
        <w:spacing w:after="0" w:line="342" w:lineRule="auto"/>
        <w:tabs>
          <w:tab w:leader="none" w:pos="585" w:val="left"/>
        </w:tabs>
        <w:numPr>
          <w:ilvl w:val="1"/>
          <w:numId w:val="34"/>
        </w:numPr>
        <w:rPr>
          <w:rFonts w:ascii="Arial" w:cs="Arial" w:eastAsia="Arial" w:hAnsi="Arial"/>
          <w:sz w:val="16"/>
          <w:szCs w:val="16"/>
          <w:color w:val="auto"/>
        </w:rPr>
      </w:pPr>
      <w:r>
        <w:rPr>
          <w:rFonts w:ascii="Arial" w:cs="Arial" w:eastAsia="Arial" w:hAnsi="Arial"/>
          <w:sz w:val="16"/>
          <w:szCs w:val="16"/>
          <w:color w:val="auto"/>
        </w:rPr>
        <w:t>Governing Law. This Fourth Supplemental Indenture and the Notes shall be deemed to be a contract under the laws of the State of New York, and for all purposes shall be construed in accordance with the laws of such State, except as may otherwise be required by mandatory provisions of law.</w:t>
      </w:r>
    </w:p>
    <w:p>
      <w:pPr>
        <w:sectPr>
          <w:pgSz w:w="11900" w:h="16838" w:orient="portrait"/>
          <w:cols w:equalWidth="0" w:num="1">
            <w:col w:w="11420"/>
          </w:cols>
          <w:pgMar w:left="240" w:top="584" w:right="239" w:bottom="1440" w:gutter="0" w:footer="0" w:header="0"/>
        </w:sectPr>
      </w:pPr>
    </w:p>
    <w:bookmarkStart w:id="96" w:name="page97"/>
    <w:bookmarkEnd w:id="96"/>
    <w:p>
      <w:pPr>
        <w:ind w:left="-240" w:firstLine="413"/>
        <w:spacing w:after="0" w:line="259"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Ratification of Indenture; Supplemental Indentures Part of Indenture. The Indenture, as supplemented by this Fourth Supplemental Indenture, is in all respects ratified and confirmed, and this Fourth Supplemental Indenture shall be deemed part of the Indenture in the manner and to the extent herein and therein provided. The recitals contained herein shall be taken as the statements of the Company, and the Trustee assumes no responsibility for the correctness of the same.</w:t>
      </w:r>
    </w:p>
    <w:p>
      <w:pPr>
        <w:spacing w:after="0" w:line="78" w:lineRule="exact"/>
        <w:rPr>
          <w:rFonts w:ascii="Arial" w:cs="Arial" w:eastAsia="Arial" w:hAnsi="Arial"/>
          <w:sz w:val="18"/>
          <w:szCs w:val="18"/>
          <w:color w:val="auto"/>
        </w:rPr>
      </w:pPr>
    </w:p>
    <w:p>
      <w:pPr>
        <w:ind w:left="-240" w:right="440" w:firstLine="413"/>
        <w:spacing w:after="0" w:line="277"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Counterparts. This Fourth Supplemental Indenture may be executed in any number of counterparts, each of which shall be an original; but such counterparts shall together constitute but one and the same instrument.</w:t>
      </w:r>
    </w:p>
    <w:p>
      <w:pPr>
        <w:spacing w:after="0" w:line="62" w:lineRule="exact"/>
        <w:rPr>
          <w:rFonts w:ascii="Arial" w:cs="Arial" w:eastAsia="Arial" w:hAnsi="Arial"/>
          <w:sz w:val="18"/>
          <w:szCs w:val="18"/>
          <w:color w:val="auto"/>
        </w:rPr>
      </w:pPr>
    </w:p>
    <w:p>
      <w:pPr>
        <w:ind w:left="360" w:hanging="187"/>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Headings. The section headings herein are for convenience only and shall not affect the construction hereof.</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caused this Fourth Supplemental Indenture to be duly executed as of the date first above written.</w:t>
      </w:r>
    </w:p>
    <w:p>
      <w:pPr>
        <w:spacing w:after="0" w:line="200" w:lineRule="exact"/>
        <w:rPr>
          <w:sz w:val="20"/>
          <w:szCs w:val="20"/>
          <w:color w:val="auto"/>
        </w:rPr>
      </w:pPr>
    </w:p>
    <w:p>
      <w:pPr>
        <w:spacing w:after="0" w:line="25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LENNOX INDUSTRIES INC.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ALLIED AIR ENTERPRISES INC.</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LENNOX GLOBAL LTD.</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HEATCRAFT INC.</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HEATCRAFT REFRIGERATION PRODUCTS LLC</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ADVANCED DISTRIBUTOR PRODUCTS LLC</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Lennox National Account Services LLC</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LGL Australia (US) Inc.</w:t>
      </w:r>
    </w:p>
    <w:p>
      <w:pPr>
        <w:spacing w:after="0" w:line="49" w:lineRule="exact"/>
        <w:rPr>
          <w:sz w:val="20"/>
          <w:szCs w:val="20"/>
          <w:color w:val="auto"/>
        </w:rPr>
      </w:pPr>
    </w:p>
    <w:p>
      <w:pPr>
        <w:ind w:left="42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Pelini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31750</wp:posOffset>
            </wp:positionV>
            <wp:extent cx="2581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7" w:lineRule="exact"/>
        <w:rPr>
          <w:sz w:val="20"/>
          <w:szCs w:val="20"/>
          <w:color w:val="auto"/>
        </w:rPr>
      </w:pPr>
    </w:p>
    <w:p>
      <w:pPr>
        <w:ind w:left="5400"/>
        <w:spacing w:after="0"/>
        <w:tabs>
          <w:tab w:leader="none" w:pos="6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Rick Pelini</w:t>
      </w:r>
    </w:p>
    <w:p>
      <w:pPr>
        <w:spacing w:after="0" w:line="63" w:lineRule="exact"/>
        <w:rPr>
          <w:sz w:val="20"/>
          <w:szCs w:val="20"/>
          <w:color w:val="auto"/>
        </w:rPr>
      </w:pPr>
    </w:p>
    <w:p>
      <w:pPr>
        <w:ind w:left="540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LENNOX INTERNATIONAL INC.</w:t>
      </w:r>
    </w:p>
    <w:p>
      <w:pPr>
        <w:spacing w:after="0" w:line="279" w:lineRule="exact"/>
        <w:rPr>
          <w:sz w:val="20"/>
          <w:szCs w:val="20"/>
          <w:color w:val="auto"/>
        </w:rPr>
      </w:pPr>
    </w:p>
    <w:p>
      <w:pPr>
        <w:ind w:left="42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Pelini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31750</wp:posOffset>
            </wp:positionV>
            <wp:extent cx="25812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7" w:lineRule="exact"/>
        <w:rPr>
          <w:sz w:val="20"/>
          <w:szCs w:val="20"/>
          <w:color w:val="auto"/>
        </w:rPr>
      </w:pPr>
    </w:p>
    <w:p>
      <w:pPr>
        <w:ind w:left="5400"/>
        <w:spacing w:after="0"/>
        <w:tabs>
          <w:tab w:leader="none" w:pos="6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Rick Pelini</w:t>
      </w:r>
    </w:p>
    <w:p>
      <w:pPr>
        <w:spacing w:after="0" w:line="63" w:lineRule="exact"/>
        <w:rPr>
          <w:sz w:val="20"/>
          <w:szCs w:val="20"/>
          <w:color w:val="auto"/>
        </w:rPr>
      </w:pPr>
    </w:p>
    <w:p>
      <w:pPr>
        <w:ind w:left="540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BANK NATIONAL ASSOCIATION, as Trustee</w:t>
      </w:r>
    </w:p>
    <w:p>
      <w:pPr>
        <w:spacing w:after="0" w:line="279" w:lineRule="exact"/>
        <w:rPr>
          <w:sz w:val="20"/>
          <w:szCs w:val="20"/>
          <w:color w:val="auto"/>
        </w:rPr>
      </w:pPr>
    </w:p>
    <w:p>
      <w:pPr>
        <w:ind w:left="280"/>
        <w:spacing w:after="0"/>
        <w:tabs>
          <w:tab w:leader="none" w:pos="780" w:val="left"/>
        </w:tabs>
        <w:rPr>
          <w:sz w:val="20"/>
          <w:szCs w:val="20"/>
          <w:color w:val="auto"/>
        </w:rPr>
      </w:pPr>
      <w:r>
        <w:rPr>
          <w:rFonts w:ascii="Arial" w:cs="Arial" w:eastAsia="Arial" w:hAnsi="Arial"/>
          <w:sz w:val="18"/>
          <w:szCs w:val="18"/>
          <w:color w:val="auto"/>
        </w:rPr>
        <w:t>By:</w:t>
        <w:tab/>
        <w:t>/s/ Brad Hounsel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31750</wp:posOffset>
            </wp:positionV>
            <wp:extent cx="2590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4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320" w:type="dxa"/>
            <w:vAlign w:val="bottom"/>
            <w:gridSpan w:val="3"/>
          </w:tcPr>
          <w:p>
            <w:pPr>
              <w:ind w:left="160"/>
              <w:spacing w:after="0"/>
              <w:rPr>
                <w:sz w:val="20"/>
                <w:szCs w:val="20"/>
                <w:color w:val="auto"/>
              </w:rPr>
            </w:pPr>
            <w:r>
              <w:rPr>
                <w:rFonts w:ascii="Arial" w:cs="Arial" w:eastAsia="Arial" w:hAnsi="Arial"/>
                <w:sz w:val="18"/>
                <w:szCs w:val="18"/>
                <w:color w:val="auto"/>
                <w:w w:val="89"/>
              </w:rPr>
              <w:t>_Brad Hounsel____________</w:t>
            </w: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120"/>
          </w:cols>
          <w:pgMar w:left="480" w:top="584" w:right="29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SUBSIDIARY JOINDER AGREEMENT</w:t>
      </w:r>
    </w:p>
    <w:p>
      <w:pPr>
        <w:spacing w:after="0" w:line="225" w:lineRule="exact"/>
        <w:rPr>
          <w:sz w:val="20"/>
          <w:szCs w:val="20"/>
          <w:color w:val="auto"/>
        </w:rPr>
      </w:pPr>
    </w:p>
    <w:p>
      <w:pPr>
        <w:ind w:left="300" w:right="20" w:firstLine="864"/>
        <w:spacing w:after="0" w:line="272" w:lineRule="auto"/>
        <w:rPr>
          <w:sz w:val="20"/>
          <w:szCs w:val="20"/>
          <w:color w:val="auto"/>
        </w:rPr>
      </w:pPr>
      <w:r>
        <w:rPr>
          <w:rFonts w:ascii="Arial" w:cs="Arial" w:eastAsia="Arial" w:hAnsi="Arial"/>
          <w:sz w:val="17"/>
          <w:szCs w:val="17"/>
          <w:color w:val="auto"/>
        </w:rPr>
        <w:t>This SUBSIDIARY JOINDER AGREEMENT (the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dated as of December 10, 2013 is executed by each of the undersigned (each, a“</w:t>
      </w:r>
      <w:r>
        <w:rPr>
          <w:rFonts w:ascii="Arial" w:cs="Arial" w:eastAsia="Arial" w:hAnsi="Arial"/>
          <w:sz w:val="17"/>
          <w:szCs w:val="17"/>
          <w:b w:val="1"/>
          <w:bCs w:val="1"/>
          <w:u w:val="single" w:color="auto"/>
          <w:color w:val="auto"/>
        </w:rPr>
        <w:t>Debtor</w:t>
      </w:r>
      <w:r>
        <w:rPr>
          <w:rFonts w:ascii="Arial" w:cs="Arial" w:eastAsia="Arial" w:hAnsi="Arial"/>
          <w:sz w:val="17"/>
          <w:szCs w:val="17"/>
          <w:color w:val="auto"/>
        </w:rPr>
        <w:t xml:space="preserve">”) for the benefit of </w:t>
      </w:r>
      <w:r>
        <w:rPr>
          <w:rFonts w:ascii="Arial" w:cs="Arial" w:eastAsia="Arial" w:hAnsi="Arial"/>
          <w:sz w:val="17"/>
          <w:szCs w:val="17"/>
          <w:b w:val="1"/>
          <w:bCs w:val="1"/>
          <w:color w:val="auto"/>
        </w:rPr>
        <w:t>JPMORGAN CHASE BANK, NATIONAL ASSOCIATION</w:t>
      </w:r>
      <w:r>
        <w:rPr>
          <w:rFonts w:ascii="Arial" w:cs="Arial" w:eastAsia="Arial" w:hAnsi="Arial"/>
          <w:sz w:val="17"/>
          <w:szCs w:val="17"/>
          <w:color w:val="auto"/>
        </w:rPr>
        <w:t xml:space="preserve"> in its capacity as administrative agent for the lenders party to the hereafter identified Credit Agreement (in such capacity herein, the “</w:t>
      </w:r>
      <w:r>
        <w:rPr>
          <w:rFonts w:ascii="Arial" w:cs="Arial" w:eastAsia="Arial" w:hAnsi="Arial"/>
          <w:sz w:val="17"/>
          <w:szCs w:val="17"/>
          <w:b w:val="1"/>
          <w:bCs w:val="1"/>
          <w:u w:val="single" w:color="auto"/>
          <w:color w:val="auto"/>
        </w:rPr>
        <w:t>Administrative Agent</w:t>
      </w:r>
      <w:r>
        <w:rPr>
          <w:rFonts w:ascii="Arial" w:cs="Arial" w:eastAsia="Arial" w:hAnsi="Arial"/>
          <w:sz w:val="17"/>
          <w:szCs w:val="17"/>
          <w:color w:val="auto"/>
        </w:rPr>
        <w:t>”) and for the benefit of such lenders in connection with that Fourth Amended and Restated Revolving Credit Facility Agreement dated as of October 11, 2011, among the Administrative Agent, Lennox International Inc. (the “</w:t>
      </w:r>
      <w:r>
        <w:rPr>
          <w:rFonts w:ascii="Arial" w:cs="Arial" w:eastAsia="Arial" w:hAnsi="Arial"/>
          <w:sz w:val="17"/>
          <w:szCs w:val="17"/>
          <w:b w:val="1"/>
          <w:bCs w:val="1"/>
          <w:u w:val="single" w:color="auto"/>
          <w:color w:val="auto"/>
        </w:rPr>
        <w:t>Borrower</w:t>
      </w:r>
      <w:r>
        <w:rPr>
          <w:rFonts w:ascii="Arial" w:cs="Arial" w:eastAsia="Arial" w:hAnsi="Arial"/>
          <w:sz w:val="17"/>
          <w:szCs w:val="17"/>
          <w:color w:val="auto"/>
        </w:rPr>
        <w:t>”), the lenders party thereto, JPMorgan Chase Bank, National Association, and Wells Fargo Bank, N.A., as Syndication Agents, PNC Bank and The Bank of Tokyo-Mitsubishi UFJ, Ltd. ., as Co- Documentation Agents, and U.S. Bank National Association, as Managing Agent (as amended, restated, supplemented or otherwise modified from time to time, the “</w:t>
      </w:r>
      <w:r>
        <w:rPr>
          <w:rFonts w:ascii="Arial" w:cs="Arial" w:eastAsia="Arial" w:hAnsi="Arial"/>
          <w:sz w:val="17"/>
          <w:szCs w:val="17"/>
          <w:b w:val="1"/>
          <w:bCs w:val="1"/>
          <w:u w:val="single" w:color="auto"/>
          <w:color w:val="auto"/>
        </w:rPr>
        <w:t>Credit Agreement</w:t>
      </w:r>
      <w:r>
        <w:rPr>
          <w:rFonts w:ascii="Arial" w:cs="Arial" w:eastAsia="Arial" w:hAnsi="Arial"/>
          <w:sz w:val="17"/>
          <w:szCs w:val="17"/>
          <w:color w:val="auto"/>
        </w:rPr>
        <w:t>”, and capitalized terms not otherwise defined herein being used herein as defined in the Credit Agreement)</w:t>
      </w:r>
    </w:p>
    <w:p>
      <w:pPr>
        <w:spacing w:after="0" w:line="176" w:lineRule="exact"/>
        <w:rPr>
          <w:sz w:val="20"/>
          <w:szCs w:val="20"/>
          <w:color w:val="auto"/>
        </w:rPr>
      </w:pPr>
    </w:p>
    <w:p>
      <w:pPr>
        <w:ind w:left="300" w:right="180" w:firstLine="864"/>
        <w:spacing w:after="0" w:line="264" w:lineRule="auto"/>
        <w:rPr>
          <w:sz w:val="20"/>
          <w:szCs w:val="20"/>
          <w:color w:val="auto"/>
        </w:rPr>
      </w:pPr>
      <w:r>
        <w:rPr>
          <w:rFonts w:ascii="Arial" w:cs="Arial" w:eastAsia="Arial" w:hAnsi="Arial"/>
          <w:sz w:val="18"/>
          <w:szCs w:val="18"/>
          <w:color w:val="auto"/>
        </w:rPr>
        <w:t xml:space="preserve">Each Debtor is a newly formed or newly acquired Material Subsidiary that is not an Excluded Foreign Subsidiary or, as a result of a change in assets, has or is expected to become a Material Subsidiary that is not an Excluded Foreign Subsidiary and is executing this Subsidiary Joinder Agreement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left="300" w:right="280" w:firstLine="864"/>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Debtor hereby agrees as follows:</w:t>
      </w:r>
    </w:p>
    <w:p>
      <w:pPr>
        <w:spacing w:after="0" w:line="170" w:lineRule="exact"/>
        <w:rPr>
          <w:sz w:val="20"/>
          <w:szCs w:val="20"/>
          <w:color w:val="auto"/>
        </w:rPr>
      </w:pPr>
    </w:p>
    <w:p>
      <w:pPr>
        <w:ind w:left="300" w:right="100" w:firstLine="424"/>
        <w:spacing w:after="0" w:line="290" w:lineRule="auto"/>
        <w:tabs>
          <w:tab w:leader="none" w:pos="9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Debtor hereby assumes all the obligations of a “Guarantor” under that certain Fourth Amended and Restated Subsidiary Guaranty dated as of October 12, 2011 executed by the Guarantors party thereto in favor of the Administrative Agent (as amended, restated, supplemented or otherwise modified from time to time, the “</w:t>
      </w:r>
      <w:r>
        <w:rPr>
          <w:rFonts w:ascii="Arial" w:cs="Arial" w:eastAsia="Arial" w:hAnsi="Arial"/>
          <w:sz w:val="16"/>
          <w:szCs w:val="16"/>
          <w:b w:val="1"/>
          <w:bCs w:val="1"/>
          <w:u w:val="single" w:color="auto"/>
          <w:color w:val="auto"/>
        </w:rPr>
        <w:t>Guaranty</w:t>
      </w:r>
      <w:r>
        <w:rPr>
          <w:rFonts w:ascii="Arial" w:cs="Arial" w:eastAsia="Arial" w:hAnsi="Arial"/>
          <w:sz w:val="16"/>
          <w:szCs w:val="16"/>
          <w:color w:val="auto"/>
        </w:rPr>
        <w:t xml:space="preserve">”) and agrees that it is a “Guarantor” and bound as a “Guarantor” under the terms of the Guaranty as if it had been an original signatory thereto. In accordance with the foregoing and for valuable consideration, the receipt and adequacy of which are hereby acknowledged, each Debtor irrevocably and unconditionally guarantees to the Administrative Agent and the other Secured Parties the full and prompt payment and performance of the Guaranteed Indebtedness (as defined in the Guaranty) upon the terms and conditions set forth in the Guaranty. Each Debtor hereby represents and warrants that each of the representations and warranties contained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the Guaranty is true and correct on and as of the date hereof (after giving effect to this Subsidiary Joinder Agreement) as if made on and as of such date.</w:t>
      </w:r>
    </w:p>
    <w:p>
      <w:pPr>
        <w:spacing w:after="0" w:line="166" w:lineRule="exact"/>
        <w:rPr>
          <w:rFonts w:ascii="Arial" w:cs="Arial" w:eastAsia="Arial" w:hAnsi="Arial"/>
          <w:sz w:val="16"/>
          <w:szCs w:val="16"/>
          <w:color w:val="auto"/>
        </w:rPr>
      </w:pPr>
    </w:p>
    <w:p>
      <w:pPr>
        <w:jc w:val="both"/>
        <w:ind w:left="300" w:right="180" w:firstLine="424"/>
        <w:spacing w:after="0" w:line="259" w:lineRule="auto"/>
        <w:tabs>
          <w:tab w:leader="none" w:pos="9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Agreement shall be deemed to be part of, and a modification to, the Guaranty and shall be governed by all the terms and provisions of the Credit Agreement and the Guaranty, which terms are incorporated herein by reference, are ratified and confirmed and shall be in full force and effect as valid and binding agreements of each Debtor enforceable against such Debtor. Each Debtor hereby waives notice of any Creditor’s acceptance of this Agreement.</w:t>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WITNESS WHEREOF, each Debtor has executed this Agreement as of the day and year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Lennox National Account Services LLC</w:t>
            </w:r>
          </w:p>
        </w:tc>
        <w:tc>
          <w:tcPr>
            <w:tcW w:w="2780" w:type="dxa"/>
            <w:vAlign w:val="bottom"/>
            <w:gridSpan w:val="3"/>
          </w:tcPr>
          <w:p>
            <w:pPr>
              <w:ind w:left="700"/>
              <w:spacing w:after="0"/>
              <w:rPr>
                <w:sz w:val="20"/>
                <w:szCs w:val="20"/>
                <w:color w:val="auto"/>
              </w:rPr>
            </w:pPr>
            <w:r>
              <w:rPr>
                <w:rFonts w:ascii="Arial" w:cs="Arial" w:eastAsia="Arial" w:hAnsi="Arial"/>
                <w:sz w:val="18"/>
                <w:szCs w:val="18"/>
                <w:color w:val="auto"/>
              </w:rPr>
              <w:t>LGL Australia (US) Inc.</w:t>
            </w:r>
          </w:p>
        </w:tc>
      </w:tr>
      <w:tr>
        <w:trPr>
          <w:trHeight w:val="500"/>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By: /s/ Rick Pelini</w:t>
            </w:r>
          </w:p>
        </w:tc>
        <w:tc>
          <w:tcPr>
            <w:tcW w:w="2780" w:type="dxa"/>
            <w:vAlign w:val="bottom"/>
            <w:gridSpan w:val="3"/>
          </w:tcPr>
          <w:p>
            <w:pPr>
              <w:ind w:left="700"/>
              <w:spacing w:after="0"/>
              <w:rPr>
                <w:sz w:val="20"/>
                <w:szCs w:val="20"/>
                <w:color w:val="auto"/>
              </w:rPr>
            </w:pPr>
            <w:r>
              <w:rPr>
                <w:rFonts w:ascii="Arial" w:cs="Arial" w:eastAsia="Arial" w:hAnsi="Arial"/>
                <w:sz w:val="18"/>
                <w:szCs w:val="18"/>
                <w:color w:val="auto"/>
              </w:rPr>
              <w:t>By: /s/ Rick Pelini</w:t>
            </w:r>
          </w:p>
        </w:tc>
      </w:tr>
      <w:tr>
        <w:trPr>
          <w:trHeight w:val="20"/>
        </w:trPr>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Rick Pelini</w:t>
            </w:r>
          </w:p>
        </w:tc>
        <w:tc>
          <w:tcPr>
            <w:tcW w:w="2780" w:type="dxa"/>
            <w:vAlign w:val="bottom"/>
            <w:gridSpan w:val="3"/>
          </w:tcPr>
          <w:p>
            <w:pPr>
              <w:ind w:left="700"/>
              <w:spacing w:after="0"/>
              <w:rPr>
                <w:sz w:val="20"/>
                <w:szCs w:val="20"/>
                <w:color w:val="auto"/>
              </w:rPr>
            </w:pPr>
            <w:r>
              <w:rPr>
                <w:rFonts w:ascii="Arial" w:cs="Arial" w:eastAsia="Arial" w:hAnsi="Arial"/>
                <w:sz w:val="18"/>
                <w:szCs w:val="18"/>
                <w:color w:val="auto"/>
              </w:rPr>
              <w:t>Rick Pelini</w:t>
            </w:r>
          </w:p>
        </w:tc>
      </w:tr>
      <w:tr>
        <w:trPr>
          <w:trHeight w:val="270"/>
        </w:trPr>
        <w:tc>
          <w:tcPr>
            <w:tcW w:w="3640" w:type="dxa"/>
            <w:vAlign w:val="bottom"/>
            <w:gridSpan w:val="3"/>
          </w:tcPr>
          <w:p>
            <w:pPr>
              <w:spacing w:after="0"/>
              <w:rPr>
                <w:sz w:val="20"/>
                <w:szCs w:val="20"/>
                <w:color w:val="auto"/>
              </w:rPr>
            </w:pPr>
            <w:r>
              <w:rPr>
                <w:rFonts w:ascii="Arial" w:cs="Arial" w:eastAsia="Arial" w:hAnsi="Arial"/>
                <w:sz w:val="18"/>
                <w:szCs w:val="18"/>
                <w:color w:val="auto"/>
              </w:rPr>
              <w:t>Vice President and Treasurer</w:t>
            </w:r>
          </w:p>
        </w:tc>
        <w:tc>
          <w:tcPr>
            <w:tcW w:w="2780" w:type="dxa"/>
            <w:vAlign w:val="bottom"/>
            <w:gridSpan w:val="3"/>
          </w:tcPr>
          <w:p>
            <w:pPr>
              <w:ind w:left="700"/>
              <w:spacing w:after="0"/>
              <w:rPr>
                <w:sz w:val="20"/>
                <w:szCs w:val="20"/>
                <w:color w:val="auto"/>
              </w:rPr>
            </w:pPr>
            <w:r>
              <w:rPr>
                <w:rFonts w:ascii="Arial" w:cs="Arial" w:eastAsia="Arial" w:hAnsi="Arial"/>
                <w:sz w:val="18"/>
                <w:szCs w:val="18"/>
                <w:color w:val="auto"/>
                <w:w w:val="87"/>
              </w:rPr>
              <w:t>Vice President and Treasurer</w:t>
            </w:r>
          </w:p>
        </w:tc>
      </w:tr>
    </w:tbl>
    <w:p>
      <w:pPr>
        <w:sectPr>
          <w:pgSz w:w="11900" w:h="16838" w:orient="portrait"/>
          <w:cols w:equalWidth="0" w:num="1">
            <w:col w:w="11380"/>
          </w:cols>
          <w:pgMar w:left="28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MUTUAL RELEASE</w:t>
      </w:r>
    </w:p>
    <w:p>
      <w:pPr>
        <w:spacing w:after="0" w:line="200" w:lineRule="exact"/>
        <w:rPr>
          <w:sz w:val="20"/>
          <w:szCs w:val="20"/>
          <w:color w:val="auto"/>
        </w:rPr>
      </w:pPr>
    </w:p>
    <w:p>
      <w:pPr>
        <w:spacing w:after="0" w:line="218" w:lineRule="exact"/>
        <w:rPr>
          <w:sz w:val="20"/>
          <w:szCs w:val="20"/>
          <w:color w:val="auto"/>
        </w:rPr>
      </w:pPr>
    </w:p>
    <w:p>
      <w:pPr>
        <w:jc w:val="both"/>
        <w:ind w:left="20" w:right="320"/>
        <w:spacing w:after="0" w:line="435" w:lineRule="auto"/>
        <w:rPr>
          <w:sz w:val="20"/>
          <w:szCs w:val="20"/>
          <w:color w:val="auto"/>
        </w:rPr>
      </w:pPr>
      <w:r>
        <w:rPr>
          <w:rFonts w:ascii="Arial" w:cs="Arial" w:eastAsia="Arial" w:hAnsi="Arial"/>
          <w:sz w:val="16"/>
          <w:szCs w:val="16"/>
          <w:color w:val="auto"/>
        </w:rPr>
        <w:t>THIS MUTUAL RELEASE (the "Release'') is executed and delivered as of March 13, 2013 (the “Delivery Date”) among JPMORGAN CHASE BANK, NATIONAL ASSOCIATION, as the Administrative Agent (the "Administrative Agent''), Service Experts LLC ("Service Experts”) and Service Experts Heating &amp; Air Conditioning LLC (''Service Experts Heating” and together with Service Experts, the Prior Guarantors'').</w:t>
      </w:r>
    </w:p>
    <w:p>
      <w:pPr>
        <w:spacing w:after="0" w:line="23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RECITALS:</w:t>
      </w:r>
    </w:p>
    <w:p>
      <w:pPr>
        <w:spacing w:after="0" w:line="200" w:lineRule="exact"/>
        <w:rPr>
          <w:sz w:val="20"/>
          <w:szCs w:val="20"/>
          <w:color w:val="auto"/>
        </w:rPr>
      </w:pPr>
    </w:p>
    <w:p>
      <w:pPr>
        <w:spacing w:after="0" w:line="218" w:lineRule="exact"/>
        <w:rPr>
          <w:sz w:val="20"/>
          <w:szCs w:val="20"/>
          <w:color w:val="auto"/>
        </w:rPr>
      </w:pPr>
    </w:p>
    <w:p>
      <w:pPr>
        <w:ind w:left="620" w:right="160" w:hanging="610"/>
        <w:spacing w:after="0" w:line="369"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Lennox International Inc. (''Borrower"), the lenders party thereto and the Administrative Agent have entered into that certain Fourth Amended and Restated Revolving Credit Facility Agreement, dated as of October 21, 2011(as the same has been amended or may be amended, the “Credit Agreement"). All capitalized terms used herein, unless otherwise defined herein, shall have the meanings as set forth in the Credit Agreement</w:t>
      </w:r>
    </w:p>
    <w:p>
      <w:pPr>
        <w:spacing w:after="0" w:line="294" w:lineRule="exact"/>
        <w:rPr>
          <w:sz w:val="20"/>
          <w:szCs w:val="20"/>
          <w:color w:val="auto"/>
        </w:rPr>
      </w:pPr>
    </w:p>
    <w:p>
      <w:pPr>
        <w:ind w:left="620" w:right="440" w:hanging="610"/>
        <w:spacing w:after="0" w:line="387"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the Credit Agreement, each of the Subsidiary Guarantors guaranteed the Obligations pursuant to that certain Fourth Amended and Restated Subsidiary Guaranty Agreement dated October 21, 2011 (the "Guaranty").</w:t>
      </w:r>
    </w:p>
    <w:p>
      <w:pPr>
        <w:spacing w:after="0" w:line="264" w:lineRule="exact"/>
        <w:rPr>
          <w:rFonts w:ascii="Arial" w:cs="Arial" w:eastAsia="Arial" w:hAnsi="Arial"/>
          <w:sz w:val="18"/>
          <w:szCs w:val="18"/>
          <w:color w:val="auto"/>
        </w:rPr>
      </w:pPr>
    </w:p>
    <w:p>
      <w:pPr>
        <w:jc w:val="both"/>
        <w:ind w:left="640" w:right="140" w:hanging="617"/>
        <w:spacing w:after="0" w:line="373" w:lineRule="auto"/>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Borrower and the other Subsidiary Guarantors have advised the Administrative Agent and the other Secured Parties that Borrower intends to sell all the Equity interests issued by Service Experts and, as all of the Equity Interests in Service Experts Heating are owned by Service Experts, all of the Equity Interests in Service Experts Heating (such sale, the "'Disposition'').</w:t>
      </w:r>
    </w:p>
    <w:p>
      <w:pPr>
        <w:spacing w:after="0" w:line="277" w:lineRule="exact"/>
        <w:rPr>
          <w:sz w:val="20"/>
          <w:szCs w:val="20"/>
          <w:color w:val="auto"/>
        </w:rPr>
      </w:pPr>
    </w:p>
    <w:p>
      <w:pPr>
        <w:ind w:left="640" w:right="40" w:hanging="617"/>
        <w:spacing w:after="0" w:line="38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Administrative Agent has agreed to release the Prior Guarantors from their obligations under or in respect of the Guaranty and all other Loan Documents, on and subject to the terms of this Release.</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NOW, THEREFORE, for good and valuable consideration, the receipt and sufficiency of which are hereby acknowledged:</w:t>
      </w:r>
    </w:p>
    <w:p>
      <w:pPr>
        <w:spacing w:after="0" w:line="200" w:lineRule="exact"/>
        <w:rPr>
          <w:sz w:val="20"/>
          <w:szCs w:val="20"/>
          <w:color w:val="auto"/>
        </w:rPr>
      </w:pPr>
    </w:p>
    <w:p>
      <w:pPr>
        <w:spacing w:after="0" w:line="214" w:lineRule="exact"/>
        <w:rPr>
          <w:sz w:val="20"/>
          <w:szCs w:val="20"/>
          <w:color w:val="auto"/>
        </w:rPr>
      </w:pPr>
    </w:p>
    <w:p>
      <w:pPr>
        <w:ind w:right="40"/>
        <w:spacing w:after="0" w:line="360" w:lineRule="auto"/>
        <w:rPr>
          <w:sz w:val="20"/>
          <w:szCs w:val="20"/>
          <w:color w:val="auto"/>
        </w:rPr>
      </w:pPr>
      <w:r>
        <w:rPr>
          <w:rFonts w:ascii="Arial" w:cs="Arial" w:eastAsia="Arial" w:hAnsi="Arial"/>
          <w:sz w:val="18"/>
          <w:szCs w:val="18"/>
          <w:color w:val="auto"/>
        </w:rPr>
        <w:t>1. Effective upon the closing of the Disposition, the Administrative Agent releases and discharges each of the Prior Guarantors from any and all obligations, indebtedness, liability, claims, rights, causes of action or demands whatsoever, which the Administrative Agent or any Secured Party had,</w:t>
      </w:r>
    </w:p>
    <w:p>
      <w:pPr>
        <w:ind w:left="640" w:right="3080"/>
        <w:spacing w:after="0" w:line="440" w:lineRule="auto"/>
        <w:rPr>
          <w:sz w:val="20"/>
          <w:szCs w:val="20"/>
          <w:color w:val="auto"/>
        </w:rPr>
      </w:pPr>
      <w:r>
        <w:rPr>
          <w:rFonts w:ascii="Arial" w:cs="Arial" w:eastAsia="Arial" w:hAnsi="Arial"/>
          <w:sz w:val="17"/>
          <w:szCs w:val="17"/>
          <w:color w:val="auto"/>
        </w:rPr>
        <w:t>now has, or claims to have against each Prior Guarantor arising in any way from or relating to the Guaranty or any other Loan Document executed by any of the Prior Guarantors.</w:t>
      </w:r>
    </w:p>
    <w:p>
      <w:pPr>
        <w:spacing w:after="0" w:line="229" w:lineRule="exact"/>
        <w:rPr>
          <w:sz w:val="20"/>
          <w:szCs w:val="20"/>
          <w:color w:val="auto"/>
        </w:rPr>
      </w:pPr>
    </w:p>
    <w:p>
      <w:pPr>
        <w:ind w:left="640" w:right="40" w:hanging="617"/>
        <w:spacing w:after="0" w:line="38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immediately prior to the closing of the Disposition, each Prior Guarantor hereby releases and discharges the Administrative Agent and each other Secured Party and their respective officers, directors,</w:t>
      </w:r>
    </w:p>
    <w:p>
      <w:pPr>
        <w:sectPr>
          <w:pgSz w:w="11900" w:h="16838" w:orient="portrait"/>
          <w:cols w:equalWidth="0" w:num="1">
            <w:col w:w="10760"/>
          </w:cols>
          <w:pgMar w:left="900" w:top="580" w:right="239" w:bottom="1440" w:gutter="0" w:footer="0" w:header="0"/>
        </w:sectPr>
      </w:pPr>
    </w:p>
    <w:bookmarkStart w:id="99" w:name="page100"/>
    <w:bookmarkEnd w:id="99"/>
    <w:p>
      <w:pPr>
        <w:ind w:left="590" w:right="80"/>
        <w:spacing w:after="0" w:line="431" w:lineRule="auto"/>
        <w:rPr>
          <w:sz w:val="20"/>
          <w:szCs w:val="20"/>
          <w:color w:val="auto"/>
        </w:rPr>
      </w:pPr>
      <w:r>
        <w:rPr>
          <w:rFonts w:ascii="Arial" w:cs="Arial" w:eastAsia="Arial" w:hAnsi="Arial"/>
          <w:sz w:val="18"/>
          <w:szCs w:val="18"/>
          <w:color w:val="auto"/>
        </w:rPr>
        <w:t>employees, agents and attorneys (collectively, the "Released Parties") from any and all obligations, indebtedness, liability, claims, rights, causes of action or demands whatsoever, whether known or unknown at the present time, suspected or unsuspected, which any of the Prior Guarantors ever had, now has, or claims to have against any Released Party arising in any way from or relating to the Guaranty or any of the other Loan Documents.</w:t>
      </w:r>
    </w:p>
    <w:p>
      <w:pPr>
        <w:spacing w:after="0" w:line="228" w:lineRule="exact"/>
        <w:rPr>
          <w:sz w:val="20"/>
          <w:szCs w:val="20"/>
          <w:color w:val="auto"/>
        </w:rPr>
      </w:pPr>
    </w:p>
    <w:p>
      <w:pPr>
        <w:ind w:left="630" w:right="200" w:hanging="616"/>
        <w:spacing w:after="0" w:line="360" w:lineRule="auto"/>
        <w:tabs>
          <w:tab w:leader="none" w:pos="6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of the Prior Guarantors represents that it has not assigned or transferred, or purported to assign or transfer to any Person, any of the obligations, indebtedness, liability, claims, rights, causes of action or demands released pursuant hereto (the “Claims'') or any portion thereof or interest therein and that it is the sole and rightful owner of any such Claims. The parties hereto understand and agree: (i) the consideration</w:t>
      </w:r>
    </w:p>
    <w:p>
      <w:pPr>
        <w:ind w:left="610"/>
        <w:spacing w:after="0"/>
        <w:rPr>
          <w:rFonts w:ascii="Arial" w:cs="Arial" w:eastAsia="Arial" w:hAnsi="Arial"/>
          <w:sz w:val="18"/>
          <w:szCs w:val="18"/>
          <w:color w:val="auto"/>
        </w:rPr>
      </w:pPr>
      <w:r>
        <w:rPr>
          <w:rFonts w:ascii="Arial" w:cs="Arial" w:eastAsia="Arial" w:hAnsi="Arial"/>
          <w:sz w:val="18"/>
          <w:szCs w:val="18"/>
          <w:color w:val="auto"/>
        </w:rPr>
        <w:t>for the foregoing releases are contractual and not a mere recital; (ii) that neither of the foregoing</w:t>
      </w:r>
    </w:p>
    <w:p>
      <w:pPr>
        <w:spacing w:after="0" w:line="103" w:lineRule="exact"/>
        <w:rPr>
          <w:rFonts w:ascii="Arial" w:cs="Arial" w:eastAsia="Arial" w:hAnsi="Arial"/>
          <w:sz w:val="18"/>
          <w:szCs w:val="18"/>
          <w:color w:val="auto"/>
        </w:rPr>
      </w:pPr>
    </w:p>
    <w:p>
      <w:pPr>
        <w:ind w:left="610" w:right="200"/>
        <w:spacing w:after="0" w:line="360" w:lineRule="auto"/>
        <w:rPr>
          <w:rFonts w:ascii="Arial" w:cs="Arial" w:eastAsia="Arial" w:hAnsi="Arial"/>
          <w:sz w:val="18"/>
          <w:szCs w:val="18"/>
          <w:color w:val="auto"/>
        </w:rPr>
      </w:pPr>
      <w:r>
        <w:rPr>
          <w:rFonts w:ascii="Arial" w:cs="Arial" w:eastAsia="Arial" w:hAnsi="Arial"/>
          <w:sz w:val="18"/>
          <w:szCs w:val="18"/>
          <w:color w:val="auto"/>
        </w:rPr>
        <w:t>releases, nor any part hereof, shall be used or construed as an admission of liability on the part of either of the Prior Guarantors or any of the Released Parties; (iii) the foregoing releases are knowing and</w:t>
      </w:r>
    </w:p>
    <w:p>
      <w:pPr>
        <w:ind w:left="650" w:right="4160"/>
        <w:spacing w:after="0" w:line="413" w:lineRule="auto"/>
        <w:rPr>
          <w:rFonts w:ascii="Arial" w:cs="Arial" w:eastAsia="Arial" w:hAnsi="Arial"/>
          <w:sz w:val="18"/>
          <w:szCs w:val="18"/>
          <w:color w:val="auto"/>
        </w:rPr>
      </w:pPr>
      <w:r>
        <w:rPr>
          <w:rFonts w:ascii="Arial" w:cs="Arial" w:eastAsia="Arial" w:hAnsi="Arial"/>
          <w:sz w:val="16"/>
          <w:szCs w:val="16"/>
          <w:color w:val="auto"/>
        </w:rPr>
        <w:t>voluntary and are executed without reliance on any statement or representation concerning the nature or extent of any claims, damages or legal liability therefor;</w:t>
      </w:r>
    </w:p>
    <w:p>
      <w:pPr>
        <w:spacing w:after="0" w:line="1" w:lineRule="exact"/>
        <w:rPr>
          <w:rFonts w:ascii="Arial" w:cs="Arial" w:eastAsia="Arial" w:hAnsi="Arial"/>
          <w:sz w:val="18"/>
          <w:szCs w:val="18"/>
          <w:color w:val="auto"/>
        </w:rPr>
      </w:pPr>
    </w:p>
    <w:p>
      <w:pPr>
        <w:ind w:left="650" w:hanging="1"/>
        <w:spacing w:after="0" w:line="373" w:lineRule="auto"/>
        <w:tabs>
          <w:tab w:leader="none" w:pos="954"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that each of the Administrative Agent and the Prior Guarantors has consulted with attorneys, accountants, financial advisors, and other advisors as they have deemed necessary and appropriate in connection with the negotiation and execution of this Release and are fully aware of the legal and financial consequences of the execution of this Release.</w:t>
      </w:r>
    </w:p>
    <w:p>
      <w:pPr>
        <w:spacing w:after="0" w:line="277" w:lineRule="exact"/>
        <w:rPr>
          <w:rFonts w:ascii="Arial" w:cs="Arial" w:eastAsia="Arial" w:hAnsi="Arial"/>
          <w:sz w:val="18"/>
          <w:szCs w:val="18"/>
          <w:color w:val="auto"/>
        </w:rPr>
      </w:pPr>
    </w:p>
    <w:p>
      <w:pPr>
        <w:ind w:left="310" w:hanging="310"/>
        <w:spacing w:after="0"/>
        <w:tabs>
          <w:tab w:leader="none" w:pos="3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Release shall not be deemed an authorization to release any other Subsidiary</w:t>
      </w:r>
    </w:p>
    <w:p>
      <w:pPr>
        <w:spacing w:after="0" w:line="104" w:lineRule="exact"/>
        <w:rPr>
          <w:sz w:val="20"/>
          <w:szCs w:val="20"/>
          <w:color w:val="auto"/>
        </w:rPr>
      </w:pPr>
    </w:p>
    <w:p>
      <w:pPr>
        <w:ind w:left="650"/>
        <w:spacing w:after="0"/>
        <w:rPr>
          <w:sz w:val="20"/>
          <w:szCs w:val="20"/>
          <w:color w:val="auto"/>
        </w:rPr>
      </w:pPr>
      <w:r>
        <w:rPr>
          <w:rFonts w:ascii="Arial" w:cs="Arial" w:eastAsia="Arial" w:hAnsi="Arial"/>
          <w:sz w:val="18"/>
          <w:szCs w:val="18"/>
          <w:color w:val="auto"/>
        </w:rPr>
        <w:t>Guarantor except as specifically set forth herein.</w:t>
      </w:r>
    </w:p>
    <w:p>
      <w:pPr>
        <w:spacing w:after="0" w:line="200" w:lineRule="exact"/>
        <w:rPr>
          <w:sz w:val="20"/>
          <w:szCs w:val="20"/>
          <w:color w:val="auto"/>
        </w:rPr>
      </w:pPr>
    </w:p>
    <w:p>
      <w:pPr>
        <w:spacing w:after="0" w:line="214" w:lineRule="exact"/>
        <w:rPr>
          <w:sz w:val="20"/>
          <w:szCs w:val="20"/>
          <w:color w:val="auto"/>
        </w:rPr>
      </w:pPr>
    </w:p>
    <w:p>
      <w:pPr>
        <w:ind w:left="650" w:right="160" w:hanging="596"/>
        <w:spacing w:after="0" w:line="402" w:lineRule="auto"/>
        <w:tabs>
          <w:tab w:leader="none" w:pos="65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This Release embodies the final, entire agreement among the parties hereto and supersedes any and all prior commitments, agreements, representations and understandings whether written or oral relating to the subject matter hereof and may not be contradicted or varied by evidence of prior, contemporaneous or subsequent oral agreements or discussions of the parties hereto.</w:t>
      </w:r>
    </w:p>
    <w:p>
      <w:pPr>
        <w:spacing w:after="0" w:line="260" w:lineRule="exact"/>
        <w:rPr>
          <w:rFonts w:ascii="Arial" w:cs="Arial" w:eastAsia="Arial" w:hAnsi="Arial"/>
          <w:sz w:val="17"/>
          <w:szCs w:val="17"/>
          <w:color w:val="auto"/>
        </w:rPr>
      </w:pPr>
    </w:p>
    <w:p>
      <w:pPr>
        <w:jc w:val="both"/>
        <w:ind w:left="650" w:right="60" w:hanging="623"/>
        <w:spacing w:after="0" w:line="411" w:lineRule="auto"/>
        <w:tabs>
          <w:tab w:leader="none" w:pos="65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Release shall be governed by and construed in accordance with the internal laws of the State of New York, other than those conflicts of law provisions that would defer to the substantive laws of another jurisdiction. This governing law election as been made by the parties in reliance (at least in part) on Section 5-1401 of the General Obligations Law of the State of New York, as amended (as</w:t>
      </w:r>
    </w:p>
    <w:p>
      <w:pPr>
        <w:ind w:left="650"/>
        <w:spacing w:after="0"/>
        <w:rPr>
          <w:rFonts w:ascii="Arial" w:cs="Arial" w:eastAsia="Arial" w:hAnsi="Arial"/>
          <w:sz w:val="16"/>
          <w:szCs w:val="16"/>
          <w:color w:val="auto"/>
        </w:rPr>
      </w:pPr>
      <w:r>
        <w:rPr>
          <w:rFonts w:ascii="Arial" w:cs="Arial" w:eastAsia="Arial" w:hAnsi="Arial"/>
          <w:sz w:val="18"/>
          <w:szCs w:val="18"/>
          <w:color w:val="auto"/>
        </w:rPr>
        <w:t>and to the extent applicable), and other applicable law.</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650" w:hanging="623"/>
        <w:spacing w:after="0" w:line="369"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Release may be executed in one or more counterparts and on telecopy or other electronically reproduced counterparts, each of which shall be deemed an original but all of which together shall constitute one and the same agreement. Delivery of an executed counterpart of a signature page of this Release by telecopy or other electronic communication shall be effective as delivery of manually executed counterpart of this Release.</w:t>
      </w:r>
    </w:p>
    <w:p>
      <w:pPr>
        <w:sectPr>
          <w:pgSz w:w="11900" w:h="16838" w:orient="portrait"/>
          <w:cols w:equalWidth="0" w:num="1">
            <w:col w:w="10650"/>
          </w:cols>
          <w:pgMar w:left="950" w:top="665" w:right="299" w:bottom="1440" w:gutter="0" w:footer="0" w:header="0"/>
        </w:sectPr>
      </w:pPr>
    </w:p>
    <w:bookmarkStart w:id="100" w:name="page101"/>
    <w:bookmarkEnd w:id="100"/>
    <w:p>
      <w:pPr>
        <w:ind w:left="660"/>
        <w:spacing w:after="0"/>
        <w:rPr>
          <w:sz w:val="20"/>
          <w:szCs w:val="20"/>
          <w:color w:val="auto"/>
        </w:rPr>
      </w:pPr>
      <w:r>
        <w:rPr>
          <w:rFonts w:ascii="Arial" w:cs="Arial" w:eastAsia="Arial" w:hAnsi="Arial"/>
          <w:sz w:val="16"/>
          <w:szCs w:val="16"/>
          <w:color w:val="auto"/>
        </w:rPr>
        <w:t>IN WITNESS WHEREOF, the Administrative Agent and the Prior Guarantors have caused this Release to be executed as of the date set forth above.</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ADMINSTRATIVE AGENT:</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JPMORGAN CHASE BANK</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NATIONAL ASSOCIATION, as the</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Gregory T. Martin</w:t>
      </w:r>
      <w:r>
        <w:rPr>
          <w:rFonts w:ascii="Arial" w:cs="Arial" w:eastAsia="Arial" w:hAnsi="Arial"/>
          <w:sz w:val="18"/>
          <w:szCs w:val="18"/>
          <w:color w:val="auto"/>
        </w:rPr>
        <w:t>__________</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Gregory T. Martin</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PRIOR GUARANTORS</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SERVICE EXPERTS LLC</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SERVICE EXPERTS HEATING &amp; AIR</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CONDITIONING LLC</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_/s/ Rick Pelini</w:t>
      </w:r>
      <w:r>
        <w:rPr>
          <w:rFonts w:ascii="Arial" w:cs="Arial" w:eastAsia="Arial" w:hAnsi="Arial"/>
          <w:sz w:val="18"/>
          <w:szCs w:val="18"/>
          <w:color w:val="auto"/>
        </w:rPr>
        <w:t>_____________</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Rick Pelini</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Authorized Officer for each Prior Guarantor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20" w:firstLine="648"/>
        <w:spacing w:after="0" w:line="373" w:lineRule="auto"/>
        <w:rPr>
          <w:sz w:val="20"/>
          <w:szCs w:val="20"/>
          <w:color w:val="auto"/>
        </w:rPr>
      </w:pPr>
      <w:r>
        <w:rPr>
          <w:rFonts w:ascii="Arial" w:cs="Arial" w:eastAsia="Arial" w:hAnsi="Arial"/>
          <w:sz w:val="18"/>
          <w:szCs w:val="18"/>
          <w:color w:val="auto"/>
        </w:rPr>
        <w:t>Each of the Borrower and each Subsidiary Guarantor (other than the Prior Guarantors): (i) consents to the foregoing Release and (ii) agrees that the Credit Agreement, the Guaranty and the other Loan Documents to which it is a party continue in full force and effect, and continue to be its legal, valid and binding obligations enforceable against it in accordance with their respective terms.</w:t>
      </w:r>
    </w:p>
    <w:p>
      <w:pPr>
        <w:spacing w:after="0" w:line="27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_/s/ Rick Pelini</w:t>
      </w:r>
      <w:r>
        <w:rPr>
          <w:rFonts w:ascii="Arial" w:cs="Arial" w:eastAsia="Arial" w:hAnsi="Arial"/>
          <w:sz w:val="18"/>
          <w:szCs w:val="18"/>
          <w:color w:val="auto"/>
        </w:rPr>
        <w:t>_____</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_</w:t>
      </w:r>
      <w:r>
        <w:rPr>
          <w:rFonts w:ascii="Arial" w:cs="Arial" w:eastAsia="Arial" w:hAnsi="Arial"/>
          <w:sz w:val="18"/>
          <w:szCs w:val="18"/>
          <w:u w:val="single" w:color="auto"/>
          <w:color w:val="auto"/>
        </w:rPr>
        <w:t>Rick Pelini</w:t>
      </w:r>
      <w:r>
        <w:rPr>
          <w:rFonts w:ascii="Arial" w:cs="Arial" w:eastAsia="Arial" w:hAnsi="Arial"/>
          <w:sz w:val="18"/>
          <w:szCs w:val="18"/>
          <w:color w:val="auto"/>
        </w:rPr>
        <w:t>_____</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__</w:t>
      </w:r>
      <w:r>
        <w:rPr>
          <w:rFonts w:ascii="Arial" w:cs="Arial" w:eastAsia="Arial" w:hAnsi="Arial"/>
          <w:sz w:val="18"/>
          <w:szCs w:val="18"/>
          <w:u w:val="single" w:color="auto"/>
          <w:color w:val="auto"/>
        </w:rPr>
        <w:t>VP, Treasurer</w:t>
      </w:r>
      <w:r>
        <w:rPr>
          <w:rFonts w:ascii="Arial" w:cs="Arial" w:eastAsia="Arial" w:hAnsi="Arial"/>
          <w:sz w:val="18"/>
          <w:szCs w:val="18"/>
          <w:color w:val="auto"/>
        </w:rPr>
        <w:t>___</w:t>
      </w:r>
    </w:p>
    <w:p>
      <w:pPr>
        <w:sectPr>
          <w:pgSz w:w="11900" w:h="16838" w:orient="portrait"/>
          <w:cols w:equalWidth="0" w:num="1">
            <w:col w:w="11380"/>
          </w:cols>
          <w:pgMar w:left="240" w:top="1260" w:right="279" w:bottom="1440" w:gutter="0" w:footer="0" w:header="0"/>
        </w:sectPr>
      </w:pPr>
    </w:p>
    <w:bookmarkStart w:id="101" w:name="page102"/>
    <w:bookmarkEnd w:id="101"/>
    <w:p>
      <w:pPr>
        <w:ind w:left="2700"/>
        <w:spacing w:after="0"/>
        <w:rPr>
          <w:sz w:val="20"/>
          <w:szCs w:val="20"/>
          <w:color w:val="auto"/>
        </w:rPr>
      </w:pPr>
      <w:r>
        <w:rPr>
          <w:rFonts w:ascii="Arial" w:cs="Arial" w:eastAsia="Arial" w:hAnsi="Arial"/>
          <w:sz w:val="18"/>
          <w:szCs w:val="18"/>
          <w:color w:val="auto"/>
        </w:rPr>
        <w:t>SUBSIDIARY GUARANTORS:</w:t>
      </w:r>
    </w:p>
    <w:p>
      <w:pPr>
        <w:spacing w:after="0" w:line="200" w:lineRule="exact"/>
        <w:rPr>
          <w:sz w:val="20"/>
          <w:szCs w:val="20"/>
          <w:color w:val="auto"/>
        </w:rPr>
      </w:pPr>
    </w:p>
    <w:p>
      <w:pPr>
        <w:spacing w:after="0" w:line="21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ALLIED AIR ENTERPRISES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ADVANCED DISTRIBUTOR PRODUCTS LLC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HEATCRAFT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HEATCRAFT REFRIGERATION PRODUCTS LLC</w:t>
      </w:r>
    </w:p>
    <w:p>
      <w:pPr>
        <w:spacing w:after="0" w:line="1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LENNOX GLOBAL LTD.</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LENNOX INDUSTRIES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Rick Pelini</w:t>
      </w:r>
      <w:r>
        <w:rPr>
          <w:rFonts w:ascii="Arial" w:cs="Arial" w:eastAsia="Arial" w:hAnsi="Arial"/>
          <w:sz w:val="18"/>
          <w:szCs w:val="18"/>
          <w:color w:val="auto"/>
        </w:rPr>
        <w:t>______</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Rick Pelini</w:t>
      </w:r>
      <w:r>
        <w:rPr>
          <w:rFonts w:ascii="Arial" w:cs="Arial" w:eastAsia="Arial" w:hAnsi="Arial"/>
          <w:sz w:val="18"/>
          <w:szCs w:val="18"/>
          <w:color w:val="auto"/>
        </w:rPr>
        <w:t>________</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Authorized Officer for each Subsidiary Guarantor</w:t>
      </w:r>
    </w:p>
    <w:p>
      <w:pPr>
        <w:sectPr>
          <w:pgSz w:w="11900" w:h="16838" w:orient="portrait"/>
          <w:cols w:equalWidth="0" w:num="1">
            <w:col w:w="9019"/>
          </w:cols>
          <w:pgMar w:left="1440" w:top="1260" w:right="1440" w:bottom="1440" w:gutter="0" w:footer="0" w:header="0"/>
        </w:sectPr>
      </w:pPr>
    </w:p>
    <w:bookmarkStart w:id="102" w:name="page103"/>
    <w:bookmarkEnd w:id="102"/>
    <w:p>
      <w:pPr>
        <w:ind w:left="10300"/>
        <w:spacing w:after="0"/>
        <w:rPr>
          <w:sz w:val="20"/>
          <w:szCs w:val="20"/>
          <w:color w:val="auto"/>
        </w:rPr>
      </w:pPr>
      <w:r>
        <w:rPr>
          <w:rFonts w:ascii="Arial" w:cs="Arial" w:eastAsia="Arial" w:hAnsi="Arial"/>
          <w:sz w:val="19"/>
          <w:szCs w:val="19"/>
          <w:b w:val="1"/>
          <w:bCs w:val="1"/>
          <w:color w:val="auto"/>
        </w:rPr>
        <w:t>Exhibit 10.9</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LENNOX INTERNATIONAL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Employees - Vice President and Above</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THIS AGREEMENT (“Agreement”) is made as of December 12, 2013 (the “Award Date”), by and between Lennox International Inc., a Delaware corporation (the “Company”), and __________ (“Participant”).</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Company has adopted the Lennox International Inc. 2010 Incentive Plan, as amended and restated (the “Plan”), the terms of which are incorporated by reference and made a part of this Agreement, for the benefit of eligible employees, directors, consultants or advisors of the Company and its Subsidiaries (together, “LII”). Capitalized terms used and not otherwise defined in this Agreement have the meanings set forth in the Plan.</w:t>
      </w:r>
    </w:p>
    <w:p>
      <w:pPr>
        <w:spacing w:after="0" w:line="18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Pursuant to the Plan, the Committee, which has responsibility for administering the Plan, has determined that it is in the interest of the Company and its stockholders to make the awards provided in this Agreement in order to increase Participant's personal interest in the continued success and progress of the Company, to foster and enhance the long-term profitability of the Company for the benefit of its shareholders by offering the incentive of long-term rewards, and to encourage Participant to remain in the employ of LII.</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and Participant therefore agree as follows:</w:t>
      </w:r>
    </w:p>
    <w:p>
      <w:pPr>
        <w:spacing w:after="0" w:line="214" w:lineRule="exact"/>
        <w:rPr>
          <w:sz w:val="20"/>
          <w:szCs w:val="20"/>
          <w:color w:val="auto"/>
        </w:rPr>
      </w:pPr>
    </w:p>
    <w:p>
      <w:pPr>
        <w:ind w:firstLine="656"/>
        <w:spacing w:after="0" w:line="282" w:lineRule="auto"/>
        <w:tabs>
          <w:tab w:leader="none" w:pos="1071"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Grant of Awards</w:t>
      </w:r>
      <w:r>
        <w:rPr>
          <w:rFonts w:ascii="Arial" w:cs="Arial" w:eastAsia="Arial" w:hAnsi="Arial"/>
          <w:sz w:val="22"/>
          <w:szCs w:val="22"/>
          <w:color w:val="auto"/>
        </w:rPr>
        <w:t>. Subject to the terms and conditions in this Agreement, the Company grants to Participant on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w:t>
      </w:r>
    </w:p>
    <w:p>
      <w:pPr>
        <w:spacing w:after="0" w:line="154" w:lineRule="exact"/>
        <w:rPr>
          <w:rFonts w:ascii="Arial" w:cs="Arial" w:eastAsia="Arial" w:hAnsi="Arial"/>
          <w:sz w:val="22"/>
          <w:szCs w:val="22"/>
          <w:color w:val="auto"/>
        </w:rPr>
      </w:pPr>
    </w:p>
    <w:p>
      <w:pPr>
        <w:ind w:left="660" w:firstLine="645"/>
        <w:spacing w:after="0" w:line="358" w:lineRule="auto"/>
        <w:tabs>
          <w:tab w:leader="none" w:pos="1728"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PSU Award</w:t>
      </w:r>
      <w:r>
        <w:rPr>
          <w:rFonts w:ascii="Arial" w:cs="Arial" w:eastAsia="Arial" w:hAnsi="Arial"/>
          <w:sz w:val="19"/>
          <w:szCs w:val="19"/>
          <w:color w:val="auto"/>
        </w:rPr>
        <w:t xml:space="preserve"> - for the period beginning on January 1, 2014 and ending on December 31, 2016 (the “Performance Period”), an award of __________ performance share units (“PSUs” and such award, the “PSU Award”);</w:t>
      </w:r>
    </w:p>
    <w:p>
      <w:pPr>
        <w:spacing w:after="0" w:line="90" w:lineRule="exact"/>
        <w:rPr>
          <w:rFonts w:ascii="Arial" w:cs="Arial" w:eastAsia="Arial" w:hAnsi="Arial"/>
          <w:sz w:val="19"/>
          <w:szCs w:val="19"/>
          <w:color w:val="auto"/>
        </w:rPr>
      </w:pPr>
    </w:p>
    <w:p>
      <w:pPr>
        <w:jc w:val="both"/>
        <w:ind w:left="660" w:firstLine="645"/>
        <w:spacing w:after="0" w:line="260" w:lineRule="auto"/>
        <w:tabs>
          <w:tab w:leader="none" w:pos="1808"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RSU Award</w:t>
      </w:r>
      <w:r>
        <w:rPr>
          <w:rFonts w:ascii="Arial" w:cs="Arial" w:eastAsia="Arial" w:hAnsi="Arial"/>
          <w:sz w:val="22"/>
          <w:szCs w:val="22"/>
          <w:color w:val="auto"/>
        </w:rPr>
        <w:t xml:space="preserve"> - for the period beginning on December 12, 2013 and ending on December 12, 2016 (except as provided below, the “Retention Period”), an award of __________ Restricted Stock Units (“RSUs” and such award, the “RSU Award”); and</w:t>
      </w:r>
    </w:p>
    <w:p>
      <w:pPr>
        <w:spacing w:after="0" w:line="177" w:lineRule="exact"/>
        <w:rPr>
          <w:rFonts w:ascii="Arial" w:cs="Arial" w:eastAsia="Arial" w:hAnsi="Arial"/>
          <w:sz w:val="22"/>
          <w:szCs w:val="22"/>
          <w:color w:val="auto"/>
        </w:rPr>
      </w:pPr>
    </w:p>
    <w:p>
      <w:pPr>
        <w:jc w:val="both"/>
        <w:ind w:left="660" w:firstLine="645"/>
        <w:spacing w:after="0" w:line="320" w:lineRule="auto"/>
        <w:tabs>
          <w:tab w:leader="none" w:pos="178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SAR Award</w:t>
      </w:r>
      <w:r>
        <w:rPr>
          <w:rFonts w:ascii="Arial" w:cs="Arial" w:eastAsia="Arial" w:hAnsi="Arial"/>
          <w:sz w:val="19"/>
          <w:szCs w:val="19"/>
          <w:color w:val="auto"/>
        </w:rPr>
        <w:t xml:space="preserve"> - for the period beginning on December 12, 2013 and ending on December 12, 2020 (the “SAR Period”), __________ Stock Appreciation Rights (“SARs” and such award, the “SAR Award”) at a grant price of $__________ per share of Common Stock (the Fair Market Value of a share of Common Stock on the date of grant).</w:t>
      </w:r>
    </w:p>
    <w:p>
      <w:pPr>
        <w:spacing w:after="0" w:line="11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22"/>
          <w:szCs w:val="22"/>
          <w:b w:val="1"/>
          <w:bCs w:val="1"/>
          <w:color w:val="auto"/>
        </w:rPr>
        <w:t>Conditions for Vesting</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left="660" w:firstLine="645"/>
        <w:spacing w:after="0" w:line="262" w:lineRule="auto"/>
        <w:tabs>
          <w:tab w:leader="none" w:pos="1742"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PSU Award</w:t>
      </w:r>
      <w:r>
        <w:rPr>
          <w:rFonts w:ascii="Arial" w:cs="Arial" w:eastAsia="Arial" w:hAnsi="Arial"/>
          <w:sz w:val="21"/>
          <w:szCs w:val="21"/>
          <w:color w:val="auto"/>
        </w:rPr>
        <w:t xml:space="preserve"> - Fifty percent (50%) of the PSU Award is based upon achievement of core net income growth rate performance goals (“Net Income”) for the Performance Period, and fifty percent (50%) of the PSU Award is based upon achievement of return on invested capital performance goals (“ROIC”) for the Performance Period. Subject to Section 5 of this Agreement, at the end of the Performance Period, the Committee will evaluate the Company’s attained levels of performance with respect to Net Income and ROIC to determine the number of whole PSUs earned, if any, by Participant (the “Earned PSUs”). The Committee will determine Participant's total Earned PSUs for such period by reference to the following performance matrix:</w:t>
      </w:r>
    </w:p>
    <w:p>
      <w:pPr>
        <w:sectPr>
          <w:pgSz w:w="11900" w:h="16838" w:orient="portrait"/>
          <w:cols w:equalWidth="0" w:num="1">
            <w:col w:w="11420"/>
          </w:cols>
          <w:pgMar w:left="240" w:top="841" w:right="239" w:bottom="1440" w:gutter="0" w:footer="0" w:header="0"/>
        </w:sectPr>
      </w:pPr>
    </w:p>
    <w:bookmarkStart w:id="103" w:name="page104"/>
    <w:bookmarkEnd w:id="103"/>
    <w:p>
      <w:pPr>
        <w:ind w:left="38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1229360</wp:posOffset>
            </wp:positionH>
            <wp:positionV relativeFrom="page">
              <wp:posOffset>603250</wp:posOffset>
            </wp:positionV>
            <wp:extent cx="5111115" cy="1217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11115" cy="1217930"/>
                    </a:xfrm>
                    <a:prstGeom prst="rect">
                      <a:avLst/>
                    </a:prstGeom>
                    <a:noFill/>
                  </pic:spPr>
                </pic:pic>
              </a:graphicData>
            </a:graphic>
          </wp:anchor>
        </w:drawing>
        <w:t>PSU Award - Performance Goals</w:t>
      </w:r>
    </w:p>
    <w:p>
      <w:pPr>
        <w:spacing w:after="0" w:line="30" w:lineRule="exact"/>
        <w:rPr>
          <w:sz w:val="20"/>
          <w:szCs w:val="20"/>
          <w:color w:val="auto"/>
        </w:rPr>
      </w:pPr>
    </w:p>
    <w:tbl>
      <w:tblPr>
        <w:tblLayout w:type="fixed"/>
        <w:tblInd w:w="1044" w:type="dxa"/>
        <w:tblCellMar>
          <w:top w:w="0" w:type="dxa"/>
          <w:left w:w="0" w:type="dxa"/>
          <w:bottom w:w="0" w:type="dxa"/>
          <w:right w:w="0" w:type="dxa"/>
        </w:tblCellMar>
      </w:tblPr>
      <w:tr>
        <w:trPr>
          <w:trHeight w:val="257"/>
        </w:trPr>
        <w:tc>
          <w:tcPr>
            <w:tcW w:w="2520" w:type="dxa"/>
            <w:vAlign w:val="bottom"/>
            <w:tcBorders>
              <w:top w:val="single" w:sz="8" w:color="auto"/>
              <w:right w:val="single" w:sz="8" w:color="auto"/>
            </w:tcBorders>
          </w:tcPr>
          <w:p>
            <w:pPr>
              <w:spacing w:after="0"/>
              <w:rPr>
                <w:sz w:val="22"/>
                <w:szCs w:val="22"/>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16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w:t>
            </w:r>
          </w:p>
        </w:tc>
        <w:tc>
          <w:tcPr>
            <w:tcW w:w="21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Maximum</w:t>
            </w:r>
          </w:p>
        </w:tc>
      </w:tr>
      <w:tr>
        <w:trPr>
          <w:trHeight w:val="27"/>
        </w:trPr>
        <w:tc>
          <w:tcPr>
            <w:tcW w:w="2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Earned PSUs</w:t>
            </w:r>
          </w:p>
        </w:tc>
        <w:tc>
          <w:tcPr>
            <w:tcW w:w="176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2140" w:type="dxa"/>
            <w:vAlign w:val="bottom"/>
          </w:tcPr>
          <w:p>
            <w:pPr>
              <w:spacing w:after="0"/>
              <w:rPr>
                <w:sz w:val="22"/>
                <w:szCs w:val="22"/>
                <w:color w:val="auto"/>
              </w:rPr>
            </w:pPr>
          </w:p>
        </w:tc>
      </w:tr>
      <w:tr>
        <w:trPr>
          <w:trHeight w:val="270"/>
        </w:trPr>
        <w:tc>
          <w:tcPr>
            <w:tcW w:w="2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Payout Levels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29"/>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Core Net Income: 3-year</w:t>
            </w:r>
          </w:p>
        </w:tc>
        <w:tc>
          <w:tcPr>
            <w:tcW w:w="176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2140" w:type="dxa"/>
            <w:vAlign w:val="bottom"/>
          </w:tcPr>
          <w:p>
            <w:pPr>
              <w:spacing w:after="0"/>
              <w:rPr>
                <w:sz w:val="19"/>
                <w:szCs w:val="19"/>
                <w:color w:val="auto"/>
              </w:rPr>
            </w:pPr>
          </w:p>
        </w:tc>
      </w:tr>
      <w:tr>
        <w:trPr>
          <w:trHeight w:val="230"/>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compound annual growth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__%</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_%</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__%</w:t>
            </w:r>
          </w:p>
        </w:tc>
      </w:tr>
      <w:tr>
        <w:trPr>
          <w:trHeight w:val="27"/>
        </w:trPr>
        <w:tc>
          <w:tcPr>
            <w:tcW w:w="2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ROIC: 3-year weighted average*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__%</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__%</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__%</w:t>
            </w:r>
          </w:p>
        </w:tc>
      </w:tr>
      <w:tr>
        <w:trPr>
          <w:trHeight w:val="27"/>
        </w:trPr>
        <w:tc>
          <w:tcPr>
            <w:tcW w:w="25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bl>
    <w:p>
      <w:pPr>
        <w:spacing w:after="0" w:line="20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*lowest-year ROIC weighted 20%, remaining years weighted 40% each</w:t>
      </w:r>
    </w:p>
    <w:p>
      <w:pPr>
        <w:spacing w:after="0" w:line="220"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9"/>
          <w:szCs w:val="19"/>
          <w:color w:val="auto"/>
        </w:rPr>
        <w:t>If, at the end of the Performance Period, the threshold, target or maximum performance goal set forth in the performance matrix above has been attained for either or both of the Net Income or ROIC performance goals, Participant will vest in Earned PSUs as provided in the performance matrix set forth above. If the attained level of performance for either performance goal is between the threshold and target, or between the target and maximum, performance goals set forth in the performance matrix above, Earned PSUs for such performance goal will be determined on an interpolated basis.</w:t>
      </w:r>
    </w:p>
    <w:p>
      <w:pPr>
        <w:spacing w:after="0" w:line="147" w:lineRule="exact"/>
        <w:rPr>
          <w:sz w:val="20"/>
          <w:szCs w:val="20"/>
          <w:color w:val="auto"/>
        </w:rPr>
      </w:pPr>
    </w:p>
    <w:p>
      <w:pPr>
        <w:jc w:val="both"/>
        <w:ind w:left="4" w:firstLine="645"/>
        <w:spacing w:after="0" w:line="307" w:lineRule="auto"/>
        <w:tabs>
          <w:tab w:leader="none" w:pos="1111"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RSU Award</w:t>
      </w:r>
      <w:r>
        <w:rPr>
          <w:rFonts w:ascii="Arial" w:cs="Arial" w:eastAsia="Arial" w:hAnsi="Arial"/>
          <w:sz w:val="19"/>
          <w:szCs w:val="19"/>
          <w:color w:val="auto"/>
        </w:rPr>
        <w:t xml:space="preserve"> - Subject to Section 5 of this Agreement, at the end of the Retention Period, the RSU Award will vest (the “Earned RSUs”). If the last day of the Retention Period is not a day on which shares of Common Stock are traded on a U.S. national securities exchange or quoted in an inter-dealer quotation system, then the Retention Period will end on the last preceding day on which sales of shares of Common Stock were reported.</w:t>
      </w:r>
    </w:p>
    <w:p>
      <w:pPr>
        <w:spacing w:after="0" w:line="132" w:lineRule="exact"/>
        <w:rPr>
          <w:rFonts w:ascii="Arial" w:cs="Arial" w:eastAsia="Arial" w:hAnsi="Arial"/>
          <w:sz w:val="19"/>
          <w:szCs w:val="19"/>
          <w:color w:val="auto"/>
        </w:rPr>
      </w:pPr>
    </w:p>
    <w:p>
      <w:pPr>
        <w:ind w:left="4" w:right="20" w:firstLine="645"/>
        <w:spacing w:after="0" w:line="282" w:lineRule="auto"/>
        <w:tabs>
          <w:tab w:leader="none" w:pos="1085"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SAR Award</w:t>
      </w:r>
      <w:r>
        <w:rPr>
          <w:rFonts w:ascii="Arial" w:cs="Arial" w:eastAsia="Arial" w:hAnsi="Arial"/>
          <w:sz w:val="22"/>
          <w:szCs w:val="22"/>
          <w:b w:val="1"/>
          <w:bCs w:val="1"/>
          <w:color w:val="auto"/>
        </w:rPr>
        <w:t xml:space="preserve"> - </w:t>
      </w:r>
      <w:r>
        <w:rPr>
          <w:rFonts w:ascii="Arial" w:cs="Arial" w:eastAsia="Arial" w:hAnsi="Arial"/>
          <w:sz w:val="22"/>
          <w:szCs w:val="22"/>
          <w:color w:val="auto"/>
        </w:rPr>
        <w:t>Subject to Section 5 of this Agreement, the SAR Award may be exercised only to the extent the</w:t>
      </w:r>
      <w:r>
        <w:rPr>
          <w:rFonts w:ascii="Arial" w:cs="Arial" w:eastAsia="Arial" w:hAnsi="Arial"/>
          <w:sz w:val="22"/>
          <w:szCs w:val="22"/>
          <w:b w:val="1"/>
          <w:bCs w:val="1"/>
          <w:color w:val="auto"/>
        </w:rPr>
        <w:t xml:space="preserve"> </w:t>
      </w:r>
      <w:r>
        <w:rPr>
          <w:rFonts w:ascii="Arial" w:cs="Arial" w:eastAsia="Arial" w:hAnsi="Arial"/>
          <w:sz w:val="22"/>
          <w:szCs w:val="22"/>
          <w:color w:val="auto"/>
        </w:rPr>
        <w:t>SAR Award has become vested (the “Earned SARs”) according to the following schedule:</w:t>
      </w:r>
    </w:p>
    <w:p>
      <w:pPr>
        <w:spacing w:after="0" w:line="166" w:lineRule="exact"/>
        <w:rPr>
          <w:sz w:val="20"/>
          <w:szCs w:val="20"/>
          <w:color w:val="auto"/>
        </w:rPr>
      </w:pPr>
    </w:p>
    <w:tbl>
      <w:tblPr>
        <w:tblLayout w:type="fixed"/>
        <w:tblInd w:w="1304" w:type="dxa"/>
        <w:tblCellMar>
          <w:top w:w="0" w:type="dxa"/>
          <w:left w:w="0" w:type="dxa"/>
          <w:bottom w:w="0" w:type="dxa"/>
          <w:right w:w="0" w:type="dxa"/>
        </w:tblCellMar>
      </w:tblPr>
      <w:tr>
        <w:trPr>
          <w:trHeight w:val="253"/>
        </w:trPr>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3"/>
              </w:rPr>
              <w:t>Date</w:t>
            </w:r>
          </w:p>
        </w:tc>
        <w:tc>
          <w:tcPr>
            <w:tcW w:w="600" w:type="dxa"/>
            <w:vAlign w:val="bottom"/>
          </w:tcPr>
          <w:p>
            <w:pPr>
              <w:spacing w:after="0"/>
              <w:rPr>
                <w:sz w:val="21"/>
                <w:szCs w:val="21"/>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4"/>
              </w:rPr>
              <w:t>SARs Vested</w:t>
            </w:r>
          </w:p>
        </w:tc>
        <w:tc>
          <w:tcPr>
            <w:tcW w:w="400" w:type="dxa"/>
            <w:vAlign w:val="bottom"/>
          </w:tcPr>
          <w:p>
            <w:pPr>
              <w:spacing w:after="0"/>
              <w:rPr>
                <w:sz w:val="21"/>
                <w:szCs w:val="21"/>
                <w:color w:val="auto"/>
              </w:rPr>
            </w:pPr>
          </w:p>
        </w:tc>
      </w:tr>
      <w:tr>
        <w:trPr>
          <w:trHeight w:val="296"/>
        </w:trPr>
        <w:tc>
          <w:tcPr>
            <w:tcW w:w="1780" w:type="dxa"/>
            <w:vAlign w:val="bottom"/>
            <w:gridSpan w:val="3"/>
          </w:tcPr>
          <w:p>
            <w:pPr>
              <w:spacing w:after="0"/>
              <w:rPr>
                <w:sz w:val="20"/>
                <w:szCs w:val="20"/>
                <w:color w:val="auto"/>
              </w:rPr>
            </w:pPr>
            <w:r>
              <w:rPr>
                <w:rFonts w:ascii="Arial" w:cs="Arial" w:eastAsia="Arial" w:hAnsi="Arial"/>
                <w:sz w:val="22"/>
                <w:szCs w:val="22"/>
                <w:color w:val="auto"/>
                <w:w w:val="91"/>
              </w:rPr>
              <w:t>December 12, 2014</w:t>
            </w:r>
          </w:p>
        </w:tc>
        <w:tc>
          <w:tcPr>
            <w:tcW w:w="820" w:type="dxa"/>
            <w:vAlign w:val="bottom"/>
            <w:gridSpan w:val="2"/>
          </w:tcPr>
          <w:p>
            <w:pPr>
              <w:ind w:left="100"/>
              <w:spacing w:after="0"/>
              <w:rPr>
                <w:sz w:val="20"/>
                <w:szCs w:val="20"/>
                <w:color w:val="auto"/>
              </w:rPr>
            </w:pPr>
            <w:r>
              <w:rPr>
                <w:rFonts w:ascii="Arial" w:cs="Arial" w:eastAsia="Arial" w:hAnsi="Arial"/>
                <w:sz w:val="22"/>
                <w:szCs w:val="22"/>
                <w:color w:val="auto"/>
                <w:w w:val="86"/>
              </w:rPr>
              <w:t>33 1/3%</w:t>
            </w:r>
          </w:p>
        </w:tc>
      </w:tr>
      <w:tr>
        <w:trPr>
          <w:trHeight w:val="270"/>
        </w:trPr>
        <w:tc>
          <w:tcPr>
            <w:tcW w:w="1780" w:type="dxa"/>
            <w:vAlign w:val="bottom"/>
            <w:gridSpan w:val="3"/>
          </w:tcPr>
          <w:p>
            <w:pPr>
              <w:spacing w:after="0"/>
              <w:rPr>
                <w:sz w:val="20"/>
                <w:szCs w:val="20"/>
                <w:color w:val="auto"/>
              </w:rPr>
            </w:pPr>
            <w:r>
              <w:rPr>
                <w:rFonts w:ascii="Arial" w:cs="Arial" w:eastAsia="Arial" w:hAnsi="Arial"/>
                <w:sz w:val="22"/>
                <w:szCs w:val="22"/>
                <w:color w:val="auto"/>
                <w:w w:val="91"/>
              </w:rPr>
              <w:t>December 12, 2015</w:t>
            </w:r>
          </w:p>
        </w:tc>
        <w:tc>
          <w:tcPr>
            <w:tcW w:w="820" w:type="dxa"/>
            <w:vAlign w:val="bottom"/>
            <w:gridSpan w:val="2"/>
          </w:tcPr>
          <w:p>
            <w:pPr>
              <w:ind w:left="100"/>
              <w:spacing w:after="0"/>
              <w:rPr>
                <w:sz w:val="20"/>
                <w:szCs w:val="20"/>
                <w:color w:val="auto"/>
              </w:rPr>
            </w:pPr>
            <w:r>
              <w:rPr>
                <w:rFonts w:ascii="Arial" w:cs="Arial" w:eastAsia="Arial" w:hAnsi="Arial"/>
                <w:sz w:val="22"/>
                <w:szCs w:val="22"/>
                <w:color w:val="auto"/>
                <w:w w:val="86"/>
              </w:rPr>
              <w:t>66 2/3%</w:t>
            </w:r>
          </w:p>
        </w:tc>
      </w:tr>
      <w:tr>
        <w:trPr>
          <w:trHeight w:val="275"/>
        </w:trPr>
        <w:tc>
          <w:tcPr>
            <w:tcW w:w="1780" w:type="dxa"/>
            <w:vAlign w:val="bottom"/>
            <w:gridSpan w:val="3"/>
          </w:tcPr>
          <w:p>
            <w:pPr>
              <w:spacing w:after="0"/>
              <w:rPr>
                <w:sz w:val="20"/>
                <w:szCs w:val="20"/>
                <w:color w:val="auto"/>
              </w:rPr>
            </w:pPr>
            <w:r>
              <w:rPr>
                <w:rFonts w:ascii="Arial" w:cs="Arial" w:eastAsia="Arial" w:hAnsi="Arial"/>
                <w:sz w:val="22"/>
                <w:szCs w:val="22"/>
                <w:color w:val="auto"/>
                <w:w w:val="91"/>
              </w:rPr>
              <w:t>December 12, 2016</w:t>
            </w:r>
          </w:p>
        </w:tc>
        <w:tc>
          <w:tcPr>
            <w:tcW w:w="820" w:type="dxa"/>
            <w:vAlign w:val="bottom"/>
            <w:gridSpan w:val="2"/>
          </w:tcPr>
          <w:p>
            <w:pPr>
              <w:ind w:left="100"/>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243" w:lineRule="exact"/>
        <w:rPr>
          <w:sz w:val="20"/>
          <w:szCs w:val="20"/>
          <w:color w:val="auto"/>
        </w:rPr>
      </w:pPr>
    </w:p>
    <w:p>
      <w:pPr>
        <w:ind w:left="4" w:firstLine="648"/>
        <w:spacing w:after="0" w:line="249" w:lineRule="auto"/>
        <w:rPr>
          <w:sz w:val="20"/>
          <w:szCs w:val="20"/>
          <w:color w:val="auto"/>
        </w:rPr>
      </w:pPr>
      <w:r>
        <w:rPr>
          <w:rFonts w:ascii="Arial" w:cs="Arial" w:eastAsia="Arial" w:hAnsi="Arial"/>
          <w:sz w:val="22"/>
          <w:szCs w:val="22"/>
          <w:color w:val="auto"/>
        </w:rPr>
        <w:t>Earned SARs may be exercised in whole or in part at any time until expiration of the SAR Period, subject to Section 5 of this Agreement.</w:t>
      </w:r>
    </w:p>
    <w:p>
      <w:pPr>
        <w:spacing w:after="0" w:line="183" w:lineRule="exact"/>
        <w:rPr>
          <w:sz w:val="20"/>
          <w:szCs w:val="20"/>
          <w:color w:val="auto"/>
        </w:rPr>
      </w:pPr>
    </w:p>
    <w:p>
      <w:pPr>
        <w:ind w:left="344" w:hanging="344"/>
        <w:spacing w:after="0"/>
        <w:tabs>
          <w:tab w:leader="none" w:pos="344"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Method and Time of Payment</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4" w:firstLine="645"/>
        <w:spacing w:after="0" w:line="307" w:lineRule="auto"/>
        <w:tabs>
          <w:tab w:leader="none" w:pos="1072"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PSU Award</w:t>
      </w:r>
      <w:r>
        <w:rPr>
          <w:rFonts w:ascii="Arial" w:cs="Arial" w:eastAsia="Arial" w:hAnsi="Arial"/>
          <w:sz w:val="19"/>
          <w:szCs w:val="19"/>
          <w:color w:val="auto"/>
        </w:rPr>
        <w:t xml:space="preserve"> - Except as otherwise provided in Section 5, Earned PSUs will be paid within 2.5 months following the end of the Performance Period, minus any shares of Common Stock withheld for taxes pursuant to Section 4 below. Earned PSUs will be paid in the form of the nearest number of whole shares of Common Stock which is equal to or less than the Earned PSUs determined by the reference to the performance matrix specified in Section 2(a) above.</w:t>
      </w:r>
    </w:p>
    <w:p>
      <w:pPr>
        <w:spacing w:after="0" w:line="138" w:lineRule="exact"/>
        <w:rPr>
          <w:rFonts w:ascii="Arial" w:cs="Arial" w:eastAsia="Arial" w:hAnsi="Arial"/>
          <w:sz w:val="19"/>
          <w:szCs w:val="19"/>
          <w:color w:val="auto"/>
        </w:rPr>
      </w:pPr>
    </w:p>
    <w:p>
      <w:pPr>
        <w:ind w:left="4" w:firstLine="645"/>
        <w:spacing w:after="0" w:line="276" w:lineRule="auto"/>
        <w:tabs>
          <w:tab w:leader="none" w:pos="1111"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RSU Awards</w:t>
      </w:r>
      <w:r>
        <w:rPr>
          <w:rFonts w:ascii="Arial" w:cs="Arial" w:eastAsia="Arial" w:hAnsi="Arial"/>
          <w:sz w:val="22"/>
          <w:szCs w:val="22"/>
          <w:color w:val="auto"/>
        </w:rPr>
        <w:t xml:space="preserve"> - Except as otherwise provided in Section 5, Earned RSUs will be paid within 30 days following the end of the Retention Period. Earned RSUs will be paid in whole shares</w:t>
      </w:r>
    </w:p>
    <w:p>
      <w:pPr>
        <w:sectPr>
          <w:pgSz w:w="11900" w:h="16838" w:orient="portrait"/>
          <w:cols w:equalWidth="0" w:num="1">
            <w:col w:w="10764"/>
          </w:cols>
          <w:pgMar w:left="896" w:top="976" w:right="239" w:bottom="1440" w:gutter="0" w:footer="0" w:header="0"/>
        </w:sectPr>
      </w:pPr>
    </w:p>
    <w:bookmarkStart w:id="104" w:name="page105"/>
    <w:bookmarkEnd w:id="104"/>
    <w:p>
      <w:pPr>
        <w:ind w:left="4"/>
        <w:spacing w:after="0" w:line="263" w:lineRule="auto"/>
        <w:rPr>
          <w:sz w:val="20"/>
          <w:szCs w:val="20"/>
          <w:color w:val="auto"/>
        </w:rPr>
      </w:pPr>
      <w:r>
        <w:rPr>
          <w:rFonts w:ascii="Arial" w:cs="Arial" w:eastAsia="Arial" w:hAnsi="Arial"/>
          <w:sz w:val="22"/>
          <w:szCs w:val="22"/>
          <w:color w:val="auto"/>
        </w:rPr>
        <w:t>of Common Stock equal to the number of Earned RSUs, minus any shares of Common Stock withheld for taxes pursuant to Section 4 below.</w:t>
      </w:r>
    </w:p>
    <w:p>
      <w:pPr>
        <w:spacing w:after="0" w:line="175" w:lineRule="exact"/>
        <w:rPr>
          <w:sz w:val="20"/>
          <w:szCs w:val="20"/>
          <w:color w:val="auto"/>
        </w:rPr>
      </w:pPr>
    </w:p>
    <w:p>
      <w:pPr>
        <w:jc w:val="both"/>
        <w:ind w:left="4" w:firstLine="645"/>
        <w:spacing w:after="0" w:line="292" w:lineRule="auto"/>
        <w:tabs>
          <w:tab w:leader="none" w:pos="118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SAR Award</w:t>
      </w:r>
      <w:r>
        <w:rPr>
          <w:rFonts w:ascii="Arial" w:cs="Arial" w:eastAsia="Arial" w:hAnsi="Arial"/>
          <w:sz w:val="19"/>
          <w:szCs w:val="19"/>
          <w:color w:val="auto"/>
        </w:rPr>
        <w:t xml:space="preserve"> - Subject to withholding for taxes pursuant to Section 4 below, within 30 days of the date of exercise, the Company will deliver to Participant for each Earned SAR that is being exercised (“Exercised SAR”) a number of shares of Common Stock, in the form of the nearest number of whole shares of Common Stock, equal to the excess (if any) of the most recent publicly quoted sale price of a share of Common Stock at the time of exercise over the grant price of the SAR on the Award Date. If on the last day of the SAR Period (i) the Fair Market Value of a share of Common Stock exceeds the grant price of the SAR on the Award Date, (ii) Participant has not exercised the Earned SARs and (iii) the SAR Award has not otherwise been cancelled, then the Earned SARs will be deemed to have been exercised by Participant as of such day, and the Company will settle the Exercised SARs in accordance with this Section 3(c).</w:t>
      </w:r>
    </w:p>
    <w:p>
      <w:pPr>
        <w:spacing w:after="0" w:line="149" w:lineRule="exact"/>
        <w:rPr>
          <w:rFonts w:ascii="Arial" w:cs="Arial" w:eastAsia="Arial" w:hAnsi="Arial"/>
          <w:sz w:val="19"/>
          <w:szCs w:val="19"/>
          <w:color w:val="auto"/>
        </w:rPr>
      </w:pPr>
    </w:p>
    <w:p>
      <w:pPr>
        <w:jc w:val="both"/>
        <w:ind w:left="-656" w:firstLine="656"/>
        <w:spacing w:after="0" w:line="249" w:lineRule="auto"/>
        <w:tabs>
          <w:tab w:leader="none" w:pos="496"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Withholding for Taxes</w:t>
      </w:r>
      <w:r>
        <w:rPr>
          <w:rFonts w:ascii="Arial" w:cs="Arial" w:eastAsia="Arial" w:hAnsi="Arial"/>
          <w:sz w:val="22"/>
          <w:szCs w:val="22"/>
          <w:color w:val="auto"/>
        </w:rPr>
        <w:t>. Participant acknowledges and agrees that the Company may deduct from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otherwise deliverable in connection with Earned PSUs, Earned RSUs and Exercised SARs a number of whole shares of Common Stock (in the case of Earned PSUs and Earned RSUs, valued at the Fair Market Value of Common Stock on the date of distribution of the Earned PSUs and Earned RSUs; in the case of Earned SARs, valued at the most recent publicly quoted sale price of Common Stock at the time of exercise of the Earned SARs) that is equal to no more than the minimum statutory amount of all Federal, state and local taxes required to be withheld by the Company in connection with such delivery, as determined by the Company.</w:t>
      </w:r>
    </w:p>
    <w:p>
      <w:pPr>
        <w:spacing w:after="0" w:line="188" w:lineRule="exact"/>
        <w:rPr>
          <w:rFonts w:ascii="Arial" w:cs="Arial" w:eastAsia="Arial" w:hAnsi="Arial"/>
          <w:sz w:val="22"/>
          <w:szCs w:val="22"/>
          <w:color w:val="auto"/>
        </w:rPr>
      </w:pPr>
    </w:p>
    <w:p>
      <w:pPr>
        <w:ind w:left="-656" w:right="20" w:firstLine="656"/>
        <w:spacing w:after="0" w:line="282" w:lineRule="auto"/>
        <w:tabs>
          <w:tab w:leader="none" w:pos="388"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Unless otherwise determined by the Committee in its sole discretion, the PSU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the RSU Award and the SAR Award will terminate at the times specified below:</w:t>
      </w:r>
    </w:p>
    <w:p>
      <w:pPr>
        <w:spacing w:after="0" w:line="154" w:lineRule="exact"/>
        <w:rPr>
          <w:rFonts w:ascii="Arial" w:cs="Arial" w:eastAsia="Arial" w:hAnsi="Arial"/>
          <w:sz w:val="22"/>
          <w:szCs w:val="22"/>
          <w:color w:val="auto"/>
        </w:rPr>
      </w:pPr>
    </w:p>
    <w:p>
      <w:pPr>
        <w:jc w:val="both"/>
        <w:ind w:left="4" w:firstLine="645"/>
        <w:spacing w:after="0" w:line="254" w:lineRule="auto"/>
        <w:tabs>
          <w:tab w:leader="none" w:pos="1085" w:val="left"/>
        </w:tabs>
        <w:numPr>
          <w:ilvl w:val="1"/>
          <w:numId w:val="50"/>
        </w:numPr>
        <w:rPr>
          <w:rFonts w:ascii="Arial" w:cs="Arial" w:eastAsia="Arial" w:hAnsi="Arial"/>
          <w:sz w:val="22"/>
          <w:szCs w:val="22"/>
          <w:color w:val="auto"/>
        </w:rPr>
      </w:pPr>
      <w:r>
        <w:rPr>
          <w:rFonts w:ascii="Arial" w:cs="Arial" w:eastAsia="Arial" w:hAnsi="Arial"/>
          <w:sz w:val="22"/>
          <w:szCs w:val="22"/>
          <w:color w:val="auto"/>
        </w:rPr>
        <w:t>If, prior to the end of the Performance Period, Retention Period or SAR Period, Participant is terminated by LII for Cause (as defined in any applicable employment agreement between LII and Participant or as determined by the Committee in its sole discretion in the absence of any such employment agreement), then, immediately after Participant’s termination, the PSU Award, RSU Award or SAR Award will be cancelled.</w:t>
      </w:r>
    </w:p>
    <w:p>
      <w:pPr>
        <w:spacing w:after="0" w:line="185" w:lineRule="exact"/>
        <w:rPr>
          <w:rFonts w:ascii="Arial" w:cs="Arial" w:eastAsia="Arial" w:hAnsi="Arial"/>
          <w:sz w:val="22"/>
          <w:szCs w:val="22"/>
          <w:color w:val="auto"/>
        </w:rPr>
      </w:pPr>
    </w:p>
    <w:p>
      <w:pPr>
        <w:jc w:val="both"/>
        <w:ind w:left="4" w:firstLine="645"/>
        <w:spacing w:after="0" w:line="266" w:lineRule="auto"/>
        <w:tabs>
          <w:tab w:leader="none" w:pos="12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If, prior to the end of the Performance Period, Retention Period or SAR Period, Participant terminates employment with LII voluntarily or Participant’s employment with LII is terminated by LII not for Cause, then, (i) immediately after Participant’s termination, the PSU Award or RSU Award will be cancelled, and (ii) immediately after Participant’s termination, the Earned SARs will continue to be exercisable subject to the SAR Period for 90 days following Participant’s termination, and the remainder of the SAR Award will be cancelled.</w:t>
      </w:r>
    </w:p>
    <w:p>
      <w:pPr>
        <w:spacing w:after="0" w:line="174" w:lineRule="exact"/>
        <w:rPr>
          <w:rFonts w:ascii="Arial" w:cs="Arial" w:eastAsia="Arial" w:hAnsi="Arial"/>
          <w:sz w:val="21"/>
          <w:szCs w:val="21"/>
          <w:color w:val="auto"/>
        </w:rPr>
      </w:pPr>
    </w:p>
    <w:p>
      <w:pPr>
        <w:jc w:val="both"/>
        <w:ind w:left="4" w:firstLine="645"/>
        <w:spacing w:after="0" w:line="320" w:lineRule="auto"/>
        <w:tabs>
          <w:tab w:leader="none" w:pos="1126"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prior to the end of the SAR Period, Participant’s employment with LII is terminated by LII for any reason within one year following a Change in Control, then the Earned SARs will continue to be exercisable subject to the SAR Period for 90 days following Participant’s termination, and the remainder of the SAR Award will be cancelled.</w:t>
      </w:r>
    </w:p>
    <w:p>
      <w:pPr>
        <w:spacing w:after="0" w:line="125" w:lineRule="exact"/>
        <w:rPr>
          <w:rFonts w:ascii="Arial" w:cs="Arial" w:eastAsia="Arial" w:hAnsi="Arial"/>
          <w:sz w:val="19"/>
          <w:szCs w:val="19"/>
          <w:color w:val="auto"/>
        </w:rPr>
      </w:pPr>
    </w:p>
    <w:p>
      <w:pPr>
        <w:jc w:val="both"/>
        <w:ind w:left="4" w:firstLine="645"/>
        <w:spacing w:after="0" w:line="307" w:lineRule="auto"/>
        <w:tabs>
          <w:tab w:leader="none" w:pos="1098"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prior to the end of the Performance Period, Retention Period or SAR Period, Participant’s employment with LII terminates by reason of Participant’s retirement, and in connection with such termination of employment (i) Participant is at least 65 years of age, (ii) Participant is at least 62 years of age and has achieved at least 10 years of service with LII or (iii) the number of years of service Participant has achieved with LII plus Participant’s</w:t>
      </w:r>
    </w:p>
    <w:p>
      <w:pPr>
        <w:sectPr>
          <w:pgSz w:w="11900" w:h="16838" w:orient="portrait"/>
          <w:cols w:equalWidth="0" w:num="1">
            <w:col w:w="10764"/>
          </w:cols>
          <w:pgMar w:left="896" w:top="591" w:right="239" w:bottom="1440" w:gutter="0" w:footer="0" w:header="0"/>
        </w:sectPr>
      </w:pPr>
    </w:p>
    <w:bookmarkStart w:id="105" w:name="page106"/>
    <w:bookmarkEnd w:id="105"/>
    <w:p>
      <w:pPr>
        <w:jc w:val="both"/>
        <w:ind w:left="660"/>
        <w:spacing w:after="0" w:line="285" w:lineRule="auto"/>
        <w:rPr>
          <w:sz w:val="20"/>
          <w:szCs w:val="20"/>
          <w:color w:val="auto"/>
        </w:rPr>
      </w:pPr>
      <w:r>
        <w:rPr>
          <w:rFonts w:ascii="Arial" w:cs="Arial" w:eastAsia="Arial" w:hAnsi="Arial"/>
          <w:sz w:val="19"/>
          <w:szCs w:val="19"/>
          <w:color w:val="auto"/>
        </w:rPr>
        <w:t>age equals at least 80, then (x) Participant will earn a pro rata amount of the PSU Award based upon the Company’s attainment of its performance goals in accordance with the performance matrix described in Section 2(a) above, determined at the end of the Performance Period, and the remainder of the PSU Award will be cancelled, (y) Participant will earn a pro rata amount of the RSU Award based upon the portion of the Retention Period during which Participant served as an employee of LII, determined as of the date of such retirement, and the remainder of the RSU Award will be cancelled, and</w:t>
      </w:r>
    </w:p>
    <w:p>
      <w:pPr>
        <w:spacing w:after="0" w:line="4" w:lineRule="exact"/>
        <w:rPr>
          <w:sz w:val="20"/>
          <w:szCs w:val="20"/>
          <w:color w:val="auto"/>
        </w:rPr>
      </w:pPr>
    </w:p>
    <w:p>
      <w:pPr>
        <w:jc w:val="both"/>
        <w:ind w:left="660" w:hanging="4"/>
        <w:spacing w:after="0" w:line="244" w:lineRule="auto"/>
        <w:tabs>
          <w:tab w:leader="none" w:pos="97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Earned SARs will continue to be exercisable for the remainder of the SAR Period, and the remainder of the SAR Award will be cancelled. In the case of the PSU Award, any pro rata amount earned will be payable within 2.5 months after the end of the Performance Period, and in the case of the RSU Award, any pro rata amount earned will be payable within 30 days after the end of the Retention Period.</w:t>
      </w:r>
    </w:p>
    <w:p>
      <w:pPr>
        <w:spacing w:after="0" w:line="195" w:lineRule="exact"/>
        <w:rPr>
          <w:rFonts w:ascii="Arial" w:cs="Arial" w:eastAsia="Arial" w:hAnsi="Arial"/>
          <w:sz w:val="22"/>
          <w:szCs w:val="22"/>
          <w:color w:val="auto"/>
        </w:rPr>
      </w:pPr>
    </w:p>
    <w:p>
      <w:pPr>
        <w:jc w:val="both"/>
        <w:ind w:left="660" w:firstLine="645"/>
        <w:spacing w:after="0" w:line="260" w:lineRule="auto"/>
        <w:tabs>
          <w:tab w:leader="none" w:pos="1809" w:val="left"/>
        </w:tabs>
        <w:numPr>
          <w:ilvl w:val="1"/>
          <w:numId w:val="51"/>
        </w:numPr>
        <w:rPr>
          <w:rFonts w:ascii="Arial" w:cs="Arial" w:eastAsia="Arial" w:hAnsi="Arial"/>
          <w:sz w:val="21"/>
          <w:szCs w:val="21"/>
          <w:color w:val="auto"/>
        </w:rPr>
      </w:pPr>
      <w:r>
        <w:rPr>
          <w:rFonts w:ascii="Arial" w:cs="Arial" w:eastAsia="Arial" w:hAnsi="Arial"/>
          <w:sz w:val="21"/>
          <w:szCs w:val="21"/>
          <w:color w:val="auto"/>
        </w:rPr>
        <w:t>If, prior to the end of the Performance Period, Retention Period or SAR Period, Participant dies or incurs a Disability, then (i) Participant, or in the event of Participant’s death, Participant’s beneficiary, will earn a pro rata amount of the PSU Award based upon the Company’s attainment of its performance goals in accordance with the performance matrix described in Section 2(a) above (as determined in the sole discretion of the Committee), determined as of the date of death or Disability, and the remainder of the PSU Award will be cancelled, (ii) Participant, or in the event of Participant’s death, Participant’s beneficiary, will earn a pro rata amount of the RSU Award based upon the portion of the Retention Period during which Participant served as an employee of LII, determined as of the date of death or Disability, and the remainder of the RSU Award will be cancelled, and (iii) the SAR Award will become fully vested and exercisable and will continue to be exercisable for the remainder of the SAR Period. Any pro rata amounts earned will be payable within 2.5 months after the date of death or Disability.</w:t>
      </w:r>
    </w:p>
    <w:p>
      <w:pPr>
        <w:spacing w:after="0" w:line="174" w:lineRule="exact"/>
        <w:rPr>
          <w:sz w:val="20"/>
          <w:szCs w:val="20"/>
          <w:color w:val="auto"/>
        </w:rPr>
      </w:pPr>
    </w:p>
    <w:p>
      <w:pPr>
        <w:jc w:val="both"/>
        <w:ind w:firstLine="656"/>
        <w:spacing w:after="0" w:line="253" w:lineRule="auto"/>
        <w:tabs>
          <w:tab w:leader="none" w:pos="1098"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No Stockholder Rights</w:t>
      </w:r>
      <w:r>
        <w:rPr>
          <w:rFonts w:ascii="Arial" w:cs="Arial" w:eastAsia="Arial" w:hAnsi="Arial"/>
          <w:sz w:val="22"/>
          <w:szCs w:val="22"/>
          <w:color w:val="auto"/>
        </w:rPr>
        <w:t>. Participant will not be deemed for any purpose, including voting rights and dividends or</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to be, or to have any of the rights of, a stockholder of the Company with respect to any shares of Common Stock as to which the PSU Award, the RSU Award or the SAR Award relate until such shares are issued to Participant by the Company. The existence of this Agreement will not affect the right or power of the Company or its stockholders to accomplish any corporate act.</w:t>
      </w:r>
    </w:p>
    <w:p>
      <w:pPr>
        <w:spacing w:after="0" w:line="179" w:lineRule="exact"/>
        <w:rPr>
          <w:rFonts w:ascii="Arial" w:cs="Arial" w:eastAsia="Arial" w:hAnsi="Arial"/>
          <w:sz w:val="22"/>
          <w:szCs w:val="22"/>
          <w:color w:val="auto"/>
        </w:rPr>
      </w:pPr>
    </w:p>
    <w:p>
      <w:pPr>
        <w:jc w:val="both"/>
        <w:ind w:firstLine="656"/>
        <w:spacing w:after="0" w:line="302" w:lineRule="auto"/>
        <w:tabs>
          <w:tab w:leader="none" w:pos="1098"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Restrictions Imposed by Law</w:t>
      </w:r>
      <w:r>
        <w:rPr>
          <w:rFonts w:ascii="Arial" w:cs="Arial" w:eastAsia="Arial" w:hAnsi="Arial"/>
          <w:sz w:val="19"/>
          <w:szCs w:val="19"/>
          <w:color w:val="auto"/>
        </w:rPr>
        <w:t>. Participant agrees that the Company will not be obligated to deliver any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if counsel to the Company determines that such delivery would violate any applicable law or any rule or regulation of any governmental authority or any rule or regulation of, or agreement of the Company with, any securities exchange or association upon which the Common Stock may be listed or quoted. The Company will not be obligated to take any affirmative action to cause the delivery of shares of Common Stock to comply with any such law, rule, regulation or agreement.</w:t>
      </w:r>
    </w:p>
    <w:p>
      <w:pPr>
        <w:spacing w:after="0" w:line="137" w:lineRule="exact"/>
        <w:rPr>
          <w:rFonts w:ascii="Arial" w:cs="Arial" w:eastAsia="Arial" w:hAnsi="Arial"/>
          <w:sz w:val="19"/>
          <w:szCs w:val="19"/>
          <w:color w:val="auto"/>
        </w:rPr>
      </w:pPr>
    </w:p>
    <w:p>
      <w:pPr>
        <w:jc w:val="both"/>
        <w:ind w:firstLine="656"/>
        <w:spacing w:after="0" w:line="262" w:lineRule="auto"/>
        <w:tabs>
          <w:tab w:leader="none" w:pos="1004"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Unless the Company notifies Participant in writing of a different procedure, any notice or other communication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Company with respect to this Agreement must be in writing and delivered personally or by first class mail, postage prepaid, to the following address:</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Lennox International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 Corporate Secretary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2140 Lake Park Boulevard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Richardson, Texas 75080</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notice or other communication to Participant with respect to this Agreement must be in writing and delivered personally, or sent by first class mail, postage prepaid, to Participant's address as listed in the records</w:t>
      </w:r>
    </w:p>
    <w:p>
      <w:pPr>
        <w:sectPr>
          <w:pgSz w:w="11900" w:h="16838" w:orient="portrait"/>
          <w:cols w:equalWidth="0" w:num="1">
            <w:col w:w="11420"/>
          </w:cols>
          <w:pgMar w:left="240" w:top="591" w:right="23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color w:val="auto"/>
        </w:rPr>
        <w:t>of the Company on the Award Date, unless the Company has received written notification from Participant of a change of address.</w:t>
      </w:r>
    </w:p>
    <w:p>
      <w:pPr>
        <w:spacing w:after="0" w:line="248" w:lineRule="exact"/>
        <w:rPr>
          <w:sz w:val="20"/>
          <w:szCs w:val="20"/>
          <w:color w:val="auto"/>
        </w:rPr>
      </w:pPr>
    </w:p>
    <w:p>
      <w:pPr>
        <w:ind w:right="20" w:firstLine="656"/>
        <w:spacing w:after="0" w:line="282" w:lineRule="auto"/>
        <w:tabs>
          <w:tab w:leader="none" w:pos="1031"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Amendment</w:t>
      </w:r>
      <w:r>
        <w:rPr>
          <w:rFonts w:ascii="Arial" w:cs="Arial" w:eastAsia="Arial" w:hAnsi="Arial"/>
          <w:sz w:val="22"/>
          <w:szCs w:val="22"/>
          <w:color w:val="auto"/>
        </w:rPr>
        <w:t>. This Agreement may be supplemented or amended from time to time as approved by the Committee as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by Section 4.2 of the Plan.</w:t>
      </w:r>
    </w:p>
    <w:p>
      <w:pPr>
        <w:spacing w:after="0" w:line="148" w:lineRule="exact"/>
        <w:rPr>
          <w:rFonts w:ascii="Arial" w:cs="Arial" w:eastAsia="Arial" w:hAnsi="Arial"/>
          <w:sz w:val="22"/>
          <w:szCs w:val="22"/>
          <w:color w:val="auto"/>
        </w:rPr>
      </w:pPr>
    </w:p>
    <w:p>
      <w:pPr>
        <w:jc w:val="both"/>
        <w:ind w:firstLine="656"/>
        <w:spacing w:after="0" w:line="256" w:lineRule="auto"/>
        <w:tabs>
          <w:tab w:leader="none" w:pos="1166"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Participant Employment</w:t>
      </w:r>
      <w:r>
        <w:rPr>
          <w:rFonts w:ascii="Arial" w:cs="Arial" w:eastAsia="Arial" w:hAnsi="Arial"/>
          <w:sz w:val="22"/>
          <w:szCs w:val="22"/>
          <w:color w:val="auto"/>
        </w:rPr>
        <w:t>. Nothing contained in this Agreement, and no action of the Company or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will confer or be construed to confer on Participant any right to continue in the employ of LII or interfere in any way with the right of LII to terminate Participant's employment at any time, with or without cause, subject, however, to the provisions of any employment agreement between Participant and LII.</w:t>
      </w:r>
    </w:p>
    <w:p>
      <w:pPr>
        <w:spacing w:after="0" w:line="176" w:lineRule="exact"/>
        <w:rPr>
          <w:rFonts w:ascii="Arial" w:cs="Arial" w:eastAsia="Arial" w:hAnsi="Arial"/>
          <w:sz w:val="22"/>
          <w:szCs w:val="22"/>
          <w:color w:val="auto"/>
        </w:rPr>
      </w:pPr>
    </w:p>
    <w:p>
      <w:pPr>
        <w:ind w:left="1100" w:hanging="444"/>
        <w:spacing w:after="0"/>
        <w:tabs>
          <w:tab w:leader="none" w:pos="110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is governed by Delaware law.</w:t>
      </w:r>
    </w:p>
    <w:p>
      <w:pPr>
        <w:spacing w:after="0" w:line="233" w:lineRule="exact"/>
        <w:rPr>
          <w:rFonts w:ascii="Arial" w:cs="Arial" w:eastAsia="Arial" w:hAnsi="Arial"/>
          <w:sz w:val="22"/>
          <w:szCs w:val="22"/>
          <w:color w:val="auto"/>
        </w:rPr>
      </w:pPr>
    </w:p>
    <w:p>
      <w:pPr>
        <w:jc w:val="both"/>
        <w:ind w:firstLine="656"/>
        <w:spacing w:after="0" w:line="256" w:lineRule="auto"/>
        <w:tabs>
          <w:tab w:leader="none" w:pos="1098"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Construction</w:t>
      </w:r>
      <w:r>
        <w:rPr>
          <w:rFonts w:ascii="Arial" w:cs="Arial" w:eastAsia="Arial" w:hAnsi="Arial"/>
          <w:sz w:val="22"/>
          <w:szCs w:val="22"/>
          <w:color w:val="auto"/>
        </w:rPr>
        <w:t>. This Agreement is entered into, and the PSU Award, RSU Award and SAR Award are granted,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Plan and are governed by and construed in accordance with the Plan and the administrative interpretations adopted by the Committee under the Plan. In the event of any inconsistency between the terms of the Plan and this Agreement, the terms of the Plan will control.</w:t>
      </w:r>
    </w:p>
    <w:p>
      <w:pPr>
        <w:spacing w:after="0" w:line="176" w:lineRule="exact"/>
        <w:rPr>
          <w:rFonts w:ascii="Arial" w:cs="Arial" w:eastAsia="Arial" w:hAnsi="Arial"/>
          <w:sz w:val="22"/>
          <w:szCs w:val="22"/>
          <w:color w:val="auto"/>
        </w:rPr>
      </w:pPr>
    </w:p>
    <w:p>
      <w:pPr>
        <w:jc w:val="both"/>
        <w:ind w:firstLine="656"/>
        <w:spacing w:after="0" w:line="309" w:lineRule="auto"/>
        <w:tabs>
          <w:tab w:leader="none" w:pos="1166"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Subject to the provisions of any applicable written employment agreement or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Participant and LII, this Agreement contains the entire agreement between the parties to this Agreement with respect to the PSU Award, the RSU Award and the SAR Award and replaces and makes null and void any prior agreements, oral or written, between Participant and the Company regarding the PSU Award, the RSU Award and the SAR Award.</w:t>
      </w:r>
    </w:p>
    <w:p>
      <w:pPr>
        <w:spacing w:after="0" w:line="130" w:lineRule="exact"/>
        <w:rPr>
          <w:rFonts w:ascii="Arial" w:cs="Arial" w:eastAsia="Arial" w:hAnsi="Arial"/>
          <w:sz w:val="19"/>
          <w:szCs w:val="19"/>
          <w:color w:val="auto"/>
        </w:rPr>
      </w:pPr>
    </w:p>
    <w:p>
      <w:pPr>
        <w:ind w:right="20" w:firstLine="656"/>
        <w:spacing w:after="0" w:line="282" w:lineRule="auto"/>
        <w:tabs>
          <w:tab w:leader="none" w:pos="1139"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Participant Acceptance</w:t>
      </w:r>
      <w:r>
        <w:rPr>
          <w:rFonts w:ascii="Arial" w:cs="Arial" w:eastAsia="Arial" w:hAnsi="Arial"/>
          <w:sz w:val="22"/>
          <w:szCs w:val="22"/>
          <w:color w:val="auto"/>
        </w:rPr>
        <w:t>. Participant must accept the terms and conditions of this Agreement by electronic signature</w:t>
      </w:r>
      <w:r>
        <w:rPr>
          <w:rFonts w:ascii="Arial" w:cs="Arial" w:eastAsia="Arial" w:hAnsi="Arial"/>
          <w:sz w:val="22"/>
          <w:szCs w:val="22"/>
          <w:b w:val="1"/>
          <w:bCs w:val="1"/>
          <w:color w:val="auto"/>
        </w:rPr>
        <w:t xml:space="preserve"> </w:t>
      </w:r>
      <w:r>
        <w:rPr>
          <w:rFonts w:ascii="Arial" w:cs="Arial" w:eastAsia="Arial" w:hAnsi="Arial"/>
          <w:sz w:val="22"/>
          <w:szCs w:val="22"/>
          <w:color w:val="auto"/>
        </w:rPr>
        <w:t>or by signing in the space below and returning a signed copy to the Company.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ACCEPTED: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Signed: _________________________________________</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«First» «Last»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_________________________________________</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420"/>
          </w:cols>
          <w:pgMar w:left="240" w:top="59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10.11</w:t>
      </w:r>
    </w:p>
    <w:p>
      <w:pPr>
        <w:spacing w:after="0" w:line="200" w:lineRule="exact"/>
        <w:rPr>
          <w:sz w:val="20"/>
          <w:szCs w:val="20"/>
          <w:color w:val="auto"/>
        </w:rPr>
      </w:pPr>
    </w:p>
    <w:p>
      <w:pPr>
        <w:spacing w:after="0" w:line="236" w:lineRule="exact"/>
        <w:rPr>
          <w:sz w:val="20"/>
          <w:szCs w:val="20"/>
          <w:color w:val="auto"/>
        </w:rPr>
      </w:pPr>
    </w:p>
    <w:p>
      <w:pPr>
        <w:ind w:right="260"/>
        <w:spacing w:after="0" w:line="269" w:lineRule="auto"/>
        <w:rPr>
          <w:sz w:val="20"/>
          <w:szCs w:val="20"/>
          <w:color w:val="auto"/>
        </w:rPr>
      </w:pPr>
      <w:r>
        <w:rPr>
          <w:rFonts w:ascii="Arial" w:cs="Arial" w:eastAsia="Arial" w:hAnsi="Arial"/>
          <w:sz w:val="22"/>
          <w:szCs w:val="22"/>
          <w:b w:val="1"/>
          <w:bCs w:val="1"/>
          <w:color w:val="auto"/>
        </w:rPr>
        <w:t>Sections 5(a) and (b) of existing Long-Term Incentive Award Agreements (U.S. Employees-Vice President and Above) are amended to read as follows:</w:t>
      </w:r>
    </w:p>
    <w:p>
      <w:pPr>
        <w:spacing w:after="0" w:line="168" w:lineRule="exact"/>
        <w:rPr>
          <w:sz w:val="20"/>
          <w:szCs w:val="20"/>
          <w:color w:val="auto"/>
        </w:rPr>
      </w:pPr>
    </w:p>
    <w:p>
      <w:pPr>
        <w:ind w:right="220" w:firstLine="648"/>
        <w:spacing w:after="0" w:line="254" w:lineRule="auto"/>
        <w:rPr>
          <w:sz w:val="20"/>
          <w:szCs w:val="20"/>
          <w:color w:val="auto"/>
        </w:rPr>
      </w:pPr>
      <w:r>
        <w:rPr>
          <w:rFonts w:ascii="Arial" w:cs="Arial" w:eastAsia="Arial" w:hAnsi="Arial"/>
          <w:sz w:val="22"/>
          <w:szCs w:val="22"/>
          <w:color w:val="auto"/>
        </w:rPr>
        <w:t>“(a) If, prior to the end of the Performance Period, Retention Period or SAR Period, Participant is terminated by LII for Cause (as defined in any applicable employment agreement between LII and Participant or as determined by the Committee in its sole discretion in the absence of any such employment agreement), then, immediately after Participant’s termination, the PSU Award, RSU Award or SAR Award will be cancelled.</w:t>
      </w:r>
    </w:p>
    <w:p>
      <w:pPr>
        <w:spacing w:after="0" w:line="185" w:lineRule="exact"/>
        <w:rPr>
          <w:sz w:val="20"/>
          <w:szCs w:val="20"/>
          <w:color w:val="auto"/>
        </w:rPr>
      </w:pPr>
    </w:p>
    <w:p>
      <w:pPr>
        <w:ind w:right="100" w:firstLine="656"/>
        <w:spacing w:after="0" w:line="251" w:lineRule="auto"/>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prior to the end of the Performance Period, Retention Period or SAR Period, Participant terminates employment with LII voluntarily, or Participant’s employment with LII is terminated by LII not for Cause, then, (i) immediately after Participant’s termination, the PSU Award or RSU Award will be cancelled, and (ii) immediately after Participant’s termination, the Earned SARs will continue to be exercisable subject to the SAR Period for 90 days following Participant’s termination, and the remainder of the SAR Award will be cancelled.”</w:t>
      </w:r>
    </w:p>
    <w:p>
      <w:pPr>
        <w:spacing w:after="0" w:line="400" w:lineRule="exact"/>
        <w:rPr>
          <w:sz w:val="20"/>
          <w:szCs w:val="20"/>
          <w:color w:val="auto"/>
        </w:rPr>
      </w:pPr>
    </w:p>
    <w:p>
      <w:pPr>
        <w:ind w:right="100"/>
        <w:spacing w:after="0" w:line="269" w:lineRule="auto"/>
        <w:rPr>
          <w:sz w:val="20"/>
          <w:szCs w:val="20"/>
          <w:color w:val="auto"/>
        </w:rPr>
      </w:pPr>
      <w:r>
        <w:rPr>
          <w:rFonts w:ascii="Arial" w:cs="Arial" w:eastAsia="Arial" w:hAnsi="Arial"/>
          <w:sz w:val="22"/>
          <w:szCs w:val="22"/>
          <w:b w:val="1"/>
          <w:bCs w:val="1"/>
          <w:color w:val="auto"/>
        </w:rPr>
        <w:t>Sections 5(a) and (b) of existing Long-Term Incentive Award Agreements (U.S. Employees--Directors) are amended to read as follows:</w:t>
      </w:r>
    </w:p>
    <w:p>
      <w:pPr>
        <w:spacing w:after="0" w:line="384"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“(a) If, prior to the end of the Retention Period or SAR Period, Participant is terminated by LII for Cause (as defined in any applicable employment agreement between LII and Participant or as determined by the Committee in its sole discretion in the absence of any such employment agreement), then, immediately after Participant’s termination, the RSU Award or SAR Award will be cancelled.</w:t>
      </w:r>
    </w:p>
    <w:p>
      <w:pPr>
        <w:spacing w:after="0" w:line="185" w:lineRule="exact"/>
        <w:rPr>
          <w:sz w:val="20"/>
          <w:szCs w:val="20"/>
          <w:color w:val="auto"/>
        </w:rPr>
      </w:pPr>
    </w:p>
    <w:p>
      <w:pPr>
        <w:ind w:right="20" w:firstLine="656"/>
        <w:spacing w:after="0" w:line="307" w:lineRule="auto"/>
        <w:tabs>
          <w:tab w:leader="none" w:pos="10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prior to the end of the Retention Period or SAR Period, Participant terminated employment with LII voluntarily, or Participant’s employment with LII is terminated by LII not for Cause, then, (i) immediately after Participant’s termination, the RSU Award will be cancelled, and (ii) immediately after Participant’s termination, the Earned SARs will continue to be exercisable subject to the SAR Period for 90 days following Participant’s termination, and the remainder of the SAR Award will be cancelled.”</w:t>
      </w:r>
    </w:p>
    <w:p>
      <w:pPr>
        <w:sectPr>
          <w:pgSz w:w="11900" w:h="16838" w:orient="portrait"/>
          <w:cols w:equalWidth="0" w:num="1">
            <w:col w:w="11420"/>
          </w:cols>
          <w:pgMar w:left="240" w:top="585" w:right="23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Lennox International Inc. Subsidiaries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are the subsidiaries of Lennox International Inc.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tcPr>
          <w:p>
            <w:pPr>
              <w:ind w:left="1100"/>
              <w:spacing w:after="0"/>
              <w:rPr>
                <w:sz w:val="20"/>
                <w:szCs w:val="20"/>
                <w:color w:val="auto"/>
              </w:rPr>
            </w:pPr>
            <w:r>
              <w:rPr>
                <w:rFonts w:ascii="Arial" w:cs="Arial" w:eastAsia="Arial" w:hAnsi="Arial"/>
                <w:sz w:val="18"/>
                <w:szCs w:val="18"/>
                <w:b w:val="1"/>
                <w:bCs w:val="1"/>
                <w:color w:val="auto"/>
              </w:rPr>
              <w:t>Ownership</w:t>
            </w:r>
          </w:p>
        </w:tc>
        <w:tc>
          <w:tcPr>
            <w:tcW w:w="2040" w:type="dxa"/>
            <w:vAlign w:val="bottom"/>
          </w:tcPr>
          <w:p>
            <w:pPr>
              <w:ind w:left="840"/>
              <w:spacing w:after="0"/>
              <w:rPr>
                <w:sz w:val="20"/>
                <w:szCs w:val="20"/>
                <w:color w:val="auto"/>
              </w:rPr>
            </w:pPr>
            <w:r>
              <w:rPr>
                <w:rFonts w:ascii="Arial" w:cs="Arial" w:eastAsia="Arial" w:hAnsi="Arial"/>
                <w:sz w:val="18"/>
                <w:szCs w:val="18"/>
                <w:b w:val="1"/>
                <w:bCs w:val="1"/>
                <w:color w:val="auto"/>
              </w:rPr>
              <w:t>Jurisdiction</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Lennox Industries Inc.</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100%</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SEE ANNEX A</w:t>
            </w:r>
          </w:p>
        </w:tc>
        <w:tc>
          <w:tcPr>
            <w:tcW w:w="278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540"/>
        </w:trPr>
        <w:tc>
          <w:tcPr>
            <w:tcW w:w="4740" w:type="dxa"/>
            <w:vAlign w:val="bottom"/>
          </w:tcPr>
          <w:p>
            <w:pPr>
              <w:spacing w:after="0"/>
              <w:rPr>
                <w:sz w:val="20"/>
                <w:szCs w:val="20"/>
                <w:color w:val="auto"/>
              </w:rPr>
            </w:pPr>
            <w:r>
              <w:rPr>
                <w:rFonts w:ascii="Arial" w:cs="Arial" w:eastAsia="Arial" w:hAnsi="Arial"/>
                <w:sz w:val="18"/>
                <w:szCs w:val="18"/>
                <w:color w:val="auto"/>
              </w:rPr>
              <w:t>Heatcraft Inc.</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100%</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Bohn de Mexico S.A. de C.V.</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88"/>
              </w:rPr>
              <w:t>50%</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Frigus-Bohn S.A. de C.V.</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88"/>
              </w:rPr>
              <w:t>50%</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Kysor/Warren de Mexico, S. de R.L. de C.V.</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0"/>
              </w:rPr>
              <w:t>0.05%</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Kysor/Warren Services, S. de R.L. de C.V.</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92"/>
              </w:rPr>
              <w:t>1%</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Kysor-Warren Instalaciones, S. de R.L. de C.V.</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92"/>
              </w:rPr>
              <w:t>1%</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Lennox Participações Ltda.</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0"/>
              </w:rPr>
              <w:t>0.66%</w:t>
            </w:r>
          </w:p>
        </w:tc>
        <w:tc>
          <w:tcPr>
            <w:tcW w:w="2040" w:type="dxa"/>
            <w:vAlign w:val="bottom"/>
          </w:tcPr>
          <w:p>
            <w:pPr>
              <w:ind w:left="840"/>
              <w:spacing w:after="0"/>
              <w:rPr>
                <w:sz w:val="20"/>
                <w:szCs w:val="20"/>
                <w:color w:val="auto"/>
              </w:rPr>
            </w:pPr>
            <w:r>
              <w:rPr>
                <w:rFonts w:ascii="Arial" w:cs="Arial" w:eastAsia="Arial" w:hAnsi="Arial"/>
                <w:sz w:val="18"/>
                <w:szCs w:val="18"/>
                <w:color w:val="auto"/>
              </w:rPr>
              <w:t>Brazil</w:t>
            </w:r>
          </w:p>
        </w:tc>
      </w:tr>
      <w:tr>
        <w:trPr>
          <w:trHeight w:val="270"/>
        </w:trPr>
        <w:tc>
          <w:tcPr>
            <w:tcW w:w="4740" w:type="dxa"/>
            <w:vAlign w:val="bottom"/>
          </w:tcPr>
          <w:p>
            <w:pPr>
              <w:ind w:left="240"/>
              <w:spacing w:after="0"/>
              <w:rPr>
                <w:sz w:val="20"/>
                <w:szCs w:val="20"/>
                <w:color w:val="auto"/>
              </w:rPr>
            </w:pPr>
            <w:r>
              <w:rPr>
                <w:rFonts w:ascii="Arial" w:cs="Arial" w:eastAsia="Arial" w:hAnsi="Arial"/>
                <w:sz w:val="18"/>
                <w:szCs w:val="18"/>
                <w:color w:val="auto"/>
              </w:rPr>
              <w:t>Heatcraft do Brasil Ltda.</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0"/>
              </w:rPr>
              <w:t>62.2%</w:t>
            </w:r>
          </w:p>
        </w:tc>
        <w:tc>
          <w:tcPr>
            <w:tcW w:w="2040" w:type="dxa"/>
            <w:vAlign w:val="bottom"/>
          </w:tcPr>
          <w:p>
            <w:pPr>
              <w:ind w:left="840"/>
              <w:spacing w:after="0"/>
              <w:rPr>
                <w:sz w:val="20"/>
                <w:szCs w:val="20"/>
                <w:color w:val="auto"/>
              </w:rPr>
            </w:pPr>
            <w:r>
              <w:rPr>
                <w:rFonts w:ascii="Arial" w:cs="Arial" w:eastAsia="Arial" w:hAnsi="Arial"/>
                <w:sz w:val="18"/>
                <w:szCs w:val="18"/>
                <w:color w:val="auto"/>
              </w:rPr>
              <w:t>Brazil</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Advanced Distributor Products LLC</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100%</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Heatcraft Refrigeration Products LLC</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100%</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70"/>
        </w:trPr>
        <w:tc>
          <w:tcPr>
            <w:tcW w:w="4740" w:type="dxa"/>
            <w:vAlign w:val="bottom"/>
          </w:tcPr>
          <w:p>
            <w:pPr>
              <w:ind w:left="240"/>
              <w:spacing w:after="0"/>
              <w:rPr>
                <w:sz w:val="20"/>
                <w:szCs w:val="20"/>
                <w:color w:val="auto"/>
              </w:rPr>
            </w:pPr>
            <w:r>
              <w:rPr>
                <w:rFonts w:ascii="Arial" w:cs="Arial" w:eastAsia="Arial" w:hAnsi="Arial"/>
                <w:sz w:val="18"/>
                <w:szCs w:val="18"/>
                <w:color w:val="auto"/>
              </w:rPr>
              <w:t>Kysor/Warren de Mexico, S. de R.L. de C.V.</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91"/>
              </w:rPr>
              <w:t>99.95%</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70"/>
        </w:trPr>
        <w:tc>
          <w:tcPr>
            <w:tcW w:w="4740" w:type="dxa"/>
            <w:vAlign w:val="bottom"/>
          </w:tcPr>
          <w:p>
            <w:pPr>
              <w:ind w:left="240"/>
              <w:spacing w:after="0"/>
              <w:rPr>
                <w:sz w:val="20"/>
                <w:szCs w:val="20"/>
                <w:color w:val="auto"/>
              </w:rPr>
            </w:pPr>
            <w:r>
              <w:rPr>
                <w:rFonts w:ascii="Arial" w:cs="Arial" w:eastAsia="Arial" w:hAnsi="Arial"/>
                <w:sz w:val="18"/>
                <w:szCs w:val="18"/>
                <w:color w:val="auto"/>
              </w:rPr>
              <w:t>Kysor/Warren Services, S. de R.L. de C.V.</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88"/>
              </w:rPr>
              <w:t>99%</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270"/>
        </w:trPr>
        <w:tc>
          <w:tcPr>
            <w:tcW w:w="4740" w:type="dxa"/>
            <w:vAlign w:val="bottom"/>
          </w:tcPr>
          <w:p>
            <w:pPr>
              <w:ind w:left="240"/>
              <w:spacing w:after="0"/>
              <w:rPr>
                <w:sz w:val="20"/>
                <w:szCs w:val="20"/>
                <w:color w:val="auto"/>
              </w:rPr>
            </w:pPr>
            <w:r>
              <w:rPr>
                <w:rFonts w:ascii="Arial" w:cs="Arial" w:eastAsia="Arial" w:hAnsi="Arial"/>
                <w:sz w:val="18"/>
                <w:szCs w:val="18"/>
                <w:color w:val="auto"/>
              </w:rPr>
              <w:t>Kysor-Warren Instalaciones, S. de R.L. de C.V.</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88"/>
              </w:rPr>
              <w:t>99%</w:t>
            </w:r>
          </w:p>
        </w:tc>
        <w:tc>
          <w:tcPr>
            <w:tcW w:w="2040" w:type="dxa"/>
            <w:vAlign w:val="bottom"/>
          </w:tcPr>
          <w:p>
            <w:pPr>
              <w:ind w:left="840"/>
              <w:spacing w:after="0"/>
              <w:rPr>
                <w:sz w:val="20"/>
                <w:szCs w:val="20"/>
                <w:color w:val="auto"/>
              </w:rPr>
            </w:pPr>
            <w:r>
              <w:rPr>
                <w:rFonts w:ascii="Arial" w:cs="Arial" w:eastAsia="Arial" w:hAnsi="Arial"/>
                <w:sz w:val="18"/>
                <w:szCs w:val="18"/>
                <w:color w:val="auto"/>
              </w:rPr>
              <w:t>Mexico</w:t>
            </w:r>
          </w:p>
        </w:tc>
      </w:tr>
      <w:tr>
        <w:trPr>
          <w:trHeight w:val="567"/>
        </w:trPr>
        <w:tc>
          <w:tcPr>
            <w:tcW w:w="4740" w:type="dxa"/>
            <w:vAlign w:val="bottom"/>
          </w:tcPr>
          <w:p>
            <w:pPr>
              <w:spacing w:after="0"/>
              <w:rPr>
                <w:sz w:val="20"/>
                <w:szCs w:val="20"/>
                <w:color w:val="auto"/>
              </w:rPr>
            </w:pPr>
            <w:r>
              <w:rPr>
                <w:rFonts w:ascii="Arial" w:cs="Arial" w:eastAsia="Arial" w:hAnsi="Arial"/>
                <w:sz w:val="18"/>
                <w:szCs w:val="18"/>
                <w:color w:val="auto"/>
              </w:rPr>
              <w:t>Heatcraft Technologies Inc.</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100%</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Alliance Compressor LLC</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0"/>
              </w:rPr>
              <w:t>24.5%</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Lennox Industries</w:t>
            </w:r>
          </w:p>
        </w:tc>
        <w:tc>
          <w:tcPr>
            <w:tcW w:w="2780" w:type="dxa"/>
            <w:vAlign w:val="bottom"/>
          </w:tcPr>
          <w:p>
            <w:pPr>
              <w:jc w:val="center"/>
              <w:ind w:left="170"/>
              <w:spacing w:after="0"/>
              <w:rPr>
                <w:sz w:val="20"/>
                <w:szCs w:val="20"/>
                <w:color w:val="auto"/>
              </w:rPr>
            </w:pPr>
            <w:r>
              <w:rPr>
                <w:rFonts w:ascii="Arial" w:cs="Arial" w:eastAsia="Arial" w:hAnsi="Arial"/>
                <w:sz w:val="18"/>
                <w:szCs w:val="18"/>
                <w:color w:val="auto"/>
                <w:w w:val="91"/>
              </w:rPr>
              <w:t>0.045%</w:t>
            </w:r>
          </w:p>
        </w:tc>
        <w:tc>
          <w:tcPr>
            <w:tcW w:w="2040" w:type="dxa"/>
            <w:vAlign w:val="bottom"/>
          </w:tcPr>
          <w:p>
            <w:pPr>
              <w:ind w:left="840"/>
              <w:spacing w:after="0"/>
              <w:rPr>
                <w:sz w:val="20"/>
                <w:szCs w:val="20"/>
                <w:color w:val="auto"/>
              </w:rPr>
            </w:pPr>
            <w:r>
              <w:rPr>
                <w:rFonts w:ascii="Arial" w:cs="Arial" w:eastAsia="Arial" w:hAnsi="Arial"/>
                <w:sz w:val="18"/>
                <w:szCs w:val="18"/>
                <w:color w:val="auto"/>
                <w:w w:val="92"/>
              </w:rPr>
              <w:t>United Kingdom</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LGL France S.A.S.</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0.00013%</w:t>
            </w:r>
          </w:p>
        </w:tc>
        <w:tc>
          <w:tcPr>
            <w:tcW w:w="2040" w:type="dxa"/>
            <w:vAlign w:val="bottom"/>
          </w:tcPr>
          <w:p>
            <w:pPr>
              <w:ind w:left="840"/>
              <w:spacing w:after="0"/>
              <w:rPr>
                <w:sz w:val="20"/>
                <w:szCs w:val="20"/>
                <w:color w:val="auto"/>
              </w:rPr>
            </w:pPr>
            <w:r>
              <w:rPr>
                <w:rFonts w:ascii="Arial" w:cs="Arial" w:eastAsia="Arial" w:hAnsi="Arial"/>
                <w:sz w:val="18"/>
                <w:szCs w:val="18"/>
                <w:color w:val="auto"/>
              </w:rPr>
              <w:t>France</w:t>
            </w:r>
          </w:p>
        </w:tc>
      </w:tr>
      <w:tr>
        <w:trPr>
          <w:trHeight w:val="540"/>
        </w:trPr>
        <w:tc>
          <w:tcPr>
            <w:tcW w:w="4740" w:type="dxa"/>
            <w:vAlign w:val="bottom"/>
          </w:tcPr>
          <w:p>
            <w:pPr>
              <w:spacing w:after="0"/>
              <w:rPr>
                <w:sz w:val="20"/>
                <w:szCs w:val="20"/>
                <w:color w:val="auto"/>
              </w:rPr>
            </w:pPr>
            <w:r>
              <w:rPr>
                <w:rFonts w:ascii="Arial" w:cs="Arial" w:eastAsia="Arial" w:hAnsi="Arial"/>
                <w:sz w:val="18"/>
                <w:szCs w:val="18"/>
                <w:color w:val="auto"/>
              </w:rPr>
              <w:t>Lennox Global Ltd.</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100%</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r>
        <w:trPr>
          <w:trHeight w:val="270"/>
        </w:trPr>
        <w:tc>
          <w:tcPr>
            <w:tcW w:w="4740" w:type="dxa"/>
            <w:vAlign w:val="bottom"/>
          </w:tcPr>
          <w:p>
            <w:pPr>
              <w:ind w:left="120"/>
              <w:spacing w:after="0"/>
              <w:rPr>
                <w:sz w:val="20"/>
                <w:szCs w:val="20"/>
                <w:color w:val="auto"/>
              </w:rPr>
            </w:pPr>
            <w:r>
              <w:rPr>
                <w:rFonts w:ascii="Arial" w:cs="Arial" w:eastAsia="Arial" w:hAnsi="Arial"/>
                <w:sz w:val="18"/>
                <w:szCs w:val="18"/>
                <w:color w:val="auto"/>
              </w:rPr>
              <w:t>SEE ANNEX B</w:t>
            </w:r>
          </w:p>
        </w:tc>
        <w:tc>
          <w:tcPr>
            <w:tcW w:w="278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540"/>
        </w:trPr>
        <w:tc>
          <w:tcPr>
            <w:tcW w:w="4740" w:type="dxa"/>
            <w:vAlign w:val="bottom"/>
          </w:tcPr>
          <w:p>
            <w:pPr>
              <w:spacing w:after="0"/>
              <w:rPr>
                <w:sz w:val="20"/>
                <w:szCs w:val="20"/>
                <w:color w:val="auto"/>
              </w:rPr>
            </w:pPr>
            <w:r>
              <w:rPr>
                <w:rFonts w:ascii="Arial" w:cs="Arial" w:eastAsia="Arial" w:hAnsi="Arial"/>
                <w:sz w:val="18"/>
                <w:szCs w:val="18"/>
                <w:color w:val="auto"/>
              </w:rPr>
              <w:t>Lennox Procurement Company Inc.</w:t>
            </w:r>
          </w:p>
        </w:tc>
        <w:tc>
          <w:tcPr>
            <w:tcW w:w="2780" w:type="dxa"/>
            <w:vAlign w:val="bottom"/>
          </w:tcPr>
          <w:p>
            <w:pPr>
              <w:jc w:val="center"/>
              <w:ind w:left="190"/>
              <w:spacing w:after="0"/>
              <w:rPr>
                <w:sz w:val="20"/>
                <w:szCs w:val="20"/>
                <w:color w:val="auto"/>
              </w:rPr>
            </w:pPr>
            <w:r>
              <w:rPr>
                <w:rFonts w:ascii="Arial" w:cs="Arial" w:eastAsia="Arial" w:hAnsi="Arial"/>
                <w:sz w:val="18"/>
                <w:szCs w:val="18"/>
                <w:color w:val="auto"/>
                <w:w w:val="91"/>
              </w:rPr>
              <w:t>100%</w:t>
            </w:r>
          </w:p>
        </w:tc>
        <w:tc>
          <w:tcPr>
            <w:tcW w:w="2040" w:type="dxa"/>
            <w:vAlign w:val="bottom"/>
          </w:tcPr>
          <w:p>
            <w:pPr>
              <w:ind w:left="8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360"/>
          </w:cols>
          <w:pgMar w:left="240" w:top="580" w:right="299" w:bottom="1440" w:gutter="0" w:footer="0" w:header="0"/>
        </w:sectPr>
      </w:pPr>
    </w:p>
    <w:bookmarkStart w:id="109" w:name="page110"/>
    <w:bookmarkEnd w:id="109"/>
    <w:p>
      <w:pPr>
        <w:jc w:val="center"/>
        <w:ind w:right="-719"/>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EXHIBIT 21.1</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Lennox Industries Inc. Subsidiaries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120" w:type="dxa"/>
            <w:vAlign w:val="bottom"/>
          </w:tcPr>
          <w:p>
            <w:pPr>
              <w:ind w:left="1320"/>
              <w:spacing w:after="0"/>
              <w:rPr>
                <w:sz w:val="20"/>
                <w:szCs w:val="20"/>
                <w:color w:val="auto"/>
              </w:rPr>
            </w:pPr>
            <w:r>
              <w:rPr>
                <w:rFonts w:ascii="Arial" w:cs="Arial" w:eastAsia="Arial" w:hAnsi="Arial"/>
                <w:sz w:val="18"/>
                <w:szCs w:val="18"/>
                <w:b w:val="1"/>
                <w:bCs w:val="1"/>
                <w:color w:val="auto"/>
              </w:rPr>
              <w:t>Ownership</w:t>
            </w:r>
          </w:p>
        </w:tc>
        <w:tc>
          <w:tcPr>
            <w:tcW w:w="1860" w:type="dxa"/>
            <w:vAlign w:val="bottom"/>
          </w:tcPr>
          <w:p>
            <w:pPr>
              <w:ind w:left="940"/>
              <w:spacing w:after="0"/>
              <w:rPr>
                <w:sz w:val="20"/>
                <w:szCs w:val="20"/>
                <w:color w:val="auto"/>
              </w:rPr>
            </w:pPr>
            <w:r>
              <w:rPr>
                <w:rFonts w:ascii="Arial" w:cs="Arial" w:eastAsia="Arial" w:hAnsi="Arial"/>
                <w:sz w:val="18"/>
                <w:szCs w:val="18"/>
                <w:b w:val="1"/>
                <w:bCs w:val="1"/>
                <w:color w:val="auto"/>
                <w:w w:val="88"/>
              </w:rPr>
              <w:t>Jurisdiction</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Allied Air Enterprises LLC</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1"/>
              </w:rPr>
              <w:t>100%</w:t>
            </w:r>
          </w:p>
        </w:tc>
        <w:tc>
          <w:tcPr>
            <w:tcW w:w="1860" w:type="dxa"/>
            <w:vAlign w:val="bottom"/>
          </w:tcPr>
          <w:p>
            <w:pPr>
              <w:ind w:left="940"/>
              <w:spacing w:after="0"/>
              <w:rPr>
                <w:sz w:val="20"/>
                <w:szCs w:val="20"/>
                <w:color w:val="auto"/>
              </w:rPr>
            </w:pPr>
            <w:r>
              <w:rPr>
                <w:rFonts w:ascii="Arial" w:cs="Arial" w:eastAsia="Arial" w:hAnsi="Arial"/>
                <w:sz w:val="18"/>
                <w:szCs w:val="18"/>
                <w:color w:val="auto"/>
              </w:rPr>
              <w:t>Delaware</w:t>
            </w:r>
          </w:p>
        </w:tc>
      </w:tr>
      <w:tr>
        <w:trPr>
          <w:trHeight w:val="554"/>
        </w:trPr>
        <w:tc>
          <w:tcPr>
            <w:tcW w:w="4920" w:type="dxa"/>
            <w:vAlign w:val="bottom"/>
          </w:tcPr>
          <w:p>
            <w:pPr>
              <w:spacing w:after="0"/>
              <w:rPr>
                <w:sz w:val="20"/>
                <w:szCs w:val="20"/>
                <w:color w:val="auto"/>
              </w:rPr>
            </w:pPr>
            <w:r>
              <w:rPr>
                <w:rFonts w:ascii="Arial" w:cs="Arial" w:eastAsia="Arial" w:hAnsi="Arial"/>
                <w:sz w:val="18"/>
                <w:szCs w:val="18"/>
                <w:color w:val="auto"/>
              </w:rPr>
              <w:t>Lennox Industries (Canada) Ltd.</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1"/>
              </w:rPr>
              <w:t>100%</w:t>
            </w:r>
          </w:p>
        </w:tc>
        <w:tc>
          <w:tcPr>
            <w:tcW w:w="1860" w:type="dxa"/>
            <w:vAlign w:val="bottom"/>
          </w:tcPr>
          <w:p>
            <w:pPr>
              <w:ind w:left="940"/>
              <w:spacing w:after="0"/>
              <w:rPr>
                <w:sz w:val="20"/>
                <w:szCs w:val="20"/>
                <w:color w:val="auto"/>
              </w:rPr>
            </w:pPr>
            <w:r>
              <w:rPr>
                <w:rFonts w:ascii="Arial" w:cs="Arial" w:eastAsia="Arial" w:hAnsi="Arial"/>
                <w:sz w:val="18"/>
                <w:szCs w:val="18"/>
                <w:color w:val="auto"/>
              </w:rPr>
              <w:t>Canada</w:t>
            </w:r>
          </w:p>
        </w:tc>
      </w:tr>
      <w:tr>
        <w:trPr>
          <w:trHeight w:val="270"/>
        </w:trPr>
        <w:tc>
          <w:tcPr>
            <w:tcW w:w="4920" w:type="dxa"/>
            <w:vAlign w:val="bottom"/>
          </w:tcPr>
          <w:p>
            <w:pPr>
              <w:ind w:left="120"/>
              <w:spacing w:after="0"/>
              <w:rPr>
                <w:sz w:val="20"/>
                <w:szCs w:val="20"/>
                <w:color w:val="auto"/>
              </w:rPr>
            </w:pPr>
            <w:r>
              <w:rPr>
                <w:rFonts w:ascii="Arial" w:cs="Arial" w:eastAsia="Arial" w:hAnsi="Arial"/>
                <w:sz w:val="18"/>
                <w:szCs w:val="18"/>
                <w:color w:val="auto"/>
              </w:rPr>
              <w:t>LII United Products, S. de R.L. de C.V.</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88"/>
              </w:rPr>
              <w:t>99.97%</w:t>
            </w:r>
          </w:p>
        </w:tc>
        <w:tc>
          <w:tcPr>
            <w:tcW w:w="1860" w:type="dxa"/>
            <w:vAlign w:val="bottom"/>
          </w:tcPr>
          <w:p>
            <w:pPr>
              <w:ind w:left="940"/>
              <w:spacing w:after="0"/>
              <w:rPr>
                <w:sz w:val="20"/>
                <w:szCs w:val="20"/>
                <w:color w:val="auto"/>
              </w:rPr>
            </w:pPr>
            <w:r>
              <w:rPr>
                <w:rFonts w:ascii="Arial" w:cs="Arial" w:eastAsia="Arial" w:hAnsi="Arial"/>
                <w:sz w:val="18"/>
                <w:szCs w:val="18"/>
                <w:color w:val="auto"/>
              </w:rPr>
              <w:t>Mexico</w:t>
            </w:r>
          </w:p>
        </w:tc>
      </w:tr>
      <w:tr>
        <w:trPr>
          <w:trHeight w:val="270"/>
        </w:trPr>
        <w:tc>
          <w:tcPr>
            <w:tcW w:w="4920" w:type="dxa"/>
            <w:vAlign w:val="bottom"/>
          </w:tcPr>
          <w:p>
            <w:pPr>
              <w:ind w:left="120"/>
              <w:spacing w:after="0"/>
              <w:rPr>
                <w:sz w:val="20"/>
                <w:szCs w:val="20"/>
                <w:color w:val="auto"/>
              </w:rPr>
            </w:pPr>
            <w:r>
              <w:rPr>
                <w:rFonts w:ascii="Arial" w:cs="Arial" w:eastAsia="Arial" w:hAnsi="Arial"/>
                <w:sz w:val="18"/>
                <w:szCs w:val="18"/>
                <w:color w:val="auto"/>
              </w:rPr>
              <w:t>LII United Comfort Systems, S. de R.L. de C.V.</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4"/>
              </w:rPr>
              <w:t>99%</w:t>
            </w:r>
          </w:p>
        </w:tc>
        <w:tc>
          <w:tcPr>
            <w:tcW w:w="1860" w:type="dxa"/>
            <w:vAlign w:val="bottom"/>
          </w:tcPr>
          <w:p>
            <w:pPr>
              <w:ind w:left="940"/>
              <w:spacing w:after="0"/>
              <w:rPr>
                <w:sz w:val="20"/>
                <w:szCs w:val="20"/>
                <w:color w:val="auto"/>
              </w:rPr>
            </w:pPr>
            <w:r>
              <w:rPr>
                <w:rFonts w:ascii="Arial" w:cs="Arial" w:eastAsia="Arial" w:hAnsi="Arial"/>
                <w:sz w:val="18"/>
                <w:szCs w:val="18"/>
                <w:color w:val="auto"/>
              </w:rPr>
              <w:t>Mexico</w:t>
            </w:r>
          </w:p>
        </w:tc>
      </w:tr>
      <w:tr>
        <w:trPr>
          <w:trHeight w:val="270"/>
        </w:trPr>
        <w:tc>
          <w:tcPr>
            <w:tcW w:w="4920" w:type="dxa"/>
            <w:vAlign w:val="bottom"/>
          </w:tcPr>
          <w:p>
            <w:pPr>
              <w:ind w:left="120"/>
              <w:spacing w:after="0"/>
              <w:rPr>
                <w:sz w:val="20"/>
                <w:szCs w:val="20"/>
                <w:color w:val="auto"/>
              </w:rPr>
            </w:pPr>
            <w:r>
              <w:rPr>
                <w:rFonts w:ascii="Arial" w:cs="Arial" w:eastAsia="Arial" w:hAnsi="Arial"/>
                <w:sz w:val="18"/>
                <w:szCs w:val="18"/>
                <w:color w:val="auto"/>
              </w:rPr>
              <w:t>1372247 Ontario Inc.</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1"/>
              </w:rPr>
              <w:t>100%</w:t>
            </w:r>
          </w:p>
        </w:tc>
        <w:tc>
          <w:tcPr>
            <w:tcW w:w="1860" w:type="dxa"/>
            <w:vAlign w:val="bottom"/>
          </w:tcPr>
          <w:p>
            <w:pPr>
              <w:ind w:left="940"/>
              <w:spacing w:after="0"/>
              <w:rPr>
                <w:sz w:val="20"/>
                <w:szCs w:val="20"/>
                <w:color w:val="auto"/>
              </w:rPr>
            </w:pPr>
            <w:r>
              <w:rPr>
                <w:rFonts w:ascii="Arial" w:cs="Arial" w:eastAsia="Arial" w:hAnsi="Arial"/>
                <w:sz w:val="18"/>
                <w:szCs w:val="18"/>
                <w:color w:val="auto"/>
              </w:rPr>
              <w:t>Canada</w:t>
            </w:r>
          </w:p>
        </w:tc>
      </w:tr>
      <w:tr>
        <w:trPr>
          <w:trHeight w:val="540"/>
        </w:trPr>
        <w:tc>
          <w:tcPr>
            <w:tcW w:w="4920" w:type="dxa"/>
            <w:vAlign w:val="bottom"/>
          </w:tcPr>
          <w:p>
            <w:pPr>
              <w:spacing w:after="0"/>
              <w:rPr>
                <w:sz w:val="20"/>
                <w:szCs w:val="20"/>
                <w:color w:val="auto"/>
              </w:rPr>
            </w:pPr>
            <w:r>
              <w:rPr>
                <w:rFonts w:ascii="Arial" w:cs="Arial" w:eastAsia="Arial" w:hAnsi="Arial"/>
                <w:sz w:val="18"/>
                <w:szCs w:val="18"/>
                <w:color w:val="auto"/>
              </w:rPr>
              <w:t>LPAC Corp.</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1"/>
              </w:rPr>
              <w:t>100%</w:t>
            </w:r>
          </w:p>
        </w:tc>
        <w:tc>
          <w:tcPr>
            <w:tcW w:w="1860" w:type="dxa"/>
            <w:vAlign w:val="bottom"/>
          </w:tcPr>
          <w:p>
            <w:pPr>
              <w:ind w:left="940"/>
              <w:spacing w:after="0"/>
              <w:rPr>
                <w:sz w:val="20"/>
                <w:szCs w:val="20"/>
                <w:color w:val="auto"/>
              </w:rPr>
            </w:pPr>
            <w:r>
              <w:rPr>
                <w:rFonts w:ascii="Arial" w:cs="Arial" w:eastAsia="Arial" w:hAnsi="Arial"/>
                <w:sz w:val="18"/>
                <w:szCs w:val="18"/>
                <w:color w:val="auto"/>
              </w:rPr>
              <w:t>Delaware</w:t>
            </w:r>
          </w:p>
        </w:tc>
      </w:tr>
      <w:tr>
        <w:trPr>
          <w:trHeight w:val="540"/>
        </w:trPr>
        <w:tc>
          <w:tcPr>
            <w:tcW w:w="4920" w:type="dxa"/>
            <w:vAlign w:val="bottom"/>
          </w:tcPr>
          <w:p>
            <w:pPr>
              <w:spacing w:after="0"/>
              <w:rPr>
                <w:sz w:val="20"/>
                <w:szCs w:val="20"/>
                <w:color w:val="auto"/>
              </w:rPr>
            </w:pPr>
            <w:r>
              <w:rPr>
                <w:rFonts w:ascii="Arial" w:cs="Arial" w:eastAsia="Arial" w:hAnsi="Arial"/>
                <w:sz w:val="18"/>
                <w:szCs w:val="18"/>
                <w:color w:val="auto"/>
              </w:rPr>
              <w:t>LII United Products, S. de R.L. de C.V.</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0"/>
              </w:rPr>
              <w:t>0.03%</w:t>
            </w:r>
          </w:p>
        </w:tc>
        <w:tc>
          <w:tcPr>
            <w:tcW w:w="1860" w:type="dxa"/>
            <w:vAlign w:val="bottom"/>
          </w:tcPr>
          <w:p>
            <w:pPr>
              <w:ind w:left="940"/>
              <w:spacing w:after="0"/>
              <w:rPr>
                <w:sz w:val="20"/>
                <w:szCs w:val="20"/>
                <w:color w:val="auto"/>
              </w:rPr>
            </w:pPr>
            <w:r>
              <w:rPr>
                <w:rFonts w:ascii="Arial" w:cs="Arial" w:eastAsia="Arial" w:hAnsi="Arial"/>
                <w:sz w:val="18"/>
                <w:szCs w:val="18"/>
                <w:color w:val="auto"/>
              </w:rPr>
              <w:t>Mexico</w:t>
            </w:r>
          </w:p>
        </w:tc>
      </w:tr>
      <w:tr>
        <w:trPr>
          <w:trHeight w:val="270"/>
        </w:trPr>
        <w:tc>
          <w:tcPr>
            <w:tcW w:w="4920" w:type="dxa"/>
            <w:vAlign w:val="bottom"/>
          </w:tcPr>
          <w:p>
            <w:pPr>
              <w:ind w:left="120"/>
              <w:spacing w:after="0"/>
              <w:rPr>
                <w:sz w:val="20"/>
                <w:szCs w:val="20"/>
                <w:color w:val="auto"/>
              </w:rPr>
            </w:pPr>
            <w:r>
              <w:rPr>
                <w:rFonts w:ascii="Arial" w:cs="Arial" w:eastAsia="Arial" w:hAnsi="Arial"/>
                <w:sz w:val="18"/>
                <w:szCs w:val="18"/>
                <w:color w:val="auto"/>
              </w:rPr>
              <w:t>LII Comercial de Mexico,S. de R.L. de C.V.</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0"/>
              </w:rPr>
              <w:t>0.03%</w:t>
            </w:r>
          </w:p>
        </w:tc>
        <w:tc>
          <w:tcPr>
            <w:tcW w:w="1860" w:type="dxa"/>
            <w:vAlign w:val="bottom"/>
          </w:tcPr>
          <w:p>
            <w:pPr>
              <w:ind w:left="940"/>
              <w:spacing w:after="0"/>
              <w:rPr>
                <w:sz w:val="20"/>
                <w:szCs w:val="20"/>
                <w:color w:val="auto"/>
              </w:rPr>
            </w:pPr>
            <w:r>
              <w:rPr>
                <w:rFonts w:ascii="Arial" w:cs="Arial" w:eastAsia="Arial" w:hAnsi="Arial"/>
                <w:sz w:val="18"/>
                <w:szCs w:val="18"/>
                <w:color w:val="auto"/>
              </w:rPr>
              <w:t>Mexico</w:t>
            </w:r>
          </w:p>
        </w:tc>
      </w:tr>
      <w:tr>
        <w:trPr>
          <w:trHeight w:val="554"/>
        </w:trPr>
        <w:tc>
          <w:tcPr>
            <w:tcW w:w="4920" w:type="dxa"/>
            <w:vAlign w:val="bottom"/>
          </w:tcPr>
          <w:p>
            <w:pPr>
              <w:spacing w:after="0"/>
              <w:rPr>
                <w:sz w:val="20"/>
                <w:szCs w:val="20"/>
                <w:color w:val="auto"/>
              </w:rPr>
            </w:pPr>
            <w:r>
              <w:rPr>
                <w:rFonts w:ascii="Arial" w:cs="Arial" w:eastAsia="Arial" w:hAnsi="Arial"/>
                <w:sz w:val="18"/>
                <w:szCs w:val="18"/>
                <w:color w:val="auto"/>
              </w:rPr>
              <w:t>LII United Comfort Systems, S. de R.L. de C.V.</w:t>
            </w:r>
          </w:p>
        </w:tc>
        <w:tc>
          <w:tcPr>
            <w:tcW w:w="3120" w:type="dxa"/>
            <w:vAlign w:val="bottom"/>
          </w:tcPr>
          <w:p>
            <w:pPr>
              <w:jc w:val="center"/>
              <w:ind w:left="310"/>
              <w:spacing w:after="0"/>
              <w:rPr>
                <w:sz w:val="20"/>
                <w:szCs w:val="20"/>
                <w:color w:val="auto"/>
              </w:rPr>
            </w:pPr>
            <w:r>
              <w:rPr>
                <w:rFonts w:ascii="Arial" w:cs="Arial" w:eastAsia="Arial" w:hAnsi="Arial"/>
                <w:sz w:val="18"/>
                <w:szCs w:val="18"/>
                <w:color w:val="auto"/>
                <w:w w:val="92"/>
              </w:rPr>
              <w:t>1%</w:t>
            </w:r>
          </w:p>
        </w:tc>
        <w:tc>
          <w:tcPr>
            <w:tcW w:w="1860" w:type="dxa"/>
            <w:vAlign w:val="bottom"/>
          </w:tcPr>
          <w:p>
            <w:pPr>
              <w:ind w:left="940"/>
              <w:spacing w:after="0"/>
              <w:rPr>
                <w:sz w:val="20"/>
                <w:szCs w:val="20"/>
                <w:color w:val="auto"/>
              </w:rPr>
            </w:pPr>
            <w:r>
              <w:rPr>
                <w:rFonts w:ascii="Arial" w:cs="Arial" w:eastAsia="Arial" w:hAnsi="Arial"/>
                <w:sz w:val="18"/>
                <w:szCs w:val="18"/>
                <w:color w:val="auto"/>
              </w:rPr>
              <w:t>Mexico</w:t>
            </w:r>
          </w:p>
        </w:tc>
      </w:tr>
      <w:tr>
        <w:trPr>
          <w:trHeight w:val="554"/>
        </w:trPr>
        <w:tc>
          <w:tcPr>
            <w:tcW w:w="4920" w:type="dxa"/>
            <w:vAlign w:val="bottom"/>
          </w:tcPr>
          <w:p>
            <w:pPr>
              <w:spacing w:after="0"/>
              <w:rPr>
                <w:sz w:val="20"/>
                <w:szCs w:val="20"/>
                <w:color w:val="auto"/>
              </w:rPr>
            </w:pPr>
            <w:r>
              <w:rPr>
                <w:rFonts w:ascii="Arial" w:cs="Arial" w:eastAsia="Arial" w:hAnsi="Arial"/>
                <w:sz w:val="18"/>
                <w:szCs w:val="18"/>
                <w:color w:val="auto"/>
              </w:rPr>
              <w:t>Lennox National Account Services Inc.</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1"/>
              </w:rPr>
              <w:t>100%</w:t>
            </w:r>
          </w:p>
        </w:tc>
        <w:tc>
          <w:tcPr>
            <w:tcW w:w="1860" w:type="dxa"/>
            <w:vAlign w:val="bottom"/>
          </w:tcPr>
          <w:p>
            <w:pPr>
              <w:ind w:left="940"/>
              <w:spacing w:after="0"/>
              <w:rPr>
                <w:sz w:val="20"/>
                <w:szCs w:val="20"/>
                <w:color w:val="auto"/>
              </w:rPr>
            </w:pPr>
            <w:r>
              <w:rPr>
                <w:rFonts w:ascii="Arial" w:cs="Arial" w:eastAsia="Arial" w:hAnsi="Arial"/>
                <w:sz w:val="18"/>
                <w:szCs w:val="18"/>
                <w:color w:val="auto"/>
              </w:rPr>
              <w:t>California</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Lennox National Account Services LLC</w:t>
            </w:r>
          </w:p>
        </w:tc>
        <w:tc>
          <w:tcPr>
            <w:tcW w:w="3120" w:type="dxa"/>
            <w:vAlign w:val="bottom"/>
          </w:tcPr>
          <w:p>
            <w:pPr>
              <w:jc w:val="center"/>
              <w:ind w:left="290"/>
              <w:spacing w:after="0"/>
              <w:rPr>
                <w:sz w:val="20"/>
                <w:szCs w:val="20"/>
                <w:color w:val="auto"/>
              </w:rPr>
            </w:pPr>
            <w:r>
              <w:rPr>
                <w:rFonts w:ascii="Arial" w:cs="Arial" w:eastAsia="Arial" w:hAnsi="Arial"/>
                <w:sz w:val="18"/>
                <w:szCs w:val="18"/>
                <w:color w:val="auto"/>
                <w:w w:val="91"/>
              </w:rPr>
              <w:t>100%</w:t>
            </w:r>
          </w:p>
        </w:tc>
        <w:tc>
          <w:tcPr>
            <w:tcW w:w="1860" w:type="dxa"/>
            <w:vAlign w:val="bottom"/>
          </w:tcPr>
          <w:p>
            <w:pPr>
              <w:ind w:left="94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9900"/>
          </w:cols>
          <w:pgMar w:left="640" w:top="580" w:right="13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ANNEX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Lennox Global Ltd. 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100" w:type="dxa"/>
            <w:vAlign w:val="bottom"/>
          </w:tcPr>
          <w:p>
            <w:pPr>
              <w:ind w:left="600"/>
              <w:spacing w:after="0"/>
              <w:rPr>
                <w:sz w:val="20"/>
                <w:szCs w:val="20"/>
                <w:color w:val="auto"/>
              </w:rPr>
            </w:pPr>
            <w:r>
              <w:rPr>
                <w:rFonts w:ascii="Arial" w:cs="Arial" w:eastAsia="Arial" w:hAnsi="Arial"/>
                <w:sz w:val="18"/>
                <w:szCs w:val="18"/>
                <w:b w:val="1"/>
                <w:bCs w:val="1"/>
                <w:color w:val="auto"/>
              </w:rPr>
              <w:t>Ownership</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Jurisdiction</w:t>
            </w: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Heatcraft Refrigeration Asia Pte Ltd.</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940" w:type="dxa"/>
            <w:vAlign w:val="bottom"/>
          </w:tcPr>
          <w:p>
            <w:pPr>
              <w:jc w:val="right"/>
              <w:spacing w:after="0"/>
              <w:rPr>
                <w:sz w:val="20"/>
                <w:szCs w:val="20"/>
                <w:color w:val="auto"/>
              </w:rPr>
            </w:pPr>
            <w:r>
              <w:rPr>
                <w:rFonts w:ascii="Arial" w:cs="Arial" w:eastAsia="Arial" w:hAnsi="Arial"/>
                <w:sz w:val="18"/>
                <w:szCs w:val="18"/>
                <w:color w:val="auto"/>
              </w:rPr>
              <w:t>Rep. of Singapore</w:t>
            </w:r>
          </w:p>
        </w:tc>
      </w:tr>
      <w:tr>
        <w:trPr>
          <w:trHeight w:val="540"/>
        </w:trPr>
        <w:tc>
          <w:tcPr>
            <w:tcW w:w="5300" w:type="dxa"/>
            <w:vAlign w:val="bottom"/>
          </w:tcPr>
          <w:p>
            <w:pPr>
              <w:spacing w:after="0"/>
              <w:rPr>
                <w:sz w:val="20"/>
                <w:szCs w:val="20"/>
                <w:color w:val="auto"/>
              </w:rPr>
            </w:pPr>
            <w:r>
              <w:rPr>
                <w:rFonts w:ascii="Arial" w:cs="Arial" w:eastAsia="Arial" w:hAnsi="Arial"/>
                <w:sz w:val="18"/>
                <w:szCs w:val="18"/>
                <w:color w:val="auto"/>
              </w:rPr>
              <w:t>Lennox (Shanghai) Refrigeration Technology Consulting Co Ltd.</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940" w:type="dxa"/>
            <w:vAlign w:val="bottom"/>
          </w:tcPr>
          <w:p>
            <w:pPr>
              <w:jc w:val="right"/>
              <w:spacing w:after="0"/>
              <w:rPr>
                <w:sz w:val="20"/>
                <w:szCs w:val="20"/>
                <w:color w:val="auto"/>
              </w:rPr>
            </w:pPr>
            <w:r>
              <w:rPr>
                <w:rFonts w:ascii="Arial" w:cs="Arial" w:eastAsia="Arial" w:hAnsi="Arial"/>
                <w:sz w:val="18"/>
                <w:szCs w:val="18"/>
                <w:color w:val="auto"/>
              </w:rPr>
              <w:t>China</w:t>
            </w:r>
          </w:p>
        </w:tc>
      </w:tr>
      <w:tr>
        <w:trPr>
          <w:trHeight w:val="554"/>
        </w:trPr>
        <w:tc>
          <w:tcPr>
            <w:tcW w:w="5300" w:type="dxa"/>
            <w:vAlign w:val="bottom"/>
          </w:tcPr>
          <w:p>
            <w:pPr>
              <w:spacing w:after="0"/>
              <w:rPr>
                <w:sz w:val="20"/>
                <w:szCs w:val="20"/>
                <w:color w:val="auto"/>
              </w:rPr>
            </w:pPr>
            <w:r>
              <w:rPr>
                <w:rFonts w:ascii="Arial" w:cs="Arial" w:eastAsia="Arial" w:hAnsi="Arial"/>
                <w:sz w:val="18"/>
                <w:szCs w:val="18"/>
                <w:color w:val="auto"/>
              </w:rPr>
              <w:t>LGL Europe Holding Co.</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94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SEE ANNEX C</w:t>
            </w:r>
          </w:p>
        </w:tc>
        <w:tc>
          <w:tcPr>
            <w:tcW w:w="21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540"/>
        </w:trPr>
        <w:tc>
          <w:tcPr>
            <w:tcW w:w="5300" w:type="dxa"/>
            <w:vAlign w:val="bottom"/>
          </w:tcPr>
          <w:p>
            <w:pPr>
              <w:spacing w:after="0"/>
              <w:rPr>
                <w:sz w:val="20"/>
                <w:szCs w:val="20"/>
                <w:color w:val="auto"/>
              </w:rPr>
            </w:pPr>
            <w:r>
              <w:rPr>
                <w:rFonts w:ascii="Arial" w:cs="Arial" w:eastAsia="Arial" w:hAnsi="Arial"/>
                <w:sz w:val="18"/>
                <w:szCs w:val="18"/>
                <w:color w:val="auto"/>
              </w:rPr>
              <w:t>Lennox Participações Ltda.</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99.34%</w:t>
            </w:r>
          </w:p>
        </w:tc>
        <w:tc>
          <w:tcPr>
            <w:tcW w:w="1940" w:type="dxa"/>
            <w:vAlign w:val="bottom"/>
          </w:tcPr>
          <w:p>
            <w:pPr>
              <w:jc w:val="right"/>
              <w:spacing w:after="0"/>
              <w:rPr>
                <w:sz w:val="20"/>
                <w:szCs w:val="20"/>
                <w:color w:val="auto"/>
              </w:rPr>
            </w:pPr>
            <w:r>
              <w:rPr>
                <w:rFonts w:ascii="Arial" w:cs="Arial" w:eastAsia="Arial" w:hAnsi="Arial"/>
                <w:sz w:val="18"/>
                <w:szCs w:val="18"/>
                <w:color w:val="auto"/>
              </w:rPr>
              <w:t>Brazil</w:t>
            </w:r>
          </w:p>
        </w:tc>
      </w:tr>
      <w:tr>
        <w:trPr>
          <w:trHeight w:val="540"/>
        </w:trPr>
        <w:tc>
          <w:tcPr>
            <w:tcW w:w="5300" w:type="dxa"/>
            <w:vAlign w:val="bottom"/>
          </w:tcPr>
          <w:p>
            <w:pPr>
              <w:spacing w:after="0"/>
              <w:rPr>
                <w:sz w:val="20"/>
                <w:szCs w:val="20"/>
                <w:color w:val="auto"/>
              </w:rPr>
            </w:pPr>
            <w:r>
              <w:rPr>
                <w:rFonts w:ascii="Arial" w:cs="Arial" w:eastAsia="Arial" w:hAnsi="Arial"/>
                <w:sz w:val="18"/>
                <w:szCs w:val="18"/>
                <w:color w:val="auto"/>
              </w:rPr>
              <w:t>LGL Australia (US) Inc.</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94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SEE ANNEX D</w:t>
            </w:r>
          </w:p>
        </w:tc>
        <w:tc>
          <w:tcPr>
            <w:tcW w:w="21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554"/>
        </w:trPr>
        <w:tc>
          <w:tcPr>
            <w:tcW w:w="5300" w:type="dxa"/>
            <w:vAlign w:val="bottom"/>
          </w:tcPr>
          <w:p>
            <w:pPr>
              <w:spacing w:after="0"/>
              <w:rPr>
                <w:sz w:val="20"/>
                <w:szCs w:val="20"/>
                <w:color w:val="auto"/>
              </w:rPr>
            </w:pPr>
            <w:r>
              <w:rPr>
                <w:rFonts w:ascii="Arial" w:cs="Arial" w:eastAsia="Arial" w:hAnsi="Arial"/>
                <w:sz w:val="18"/>
                <w:szCs w:val="18"/>
                <w:color w:val="auto"/>
              </w:rPr>
              <w:t>LII Comercial de Mexico, S. de R.L. de C.V.</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99.97%</w:t>
            </w:r>
          </w:p>
        </w:tc>
        <w:tc>
          <w:tcPr>
            <w:tcW w:w="1940" w:type="dxa"/>
            <w:vAlign w:val="bottom"/>
          </w:tcPr>
          <w:p>
            <w:pPr>
              <w:jc w:val="right"/>
              <w:spacing w:after="0"/>
              <w:rPr>
                <w:sz w:val="20"/>
                <w:szCs w:val="20"/>
                <w:color w:val="auto"/>
              </w:rPr>
            </w:pPr>
            <w:r>
              <w:rPr>
                <w:rFonts w:ascii="Arial" w:cs="Arial" w:eastAsia="Arial" w:hAnsi="Arial"/>
                <w:sz w:val="18"/>
                <w:szCs w:val="18"/>
                <w:color w:val="auto"/>
              </w:rPr>
              <w:t>Mexico</w:t>
            </w:r>
          </w:p>
        </w:tc>
      </w:tr>
      <w:tr>
        <w:trPr>
          <w:trHeight w:val="554"/>
        </w:trPr>
        <w:tc>
          <w:tcPr>
            <w:tcW w:w="5300" w:type="dxa"/>
            <w:vAlign w:val="bottom"/>
          </w:tcPr>
          <w:p>
            <w:pPr>
              <w:spacing w:after="0"/>
              <w:rPr>
                <w:sz w:val="20"/>
                <w:szCs w:val="20"/>
                <w:color w:val="auto"/>
              </w:rPr>
            </w:pPr>
            <w:r>
              <w:rPr>
                <w:rFonts w:ascii="Arial" w:cs="Arial" w:eastAsia="Arial" w:hAnsi="Arial"/>
                <w:sz w:val="18"/>
                <w:szCs w:val="18"/>
                <w:color w:val="auto"/>
              </w:rPr>
              <w:t>Lennox India Technology Centre Private Ltd.</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940" w:type="dxa"/>
            <w:vAlign w:val="bottom"/>
          </w:tcPr>
          <w:p>
            <w:pPr>
              <w:jc w:val="right"/>
              <w:spacing w:after="0"/>
              <w:rPr>
                <w:sz w:val="20"/>
                <w:szCs w:val="20"/>
                <w:color w:val="auto"/>
              </w:rPr>
            </w:pPr>
            <w:r>
              <w:rPr>
                <w:rFonts w:ascii="Arial" w:cs="Arial" w:eastAsia="Arial" w:hAnsi="Arial"/>
                <w:sz w:val="18"/>
                <w:szCs w:val="18"/>
                <w:color w:val="auto"/>
              </w:rPr>
              <w:t>India</w:t>
            </w:r>
          </w:p>
        </w:tc>
      </w:tr>
      <w:tr>
        <w:trPr>
          <w:trHeight w:val="554"/>
        </w:trPr>
        <w:tc>
          <w:tcPr>
            <w:tcW w:w="5300" w:type="dxa"/>
            <w:vAlign w:val="bottom"/>
          </w:tcPr>
          <w:p>
            <w:pPr>
              <w:spacing w:after="0"/>
              <w:rPr>
                <w:sz w:val="20"/>
                <w:szCs w:val="20"/>
                <w:color w:val="auto"/>
              </w:rPr>
            </w:pPr>
            <w:r>
              <w:rPr>
                <w:rFonts w:ascii="Arial" w:cs="Arial" w:eastAsia="Arial" w:hAnsi="Arial"/>
                <w:sz w:val="18"/>
                <w:szCs w:val="18"/>
                <w:color w:val="auto"/>
              </w:rPr>
              <w:t>Heatcraft do Brasil Ltda.</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37.8%</w:t>
            </w:r>
          </w:p>
        </w:tc>
        <w:tc>
          <w:tcPr>
            <w:tcW w:w="1940" w:type="dxa"/>
            <w:vAlign w:val="bottom"/>
          </w:tcPr>
          <w:p>
            <w:pPr>
              <w:jc w:val="right"/>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9340"/>
          </w:cols>
          <w:pgMar w:left="1280" w:top="580" w:right="127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ANNEX 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21.1</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LGL Europe Holding Co. Subsidiaries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tcPr>
          <w:p>
            <w:pPr>
              <w:ind w:left="1240"/>
              <w:spacing w:after="0"/>
              <w:rPr>
                <w:sz w:val="20"/>
                <w:szCs w:val="20"/>
                <w:color w:val="auto"/>
              </w:rPr>
            </w:pPr>
            <w:r>
              <w:rPr>
                <w:rFonts w:ascii="Arial" w:cs="Arial" w:eastAsia="Arial" w:hAnsi="Arial"/>
                <w:sz w:val="18"/>
                <w:szCs w:val="18"/>
                <w:b w:val="1"/>
                <w:bCs w:val="1"/>
                <w:color w:val="auto"/>
              </w:rPr>
              <w:t>Ownership</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Jurisdiction</w:t>
            </w: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LGL Holland B.V.</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567"/>
        </w:trPr>
        <w:tc>
          <w:tcPr>
            <w:tcW w:w="4640" w:type="dxa"/>
            <w:vAlign w:val="bottom"/>
          </w:tcPr>
          <w:p>
            <w:pPr>
              <w:ind w:left="120"/>
              <w:spacing w:after="0"/>
              <w:rPr>
                <w:sz w:val="20"/>
                <w:szCs w:val="20"/>
                <w:color w:val="auto"/>
              </w:rPr>
            </w:pPr>
            <w:r>
              <w:rPr>
                <w:rFonts w:ascii="Arial" w:cs="Arial" w:eastAsia="Arial" w:hAnsi="Arial"/>
                <w:sz w:val="18"/>
                <w:szCs w:val="18"/>
                <w:color w:val="auto"/>
              </w:rPr>
              <w:t>Lennox Ukraine LLC</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4"/>
              </w:rPr>
              <w:t>99%</w:t>
            </w:r>
          </w:p>
        </w:tc>
        <w:tc>
          <w:tcPr>
            <w:tcW w:w="1900" w:type="dxa"/>
            <w:vAlign w:val="bottom"/>
          </w:tcPr>
          <w:p>
            <w:pPr>
              <w:jc w:val="right"/>
              <w:spacing w:after="0"/>
              <w:rPr>
                <w:sz w:val="20"/>
                <w:szCs w:val="20"/>
                <w:color w:val="auto"/>
              </w:rPr>
            </w:pPr>
            <w:r>
              <w:rPr>
                <w:rFonts w:ascii="Arial" w:cs="Arial" w:eastAsia="Arial" w:hAnsi="Arial"/>
                <w:sz w:val="18"/>
                <w:szCs w:val="18"/>
                <w:color w:val="auto"/>
              </w:rPr>
              <w:t>Ukraine</w:t>
            </w:r>
          </w:p>
        </w:tc>
      </w:tr>
      <w:tr>
        <w:trPr>
          <w:trHeight w:val="567"/>
        </w:trPr>
        <w:tc>
          <w:tcPr>
            <w:tcW w:w="4640" w:type="dxa"/>
            <w:vAlign w:val="bottom"/>
          </w:tcPr>
          <w:p>
            <w:pPr>
              <w:ind w:left="120"/>
              <w:spacing w:after="0"/>
              <w:rPr>
                <w:sz w:val="20"/>
                <w:szCs w:val="20"/>
                <w:color w:val="auto"/>
              </w:rPr>
            </w:pPr>
            <w:r>
              <w:rPr>
                <w:rFonts w:ascii="Arial" w:cs="Arial" w:eastAsia="Arial" w:hAnsi="Arial"/>
                <w:sz w:val="18"/>
                <w:szCs w:val="18"/>
                <w:color w:val="auto"/>
              </w:rPr>
              <w:t>Lennox India Technology Centre Private Ltd.</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0"/>
              </w:rPr>
              <w:t>99.9%</w:t>
            </w:r>
          </w:p>
        </w:tc>
        <w:tc>
          <w:tcPr>
            <w:tcW w:w="1900" w:type="dxa"/>
            <w:vAlign w:val="bottom"/>
          </w:tcPr>
          <w:p>
            <w:pPr>
              <w:jc w:val="right"/>
              <w:spacing w:after="0"/>
              <w:rPr>
                <w:sz w:val="20"/>
                <w:szCs w:val="20"/>
                <w:color w:val="auto"/>
              </w:rPr>
            </w:pPr>
            <w:r>
              <w:rPr>
                <w:rFonts w:ascii="Arial" w:cs="Arial" w:eastAsia="Arial" w:hAnsi="Arial"/>
                <w:sz w:val="18"/>
                <w:szCs w:val="18"/>
                <w:color w:val="auto"/>
              </w:rPr>
              <w:t>India</w:t>
            </w:r>
          </w:p>
        </w:tc>
      </w:tr>
      <w:tr>
        <w:trPr>
          <w:trHeight w:val="567"/>
        </w:trPr>
        <w:tc>
          <w:tcPr>
            <w:tcW w:w="4640" w:type="dxa"/>
            <w:vAlign w:val="bottom"/>
          </w:tcPr>
          <w:p>
            <w:pPr>
              <w:ind w:left="120"/>
              <w:spacing w:after="0"/>
              <w:rPr>
                <w:sz w:val="20"/>
                <w:szCs w:val="20"/>
                <w:color w:val="auto"/>
              </w:rPr>
            </w:pPr>
            <w:r>
              <w:rPr>
                <w:rFonts w:ascii="Arial" w:cs="Arial" w:eastAsia="Arial" w:hAnsi="Arial"/>
                <w:sz w:val="18"/>
                <w:szCs w:val="18"/>
                <w:color w:val="auto"/>
              </w:rPr>
              <w:t>Etablissements Brancher S.A.S.</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LGL France S.A.S.</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89"/>
              </w:rPr>
              <w:t>99.99964%</w:t>
            </w:r>
          </w:p>
        </w:tc>
        <w:tc>
          <w:tcPr>
            <w:tcW w:w="19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70"/>
        </w:trPr>
        <w:tc>
          <w:tcPr>
            <w:tcW w:w="4640" w:type="dxa"/>
            <w:vAlign w:val="bottom"/>
          </w:tcPr>
          <w:p>
            <w:pPr>
              <w:ind w:left="340"/>
              <w:spacing w:after="0"/>
              <w:rPr>
                <w:sz w:val="20"/>
                <w:szCs w:val="20"/>
                <w:color w:val="auto"/>
              </w:rPr>
            </w:pPr>
            <w:r>
              <w:rPr>
                <w:rFonts w:ascii="Arial" w:cs="Arial" w:eastAsia="Arial" w:hAnsi="Arial"/>
                <w:sz w:val="18"/>
                <w:szCs w:val="18"/>
                <w:color w:val="auto"/>
              </w:rPr>
              <w:t>Hyfra Ind. GmbH</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2"/>
              </w:rPr>
              <w:t>0.1%</w:t>
            </w:r>
          </w:p>
        </w:tc>
        <w:tc>
          <w:tcPr>
            <w:tcW w:w="19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70"/>
        </w:trPr>
        <w:tc>
          <w:tcPr>
            <w:tcW w:w="4640" w:type="dxa"/>
            <w:vAlign w:val="bottom"/>
          </w:tcPr>
          <w:p>
            <w:pPr>
              <w:ind w:left="340"/>
              <w:spacing w:after="0"/>
              <w:rPr>
                <w:sz w:val="20"/>
                <w:szCs w:val="20"/>
                <w:color w:val="auto"/>
              </w:rPr>
            </w:pPr>
            <w:r>
              <w:rPr>
                <w:rFonts w:ascii="Arial" w:cs="Arial" w:eastAsia="Arial" w:hAnsi="Arial"/>
                <w:sz w:val="18"/>
                <w:szCs w:val="18"/>
                <w:color w:val="auto"/>
              </w:rPr>
              <w:t>Lennox France S.A.S.</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France</w:t>
            </w:r>
          </w:p>
        </w:tc>
      </w:tr>
      <w:tr>
        <w:trPr>
          <w:trHeight w:val="270"/>
        </w:trPr>
        <w:tc>
          <w:tcPr>
            <w:tcW w:w="4640" w:type="dxa"/>
            <w:vAlign w:val="bottom"/>
          </w:tcPr>
          <w:p>
            <w:pPr>
              <w:ind w:left="340"/>
              <w:spacing w:after="0"/>
              <w:rPr>
                <w:sz w:val="20"/>
                <w:szCs w:val="20"/>
                <w:color w:val="auto"/>
              </w:rPr>
            </w:pPr>
            <w:r>
              <w:rPr>
                <w:rFonts w:ascii="Arial" w:cs="Arial" w:eastAsia="Arial" w:hAnsi="Arial"/>
                <w:sz w:val="18"/>
                <w:szCs w:val="18"/>
                <w:color w:val="auto"/>
              </w:rPr>
              <w:t>Lennox Refac, S.A.</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0"/>
              </w:rPr>
              <w:t>0.02%</w:t>
            </w:r>
          </w:p>
        </w:tc>
        <w:tc>
          <w:tcPr>
            <w:tcW w:w="190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540"/>
        </w:trPr>
        <w:tc>
          <w:tcPr>
            <w:tcW w:w="4640" w:type="dxa"/>
            <w:vAlign w:val="bottom"/>
          </w:tcPr>
          <w:p>
            <w:pPr>
              <w:ind w:left="120"/>
              <w:spacing w:after="0"/>
              <w:rPr>
                <w:sz w:val="20"/>
                <w:szCs w:val="20"/>
                <w:color w:val="auto"/>
              </w:rPr>
            </w:pPr>
            <w:r>
              <w:rPr>
                <w:rFonts w:ascii="Arial" w:cs="Arial" w:eastAsia="Arial" w:hAnsi="Arial"/>
                <w:sz w:val="18"/>
                <w:szCs w:val="18"/>
                <w:color w:val="auto"/>
              </w:rPr>
              <w:t>LGL Germany GmbH</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Hyfra Ind. GmbH</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0"/>
              </w:rPr>
              <w:t>99.9%</w:t>
            </w:r>
          </w:p>
        </w:tc>
        <w:tc>
          <w:tcPr>
            <w:tcW w:w="19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Lennox Deutschland GmbH</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LGL Deutschland GmbH</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Germany</w:t>
            </w:r>
          </w:p>
        </w:tc>
      </w:tr>
      <w:tr>
        <w:trPr>
          <w:trHeight w:val="554"/>
        </w:trPr>
        <w:tc>
          <w:tcPr>
            <w:tcW w:w="4640" w:type="dxa"/>
            <w:vAlign w:val="bottom"/>
          </w:tcPr>
          <w:p>
            <w:pPr>
              <w:ind w:left="120"/>
              <w:spacing w:after="0"/>
              <w:rPr>
                <w:sz w:val="20"/>
                <w:szCs w:val="20"/>
                <w:color w:val="auto"/>
              </w:rPr>
            </w:pPr>
            <w:r>
              <w:rPr>
                <w:rFonts w:ascii="Arial" w:cs="Arial" w:eastAsia="Arial" w:hAnsi="Arial"/>
                <w:sz w:val="18"/>
                <w:szCs w:val="18"/>
                <w:color w:val="auto"/>
              </w:rPr>
              <w:t>Lennox Global Spain S.L.</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LGL Refrigeration Spain S.A.</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Lennox Refac, S.A.</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88"/>
              </w:rPr>
              <w:t>99.98%</w:t>
            </w:r>
          </w:p>
        </w:tc>
        <w:tc>
          <w:tcPr>
            <w:tcW w:w="1900" w:type="dxa"/>
            <w:vAlign w:val="bottom"/>
          </w:tcPr>
          <w:p>
            <w:pPr>
              <w:jc w:val="right"/>
              <w:spacing w:after="0"/>
              <w:rPr>
                <w:sz w:val="20"/>
                <w:szCs w:val="20"/>
                <w:color w:val="auto"/>
              </w:rPr>
            </w:pPr>
            <w:r>
              <w:rPr>
                <w:rFonts w:ascii="Arial" w:cs="Arial" w:eastAsia="Arial" w:hAnsi="Arial"/>
                <w:sz w:val="18"/>
                <w:szCs w:val="18"/>
                <w:color w:val="auto"/>
              </w:rPr>
              <w:t>Spain</w:t>
            </w:r>
          </w:p>
        </w:tc>
      </w:tr>
      <w:tr>
        <w:trPr>
          <w:trHeight w:val="270"/>
        </w:trPr>
        <w:tc>
          <w:tcPr>
            <w:tcW w:w="4640" w:type="dxa"/>
            <w:vAlign w:val="bottom"/>
          </w:tcPr>
          <w:p>
            <w:pPr>
              <w:ind w:left="340"/>
              <w:spacing w:after="0"/>
              <w:rPr>
                <w:sz w:val="20"/>
                <w:szCs w:val="20"/>
                <w:color w:val="auto"/>
              </w:rPr>
            </w:pPr>
            <w:r>
              <w:rPr>
                <w:rFonts w:ascii="Arial" w:cs="Arial" w:eastAsia="Arial" w:hAnsi="Arial"/>
                <w:sz w:val="18"/>
                <w:szCs w:val="18"/>
                <w:color w:val="auto"/>
              </w:rPr>
              <w:t>Lennox Portugal Lda</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Portugal</w:t>
            </w:r>
          </w:p>
        </w:tc>
      </w:tr>
      <w:tr>
        <w:trPr>
          <w:trHeight w:val="540"/>
        </w:trPr>
        <w:tc>
          <w:tcPr>
            <w:tcW w:w="4640" w:type="dxa"/>
            <w:vAlign w:val="bottom"/>
          </w:tcPr>
          <w:p>
            <w:pPr>
              <w:ind w:left="120"/>
              <w:spacing w:after="0"/>
              <w:rPr>
                <w:sz w:val="20"/>
                <w:szCs w:val="20"/>
                <w:color w:val="auto"/>
              </w:rPr>
            </w:pPr>
            <w:r>
              <w:rPr>
                <w:rFonts w:ascii="Arial" w:cs="Arial" w:eastAsia="Arial" w:hAnsi="Arial"/>
                <w:sz w:val="18"/>
                <w:szCs w:val="18"/>
                <w:color w:val="auto"/>
              </w:rPr>
              <w:t>Lennox Polska sp. z.o.o.</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0"/>
              </w:rPr>
              <w:t>99.5%</w:t>
            </w:r>
          </w:p>
        </w:tc>
        <w:tc>
          <w:tcPr>
            <w:tcW w:w="1900" w:type="dxa"/>
            <w:vAlign w:val="bottom"/>
          </w:tcPr>
          <w:p>
            <w:pPr>
              <w:jc w:val="right"/>
              <w:spacing w:after="0"/>
              <w:rPr>
                <w:sz w:val="20"/>
                <w:szCs w:val="20"/>
                <w:color w:val="auto"/>
              </w:rPr>
            </w:pPr>
            <w:r>
              <w:rPr>
                <w:rFonts w:ascii="Arial" w:cs="Arial" w:eastAsia="Arial" w:hAnsi="Arial"/>
                <w:sz w:val="18"/>
                <w:szCs w:val="18"/>
                <w:color w:val="auto"/>
              </w:rPr>
              <w:t>Poland</w:t>
            </w:r>
          </w:p>
        </w:tc>
      </w:tr>
      <w:tr>
        <w:trPr>
          <w:trHeight w:val="540"/>
        </w:trPr>
        <w:tc>
          <w:tcPr>
            <w:tcW w:w="4640" w:type="dxa"/>
            <w:vAlign w:val="bottom"/>
          </w:tcPr>
          <w:p>
            <w:pPr>
              <w:ind w:left="120"/>
              <w:spacing w:after="0"/>
              <w:rPr>
                <w:sz w:val="20"/>
                <w:szCs w:val="20"/>
                <w:color w:val="auto"/>
              </w:rPr>
            </w:pPr>
            <w:r>
              <w:rPr>
                <w:rFonts w:ascii="Arial" w:cs="Arial" w:eastAsia="Arial" w:hAnsi="Arial"/>
                <w:sz w:val="18"/>
                <w:szCs w:val="18"/>
                <w:color w:val="auto"/>
              </w:rPr>
              <w:t>Lennox Benelux B.V.</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Netherlands</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Lennox Benelux N.V./S.A.</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Belgium</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Lennox Polska sp. z.o.o.</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2"/>
              </w:rPr>
              <w:t>0.5%</w:t>
            </w:r>
          </w:p>
        </w:tc>
        <w:tc>
          <w:tcPr>
            <w:tcW w:w="1900" w:type="dxa"/>
            <w:vAlign w:val="bottom"/>
          </w:tcPr>
          <w:p>
            <w:pPr>
              <w:jc w:val="right"/>
              <w:spacing w:after="0"/>
              <w:rPr>
                <w:sz w:val="20"/>
                <w:szCs w:val="20"/>
                <w:color w:val="auto"/>
              </w:rPr>
            </w:pPr>
            <w:r>
              <w:rPr>
                <w:rFonts w:ascii="Arial" w:cs="Arial" w:eastAsia="Arial" w:hAnsi="Arial"/>
                <w:sz w:val="18"/>
                <w:szCs w:val="18"/>
                <w:color w:val="auto"/>
              </w:rPr>
              <w:t>Poland</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Lennox Zao</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2"/>
              </w:rPr>
              <w:t>0.5%</w:t>
            </w:r>
          </w:p>
        </w:tc>
        <w:tc>
          <w:tcPr>
            <w:tcW w:w="1900" w:type="dxa"/>
            <w:vAlign w:val="bottom"/>
          </w:tcPr>
          <w:p>
            <w:pPr>
              <w:jc w:val="right"/>
              <w:spacing w:after="0"/>
              <w:rPr>
                <w:sz w:val="20"/>
                <w:szCs w:val="20"/>
                <w:color w:val="auto"/>
              </w:rPr>
            </w:pPr>
            <w:r>
              <w:rPr>
                <w:rFonts w:ascii="Arial" w:cs="Arial" w:eastAsia="Arial" w:hAnsi="Arial"/>
                <w:sz w:val="18"/>
                <w:szCs w:val="18"/>
                <w:color w:val="auto"/>
              </w:rPr>
              <w:t>Russia</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Lennox Ukraine LLC</w:t>
            </w:r>
          </w:p>
        </w:tc>
        <w:tc>
          <w:tcPr>
            <w:tcW w:w="2780" w:type="dxa"/>
            <w:vAlign w:val="bottom"/>
          </w:tcPr>
          <w:p>
            <w:pPr>
              <w:jc w:val="center"/>
              <w:ind w:left="450"/>
              <w:spacing w:after="0"/>
              <w:rPr>
                <w:sz w:val="20"/>
                <w:szCs w:val="20"/>
                <w:color w:val="auto"/>
              </w:rPr>
            </w:pPr>
            <w:r>
              <w:rPr>
                <w:rFonts w:ascii="Arial" w:cs="Arial" w:eastAsia="Arial" w:hAnsi="Arial"/>
                <w:sz w:val="18"/>
                <w:szCs w:val="18"/>
                <w:color w:val="auto"/>
                <w:w w:val="92"/>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Ukraine</w:t>
            </w:r>
          </w:p>
        </w:tc>
      </w:tr>
      <w:tr>
        <w:trPr>
          <w:trHeight w:val="554"/>
        </w:trPr>
        <w:tc>
          <w:tcPr>
            <w:tcW w:w="4640" w:type="dxa"/>
            <w:vAlign w:val="bottom"/>
          </w:tcPr>
          <w:p>
            <w:pPr>
              <w:ind w:left="120"/>
              <w:spacing w:after="0"/>
              <w:rPr>
                <w:sz w:val="20"/>
                <w:szCs w:val="20"/>
                <w:color w:val="auto"/>
              </w:rPr>
            </w:pPr>
            <w:r>
              <w:rPr>
                <w:rFonts w:ascii="Arial" w:cs="Arial" w:eastAsia="Arial" w:hAnsi="Arial"/>
                <w:sz w:val="18"/>
                <w:szCs w:val="18"/>
                <w:color w:val="auto"/>
              </w:rPr>
              <w:t>HCF-Lennox Limited</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1"/>
              </w:rPr>
              <w:t>100%</w:t>
            </w:r>
          </w:p>
        </w:tc>
        <w:tc>
          <w:tcPr>
            <w:tcW w:w="190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270"/>
        </w:trPr>
        <w:tc>
          <w:tcPr>
            <w:tcW w:w="4640" w:type="dxa"/>
            <w:vAlign w:val="bottom"/>
          </w:tcPr>
          <w:p>
            <w:pPr>
              <w:ind w:left="240"/>
              <w:spacing w:after="0"/>
              <w:rPr>
                <w:sz w:val="20"/>
                <w:szCs w:val="20"/>
                <w:color w:val="auto"/>
              </w:rPr>
            </w:pPr>
            <w:r>
              <w:rPr>
                <w:rFonts w:ascii="Arial" w:cs="Arial" w:eastAsia="Arial" w:hAnsi="Arial"/>
                <w:sz w:val="18"/>
                <w:szCs w:val="18"/>
                <w:color w:val="auto"/>
              </w:rPr>
              <w:t>Lennox Industries</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2"/>
              </w:rPr>
              <w:t>99.955%</w:t>
            </w:r>
          </w:p>
        </w:tc>
        <w:tc>
          <w:tcPr>
            <w:tcW w:w="1900" w:type="dxa"/>
            <w:vAlign w:val="bottom"/>
          </w:tcPr>
          <w:p>
            <w:pPr>
              <w:jc w:val="right"/>
              <w:spacing w:after="0"/>
              <w:rPr>
                <w:sz w:val="20"/>
                <w:szCs w:val="20"/>
                <w:color w:val="auto"/>
              </w:rPr>
            </w:pPr>
            <w:r>
              <w:rPr>
                <w:rFonts w:ascii="Arial" w:cs="Arial" w:eastAsia="Arial" w:hAnsi="Arial"/>
                <w:sz w:val="18"/>
                <w:szCs w:val="18"/>
                <w:color w:val="auto"/>
              </w:rPr>
              <w:t>United Kingdom</w:t>
            </w:r>
          </w:p>
        </w:tc>
      </w:tr>
      <w:tr>
        <w:trPr>
          <w:trHeight w:val="540"/>
        </w:trPr>
        <w:tc>
          <w:tcPr>
            <w:tcW w:w="4640" w:type="dxa"/>
            <w:vAlign w:val="bottom"/>
          </w:tcPr>
          <w:p>
            <w:pPr>
              <w:ind w:left="120"/>
              <w:spacing w:after="0"/>
              <w:rPr>
                <w:sz w:val="20"/>
                <w:szCs w:val="20"/>
                <w:color w:val="auto"/>
              </w:rPr>
            </w:pPr>
            <w:r>
              <w:rPr>
                <w:rFonts w:ascii="Arial" w:cs="Arial" w:eastAsia="Arial" w:hAnsi="Arial"/>
                <w:sz w:val="18"/>
                <w:szCs w:val="18"/>
                <w:color w:val="auto"/>
              </w:rPr>
              <w:t>Lennox Zao</w:t>
            </w:r>
          </w:p>
        </w:tc>
        <w:tc>
          <w:tcPr>
            <w:tcW w:w="2780" w:type="dxa"/>
            <w:vAlign w:val="bottom"/>
          </w:tcPr>
          <w:p>
            <w:pPr>
              <w:jc w:val="center"/>
              <w:ind w:left="470"/>
              <w:spacing w:after="0"/>
              <w:rPr>
                <w:sz w:val="20"/>
                <w:szCs w:val="20"/>
                <w:color w:val="auto"/>
              </w:rPr>
            </w:pPr>
            <w:r>
              <w:rPr>
                <w:rFonts w:ascii="Arial" w:cs="Arial" w:eastAsia="Arial" w:hAnsi="Arial"/>
                <w:sz w:val="18"/>
                <w:szCs w:val="18"/>
                <w:color w:val="auto"/>
                <w:w w:val="90"/>
              </w:rPr>
              <w:t>99.5%</w:t>
            </w:r>
          </w:p>
        </w:tc>
        <w:tc>
          <w:tcPr>
            <w:tcW w:w="1900" w:type="dxa"/>
            <w:vAlign w:val="bottom"/>
          </w:tcPr>
          <w:p>
            <w:pPr>
              <w:jc w:val="right"/>
              <w:spacing w:after="0"/>
              <w:rPr>
                <w:sz w:val="20"/>
                <w:szCs w:val="20"/>
                <w:color w:val="auto"/>
              </w:rPr>
            </w:pPr>
            <w:r>
              <w:rPr>
                <w:rFonts w:ascii="Arial" w:cs="Arial" w:eastAsia="Arial" w:hAnsi="Arial"/>
                <w:sz w:val="18"/>
                <w:szCs w:val="18"/>
                <w:color w:val="auto"/>
              </w:rPr>
              <w:t>Russia</w:t>
            </w:r>
          </w:p>
        </w:tc>
      </w:tr>
    </w:tbl>
    <w:p>
      <w:pPr>
        <w:sectPr>
          <w:pgSz w:w="11900" w:h="16838" w:orient="portrait"/>
          <w:cols w:equalWidth="0" w:num="1">
            <w:col w:w="9320"/>
          </w:cols>
          <w:pgMar w:left="1300" w:top="580" w:right="127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ANNEX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LGL Australia (US) Inc. Subsidiaries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980" w:type="dxa"/>
            <w:vAlign w:val="bottom"/>
          </w:tcPr>
          <w:p>
            <w:pPr>
              <w:ind w:left="1180"/>
              <w:spacing w:after="0"/>
              <w:rPr>
                <w:sz w:val="20"/>
                <w:szCs w:val="20"/>
                <w:color w:val="auto"/>
              </w:rPr>
            </w:pPr>
            <w:r>
              <w:rPr>
                <w:rFonts w:ascii="Arial" w:cs="Arial" w:eastAsia="Arial" w:hAnsi="Arial"/>
                <w:sz w:val="18"/>
                <w:szCs w:val="18"/>
                <w:b w:val="1"/>
                <w:bCs w:val="1"/>
                <w:color w:val="auto"/>
              </w:rPr>
              <w:t>Ownership</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Jurisdiction</w:t>
            </w: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LGL Co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IGLL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240"/>
              <w:spacing w:after="0"/>
              <w:rPr>
                <w:sz w:val="20"/>
                <w:szCs w:val="20"/>
                <w:color w:val="auto"/>
              </w:rPr>
            </w:pPr>
            <w:r>
              <w:rPr>
                <w:rFonts w:ascii="Arial" w:cs="Arial" w:eastAsia="Arial" w:hAnsi="Arial"/>
                <w:sz w:val="18"/>
                <w:szCs w:val="18"/>
                <w:color w:val="auto"/>
              </w:rPr>
              <w:t>LGL Australia Finance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4"/>
              </w:rPr>
              <w:t>10%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LGL Australia Finance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4"/>
              </w:rPr>
              <w:t>90%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240"/>
              <w:spacing w:after="0"/>
              <w:rPr>
                <w:sz w:val="20"/>
                <w:szCs w:val="20"/>
                <w:color w:val="auto"/>
              </w:rPr>
            </w:pPr>
            <w:r>
              <w:rPr>
                <w:rFonts w:ascii="Arial" w:cs="Arial" w:eastAsia="Arial" w:hAnsi="Arial"/>
                <w:sz w:val="18"/>
                <w:szCs w:val="18"/>
                <w:color w:val="auto"/>
              </w:rPr>
              <w:t>LGL Australia Holdings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360"/>
              <w:spacing w:after="0"/>
              <w:rPr>
                <w:sz w:val="20"/>
                <w:szCs w:val="20"/>
                <w:color w:val="auto"/>
              </w:rPr>
            </w:pPr>
            <w:r>
              <w:rPr>
                <w:rFonts w:ascii="Arial" w:cs="Arial" w:eastAsia="Arial" w:hAnsi="Arial"/>
                <w:sz w:val="18"/>
                <w:szCs w:val="18"/>
                <w:color w:val="auto"/>
              </w:rPr>
              <w:t>Heatcraft Australia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Heatcraft Albury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Heatcraft Geelong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Heatcraft Tasmania Pty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4"/>
              </w:rPr>
              <w:t>75%</w:t>
            </w:r>
          </w:p>
        </w:tc>
        <w:tc>
          <w:tcPr>
            <w:tcW w:w="1920" w:type="dxa"/>
            <w:vAlign w:val="bottom"/>
          </w:tcPr>
          <w:p>
            <w:pPr>
              <w:jc w:val="right"/>
              <w:spacing w:after="0"/>
              <w:rPr>
                <w:sz w:val="20"/>
                <w:szCs w:val="20"/>
                <w:color w:val="auto"/>
              </w:rPr>
            </w:pPr>
            <w:r>
              <w:rPr>
                <w:rFonts w:ascii="Arial" w:cs="Arial" w:eastAsia="Arial" w:hAnsi="Arial"/>
                <w:sz w:val="18"/>
                <w:szCs w:val="18"/>
                <w:color w:val="auto"/>
              </w:rPr>
              <w:t>Australia</w:t>
            </w: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Kulthorn Kirby Public Company Limited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2"/>
              </w:rPr>
              <w:t>6.4%</w:t>
            </w:r>
          </w:p>
        </w:tc>
        <w:tc>
          <w:tcPr>
            <w:tcW w:w="1920" w:type="dxa"/>
            <w:vAlign w:val="bottom"/>
          </w:tcPr>
          <w:p>
            <w:pPr>
              <w:jc w:val="right"/>
              <w:spacing w:after="0"/>
              <w:rPr>
                <w:sz w:val="20"/>
                <w:szCs w:val="20"/>
                <w:color w:val="auto"/>
              </w:rPr>
            </w:pPr>
            <w:r>
              <w:rPr>
                <w:rFonts w:ascii="Arial" w:cs="Arial" w:eastAsia="Arial" w:hAnsi="Arial"/>
                <w:sz w:val="18"/>
                <w:szCs w:val="18"/>
                <w:color w:val="auto"/>
              </w:rPr>
              <w:t>Thailand</w:t>
            </w: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Heatcraft New Zealand Limited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New Zealand</w:t>
            </w: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Heatcraft Refrigeration (Wuxi) Co. Ltd.</w:t>
            </w:r>
          </w:p>
        </w:tc>
        <w:tc>
          <w:tcPr>
            <w:tcW w:w="2980" w:type="dxa"/>
            <w:vAlign w:val="bottom"/>
          </w:tcPr>
          <w:p>
            <w:pPr>
              <w:jc w:val="center"/>
              <w:ind w:left="150"/>
              <w:spacing w:after="0"/>
              <w:rPr>
                <w:sz w:val="20"/>
                <w:szCs w:val="20"/>
                <w:color w:val="auto"/>
              </w:rPr>
            </w:pPr>
            <w:r>
              <w:rPr>
                <w:rFonts w:ascii="Arial" w:cs="Arial" w:eastAsia="Arial" w:hAnsi="Arial"/>
                <w:sz w:val="18"/>
                <w:szCs w:val="18"/>
                <w:color w:val="auto"/>
                <w:w w:val="91"/>
              </w:rPr>
              <w:t>100%</w:t>
            </w:r>
          </w:p>
        </w:tc>
        <w:tc>
          <w:tcPr>
            <w:tcW w:w="1920" w:type="dxa"/>
            <w:vAlign w:val="bottom"/>
          </w:tcPr>
          <w:p>
            <w:pPr>
              <w:jc w:val="right"/>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9500"/>
          </w:cols>
          <w:pgMar w:left="1200" w:top="580" w:right="11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Lennox International Inc.:</w:t>
      </w:r>
    </w:p>
    <w:p>
      <w:pPr>
        <w:spacing w:after="0" w:line="38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We consent to the incorporation by reference in the Registration Statement Nos. 333-181369, 333-127540, 333-91130, 333-91128, 333-71416, 333-60122, 333-52046, 333-86989, 333-83961 and 333-83959 on Form S-8 of Lennox International Inc. and subsidiaries of our report dated February 13, 2014, with respect to the consolidated balance sheets of Lennox International Inc. and subsidiaries as of December 31, 2013 and 2012, and the related consolidated statements of operations, comprehensive income, stockholders' equity and cash flows for each of the years in the three-year period ended December 31, 2013, and Schedule II - Valuation and Qualifying Accounts and Reserves, and the effectiveness of internal control over financial reporting as of December 31, 2013, which report appears in the December 31, 2013 annual report on Form 10-K of Lennox International Inc.</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ectPr>
          <w:pgSz w:w="11900" w:h="16838" w:orient="portrait"/>
          <w:cols w:equalWidth="0" w:num="1">
            <w:col w:w="11420"/>
          </w:cols>
          <w:pgMar w:left="240" w:top="66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2014</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2014</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connection with the Annual Report of Lennox International Inc. (the “Company”) on Form 10-K for the fiscal year ended December 31, 2013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lvl w:ilvl="1">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lowerRoman"/>
      <w:start w:val="3"/>
    </w:lvl>
  </w:abstractNum>
  <w:abstractNum w:abstractNumId="13">
    <w:nsid w:val="5072367"/>
    <w:multiLevelType w:val="hybridMultilevel"/>
    <w:lvl w:ilvl="0">
      <w:lvlJc w:val="left"/>
      <w:lvlText w:val="%1."/>
      <w:numFmt w:val="decimal"/>
      <w:start w:val="1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lvl w:ilvl="1">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lvl w:ilvl="1">
      <w:lvlJc w:val="left"/>
      <w:lvlText w:val="%2."/>
      <w:numFmt w:val="decimal"/>
      <w:start w:val="1"/>
    </w:lvl>
  </w:abstractNum>
  <w:abstractNum w:abstractNumId="33">
    <w:nsid w:val="4B588F54"/>
    <w:multiLevelType w:val="hybridMultilevel"/>
    <w:lvl w:ilvl="0">
      <w:lvlJc w:val="left"/>
      <w:lvlText w:val="%1."/>
      <w:numFmt w:val="decimal"/>
      <w:start w:val="4"/>
    </w:lvl>
    <w:lvl w:ilvl="1">
      <w:lvlJc w:val="left"/>
      <w:lvlText w:val="%2."/>
      <w:numFmt w:val="decimal"/>
      <w:start w:val="5"/>
    </w:lvl>
  </w:abstractNum>
  <w:abstractNum w:abstractNumId="34">
    <w:nsid w:val="542289EC"/>
    <w:multiLevelType w:val="hybridMultilevel"/>
    <w:lvl w:ilvl="0">
      <w:lvlJc w:val="left"/>
      <w:lvlText w:val="%1."/>
      <w:numFmt w:val="decimal"/>
      <w:start w:val="6"/>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upperLetter"/>
      <w:start w:val="1"/>
    </w:lvl>
  </w:abstractNum>
  <w:abstractNum w:abstractNumId="37">
    <w:nsid w:val="7644A45C"/>
    <w:multiLevelType w:val="hybridMultilevel"/>
    <w:lvl w:ilvl="0">
      <w:lvlJc w:val="left"/>
      <w:lvlText w:val="B"/>
      <w:numFmt w:val="bullet"/>
      <w:start w:val="1"/>
    </w:lvl>
    <w:lvl w:ilvl="1">
      <w:lvlJc w:val="left"/>
      <w:lvlText w:val="%2."/>
      <w:numFmt w:val="upperLetter"/>
      <w:start w:val="3"/>
    </w:lvl>
  </w:abstractNum>
  <w:abstractNum w:abstractNumId="38">
    <w:nsid w:val="32FFF902"/>
    <w:multiLevelType w:val="hybridMultilevel"/>
    <w:lvl w:ilvl="0">
      <w:lvlJc w:val="left"/>
      <w:lvlText w:val="D"/>
      <w:numFmt w:val="bullet"/>
      <w:start w:val="1"/>
    </w:lvl>
  </w:abstractNum>
  <w:abstractNum w:abstractNumId="39">
    <w:nsid w:val="684A481A"/>
    <w:multiLevelType w:val="hybridMultilevel"/>
    <w:lvl w:ilvl="0">
      <w:lvlJc w:val="left"/>
      <w:lvlText w:val="%1."/>
      <w:numFmt w:val="decimal"/>
      <w:start w:val="2"/>
    </w:lvl>
  </w:abstractNum>
  <w:abstractNum w:abstractNumId="40">
    <w:nsid w:val="579478FE"/>
    <w:multiLevelType w:val="hybridMultilevel"/>
    <w:lvl w:ilvl="0">
      <w:lvlJc w:val="left"/>
      <w:lvlText w:val="%1"/>
      <w:numFmt w:val="decimal"/>
      <w:start w:val="1"/>
    </w:lvl>
    <w:lvl w:ilvl="1">
      <w:lvlJc w:val="left"/>
      <w:lvlText w:val="%2."/>
      <w:numFmt w:val="decimal"/>
      <w:start w:val="3"/>
    </w:lvl>
    <w:lvl w:ilvl="2">
      <w:lvlJc w:val="left"/>
      <w:lvlText w:val="(%3)"/>
      <w:numFmt w:val="lowerRoman"/>
      <w:start w:val="4"/>
    </w:lvl>
  </w:abstractNum>
  <w:abstractNum w:abstractNumId="41">
    <w:nsid w:val="749ABB43"/>
    <w:multiLevelType w:val="hybridMultilevel"/>
    <w:lvl w:ilvl="0">
      <w:lvlJc w:val="left"/>
      <w:lvlText w:val="%1."/>
      <w:numFmt w:val="decimal"/>
      <w:start w:val="4"/>
    </w:lvl>
    <w:lvl w:ilvl="1">
      <w:lvlJc w:val="left"/>
      <w:lvlText w:val="%2"/>
      <w:numFmt w:val="decimal"/>
      <w:start w:val="1"/>
    </w:lvl>
    <w:lvl w:ilvl="2">
      <w:lvlJc w:val="left"/>
      <w:lvlText w:val="%3"/>
      <w:numFmt w:val="lowerRoman"/>
      <w:start w:val="1"/>
    </w:lvl>
  </w:abstractNum>
  <w:abstractNum w:abstractNumId="42">
    <w:nsid w:val="3DC240FB"/>
    <w:multiLevelType w:val="hybridMultilevel"/>
    <w:lvl w:ilvl="0">
      <w:lvlJc w:val="left"/>
      <w:lvlText w:val="%1"/>
      <w:numFmt w:val="decimal"/>
      <w:start w:val="1"/>
    </w:lvl>
    <w:lvl w:ilvl="1">
      <w:lvlJc w:val="left"/>
      <w:lvlText w:val="%2."/>
      <w:numFmt w:val="decimal"/>
      <w:start w:val="5"/>
    </w:lvl>
  </w:abstractNum>
  <w:abstractNum w:abstractNumId="43">
    <w:nsid w:val="1BA026FA"/>
    <w:multiLevelType w:val="hybridMultilevel"/>
    <w:lvl w:ilvl="0">
      <w:lvlJc w:val="left"/>
      <w:lvlText w:val="%1."/>
      <w:numFmt w:val="decimal"/>
      <w:start w:val="6"/>
    </w:lvl>
    <w:lvl w:ilvl="1">
      <w:lvlJc w:val="left"/>
      <w:lvlText w:val="%2"/>
      <w:numFmt w:val="decimal"/>
      <w:start w:val="1"/>
    </w:lvl>
  </w:abstractNum>
  <w:abstractNum w:abstractNumId="44">
    <w:nsid w:val="79A1DEAA"/>
    <w:multiLevelType w:val="hybridMultilevel"/>
    <w:lvl w:ilvl="0">
      <w:lvlJc w:val="left"/>
      <w:lvlText w:val="%1."/>
      <w:numFmt w:val="decimal"/>
      <w:start w:val="1"/>
    </w:lvl>
    <w:lvl w:ilvl="1">
      <w:lvlJc w:val="left"/>
      <w:lvlText w:val="(%2)"/>
      <w:numFmt w:val="lowerLetter"/>
      <w:start w:val="1"/>
    </w:lvl>
  </w:abstractNum>
  <w:abstractNum w:abstractNumId="45">
    <w:nsid w:val="75C6C33A"/>
    <w:multiLevelType w:val="hybridMultilevel"/>
    <w:lvl w:ilvl="0">
      <w:lvlJc w:val="left"/>
      <w:lvlText w:val="%1."/>
      <w:numFmt w:val="decimal"/>
      <w:start w:val="1"/>
    </w:lvl>
    <w:lvl w:ilvl="1">
      <w:lvlJc w:val="left"/>
      <w:lvlText w:val="(%2)"/>
      <w:numFmt w:val="lowerLetter"/>
      <w:start w:val="1"/>
    </w:lvl>
  </w:abstractNum>
  <w:abstractNum w:abstractNumId="46">
    <w:nsid w:val="12E685FB"/>
    <w:multiLevelType w:val="hybridMultilevel"/>
    <w:lvl w:ilvl="0">
      <w:lvlJc w:val="left"/>
      <w:lvlText w:val="(%1)"/>
      <w:numFmt w:val="lowerLetter"/>
      <w:start w:val="2"/>
    </w:lvl>
  </w:abstractNum>
  <w:abstractNum w:abstractNumId="47">
    <w:nsid w:val="70C6A529"/>
    <w:multiLevelType w:val="hybridMultilevel"/>
    <w:lvl w:ilvl="0">
      <w:lvlJc w:val="left"/>
      <w:lvlText w:val="%1."/>
      <w:numFmt w:val="decimal"/>
      <w:start w:val="3"/>
    </w:lvl>
    <w:lvl w:ilvl="1">
      <w:lvlJc w:val="left"/>
      <w:lvlText w:val="(%2)"/>
      <w:numFmt w:val="lowerLetter"/>
      <w:start w:val="1"/>
    </w:lvl>
  </w:abstractNum>
  <w:abstractNum w:abstractNumId="48">
    <w:nsid w:val="520EEDD1"/>
    <w:multiLevelType w:val="hybridMultilevel"/>
    <w:lvl w:ilvl="0">
      <w:lvlJc w:val="left"/>
      <w:lvlText w:val="%1"/>
      <w:numFmt w:val="decimal"/>
      <w:start w:val="1"/>
    </w:lvl>
    <w:lvl w:ilvl="1">
      <w:lvlJc w:val="left"/>
      <w:lvlText w:val="(%2)"/>
      <w:numFmt w:val="lowerLetter"/>
      <w:start w:val="3"/>
    </w:lvl>
  </w:abstractNum>
  <w:abstractNum w:abstractNumId="49">
    <w:nsid w:val="374A3FE6"/>
    <w:multiLevelType w:val="hybridMultilevel"/>
    <w:lvl w:ilvl="0">
      <w:lvlJc w:val="left"/>
      <w:lvlText w:val="%1."/>
      <w:numFmt w:val="decimal"/>
      <w:start w:val="4"/>
    </w:lvl>
    <w:lvl w:ilvl="1">
      <w:lvlJc w:val="left"/>
      <w:lvlText w:val="(%2)"/>
      <w:numFmt w:val="lowerLetter"/>
      <w:start w:val="1"/>
    </w:lvl>
  </w:abstractNum>
  <w:abstractNum w:abstractNumId="50">
    <w:nsid w:val="4F4EF005"/>
    <w:multiLevelType w:val="hybridMultilevel"/>
    <w:lvl w:ilvl="0">
      <w:lvlJc w:val="left"/>
      <w:lvlText w:val="(%1)"/>
      <w:numFmt w:val="lowerLetter"/>
      <w:start w:val="26"/>
    </w:lvl>
    <w:lvl w:ilvl="1">
      <w:lvlJc w:val="left"/>
      <w:lvlText w:val="(%2)"/>
      <w:numFmt w:val="lowerLetter"/>
      <w:start w:val="5"/>
    </w:lvl>
  </w:abstractNum>
  <w:abstractNum w:abstractNumId="51">
    <w:nsid w:val="23F9C13C"/>
    <w:multiLevelType w:val="hybridMultilevel"/>
    <w:lvl w:ilvl="0">
      <w:lvlJc w:val="left"/>
      <w:lvlText w:val="%1."/>
      <w:numFmt w:val="decimal"/>
      <w:start w:val="6"/>
    </w:lvl>
  </w:abstractNum>
  <w:abstractNum w:abstractNumId="52">
    <w:nsid w:val="649BB77C"/>
    <w:multiLevelType w:val="hybridMultilevel"/>
    <w:lvl w:ilvl="0">
      <w:lvlJc w:val="left"/>
      <w:lvlText w:val="%1."/>
      <w:numFmt w:val="decimal"/>
      <w:start w:val="9"/>
    </w:lvl>
  </w:abstractNum>
  <w:abstractNum w:abstractNumId="53">
    <w:nsid w:val="275AC794"/>
    <w:multiLevelType w:val="hybridMultilevel"/>
    <w:lvl w:ilvl="0">
      <w:lvlJc w:val="left"/>
      <w:lvlText w:val="(%1)"/>
      <w:numFmt w:val="lowerLetter"/>
      <w:start w:val="2"/>
    </w:lvl>
  </w:abstractNum>
  <w:abstractNum w:abstractNumId="54">
    <w:nsid w:val="39386575"/>
    <w:multiLevelType w:val="hybridMultilevel"/>
    <w:lvl w:ilvl="0">
      <w:lvlJc w:val="left"/>
      <w:lvlText w:val="(%1)"/>
      <w:numFmt w:val="lowerLetter"/>
      <w:start w:val="2"/>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2019-12-06T20:31:45Z</dcterms:created>
  <dcterms:modified xsi:type="dcterms:W3CDTF">2019-12-06T20:31:45Z</dcterms:modified>
</cp:coreProperties>
</file>