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16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642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164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6420" cy="8255"/>
                    </a:xfrm>
                    <a:prstGeom prst="rect">
                      <a:avLst/>
                    </a:prstGeom>
                    <a:noFill/>
                  </pic:spPr>
                </pic:pic>
              </a:graphicData>
            </a:graphic>
          </wp:anchor>
        </w:drawing>
        <w:t>UNITED STATES</w:t>
      </w:r>
    </w:p>
    <w:p>
      <w:pPr>
        <w:spacing w:after="0" w:line="38"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44"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w:t>
      </w:r>
    </w:p>
    <w:p>
      <w:pPr>
        <w:ind w:left="700" w:hanging="413"/>
        <w:spacing w:after="0"/>
        <w:tabs>
          <w:tab w:leader="none" w:pos="70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quarterly period ended September 30, 2022</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5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w:t>
      </w:r>
    </w:p>
    <w:p>
      <w:pPr>
        <w:ind w:left="700" w:hanging="413"/>
        <w:spacing w:after="0"/>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OF 1934</w:t>
      </w:r>
    </w:p>
    <w:p>
      <w:pPr>
        <w:spacing w:after="0" w:line="9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1"/>
          <w:szCs w:val="21"/>
          <w:b w:val="1"/>
          <w:bCs w:val="1"/>
          <w:color w:val="auto"/>
        </w:rPr>
        <w:t>For the transition period from _____to ______</w:t>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001-15149</w:t>
      </w:r>
    </w:p>
    <w:p>
      <w:pPr>
        <w:spacing w:after="0" w:line="3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LENNOX INTERNATIONAL INC</w:t>
      </w:r>
      <w:r>
        <w:rPr>
          <w:rFonts w:ascii="Times New Roman" w:cs="Times New Roman" w:eastAsia="Times New Roman" w:hAnsi="Times New Roman"/>
          <w:sz w:val="35"/>
          <w:szCs w:val="35"/>
          <w:b w:val="1"/>
          <w:bCs w:val="1"/>
          <w:color w:val="auto"/>
        </w:rPr>
        <w:t>.</w:t>
      </w:r>
    </w:p>
    <w:p>
      <w:pPr>
        <w:spacing w:after="0" w:line="6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Incorporated pursuant to the laws of the State of Delaware</w:t>
      </w:r>
    </w:p>
    <w:p>
      <w:pPr>
        <w:spacing w:after="0" w:line="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2140 LAKE PARK BLVD., RICHARDSON, Texas, 75080</w:t>
      </w:r>
    </w:p>
    <w:p>
      <w:pPr>
        <w:spacing w:after="0" w:line="30" w:lineRule="exact"/>
        <w:rPr>
          <w:sz w:val="24"/>
          <w:szCs w:val="24"/>
          <w:color w:val="auto"/>
        </w:rPr>
      </w:pPr>
    </w:p>
    <w:p>
      <w:pPr>
        <w:ind w:left="5500" w:hanging="432"/>
        <w:spacing w:after="0"/>
        <w:tabs>
          <w:tab w:leader="none" w:pos="5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497-5000</w:t>
      </w:r>
    </w:p>
    <w:p>
      <w:pPr>
        <w:spacing w:after="0" w:line="6"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_________________________________________________</w:t>
      </w:r>
    </w:p>
    <w:p>
      <w:pPr>
        <w:spacing w:after="0" w:line="6" w:lineRule="exact"/>
        <w:rPr>
          <w:rFonts w:ascii="Times New Roman" w:cs="Times New Roman" w:eastAsia="Times New Roman" w:hAnsi="Times New Roman"/>
          <w:sz w:val="18"/>
          <w:szCs w:val="18"/>
          <w:b w:val="1"/>
          <w:bCs w:val="1"/>
          <w:color w:val="auto"/>
        </w:rPr>
      </w:pPr>
    </w:p>
    <w:p>
      <w:pPr>
        <w:ind w:left="3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422" w:right="339" w:bottom="1440" w:gutter="0" w:footer="0" w:header="0"/>
        </w:sectPr>
      </w:pPr>
    </w:p>
    <w:p>
      <w:pPr>
        <w:spacing w:after="0" w:line="2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0"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New York Stock Exchange</w:t>
      </w:r>
    </w:p>
    <w:p>
      <w:pPr>
        <w:spacing w:after="0" w:line="148" w:lineRule="exact"/>
        <w:rPr>
          <w:sz w:val="24"/>
          <w:szCs w:val="24"/>
          <w:color w:val="auto"/>
        </w:rPr>
      </w:pPr>
    </w:p>
    <w:p>
      <w:pPr>
        <w:sectPr>
          <w:pgSz w:w="11900" w:h="16838" w:orient="portrait"/>
          <w:cols w:equalWidth="0" w:num="3">
            <w:col w:w="4360" w:space="720"/>
            <w:col w:w="1440" w:space="720"/>
            <w:col w:w="4000"/>
          </w:cols>
          <w:pgMar w:left="320" w:top="1422" w:right="339" w:bottom="1440" w:gutter="0" w:footer="0" w:header="0"/>
          <w:type w:val="continuous"/>
        </w:sectPr>
      </w:pPr>
    </w:p>
    <w:p>
      <w:pPr>
        <w:jc w:val="both"/>
        <w:ind w:firstLine="241"/>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jc w:val="both"/>
        <w:ind w:firstLine="241"/>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60" w:type="dxa"/>
        <w:tblCellMar>
          <w:top w:w="0" w:type="dxa"/>
          <w:left w:w="0" w:type="dxa"/>
          <w:bottom w:w="0" w:type="dxa"/>
          <w:right w:w="0" w:type="dxa"/>
        </w:tblCellMar>
      </w:tblP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50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36"/>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58" w:lineRule="exact"/>
        <w:rPr>
          <w:sz w:val="24"/>
          <w:szCs w:val="24"/>
          <w:color w:val="auto"/>
        </w:rPr>
      </w:pPr>
    </w:p>
    <w:p>
      <w:pPr>
        <w:ind w:firstLine="241"/>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240"/>
        <w:spacing w:after="0" w:line="184" w:lineRule="exact"/>
        <w:tabs>
          <w:tab w:leader="none" w:pos="76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2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October 14, 2022, the number of shares outstanding of the registrant’s common stock, par value $0.01 per share, was 35,438,759.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829310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78740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September 30, 2022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7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60"/>
        </w:trPr>
        <w:tc>
          <w:tcPr>
            <w:tcW w:w="80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8"/>
              </w:rPr>
              <w:t>Part I</w:t>
            </w:r>
          </w:p>
        </w:tc>
        <w:tc>
          <w:tcPr>
            <w:tcW w:w="9760" w:type="dxa"/>
            <w:vAlign w:val="bottom"/>
            <w:gridSpan w:val="18"/>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0000FF"/>
              </w:rPr>
              <w:t>Financial Information</w:t>
            </w:r>
          </w:p>
        </w:tc>
        <w:tc>
          <w:tcPr>
            <w:tcW w:w="280" w:type="dxa"/>
            <w:vAlign w:val="bottom"/>
            <w:tcBorders>
              <w:right w:val="single" w:sz="8" w:color="CCEEFF"/>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9760" w:type="dxa"/>
            <w:vAlign w:val="bottom"/>
            <w:gridSpan w:val="18"/>
          </w:tcPr>
          <w:p>
            <w:pPr>
              <w:spacing w:after="0" w:line="174" w:lineRule="exact"/>
              <w:rPr>
                <w:sz w:val="20"/>
                <w:szCs w:val="20"/>
                <w:color w:val="auto"/>
              </w:rPr>
            </w:pPr>
            <w:r>
              <w:rPr>
                <w:rFonts w:ascii="Times New Roman" w:cs="Times New Roman" w:eastAsia="Times New Roman" w:hAnsi="Times New Roman"/>
                <w:sz w:val="16"/>
                <w:szCs w:val="16"/>
                <w:color w:val="0000FF"/>
              </w:rPr>
              <w:t>Item 1. Financial Statements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Balance Sheets - September 30, 2022 (Unaudited) and December 31, 2021</w:t>
            </w:r>
          </w:p>
        </w:tc>
        <w:tc>
          <w:tcPr>
            <w:tcW w:w="3880" w:type="dxa"/>
            <w:vAlign w:val="bottom"/>
            <w:gridSpan w:val="6"/>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 (Unaudited) - Three and Nine Months Ended September 30, 2022 and 2021</w:t>
            </w: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(Unaudited) - Three and Nine Months Ended September 30, 2022 and 2021</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Deficit (Unaudited) - Three and Nine Months Ended September 30, 2022 and 2021</w:t>
            </w:r>
          </w:p>
        </w:tc>
        <w:tc>
          <w:tcPr>
            <w:tcW w:w="1340" w:type="dxa"/>
            <w:vAlign w:val="bottom"/>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4</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6"/>
                <w:szCs w:val="16"/>
                <w:color w:val="0000FF"/>
              </w:rPr>
              <w:t>Consolidated Statements of Cash Flows (Unaudited) - Nine Months Ended September 30, 2022 and 2021</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6</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76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 (Unaudited)</w:t>
            </w:r>
          </w:p>
        </w:tc>
        <w:tc>
          <w:tcPr>
            <w:tcW w:w="2800" w:type="dxa"/>
            <w:vAlign w:val="bottom"/>
            <w:gridSpan w:val="4"/>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7</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62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6"/>
                <w:szCs w:val="16"/>
                <w:color w:val="0000FF"/>
                <w:w w:val="99"/>
              </w:rPr>
              <w:t>Item 2. Management's Discussion and Analysis of Financial Condition and Results of Operations</w:t>
            </w:r>
          </w:p>
        </w:tc>
        <w:tc>
          <w:tcPr>
            <w:tcW w:w="3520" w:type="dxa"/>
            <w:vAlign w:val="bottom"/>
            <w:gridSpan w:val="5"/>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21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Item 3. Quantitative and Qualitative Disclosures About Market Risk</w:t>
            </w:r>
          </w:p>
        </w:tc>
        <w:tc>
          <w:tcPr>
            <w:tcW w:w="3520" w:type="dxa"/>
            <w:vAlign w:val="bottom"/>
            <w:gridSpan w:val="5"/>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30</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7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4.</w:t>
            </w:r>
          </w:p>
        </w:tc>
        <w:tc>
          <w:tcPr>
            <w:tcW w:w="160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Controls and Procedures</w:t>
            </w:r>
          </w:p>
        </w:tc>
        <w:tc>
          <w:tcPr>
            <w:tcW w:w="7680" w:type="dxa"/>
            <w:vAlign w:val="bottom"/>
            <w:gridSpan w:val="9"/>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31</w:t>
            </w:r>
          </w:p>
        </w:tc>
        <w:tc>
          <w:tcPr>
            <w:tcW w:w="240" w:type="dxa"/>
            <w:vAlign w:val="bottom"/>
            <w:shd w:val="clear" w:color="auto" w:fill="CCEEFF"/>
          </w:tcPr>
          <w:p>
            <w:pPr>
              <w:spacing w:after="0"/>
              <w:rPr>
                <w:sz w:val="18"/>
                <w:szCs w:val="18"/>
                <w:color w:val="auto"/>
              </w:rPr>
            </w:pPr>
          </w:p>
        </w:tc>
      </w:tr>
      <w:tr>
        <w:trPr>
          <w:trHeight w:val="174"/>
        </w:trPr>
        <w:tc>
          <w:tcPr>
            <w:tcW w:w="800" w:type="dxa"/>
            <w:vAlign w:val="bottom"/>
            <w:tcBorders>
              <w:top w:val="single" w:sz="8" w:color="CCEEFF"/>
            </w:tcBorders>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98"/>
              </w:rPr>
              <w:t>Part II</w:t>
            </w:r>
          </w:p>
        </w:tc>
        <w:tc>
          <w:tcPr>
            <w:tcW w:w="2080" w:type="dxa"/>
            <w:vAlign w:val="bottom"/>
            <w:tcBorders>
              <w:top w:val="single" w:sz="8" w:color="0000FF"/>
            </w:tcBorders>
            <w:gridSpan w:val="9"/>
          </w:tcPr>
          <w:p>
            <w:pPr>
              <w:spacing w:after="0" w:line="174" w:lineRule="exact"/>
              <w:rPr>
                <w:sz w:val="20"/>
                <w:szCs w:val="20"/>
                <w:color w:val="auto"/>
              </w:rPr>
            </w:pPr>
            <w:r>
              <w:rPr>
                <w:rFonts w:ascii="Times New Roman" w:cs="Times New Roman" w:eastAsia="Times New Roman" w:hAnsi="Times New Roman"/>
                <w:sz w:val="16"/>
                <w:szCs w:val="16"/>
                <w:color w:val="0000FF"/>
              </w:rPr>
              <w:t>Other Information</w:t>
            </w:r>
          </w:p>
        </w:tc>
        <w:tc>
          <w:tcPr>
            <w:tcW w:w="7680" w:type="dxa"/>
            <w:vAlign w:val="bottom"/>
            <w:tcBorders>
              <w:top w:val="single" w:sz="8" w:color="CCEEFF"/>
            </w:tcBorders>
            <w:gridSpan w:val="9"/>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rPr>
              <w:t>Legal Proceedings</w:t>
            </w: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168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Item 1A. Risk Factors</w:t>
            </w:r>
          </w:p>
        </w:tc>
        <w:tc>
          <w:tcPr>
            <w:tcW w:w="8080" w:type="dxa"/>
            <w:vAlign w:val="bottom"/>
            <w:gridSpan w:val="11"/>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31</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0000FF"/>
              </w:rPr>
              <w:t>Item 2.</w:t>
            </w:r>
          </w:p>
        </w:tc>
        <w:tc>
          <w:tcPr>
            <w:tcW w:w="390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0000FF"/>
                <w:w w:val="99"/>
              </w:rPr>
              <w:t>Unregistered Sales of Equity Securities and Use of Proceeds</w:t>
            </w:r>
          </w:p>
        </w:tc>
        <w:tc>
          <w:tcPr>
            <w:tcW w:w="5380" w:type="dxa"/>
            <w:vAlign w:val="bottom"/>
            <w:gridSpan w:val="7"/>
            <w:shd w:val="clear" w:color="auto" w:fill="CCEEFF"/>
          </w:tcPr>
          <w:p>
            <w:pPr>
              <w:spacing w:after="0"/>
              <w:rPr>
                <w:sz w:val="16"/>
                <w:szCs w:val="16"/>
                <w:color w:val="auto"/>
              </w:rPr>
            </w:pPr>
          </w:p>
        </w:tc>
        <w:tc>
          <w:tcPr>
            <w:tcW w:w="400" w:type="dxa"/>
            <w:vAlign w:val="bottom"/>
            <w:tcBorders>
              <w:right w:val="single" w:sz="8" w:color="CCEEFF"/>
            </w:tcBorders>
            <w:gridSpan w:val="2"/>
            <w:shd w:val="clear" w:color="auto" w:fill="CCEEFF"/>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31</w:t>
            </w:r>
          </w:p>
        </w:tc>
        <w:tc>
          <w:tcPr>
            <w:tcW w:w="240" w:type="dxa"/>
            <w:vAlign w:val="bottom"/>
            <w:shd w:val="clear" w:color="auto" w:fill="CCEEFF"/>
          </w:tcPr>
          <w:p>
            <w:pPr>
              <w:spacing w:after="0"/>
              <w:rPr>
                <w:sz w:val="16"/>
                <w:szCs w:val="16"/>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0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7"/>
              </w:rPr>
              <w:t>Exhibits</w:t>
            </w:r>
          </w:p>
        </w:tc>
        <w:tc>
          <w:tcPr>
            <w:tcW w:w="3340" w:type="dxa"/>
            <w:vAlign w:val="bottom"/>
            <w:gridSpan w:val="8"/>
          </w:tcPr>
          <w:p>
            <w:pPr>
              <w:spacing w:after="0"/>
              <w:rPr>
                <w:sz w:val="16"/>
                <w:szCs w:val="16"/>
                <w:color w:val="auto"/>
              </w:rPr>
            </w:pPr>
          </w:p>
        </w:tc>
        <w:tc>
          <w:tcPr>
            <w:tcW w:w="5380" w:type="dxa"/>
            <w:vAlign w:val="bottom"/>
            <w:gridSpan w:val="7"/>
          </w:tcPr>
          <w:p>
            <w:pPr>
              <w:spacing w:after="0"/>
              <w:rPr>
                <w:sz w:val="16"/>
                <w:szCs w:val="16"/>
                <w:color w:val="auto"/>
              </w:rPr>
            </w:pPr>
          </w:p>
        </w:tc>
        <w:tc>
          <w:tcPr>
            <w:tcW w:w="400" w:type="dxa"/>
            <w:vAlign w:val="bottom"/>
            <w:gridSpan w:val="2"/>
          </w:tcPr>
          <w:p>
            <w:pPr>
              <w:jc w:val="center"/>
              <w:ind w:left="151"/>
              <w:spacing w:after="0" w:line="187" w:lineRule="exact"/>
              <w:rPr>
                <w:sz w:val="20"/>
                <w:szCs w:val="20"/>
                <w:color w:val="auto"/>
              </w:rPr>
            </w:pPr>
            <w:r>
              <w:rPr>
                <w:rFonts w:ascii="Times New Roman" w:cs="Times New Roman" w:eastAsia="Times New Roman" w:hAnsi="Times New Roman"/>
                <w:sz w:val="18"/>
                <w:szCs w:val="18"/>
                <w:color w:val="0000FF"/>
                <w:w w:val="88"/>
              </w:rPr>
              <w:t>32</w:t>
            </w:r>
          </w:p>
        </w:tc>
        <w:tc>
          <w:tcPr>
            <w:tcW w:w="2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1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shares and par values)</w:t>
            </w:r>
          </w:p>
        </w:tc>
        <w:tc>
          <w:tcPr>
            <w:tcW w:w="180" w:type="dxa"/>
            <w:vAlign w:val="bottom"/>
          </w:tcPr>
          <w:p>
            <w:pPr>
              <w:spacing w:after="0"/>
              <w:rPr>
                <w:sz w:val="18"/>
                <w:szCs w:val="18"/>
                <w:color w:val="auto"/>
              </w:rPr>
            </w:pPr>
          </w:p>
        </w:tc>
        <w:tc>
          <w:tcPr>
            <w:tcW w:w="2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80" w:type="dxa"/>
            <w:vAlign w:val="bottom"/>
          </w:tcPr>
          <w:p>
            <w:pPr>
              <w:spacing w:after="0"/>
              <w:rPr>
                <w:sz w:val="18"/>
                <w:szCs w:val="18"/>
                <w:color w:val="auto"/>
              </w:rPr>
            </w:pPr>
          </w:p>
        </w:tc>
        <w:tc>
          <w:tcPr>
            <w:tcW w:w="18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89"/>
        </w:trPr>
        <w:tc>
          <w:tcPr>
            <w:tcW w:w="6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Assets:</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investments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Accounts and notes receivable, net of allowances of $13.2 and $10.7 in 2022 and 2021,</w:t>
            </w:r>
          </w:p>
        </w:tc>
        <w:tc>
          <w:tcPr>
            <w:tcW w:w="18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508.3</w:t>
            </w: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18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1,175.4</w:t>
            </w: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Property, plant and equipment, net of accumulated depreciation of $905.7 and $888.8 in 2022 and</w:t>
            </w:r>
          </w:p>
        </w:tc>
        <w:tc>
          <w:tcPr>
            <w:tcW w:w="180" w:type="dxa"/>
            <w:vAlign w:val="bottom"/>
            <w:shd w:val="clear" w:color="auto" w:fill="CCEEFF"/>
          </w:tcPr>
          <w:p>
            <w:pPr>
              <w:spacing w:after="0"/>
              <w:rPr>
                <w:sz w:val="14"/>
                <w:szCs w:val="14"/>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515.1</w:t>
            </w: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 respectively</w:t>
            </w:r>
          </w:p>
        </w:tc>
        <w:tc>
          <w:tcPr>
            <w:tcW w:w="18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 from operating leases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7"/>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2,625.8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2,171.9</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Current Liabilities: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402.1</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2,931.0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2,440.9</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Stockholders' deficit:</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25,000,000 shares authorized, no shares issued or outstanding</w:t>
            </w:r>
          </w:p>
        </w:tc>
        <w:tc>
          <w:tcPr>
            <w:tcW w:w="1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$0.01 par value, 200,000,000 shares authorized, 87,170,197 shares issued</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1,133.7</w:t>
            </w:r>
          </w:p>
        </w:tc>
        <w:tc>
          <w:tcPr>
            <w:tcW w:w="0" w:type="dxa"/>
            <w:vAlign w:val="bottom"/>
          </w:tcPr>
          <w:p>
            <w:pPr>
              <w:spacing w:after="0"/>
              <w:rPr>
                <w:sz w:val="1"/>
                <w:szCs w:val="1"/>
                <w:color w:val="auto"/>
              </w:rPr>
            </w:pP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3,013.9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2,719.3</w:t>
            </w:r>
          </w:p>
        </w:tc>
        <w:tc>
          <w:tcPr>
            <w:tcW w:w="0" w:type="dxa"/>
            <w:vAlign w:val="bottom"/>
          </w:tcPr>
          <w:p>
            <w:pPr>
              <w:spacing w:after="0"/>
              <w:rPr>
                <w:sz w:val="1"/>
                <w:szCs w:val="1"/>
                <w:color w:val="auto"/>
              </w:rPr>
            </w:pPr>
          </w:p>
        </w:tc>
      </w:tr>
      <w:tr>
        <w:trPr>
          <w:trHeight w:val="231"/>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Treasury stock, at cost, 51,735,764 shares and 50,536,125 shares for 2022 and 2021, respectively</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(4,337.9)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(4,034.8)</w:t>
            </w: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(305.2)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(269.0)</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2,625.8</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2,171.9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 except per share data)</w:t>
            </w:r>
          </w:p>
        </w:tc>
        <w:tc>
          <w:tcPr>
            <w:tcW w:w="200" w:type="dxa"/>
            <w:vAlign w:val="bottom"/>
            <w:shd w:val="clear" w:color="auto" w:fill="CCEEFF"/>
          </w:tcPr>
          <w:p>
            <w:pPr>
              <w:spacing w:after="0"/>
              <w:rPr>
                <w:sz w:val="16"/>
                <w:szCs w:val="16"/>
                <w:color w:val="auto"/>
              </w:rPr>
            </w:pPr>
          </w:p>
        </w:tc>
        <w:tc>
          <w:tcPr>
            <w:tcW w:w="254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shd w:val="clear" w:color="auto" w:fill="CCEEFF"/>
          </w:tcPr>
          <w:p>
            <w:pPr>
              <w:spacing w:after="0"/>
              <w:rPr>
                <w:sz w:val="16"/>
                <w:szCs w:val="16"/>
                <w:color w:val="auto"/>
              </w:rPr>
            </w:pPr>
          </w:p>
        </w:tc>
        <w:tc>
          <w:tcPr>
            <w:tcW w:w="2380" w:type="dxa"/>
            <w:vAlign w:val="bottom"/>
            <w:gridSpan w:val="4"/>
            <w:shd w:val="clear" w:color="auto" w:fill="CCEEFF"/>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5880" w:type="dxa"/>
            <w:vAlign w:val="bottom"/>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2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3,229.3</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0" w:type="dxa"/>
            <w:vAlign w:val="bottom"/>
          </w:tcPr>
          <w:p>
            <w:pPr>
              <w:spacing w:after="0"/>
              <w:rPr>
                <w:sz w:val="1"/>
                <w:szCs w:val="1"/>
                <w:color w:val="auto"/>
              </w:rPr>
            </w:pPr>
          </w:p>
        </w:tc>
      </w:tr>
      <w:tr>
        <w:trPr>
          <w:trHeight w:val="227"/>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492.7</w:t>
            </w: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0" w:type="dxa"/>
            <w:vAlign w:val="bottom"/>
          </w:tcPr>
          <w:p>
            <w:pPr>
              <w:spacing w:after="0"/>
              <w:rPr>
                <w:sz w:val="1"/>
                <w:szCs w:val="1"/>
                <w:color w:val="auto"/>
              </w:rPr>
            </w:pP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w:t>
            </w: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5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380.4</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7"/>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7"/>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58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0" w:type="dxa"/>
            <w:vAlign w:val="bottom"/>
          </w:tcPr>
          <w:p>
            <w:pPr>
              <w:spacing w:after="0"/>
              <w:rPr>
                <w:sz w:val="1"/>
                <w:szCs w:val="1"/>
                <w:color w:val="auto"/>
              </w:rPr>
            </w:pPr>
          </w:p>
        </w:tc>
      </w:tr>
      <w:tr>
        <w:trPr>
          <w:trHeight w:val="237"/>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millions)</w:t>
            </w:r>
          </w:p>
        </w:tc>
        <w:tc>
          <w:tcPr>
            <w:tcW w:w="140" w:type="dxa"/>
            <w:vAlign w:val="bottom"/>
          </w:tcPr>
          <w:p>
            <w:pPr>
              <w:spacing w:after="0"/>
              <w:rPr>
                <w:sz w:val="16"/>
                <w:szCs w:val="16"/>
                <w:color w:val="auto"/>
              </w:rPr>
            </w:pPr>
          </w:p>
        </w:tc>
        <w:tc>
          <w:tcPr>
            <w:tcW w:w="23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160" w:type="dxa"/>
            <w:vAlign w:val="bottom"/>
          </w:tcPr>
          <w:p>
            <w:pPr>
              <w:spacing w:after="0"/>
              <w:rPr>
                <w:sz w:val="16"/>
                <w:szCs w:val="16"/>
                <w:color w:val="auto"/>
              </w:rPr>
            </w:pPr>
          </w:p>
        </w:tc>
        <w:tc>
          <w:tcPr>
            <w:tcW w:w="2180" w:type="dxa"/>
            <w:vAlign w:val="bottom"/>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12"/>
        </w:trPr>
        <w:tc>
          <w:tcPr>
            <w:tcW w:w="6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18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w:t>
            </w:r>
          </w:p>
        </w:tc>
        <w:tc>
          <w:tcPr>
            <w:tcW w:w="0" w:type="dxa"/>
            <w:vAlign w:val="bottom"/>
          </w:tcPr>
          <w:p>
            <w:pPr>
              <w:spacing w:after="0"/>
              <w:rPr>
                <w:sz w:val="1"/>
                <w:szCs w:val="1"/>
                <w:color w:val="auto"/>
              </w:rPr>
            </w:pPr>
          </w:p>
        </w:tc>
      </w:tr>
      <w:tr>
        <w:trPr>
          <w:trHeight w:val="207"/>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(loss):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7"/>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pension and post-retirement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pension and post-retirement benefit losses into earnings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7"/>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settlements</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 of equity method investments other comprehensive income</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6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fair value of cash flow hedges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7"/>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cash flow hedge losses (gains) into earnings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4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376.2</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2022 and 2021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0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center"/>
              <w:ind w:right="200"/>
              <w:spacing w:after="0" w:line="147" w:lineRule="exact"/>
              <w:rPr>
                <w:sz w:val="20"/>
                <w:szCs w:val="20"/>
                <w:color w:val="auto"/>
              </w:rPr>
            </w:pPr>
            <w:r>
              <w:rPr>
                <w:rFonts w:ascii="Times New Roman" w:cs="Times New Roman" w:eastAsia="Times New Roman" w:hAnsi="Times New Roman"/>
                <w:sz w:val="15"/>
                <w:szCs w:val="15"/>
                <w:b w:val="1"/>
                <w:bCs w:val="1"/>
                <w:color w:val="auto"/>
                <w:w w:val="99"/>
              </w:rPr>
              <w:t>Paid-In</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220" w:type="dxa"/>
            <w:vAlign w:val="bottom"/>
            <w:gridSpan w:val="4"/>
            <w:vMerge w:val="restart"/>
          </w:tcPr>
          <w:p>
            <w:pPr>
              <w:jc w:val="center"/>
              <w:ind w:right="60"/>
              <w:spacing w:after="0" w:line="147"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gridSpan w:val="6"/>
            <w:vMerge w:val="continue"/>
          </w:tcPr>
          <w:p>
            <w:pPr>
              <w:spacing w:after="0"/>
              <w:rPr>
                <w:sz w:val="8"/>
                <w:szCs w:val="8"/>
                <w:color w:val="auto"/>
              </w:rPr>
            </w:pPr>
          </w:p>
        </w:tc>
        <w:tc>
          <w:tcPr>
            <w:tcW w:w="100" w:type="dxa"/>
            <w:vAlign w:val="bottom"/>
            <w:gridSpan w:val="2"/>
            <w:vMerge w:val="continue"/>
          </w:tcPr>
          <w:p>
            <w:pPr>
              <w:spacing w:after="0"/>
              <w:rPr>
                <w:sz w:val="8"/>
                <w:szCs w:val="8"/>
                <w:color w:val="auto"/>
              </w:rPr>
            </w:pPr>
          </w:p>
        </w:tc>
        <w:tc>
          <w:tcPr>
            <w:tcW w:w="920" w:type="dxa"/>
            <w:vAlign w:val="bottom"/>
            <w:gridSpan w:val="2"/>
            <w:vMerge w:val="restart"/>
          </w:tcPr>
          <w:p>
            <w:pPr>
              <w:ind w:left="20"/>
              <w:spacing w:after="0" w:line="147"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4"/>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2022)</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2022</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1,144.0</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2,909.5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(117.9)</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(4,337.8)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(401.3)</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141.9</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$1.06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$1.2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194"/>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2022</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1,150.4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3,013.9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(132.5)</w:t>
            </w: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(4,337.9)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(305.2)</w:t>
            </w:r>
          </w:p>
        </w:tc>
        <w:tc>
          <w:tcPr>
            <w:tcW w:w="0" w:type="dxa"/>
            <w:vAlign w:val="bottom"/>
          </w:tcPr>
          <w:p>
            <w:pPr>
              <w:spacing w:after="0"/>
              <w:rPr>
                <w:sz w:val="1"/>
                <w:szCs w:val="1"/>
                <w:color w:val="auto"/>
              </w:rPr>
            </w:pPr>
          </w:p>
        </w:tc>
      </w:tr>
      <w:tr>
        <w:trPr>
          <w:trHeight w:val="27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vMerge w:val="restart"/>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95"/>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6"/>
                <w:szCs w:val="16"/>
                <w:color w:val="auto"/>
              </w:rPr>
            </w:pPr>
          </w:p>
        </w:tc>
        <w:tc>
          <w:tcPr>
            <w:tcW w:w="1920" w:type="dxa"/>
            <w:vAlign w:val="bottom"/>
            <w:gridSpan w:val="8"/>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3"/>
            <w:vMerge w:val="restart"/>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Paid-In</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gridSpan w:val="3"/>
            <w:vMerge w:val="restart"/>
          </w:tcPr>
          <w:p>
            <w:pPr>
              <w:jc w:val="center"/>
              <w:ind w:right="80"/>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ind w:left="20"/>
              <w:spacing w:after="0" w:line="10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3"/>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three months ended September 30, 2021)</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280" w:type="dxa"/>
            <w:vAlign w:val="bottom"/>
            <w:vMerge w:val="continue"/>
          </w:tcPr>
          <w:p>
            <w:pPr>
              <w:spacing w:after="0"/>
              <w:rPr>
                <w:sz w:val="17"/>
                <w:szCs w:val="17"/>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2021</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1,128.9</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2,576.6</w:t>
            </w:r>
          </w:p>
        </w:tc>
        <w:tc>
          <w:tcPr>
            <w:tcW w:w="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(93.1)</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50.0</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(3,826.6)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(213.3)</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126.3</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$0.92 per share</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(33.8)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58"/>
        </w:trPr>
        <w:tc>
          <w:tcPr>
            <w:tcW w:w="4280" w:type="dxa"/>
            <w:vAlign w:val="bottom"/>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Pension and post-retirement liability changes, net of tax benefit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199"/>
        </w:trPr>
        <w:tc>
          <w:tcPr>
            <w:tcW w:w="42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(205.9)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(205.9)</w:t>
            </w:r>
          </w:p>
        </w:tc>
        <w:tc>
          <w:tcPr>
            <w:tcW w:w="0" w:type="dxa"/>
            <w:vAlign w:val="bottom"/>
          </w:tcPr>
          <w:p>
            <w:pPr>
              <w:spacing w:after="0"/>
              <w:rPr>
                <w:sz w:val="1"/>
                <w:szCs w:val="1"/>
                <w:color w:val="auto"/>
              </w:rPr>
            </w:pPr>
          </w:p>
        </w:tc>
      </w:tr>
      <w:tr>
        <w:trPr>
          <w:trHeight w:val="194"/>
        </w:trPr>
        <w:tc>
          <w:tcPr>
            <w:tcW w:w="42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2021</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1,127.5</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2,669.1</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(4,030.9)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(334.8)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LENNOX INTERNATIONAL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2022 and 2021 (Unaudited)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180"/>
              <w:spacing w:after="0" w:line="147"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2"/>
                <w:szCs w:val="12"/>
                <w:color w:val="auto"/>
              </w:rPr>
            </w:pPr>
          </w:p>
        </w:tc>
        <w:tc>
          <w:tcPr>
            <w:tcW w:w="1820" w:type="dxa"/>
            <w:vAlign w:val="bottom"/>
            <w:gridSpan w:val="6"/>
            <w:vMerge w:val="restart"/>
          </w:tcPr>
          <w:p>
            <w:pPr>
              <w:jc w:val="right"/>
              <w:ind w:right="104"/>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8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1"/>
                <w:szCs w:val="11"/>
                <w:color w:val="auto"/>
              </w:rPr>
            </w:pPr>
          </w:p>
        </w:tc>
        <w:tc>
          <w:tcPr>
            <w:tcW w:w="1120" w:type="dxa"/>
            <w:vAlign w:val="bottom"/>
            <w:gridSpan w:val="4"/>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6"/>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2022)</w:t>
            </w:r>
          </w:p>
        </w:tc>
        <w:tc>
          <w:tcPr>
            <w:tcW w:w="96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1,133.7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2,719.3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(88.1)</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50.5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(4,034.8)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(269.0)</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402.7</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$3.04 per share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0" w:type="dxa"/>
            <w:vAlign w:val="bottom"/>
          </w:tcPr>
          <w:p>
            <w:pPr>
              <w:spacing w:after="0"/>
              <w:rPr>
                <w:sz w:val="1"/>
                <w:szCs w:val="1"/>
                <w:color w:val="auto"/>
              </w:rPr>
            </w:pPr>
          </w:p>
        </w:tc>
      </w:tr>
      <w:tr>
        <w:trPr>
          <w:trHeight w:val="149"/>
        </w:trPr>
        <w:tc>
          <w:tcPr>
            <w:tcW w:w="4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$0.7</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0" w:type="dxa"/>
            <w:vAlign w:val="bottom"/>
          </w:tcPr>
          <w:p>
            <w:pPr>
              <w:spacing w:after="0"/>
              <w:rPr>
                <w:sz w:val="1"/>
                <w:szCs w:val="1"/>
                <w:color w:val="auto"/>
              </w:rPr>
            </w:pPr>
          </w:p>
        </w:tc>
      </w:tr>
      <w:tr>
        <w:trPr>
          <w:trHeight w:val="147"/>
        </w:trPr>
        <w:tc>
          <w:tcPr>
            <w:tcW w:w="426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5"/>
                <w:szCs w:val="15"/>
                <w:color w:val="auto"/>
              </w:rPr>
              <w:t>Share of equity method investments other comprehensive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income</w:t>
            </w:r>
          </w:p>
        </w:tc>
        <w:tc>
          <w:tcPr>
            <w:tcW w:w="1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0" w:type="dxa"/>
            <w:vAlign w:val="bottom"/>
          </w:tcPr>
          <w:p>
            <w:pPr>
              <w:spacing w:after="0"/>
              <w:rPr>
                <w:sz w:val="1"/>
                <w:szCs w:val="1"/>
                <w:color w:val="auto"/>
              </w:rPr>
            </w:pPr>
          </w:p>
        </w:tc>
      </w:tr>
      <w:tr>
        <w:trPr>
          <w:trHeight w:val="204"/>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benefit of $7.3</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(305.5)</w:t>
            </w:r>
          </w:p>
        </w:tc>
        <w:tc>
          <w:tcPr>
            <w:tcW w:w="0" w:type="dxa"/>
            <w:vAlign w:val="bottom"/>
          </w:tcPr>
          <w:p>
            <w:pPr>
              <w:spacing w:after="0"/>
              <w:rPr>
                <w:sz w:val="1"/>
                <w:szCs w:val="1"/>
                <w:color w:val="auto"/>
              </w:rPr>
            </w:pPr>
          </w:p>
        </w:tc>
      </w:tr>
      <w:tr>
        <w:trPr>
          <w:trHeight w:val="195"/>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2022</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1,150.4</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3,013.9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(132.5)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(4,337.9)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(305.2)</w:t>
            </w:r>
          </w:p>
        </w:tc>
        <w:tc>
          <w:tcPr>
            <w:tcW w:w="0" w:type="dxa"/>
            <w:vAlign w:val="bottom"/>
          </w:tcPr>
          <w:p>
            <w:pPr>
              <w:spacing w:after="0"/>
              <w:rPr>
                <w:sz w:val="1"/>
                <w:szCs w:val="1"/>
                <w:color w:val="auto"/>
              </w:rPr>
            </w:pPr>
          </w:p>
        </w:tc>
      </w:tr>
      <w:tr>
        <w:trPr>
          <w:trHeight w:val="279"/>
        </w:trPr>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20" w:type="dxa"/>
            <w:vAlign w:val="bottom"/>
          </w:tcPr>
          <w:p>
            <w:pPr>
              <w:spacing w:after="0"/>
              <w:rPr>
                <w:sz w:val="15"/>
                <w:szCs w:val="15"/>
                <w:color w:val="auto"/>
              </w:rPr>
            </w:pPr>
          </w:p>
        </w:tc>
        <w:tc>
          <w:tcPr>
            <w:tcW w:w="1900" w:type="dxa"/>
            <w:vAlign w:val="bottom"/>
            <w:gridSpan w:val="8"/>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Treasury Stock at Cost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restart"/>
          </w:tcPr>
          <w:p>
            <w:pPr>
              <w:jc w:val="center"/>
              <w:ind w:right="160"/>
              <w:spacing w:after="0" w:line="121"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restart"/>
          </w:tcPr>
          <w:p>
            <w:pPr>
              <w:jc w:val="center"/>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gridSpan w:val="2"/>
            <w:vMerge w:val="restart"/>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4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 the nine months ended September 30, 2021)</w:t>
            </w:r>
          </w:p>
        </w:tc>
        <w:tc>
          <w:tcPr>
            <w:tcW w:w="10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260" w:type="dxa"/>
            <w:vAlign w:val="bottom"/>
            <w:gridSpan w:val="2"/>
            <w:vMerge w:val="continue"/>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Stock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Loss</w:t>
            </w:r>
          </w:p>
        </w:tc>
        <w:tc>
          <w:tcPr>
            <w:tcW w:w="20" w:type="dxa"/>
            <w:vAlign w:val="bottom"/>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0" w:type="dxa"/>
            <w:vAlign w:val="bottom"/>
          </w:tcPr>
          <w:p>
            <w:pPr>
              <w:spacing w:after="0"/>
              <w:rPr>
                <w:sz w:val="1"/>
                <w:szCs w:val="1"/>
                <w:color w:val="auto"/>
              </w:rPr>
            </w:pPr>
          </w:p>
        </w:tc>
      </w:tr>
      <w:tr>
        <w:trPr>
          <w:trHeight w:val="194"/>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1,113.2</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2,385.8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(97.2)</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(3,419.8)</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(17.1)</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380.4</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Dividends, $2.61 per share</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(97.1)</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158"/>
        </w:trPr>
        <w:tc>
          <w:tcPr>
            <w:tcW w:w="4260" w:type="dxa"/>
            <w:vAlign w:val="bottom"/>
            <w:gridSpan w:val="2"/>
            <w:shd w:val="clear" w:color="auto" w:fill="CCEEFF"/>
          </w:tcPr>
          <w:p>
            <w:pPr>
              <w:ind w:left="220"/>
              <w:spacing w:after="0" w:line="159" w:lineRule="exact"/>
              <w:rPr>
                <w:sz w:val="20"/>
                <w:szCs w:val="20"/>
                <w:color w:val="auto"/>
              </w:rPr>
            </w:pPr>
            <w:r>
              <w:rPr>
                <w:rFonts w:ascii="Times New Roman" w:cs="Times New Roman" w:eastAsia="Times New Roman" w:hAnsi="Times New Roman"/>
                <w:sz w:val="15"/>
                <w:szCs w:val="15"/>
                <w:color w:val="auto"/>
              </w:rPr>
              <w:t>Pension and post-retirement liability changes, net of tax expense</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of $3.8</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Change in cash flow hedges, net of tax expense of $0.9</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199"/>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Treasury shares reissued for common stock</w:t>
            </w:r>
          </w:p>
        </w:tc>
        <w:tc>
          <w:tcPr>
            <w:tcW w:w="10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02"/>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Treasury stock purchases</w:t>
            </w: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(616.1)</w:t>
            </w:r>
          </w:p>
        </w:tc>
        <w:tc>
          <w:tcPr>
            <w:tcW w:w="0" w:type="dxa"/>
            <w:vAlign w:val="bottom"/>
          </w:tcPr>
          <w:p>
            <w:pPr>
              <w:spacing w:after="0"/>
              <w:rPr>
                <w:sz w:val="1"/>
                <w:szCs w:val="1"/>
                <w:color w:val="auto"/>
              </w:rPr>
            </w:pPr>
          </w:p>
        </w:tc>
      </w:tr>
      <w:tr>
        <w:trPr>
          <w:trHeight w:val="194"/>
        </w:trPr>
        <w:tc>
          <w:tcPr>
            <w:tcW w:w="42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1,127.5</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2,669.1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(101.4)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50.6</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(4,030.9)</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(334.8)</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LENNOX INTERNATIONAL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(Amounts in millions)</w:t>
            </w: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8"/>
              </w:rPr>
              <w:t>For the Nine Months Ended September 30,</w:t>
            </w:r>
          </w:p>
        </w:tc>
      </w:tr>
      <w:tr>
        <w:trPr>
          <w:trHeight w:val="225"/>
        </w:trPr>
        <w:tc>
          <w:tcPr>
            <w:tcW w:w="78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0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402.7</w:t>
            </w:r>
          </w:p>
        </w:tc>
        <w:tc>
          <w:tcPr>
            <w:tcW w:w="12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from equity method investments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Dividends from affiliates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Restructuring charges, net of cash paid</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Unrealized losses (gains), net on derivative contracts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Pension expense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Pension contributions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items, net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and notes receivable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Inventories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current assets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Income taxes payable and receivable, net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Leases, net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net</w:t>
            </w: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396.3</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the disposal of property, plant and equipment</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r>
      <w:tr>
        <w:trPr>
          <w:trHeight w:val="223"/>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(Purchases of) proceeds from short-term investments, net</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(67.6)</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Asset securitization borrowings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Asset securitization payments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debt payments</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 from credit facility</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1,021.4</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Payments on credit facility</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(1,012.5)</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employee stock purchases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3"/>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 to satisfy employee withholding tax obligations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r>
      <w:tr>
        <w:trPr>
          <w:trHeight w:val="231"/>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dividends paid</w:t>
            </w:r>
          </w:p>
        </w:tc>
        <w:tc>
          <w:tcPr>
            <w:tcW w:w="1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w:t>
            </w:r>
          </w:p>
        </w:tc>
      </w:tr>
      <w:tr>
        <w:trPr>
          <w:trHeight w:val="21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(410.5)</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2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Supplemental disclosures of cash flow information:</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4"/>
        </w:trPr>
        <w:tc>
          <w:tcPr>
            <w:tcW w:w="7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7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paid (net of refunds)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101.6</w:t>
            </w:r>
          </w:p>
        </w:tc>
      </w:tr>
      <w:tr>
        <w:trPr>
          <w:trHeight w:val="20"/>
        </w:trPr>
        <w:tc>
          <w:tcPr>
            <w:tcW w:w="7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38"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28"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References in this Quarterly Report on Form 10-Q to "we," "our," "us," "LII," or the "Company" refer to Lennox International Inc. and its subsidiaries, unless the context requires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Balance Sheet as of September 30, 2022, the accompanying unaudited Consolidated Statements of Operations for the three and nine months ended September 30, 2022 and 2021, the accompanying unaudited Consolidated Statements of Comprehensive Income for the three and nine months ended September 30, 2022 and 2021, the accompanying unaudited Consolidated Statements of Stockholders' Deficit for the three and nine months ended September 30, 2022 and 2021, and the accompanying unaudited Consolidated Statements of Cash Flows for the nine months ended September 30, 2022 and 2021 should be read in conjunction with our audited consolidated financial statements and footnotes included in our Annual Report on Form 10-K for the year ended December 31, 2021.</w:t>
      </w:r>
    </w:p>
    <w:p>
      <w:pPr>
        <w:spacing w:after="0" w:line="214"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15"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1"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4"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Pandemic</w:t>
      </w:r>
    </w:p>
    <w:p>
      <w:pPr>
        <w:spacing w:after="0" w:line="251" w:lineRule="exact"/>
        <w:rPr>
          <w:sz w:val="20"/>
          <w:szCs w:val="20"/>
          <w:color w:val="auto"/>
        </w:rPr>
      </w:pPr>
    </w:p>
    <w:p>
      <w:pPr>
        <w:jc w:val="both"/>
        <w:ind w:firstLine="241"/>
        <w:spacing w:after="0" w:line="243" w:lineRule="auto"/>
        <w:rPr>
          <w:sz w:val="20"/>
          <w:szCs w:val="20"/>
          <w:color w:val="auto"/>
        </w:rPr>
      </w:pPr>
      <w:r>
        <w:rPr>
          <w:rFonts w:ascii="Times New Roman" w:cs="Times New Roman" w:eastAsia="Times New Roman" w:hAnsi="Times New Roman"/>
          <w:sz w:val="18"/>
          <w:szCs w:val="18"/>
          <w:color w:val="auto"/>
        </w:rPr>
        <w:t>A novel strain of coronavirus (“COVID-19”) has surfaced and spread around the world. The COVID-19 pandemic is creating supply chain disruptions and higher employee absenteeism in our factories and distribution locations since 2020.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spread. If the pandemic worsens or continues longer than presently expected, COVID-19 could impact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Leadership Transition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Chief Executive Officer ("CEO") effective May 9, 2022. Mr. Maskara succeeded Todd Bluedorn, who announced in July 2021 his plans to step down by mid-2022 as Chairman and CEO. Todd J. Teske was appointed Chairman of the Board and served as interim CEO until Mr. Maskara assumed the role on May 9,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Reportable Business Segments:</w:t>
      </w:r>
    </w:p>
    <w:p>
      <w:pPr>
        <w:spacing w:after="0" w:line="251" w:lineRule="exact"/>
        <w:rPr>
          <w:sz w:val="20"/>
          <w:szCs w:val="20"/>
          <w:color w:val="auto"/>
        </w:rPr>
      </w:pPr>
    </w:p>
    <w:p>
      <w:pPr>
        <w:jc w:val="both"/>
        <w:ind w:firstLine="241"/>
        <w:spacing w:after="0" w:line="267"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or Services</w:t>
            </w:r>
          </w:p>
        </w:tc>
        <w:tc>
          <w:tcPr>
            <w:tcW w:w="2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Markets Served</w:t>
            </w:r>
          </w:p>
        </w:tc>
        <w:tc>
          <w:tcPr>
            <w:tcW w:w="1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Areas</w:t>
            </w:r>
          </w:p>
        </w:tc>
      </w:tr>
      <w:tr>
        <w:trPr>
          <w:trHeight w:val="25"/>
        </w:trPr>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7"/>
        </w:trPr>
        <w:tc>
          <w:tcPr>
            <w:tcW w:w="1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Heating &amp;</w:t>
            </w:r>
          </w:p>
        </w:tc>
        <w:tc>
          <w:tcPr>
            <w:tcW w:w="12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8"/>
                <w:szCs w:val="18"/>
                <w:color w:val="auto"/>
              </w:rPr>
              <w:t>Furnaces, air conditioners, heat pumps, packaged heating and</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Residential Replacement;</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w:t>
            </w: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cooling systems, indoor air quality equipment, comfort control</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Residential New Construction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 replacement parts and supplies</w:t>
            </w:r>
          </w:p>
        </w:tc>
        <w:tc>
          <w:tcPr>
            <w:tcW w:w="2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74"/>
        </w:trPr>
        <w:tc>
          <w:tcPr>
            <w:tcW w:w="194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Commercial Heating &amp;</w:t>
            </w:r>
          </w:p>
        </w:tc>
        <w:tc>
          <w:tcPr>
            <w:tcW w:w="464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Unitary heating and air conditioning equipment, applied</w:t>
            </w:r>
          </w:p>
        </w:tc>
        <w:tc>
          <w:tcPr>
            <w:tcW w:w="288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9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Cooling</w:t>
            </w:r>
          </w:p>
        </w:tc>
        <w:tc>
          <w:tcPr>
            <w:tcW w:w="46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systems, controls, installation and service of commercial</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179"/>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40" w:type="dxa"/>
            <w:vAlign w:val="bottom"/>
            <w:gridSpan w:val="2"/>
          </w:tcPr>
          <w:p>
            <w:pPr>
              <w:spacing w:after="0" w:line="179" w:lineRule="exact"/>
              <w:rPr>
                <w:sz w:val="20"/>
                <w:szCs w:val="20"/>
                <w:color w:val="auto"/>
              </w:rPr>
            </w:pPr>
            <w:r>
              <w:rPr>
                <w:rFonts w:ascii="Times New Roman" w:cs="Times New Roman" w:eastAsia="Times New Roman" w:hAnsi="Times New Roman"/>
                <w:sz w:val="18"/>
                <w:szCs w:val="18"/>
                <w:color w:val="auto"/>
              </w:rPr>
              <w:t>heating and cooling equipment, and variable refrigerant flow</w:t>
            </w:r>
          </w:p>
        </w:tc>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7"/>
        </w:trPr>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products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74"/>
        </w:trPr>
        <w:tc>
          <w:tcPr>
            <w:tcW w:w="194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Refrigeration</w:t>
            </w:r>
          </w:p>
        </w:tc>
        <w:tc>
          <w:tcPr>
            <w:tcW w:w="464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Condensing units, unit coolers, fluid coolers, air cooled</w:t>
            </w:r>
          </w:p>
        </w:tc>
        <w:tc>
          <w:tcPr>
            <w:tcW w:w="28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Light Commercial;</w:t>
            </w:r>
          </w:p>
        </w:tc>
        <w:tc>
          <w:tcPr>
            <w:tcW w:w="17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United States</w:t>
            </w:r>
          </w:p>
        </w:tc>
      </w:tr>
      <w:tr>
        <w:trPr>
          <w:trHeight w:val="182"/>
        </w:trPr>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condensers, air handlers, process chillers, controls, and</w:t>
            </w:r>
          </w:p>
        </w:tc>
        <w:tc>
          <w:tcPr>
            <w:tcW w:w="28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Food Preservation;</w:t>
            </w:r>
          </w:p>
        </w:tc>
        <w:tc>
          <w:tcPr>
            <w:tcW w:w="17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Canada</w:t>
            </w:r>
          </w:p>
        </w:tc>
      </w:tr>
      <w:tr>
        <w:trPr>
          <w:trHeight w:val="232"/>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compressorized racks</w:t>
            </w:r>
          </w:p>
        </w:tc>
        <w:tc>
          <w:tcPr>
            <w:tcW w:w="2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Non-Food/Industrial</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r>
    </w:tbl>
    <w:p>
      <w:pPr>
        <w:spacing w:after="0" w:line="75"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corporate costs include those costs related to corporate functions such as legal, internal audit, treasury, human resources, tax compliance and senior executive staff. Corporate costs also include the long-term stock-based incentive awards provided to employees throughout LII. We record these stock-based awards as corporate costs because they are determined at the discretion of the Board of Directors and based on the historical practice of doing so for internal reporting purposes.</w:t>
      </w:r>
    </w:p>
    <w:p>
      <w:pPr>
        <w:spacing w:after="0" w:line="20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251" w:lineRule="exact"/>
        <w:rPr>
          <w:sz w:val="20"/>
          <w:szCs w:val="20"/>
          <w:color w:val="auto"/>
        </w:rPr>
      </w:pPr>
    </w:p>
    <w:p>
      <w:pPr>
        <w:ind w:firstLine="241"/>
        <w:spacing w:after="0" w:line="272" w:lineRule="auto"/>
        <w:rPr>
          <w:sz w:val="20"/>
          <w:szCs w:val="20"/>
          <w:color w:val="auto"/>
        </w:rPr>
      </w:pPr>
      <w:r>
        <w:rPr>
          <w:rFonts w:ascii="Times New Roman" w:cs="Times New Roman" w:eastAsia="Times New Roman" w:hAnsi="Times New Roman"/>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4"/>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ind w:left="100"/>
              <w:spacing w:after="0" w:line="164" w:lineRule="exact"/>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40" w:type="dxa"/>
            <w:vAlign w:val="bottom"/>
          </w:tcPr>
          <w:p>
            <w:pPr>
              <w:spacing w:after="0"/>
              <w:rPr>
                <w:sz w:val="14"/>
                <w:szCs w:val="14"/>
                <w:color w:val="auto"/>
              </w:rPr>
            </w:pPr>
          </w:p>
        </w:tc>
        <w:tc>
          <w:tcPr>
            <w:tcW w:w="2380" w:type="dxa"/>
            <w:vAlign w:val="bottom"/>
            <w:gridSpan w:val="4"/>
          </w:tcPr>
          <w:p>
            <w:pPr>
              <w:jc w:val="right"/>
              <w:ind w:right="272"/>
              <w:spacing w:after="0" w:line="164" w:lineRule="exact"/>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5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r>
      <w:tr>
        <w:trPr>
          <w:trHeight w:val="207"/>
        </w:trPr>
        <w:tc>
          <w:tcPr>
            <w:tcW w:w="59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2,494.9</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22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245"/>
        </w:trPr>
        <w:tc>
          <w:tcPr>
            <w:tcW w:w="5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3,229.3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5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7"/>
        </w:trPr>
        <w:tc>
          <w:tcPr>
            <w:tcW w:w="59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b w:val="1"/>
                <w:bCs w:val="1"/>
                <w:color w:val="auto"/>
              </w:rPr>
              <w:t xml:space="preserve">Segment profit (loss) </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27"/>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Operating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product quality adjustments</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174"/>
        </w:trPr>
        <w:tc>
          <w:tcPr>
            <w:tcW w:w="59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Items in Losses (gains) and other expenses, net that are excluded from segment</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0"/>
        </w:trPr>
        <w:tc>
          <w:tcPr>
            <w:tcW w:w="5920" w:type="dxa"/>
            <w:vAlign w:val="bottom"/>
            <w:shd w:val="clear" w:color="auto" w:fill="CCEEFF"/>
          </w:tcPr>
          <w:p>
            <w:pPr>
              <w:ind w:left="20"/>
              <w:spacing w:after="0" w:line="241" w:lineRule="exact"/>
              <w:rPr>
                <w:sz w:val="20"/>
                <w:szCs w:val="20"/>
                <w:color w:val="auto"/>
              </w:rPr>
            </w:pPr>
            <w:r>
              <w:rPr>
                <w:rFonts w:ascii="Times New Roman" w:cs="Times New Roman" w:eastAsia="Times New Roman" w:hAnsi="Times New Roman"/>
                <w:sz w:val="18"/>
                <w:szCs w:val="18"/>
                <w:color w:val="auto"/>
              </w:rPr>
              <w:t xml:space="preserve">profit (loss)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7"/>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5"/>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hanging="173"/>
        <w:spacing w:after="0"/>
        <w:tabs>
          <w:tab w:leader="none" w:pos="420" w:val="left"/>
        </w:tabs>
        <w:numPr>
          <w:ilvl w:val="1"/>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define segment profit (loss) as a segment's operating income included in the accompanying Consolidated Statements of Operations, excluding:</w:t>
      </w:r>
    </w:p>
    <w:p>
      <w:pPr>
        <w:spacing w:after="0" w:line="1" w:lineRule="exact"/>
        <w:rPr>
          <w:rFonts w:ascii="Times New Roman" w:cs="Times New Roman" w:eastAsia="Times New Roman" w:hAnsi="Times New Roman"/>
          <w:sz w:val="22"/>
          <w:szCs w:val="22"/>
          <w:color w:val="auto"/>
          <w:vertAlign w:val="superscript"/>
        </w:rPr>
      </w:pPr>
    </w:p>
    <w:p>
      <w:pPr>
        <w:ind w:left="1040" w:hanging="232"/>
        <w:spacing w:after="0"/>
        <w:tabs>
          <w:tab w:leader="none" w:pos="10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items in Losses (gains) and other expenses, net:</w:t>
      </w:r>
    </w:p>
    <w:p>
      <w:pPr>
        <w:spacing w:after="0" w:line="5"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losses (gains) on unsettled futures contracts,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and special litigation charges,</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incurred related to COVID-19 pandemic, and</w:t>
      </w:r>
    </w:p>
    <w:p>
      <w:pPr>
        <w:spacing w:after="0" w:line="6" w:lineRule="exact"/>
        <w:rPr>
          <w:rFonts w:ascii="Times New Roman" w:cs="Times New Roman" w:eastAsia="Times New Roman" w:hAnsi="Times New Roman"/>
          <w:sz w:val="18"/>
          <w:szCs w:val="18"/>
          <w:color w:val="auto"/>
        </w:rPr>
      </w:pPr>
    </w:p>
    <w:p>
      <w:pPr>
        <w:ind w:left="1680" w:hanging="230"/>
        <w:spacing w:after="0"/>
        <w:tabs>
          <w:tab w:leader="none" w:pos="168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net,</w:t>
      </w:r>
    </w:p>
    <w:p>
      <w:pPr>
        <w:spacing w:after="0" w:line="6" w:lineRule="exact"/>
        <w:rPr>
          <w:rFonts w:ascii="Times New Roman" w:cs="Times New Roman" w:eastAsia="Times New Roman" w:hAnsi="Times New Roman"/>
          <w:sz w:val="18"/>
          <w:szCs w:val="18"/>
          <w:color w:val="auto"/>
        </w:rPr>
      </w:pPr>
    </w:p>
    <w:p>
      <w:pPr>
        <w:ind w:left="1040" w:hanging="232"/>
        <w:spacing w:after="0"/>
        <w:tabs>
          <w:tab w:leader="none" w:pos="1040" w:val="left"/>
        </w:tabs>
        <w:numPr>
          <w:ilvl w:val="2"/>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Special product quality adjustments, and</w:t>
      </w:r>
    </w:p>
    <w:p>
      <w:pPr>
        <w:spacing w:after="0" w:line="6" w:lineRule="exact"/>
        <w:rPr>
          <w:rFonts w:ascii="Times New Roman" w:cs="Times New Roman" w:eastAsia="Times New Roman" w:hAnsi="Times New Roman"/>
          <w:sz w:val="16"/>
          <w:szCs w:val="16"/>
          <w:color w:val="auto"/>
        </w:rPr>
      </w:pPr>
    </w:p>
    <w:p>
      <w:pPr>
        <w:ind w:left="1040" w:hanging="232"/>
        <w:spacing w:after="0"/>
        <w:tabs>
          <w:tab w:leader="none" w:pos="10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24" w:lineRule="exact"/>
        <w:rPr>
          <w:rFonts w:ascii="Times New Roman" w:cs="Times New Roman" w:eastAsia="Times New Roman" w:hAnsi="Times New Roman"/>
          <w:sz w:val="18"/>
          <w:szCs w:val="18"/>
          <w:color w:val="auto"/>
        </w:rPr>
      </w:pPr>
    </w:p>
    <w:p>
      <w:pPr>
        <w:ind w:left="180" w:hanging="173"/>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color w:val="auto"/>
        </w:rPr>
        <w:t>The computations of basic and diluted earnings per share were as follows (in millions,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60" w:type="dxa"/>
            <w:vAlign w:val="bottom"/>
          </w:tcPr>
          <w:p>
            <w:pPr>
              <w:spacing w:after="0"/>
              <w:rPr>
                <w:sz w:val="16"/>
                <w:szCs w:val="16"/>
                <w:color w:val="auto"/>
              </w:rPr>
            </w:pPr>
          </w:p>
        </w:tc>
        <w:tc>
          <w:tcPr>
            <w:tcW w:w="2180" w:type="dxa"/>
            <w:vAlign w:val="bottom"/>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7"/>
        </w:trPr>
        <w:tc>
          <w:tcPr>
            <w:tcW w:w="6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380.4</w:t>
            </w:r>
          </w:p>
        </w:tc>
      </w:tr>
      <w:tr>
        <w:trPr>
          <w:trHeight w:val="22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Exclude: Income from discontinued operations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basic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r>
      <w:tr>
        <w:trPr>
          <w:trHeight w:val="227"/>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Potential effect of dilutive securities attributable to stock-based payments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 – diluted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1"/>
        </w:trPr>
        <w:tc>
          <w:tcPr>
            <w:tcW w:w="6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Basic:</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7"/>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27"/>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1"/>
        </w:trPr>
        <w:tc>
          <w:tcPr>
            <w:tcW w:w="6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 Diluted:</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7"/>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6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160"/>
        <w:spacing w:after="0" w:line="272" w:lineRule="auto"/>
        <w:rPr>
          <w:sz w:val="20"/>
          <w:szCs w:val="20"/>
          <w:color w:val="auto"/>
        </w:rPr>
      </w:pPr>
      <w:r>
        <w:rPr>
          <w:rFonts w:ascii="Times New Roman" w:cs="Times New Roman" w:eastAsia="Times New Roman" w:hAnsi="Times New Roman"/>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40" w:type="dxa"/>
            <w:vAlign w:val="bottom"/>
          </w:tcPr>
          <w:p>
            <w:pPr>
              <w:spacing w:after="0"/>
              <w:rPr>
                <w:sz w:val="18"/>
                <w:szCs w:val="18"/>
                <w:color w:val="auto"/>
              </w:rPr>
            </w:pPr>
          </w:p>
        </w:tc>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08"/>
        </w:trPr>
        <w:tc>
          <w:tcPr>
            <w:tcW w:w="404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14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620" w:type="dxa"/>
            <w:vAlign w:val="bottom"/>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w:t>
            </w:r>
          </w:p>
        </w:tc>
        <w:tc>
          <w:tcPr>
            <w:tcW w:w="1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0"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16"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2" w:name="page13"/>
    <w:bookmarkEnd w:id="12"/>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10"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lease certain real and personal property under non-cancelable operating leases. Approximately 79%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 and Product Related Contingencies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04"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Liabilities for estimated product warranty costs related to continuing operations are included in the following captions on the accompanying Consolidated Balance Sheets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00" w:type="dxa"/>
            <w:vAlign w:val="bottom"/>
          </w:tcPr>
          <w:p>
            <w:pPr>
              <w:spacing w:after="0"/>
              <w:rPr>
                <w:sz w:val="18"/>
                <w:szCs w:val="18"/>
                <w:color w:val="auto"/>
              </w:rPr>
            </w:pPr>
          </w:p>
        </w:tc>
        <w:tc>
          <w:tcPr>
            <w:tcW w:w="206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7"/>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5"/>
        </w:trPr>
        <w:tc>
          <w:tcPr>
            <w:tcW w:w="5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warranty liability</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product warranty liabilities related to continuing operations for the nine months ended September 30, 2022 were as follows (in millions):</w:t>
      </w:r>
    </w:p>
    <w:p>
      <w:pPr>
        <w:spacing w:after="0" w:line="212" w:lineRule="exact"/>
        <w:rPr>
          <w:sz w:val="20"/>
          <w:szCs w:val="20"/>
          <w:color w:val="auto"/>
        </w:rPr>
      </w:pPr>
    </w:p>
    <w:tbl>
      <w:tblPr>
        <w:tblLayout w:type="fixed"/>
        <w:tblInd w:w="260" w:type="dxa"/>
        <w:tblCellMar>
          <w:top w:w="0" w:type="dxa"/>
          <w:left w:w="0" w:type="dxa"/>
          <w:bottom w:w="0" w:type="dxa"/>
          <w:right w:w="0" w:type="dxa"/>
        </w:tblCellMar>
      </w:tblPr>
      <w:tr>
        <w:trPr>
          <w:trHeight w:val="227"/>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December 31, 2021</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r>
      <w:tr>
        <w:trPr>
          <w:trHeight w:val="227"/>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claims paid</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27"/>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resulting from issuance of new warranties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7"/>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estimates associated with pre-existing liabilities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7"/>
        </w:trPr>
        <w:tc>
          <w:tcPr>
            <w:tcW w:w="9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foreign currency translation rates and other</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warranty liability as of September 30, 2022</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w:t>
            </w:r>
          </w:p>
        </w:tc>
      </w:tr>
      <w:tr>
        <w:trPr>
          <w:trHeight w:val="20"/>
        </w:trPr>
        <w:tc>
          <w:tcPr>
            <w:tcW w:w="96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04"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5. Stock Repurchases: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July 2021, our Board of Directors authorized an additional $1.0 billion, for a total of $4.0 billion, to repurchase shares of our common stock (collectively referred to as the "Share Repurchase Plans").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September 30, 2022, $546 million was available for repurchase under the Share Repurchase Plans.</w:t>
      </w:r>
    </w:p>
    <w:p>
      <w:pPr>
        <w:spacing w:after="0" w:line="21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February 2022, we entered into a fixed dollar accelerated share repurchase transaction with Wells Fargo Bank, to effect an accelerated stock buyback of our common stock. We paid Wells Fargo Bank $200.0 million and Wells Fargo Bank initially delivered to us approximately 87% of the shares expected to be purchased. The ASR was completed in April 2022 and Wells Fargo Bank delivered a total of 0.8 million shares of common stock repurchased under this ASR Agreement.</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May 2022, we entered into a fixed dollar accelerated share repurchase transaction with Bank of America, to effect an accelerated stock buyback of our common stock. We paid Bank of America $100.0 million and Bank of America delivered to us common stock representing approximately 85% of the shares expected to be purchased. The ASR was completed in June 2022 and Bank of America delivered a total of 0.5 million shares of common stock repurchased under this ASR Agreement.</w:t>
      </w:r>
    </w:p>
    <w:p>
      <w:pPr>
        <w:spacing w:after="0" w:line="20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We also repurchased shares for $5.5 million during the nine months ended September 30, 2022 from employees who tendered their shares to satisfy minimum tax withholding obligations upon the vesting and exercise of stock-based compensation awards.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2022</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1,111.7</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835.3</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1,244.9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4"/>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711.0</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211.5</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1,059.9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gridSpan w:val="5"/>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580" w:type="dxa"/>
            <w:vAlign w:val="bottom"/>
            <w:tcBorders>
              <w:bottom w:val="single" w:sz="8" w:color="auto"/>
            </w:tcBorders>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2022</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3,226.6</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2,494.9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660.2</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3,624.6</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214"/>
        </w:trPr>
        <w:tc>
          <w:tcPr>
            <w:tcW w:w="3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560" w:type="dxa"/>
            <w:vAlign w:val="bottom"/>
            <w:tcBorders>
              <w:bottom w:val="single" w:sz="8" w:color="auto"/>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2021</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Primary Geographic Markets</w:t>
            </w:r>
          </w:p>
        </w:tc>
        <w:tc>
          <w:tcPr>
            <w:tcW w:w="100" w:type="dxa"/>
            <w:vAlign w:val="bottom"/>
          </w:tcPr>
          <w:p>
            <w:pPr>
              <w:spacing w:after="0"/>
              <w:rPr>
                <w:sz w:val="13"/>
                <w:szCs w:val="13"/>
                <w:color w:val="auto"/>
              </w:rPr>
            </w:pPr>
          </w:p>
        </w:tc>
        <w:tc>
          <w:tcPr>
            <w:tcW w:w="1740" w:type="dxa"/>
            <w:vAlign w:val="bottom"/>
            <w:gridSpan w:val="2"/>
          </w:tcPr>
          <w:p>
            <w:pPr>
              <w:jc w:val="center"/>
              <w:ind w:right="200"/>
              <w:spacing w:after="0" w:line="154" w:lineRule="exact"/>
              <w:rPr>
                <w:sz w:val="20"/>
                <w:szCs w:val="20"/>
                <w:color w:val="auto"/>
              </w:rPr>
            </w:pPr>
            <w:r>
              <w:rPr>
                <w:rFonts w:ascii="Times New Roman" w:cs="Times New Roman" w:eastAsia="Times New Roman" w:hAnsi="Times New Roman"/>
                <w:sz w:val="16"/>
                <w:szCs w:val="16"/>
                <w:b w:val="1"/>
                <w:bCs w:val="1"/>
                <w:color w:val="auto"/>
              </w:rPr>
              <w:t>Residential Heating &amp;</w:t>
            </w:r>
          </w:p>
        </w:tc>
        <w:tc>
          <w:tcPr>
            <w:tcW w:w="1860" w:type="dxa"/>
            <w:vAlign w:val="bottom"/>
            <w:gridSpan w:val="3"/>
          </w:tcPr>
          <w:p>
            <w:pPr>
              <w:jc w:val="center"/>
              <w:ind w:right="100"/>
              <w:spacing w:after="0" w:line="154" w:lineRule="exact"/>
              <w:rPr>
                <w:sz w:val="20"/>
                <w:szCs w:val="20"/>
                <w:color w:val="auto"/>
              </w:rPr>
            </w:pPr>
            <w:r>
              <w:rPr>
                <w:rFonts w:ascii="Times New Roman" w:cs="Times New Roman" w:eastAsia="Times New Roman" w:hAnsi="Times New Roman"/>
                <w:sz w:val="16"/>
                <w:szCs w:val="16"/>
                <w:b w:val="1"/>
                <w:bCs w:val="1"/>
                <w:color w:val="auto"/>
                <w:w w:val="99"/>
              </w:rPr>
              <w:t>Commercial Heating &amp;</w:t>
            </w:r>
          </w:p>
        </w:tc>
        <w:tc>
          <w:tcPr>
            <w:tcW w:w="24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Refrigeration</w:t>
            </w:r>
          </w:p>
        </w:tc>
        <w:tc>
          <w:tcPr>
            <w:tcW w:w="260" w:type="dxa"/>
            <w:vAlign w:val="bottom"/>
          </w:tcPr>
          <w:p>
            <w:pPr>
              <w:spacing w:after="0"/>
              <w:rPr>
                <w:sz w:val="13"/>
                <w:szCs w:val="13"/>
                <w:color w:val="auto"/>
              </w:rPr>
            </w:pPr>
          </w:p>
        </w:tc>
        <w:tc>
          <w:tcPr>
            <w:tcW w:w="150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3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12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Cooling</w:t>
            </w:r>
          </w:p>
        </w:tc>
        <w:tc>
          <w:tcPr>
            <w:tcW w:w="2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2,820.9</w:t>
            </w:r>
          </w:p>
        </w:tc>
        <w:tc>
          <w:tcPr>
            <w:tcW w:w="0" w:type="dxa"/>
            <w:vAlign w:val="bottom"/>
          </w:tcPr>
          <w:p>
            <w:pPr>
              <w:spacing w:after="0"/>
              <w:rPr>
                <w:sz w:val="1"/>
                <w:szCs w:val="1"/>
                <w:color w:val="auto"/>
              </w:rPr>
            </w:pPr>
          </w:p>
        </w:tc>
      </w:tr>
      <w:tr>
        <w:trPr>
          <w:trHeight w:val="211"/>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0" w:type="dxa"/>
            <w:vAlign w:val="bottom"/>
          </w:tcPr>
          <w:p>
            <w:pPr>
              <w:spacing w:after="0"/>
              <w:rPr>
                <w:sz w:val="1"/>
                <w:szCs w:val="1"/>
                <w:color w:val="auto"/>
              </w:rPr>
            </w:pPr>
          </w:p>
        </w:tc>
      </w:tr>
      <w:tr>
        <w:trPr>
          <w:trHeight w:val="214"/>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international</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0" w:type="dxa"/>
            <w:vAlign w:val="bottom"/>
          </w:tcPr>
          <w:p>
            <w:pPr>
              <w:spacing w:after="0"/>
              <w:rPr>
                <w:sz w:val="1"/>
                <w:szCs w:val="1"/>
                <w:color w:val="auto"/>
              </w:rPr>
            </w:pPr>
          </w:p>
        </w:tc>
      </w:tr>
      <w:tr>
        <w:trPr>
          <w:trHeight w:val="21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663.4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3,229.3</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Residential Heating &amp; Cooling </w:t>
      </w:r>
      <w:r>
        <w:rPr>
          <w:rFonts w:ascii="Times New Roman" w:cs="Times New Roman" w:eastAsia="Times New Roman" w:hAnsi="Times New Roman"/>
          <w:sz w:val="18"/>
          <w:szCs w:val="18"/>
          <w:color w:val="auto"/>
        </w:rPr>
        <w:t>- We manufacture and market a broad range of furnaces, air conditioners, heat pumps, packaged heating and cooling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2022 and 2021, direct sales represented 72% and 73% of revenues, and sales to independent distributors represented the remainder. For the nine months ended September 30, 2022 and 2021, direct sales represented 70% and 72% of revenues, and sales to independent distributors represented the remainder.</w:t>
      </w:r>
    </w:p>
    <w:p>
      <w:pPr>
        <w:spacing w:after="0" w:line="209"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Commercial Heating &amp; Cooling </w:t>
      </w:r>
      <w:r>
        <w:rPr>
          <w:rFonts w:ascii="Times New Roman" w:cs="Times New Roman" w:eastAsia="Times New Roman" w:hAnsi="Times New Roman"/>
          <w:sz w:val="18"/>
          <w:szCs w:val="18"/>
          <w:color w:val="auto"/>
        </w:rPr>
        <w:t>- In North America, we manufacture and sell unitary heating and cooling equipment used in light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Lennox National Account Services provides installation, service and preventive maintenance for HVAC national account customers in the United States and Canada. For the three months ended September 30, 2022 and 2021, equipment sales represented 83% and 81% of revenues and the remainder of our revenue was generated from our service business. For the nine months ended September 30, 2022 and 2021, equipment sales represented 82% and 83% of revenues and the remainder of our revenue was generated from our service business.</w:t>
      </w:r>
    </w:p>
    <w:p>
      <w:pPr>
        <w:spacing w:after="0" w:line="209" w:lineRule="exact"/>
        <w:rPr>
          <w:sz w:val="20"/>
          <w:szCs w:val="20"/>
          <w:color w:val="auto"/>
        </w:rPr>
      </w:pPr>
    </w:p>
    <w:p>
      <w:pPr>
        <w:jc w:val="both"/>
        <w:ind w:firstLine="24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Refrigeration </w:t>
      </w:r>
      <w:r>
        <w:rPr>
          <w:rFonts w:ascii="Times New Roman" w:cs="Times New Roman" w:eastAsia="Times New Roman" w:hAnsi="Times New Roman"/>
          <w:sz w:val="18"/>
          <w:szCs w:val="18"/>
          <w:color w:val="auto"/>
        </w:rPr>
        <w:t>- We manufacture and market equipment for the global commercial refrigeration markets under the Heatcraft Worldwide Refrigeration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Less than 1% of segment revenue relates to services for start-up and commissioning activities.</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Contract Liabilities </w:t>
      </w:r>
      <w:r>
        <w:rPr>
          <w:rFonts w:ascii="Times New Roman" w:cs="Times New Roman" w:eastAsia="Times New Roman" w:hAnsi="Times New Roman"/>
          <w:sz w:val="18"/>
          <w:szCs w:val="18"/>
          <w:color w:val="auto"/>
        </w:rPr>
        <w:t>- Our contract liabilities consist of advance payments and deferred revenue. Net contract liabilities consisted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 liabilities -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 - noncurrent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2022 and 2021, we recognized revenue of $3.6 million and $0.6 million and for the nine months ended September 30, 2022 and 2021 we recognized revenue of $9.5 million and $2.9 million related to our contract liabilities at January 1, 2022 and 2021, respectively. Impairment losses recognized in our receivables and contract assets were de minimis in 2022 and 2021.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5" w:name="page16"/>
    <w:bookmarkEnd w:id="15"/>
    <w:p>
      <w:pPr>
        <w:ind w:right="8400" w:firstLine="7"/>
        <w:spacing w:after="0" w:line="261" w:lineRule="auto"/>
        <w:tabs>
          <w:tab w:leader="none" w:pos="1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Statement Details: Inventories:</w:t>
      </w:r>
    </w:p>
    <w:p>
      <w:pPr>
        <w:ind w:left="2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inventories are as follows (in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0" w:type="dxa"/>
            <w:vAlign w:val="bottom"/>
          </w:tcPr>
          <w:p>
            <w:pPr>
              <w:spacing w:after="0"/>
              <w:rPr>
                <w:sz w:val="16"/>
                <w:szCs w:val="16"/>
                <w:color w:val="auto"/>
              </w:rPr>
            </w:pP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20" w:type="dxa"/>
            <w:vAlign w:val="bottom"/>
          </w:tcPr>
          <w:p>
            <w:pPr>
              <w:spacing w:after="0"/>
              <w:rPr>
                <w:sz w:val="16"/>
                <w:szCs w:val="16"/>
                <w:color w:val="auto"/>
              </w:rPr>
            </w:pPr>
          </w:p>
        </w:tc>
        <w:tc>
          <w:tcPr>
            <w:tcW w:w="16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5"/>
        </w:trPr>
        <w:tc>
          <w:tcPr>
            <w:tcW w:w="7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6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parts</w:t>
            </w: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20"/>
        </w:trPr>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of current cost over last-in, first-out cost</w:t>
            </w:r>
          </w:p>
        </w:tc>
        <w:tc>
          <w:tcPr>
            <w:tcW w:w="6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6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743.4</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510.9</w:t>
            </w:r>
          </w:p>
        </w:tc>
      </w:tr>
      <w:tr>
        <w:trPr>
          <w:trHeight w:val="20"/>
        </w:trPr>
        <w:tc>
          <w:tcPr>
            <w:tcW w:w="7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changes in the carrying amount of goodwill in 2022, in total and by segment, are summarized in the table below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Changes in foreign</w:t>
            </w:r>
          </w:p>
        </w:tc>
        <w:tc>
          <w:tcPr>
            <w:tcW w:w="220" w:type="dxa"/>
            <w:vAlign w:val="bottom"/>
          </w:tcPr>
          <w:p>
            <w:pPr>
              <w:spacing w:after="0"/>
              <w:rPr>
                <w:sz w:val="13"/>
                <w:szCs w:val="13"/>
                <w:color w:val="auto"/>
              </w:rPr>
            </w:pPr>
          </w:p>
        </w:tc>
        <w:tc>
          <w:tcPr>
            <w:tcW w:w="108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7"/>
        </w:trPr>
        <w:tc>
          <w:tcPr>
            <w:tcW w:w="6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6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currency translation</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880" w:type="dxa"/>
            <w:vAlign w:val="bottom"/>
          </w:tcPr>
          <w:p>
            <w:pPr>
              <w:spacing w:after="0"/>
              <w:rPr>
                <w:sz w:val="16"/>
                <w:szCs w:val="16"/>
                <w:color w:val="auto"/>
              </w:rPr>
            </w:pPr>
          </w:p>
        </w:tc>
        <w:tc>
          <w:tcPr>
            <w:tcW w:w="15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7"/>
        </w:trPr>
        <w:tc>
          <w:tcPr>
            <w:tcW w:w="6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Heating &amp; Cooling</w:t>
            </w:r>
          </w:p>
        </w:tc>
        <w:tc>
          <w:tcPr>
            <w:tcW w:w="24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Heating &amp; Cooling</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7"/>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Refrigeration</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We monitor our reporting units for indicators of impairment throughout the year to determine if a change in facts or circumstances warrants a re-evaluation of our goodwill. We have not recorded any goodwill impairments for the nine months ended September 30,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and Strategies for Using Derivative Instruments</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Commodity Price Risk - </w:t>
      </w:r>
      <w:r>
        <w:rPr>
          <w:rFonts w:ascii="Times New Roman" w:cs="Times New Roman" w:eastAsia="Times New Roman" w:hAnsi="Times New Roman"/>
          <w:sz w:val="18"/>
          <w:szCs w:val="18"/>
          <w:color w:val="auto"/>
        </w:rPr>
        <w:t>We utilize a cash flow hedging program to mitigate our exposure to volatility in the prices of metal commodities used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0"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A portion of our debt bears interest at variable rates, and as a result, we are subject to variability in the cash paid for interest.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01"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Foreign Currency Risk - </w:t>
      </w:r>
      <w:r>
        <w:rPr>
          <w:rFonts w:ascii="Times New Roman" w:cs="Times New Roman" w:eastAsia="Times New Roman" w:hAnsi="Times New Roman"/>
          <w:sz w:val="18"/>
          <w:szCs w:val="18"/>
          <w:color w:val="auto"/>
        </w:rPr>
        <w:t>Foreign currency exchange rate movements create a degree of risk by affecting the U.S. dollar value of assets and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have foreign exchange forward contracts and commodity futures contracts designated as cash flow hedges that are scheduled to mature through February 2024. Unrealized gains or losses from our cash flow hedges are included in Accumulated other comprehensive loss (“AOCL”) and are expected to be reclassified into earnings within the next 18 months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6" w:name="page17"/>
    <w:bookmarkEnd w:id="16"/>
    <w:p>
      <w:pPr>
        <w:spacing w:after="0" w:line="272" w:lineRule="auto"/>
        <w:rPr>
          <w:sz w:val="20"/>
          <w:szCs w:val="20"/>
          <w:color w:val="auto"/>
        </w:rPr>
      </w:pPr>
      <w:r>
        <w:rPr>
          <w:rFonts w:ascii="Times New Roman" w:cs="Times New Roman" w:eastAsia="Times New Roman" w:hAnsi="Times New Roman"/>
          <w:sz w:val="18"/>
          <w:szCs w:val="18"/>
          <w:color w:val="auto"/>
        </w:rPr>
        <w:t>based on the prices of the commodities and foreign currencies at the settlement dates. We recorded the following amounts in AOCL related to our cash flow hedges (in millions):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720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(gains), net on unsettled contracts</w:t>
            </w: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7"/>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0"/>
        </w:trPr>
        <w:tc>
          <w:tcPr>
            <w:tcW w:w="7200" w:type="dxa"/>
            <w:vAlign w:val="bottom"/>
            <w:shd w:val="clear" w:color="auto" w:fill="CCEEFF"/>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Unrealized losses (gains), net included in AOCL, net of tax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bl>
    <w:p>
      <w:pPr>
        <w:spacing w:after="0" w:line="129" w:lineRule="exact"/>
        <w:rPr>
          <w:sz w:val="20"/>
          <w:szCs w:val="20"/>
          <w:color w:val="auto"/>
        </w:rPr>
      </w:pPr>
    </w:p>
    <w:p>
      <w:pPr>
        <w:ind w:left="480" w:hanging="153"/>
        <w:spacing w:after="0" w:line="227" w:lineRule="auto"/>
        <w:tabs>
          <w:tab w:leader="none" w:pos="516"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Assuming commodity prices and foreign currency exchange rates remain constant, we expect to reclassify $13.6 million of derivative losses as of September 30, 2022 into earnings within the next 12 months.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69"/>
        </w:trPr>
        <w:tc>
          <w:tcPr>
            <w:tcW w:w="6000" w:type="dxa"/>
            <w:vAlign w:val="bottom"/>
          </w:tcPr>
          <w:p>
            <w:pPr>
              <w:spacing w:after="0"/>
              <w:rPr>
                <w:sz w:val="14"/>
                <w:szCs w:val="14"/>
                <w:color w:val="auto"/>
              </w:rPr>
            </w:pPr>
          </w:p>
        </w:tc>
        <w:tc>
          <w:tcPr>
            <w:tcW w:w="2660" w:type="dxa"/>
            <w:vAlign w:val="bottom"/>
            <w:gridSpan w:val="6"/>
          </w:tcPr>
          <w:p>
            <w:pPr>
              <w:jc w:val="center"/>
              <w:ind w:right="100"/>
              <w:spacing w:after="0" w:line="169" w:lineRule="exact"/>
              <w:rPr>
                <w:sz w:val="20"/>
                <w:szCs w:val="20"/>
                <w:color w:val="auto"/>
              </w:rPr>
            </w:pPr>
            <w:r>
              <w:rPr>
                <w:rFonts w:ascii="Times New Roman" w:cs="Times New Roman" w:eastAsia="Times New Roman" w:hAnsi="Times New Roman"/>
                <w:sz w:val="16"/>
                <w:szCs w:val="16"/>
                <w:b w:val="1"/>
                <w:bCs w:val="1"/>
                <w:color w:val="auto"/>
                <w:w w:val="99"/>
              </w:rPr>
              <w:t>For the Three Months Ended</w:t>
            </w:r>
          </w:p>
        </w:tc>
        <w:tc>
          <w:tcPr>
            <w:tcW w:w="220" w:type="dxa"/>
            <w:vAlign w:val="bottom"/>
          </w:tcPr>
          <w:p>
            <w:pPr>
              <w:spacing w:after="0"/>
              <w:rPr>
                <w:sz w:val="14"/>
                <w:szCs w:val="14"/>
                <w:color w:val="auto"/>
              </w:rPr>
            </w:pPr>
          </w:p>
        </w:tc>
        <w:tc>
          <w:tcPr>
            <w:tcW w:w="2360" w:type="dxa"/>
            <w:vAlign w:val="bottom"/>
            <w:gridSpan w:val="4"/>
          </w:tcPr>
          <w:p>
            <w:pPr>
              <w:jc w:val="center"/>
              <w:ind w:right="135"/>
              <w:spacing w:after="0" w:line="169" w:lineRule="exact"/>
              <w:rPr>
                <w:sz w:val="20"/>
                <w:szCs w:val="20"/>
                <w:color w:val="auto"/>
              </w:rPr>
            </w:pPr>
            <w:r>
              <w:rPr>
                <w:rFonts w:ascii="Times New Roman" w:cs="Times New Roman" w:eastAsia="Times New Roman" w:hAnsi="Times New Roman"/>
                <w:sz w:val="16"/>
                <w:szCs w:val="16"/>
                <w:b w:val="1"/>
                <w:bCs w:val="1"/>
                <w:color w:val="auto"/>
                <w:w w:val="99"/>
              </w:rPr>
              <w:t>For the Nine Months Ended</w:t>
            </w:r>
          </w:p>
        </w:tc>
      </w:tr>
      <w:tr>
        <w:trPr>
          <w:trHeight w:val="212"/>
        </w:trPr>
        <w:tc>
          <w:tcPr>
            <w:tcW w:w="60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47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07"/>
        </w:trPr>
        <w:tc>
          <w:tcPr>
            <w:tcW w:w="60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2"/>
        </w:trPr>
        <w:tc>
          <w:tcPr>
            <w:tcW w:w="60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780" w:type="dxa"/>
            <w:vAlign w:val="bottom"/>
            <w:shd w:val="clear" w:color="auto" w:fill="CCEEFF"/>
          </w:tcPr>
          <w:p>
            <w:pPr>
              <w:jc w:val="right"/>
              <w:ind w:right="59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bl>
    <w:p>
      <w:pPr>
        <w:spacing w:after="0" w:line="95" w:lineRule="exact"/>
        <w:rPr>
          <w:sz w:val="20"/>
          <w:szCs w:val="20"/>
          <w:color w:val="auto"/>
        </w:rPr>
      </w:pPr>
    </w:p>
    <w:p>
      <w:pPr>
        <w:ind w:left="420" w:hanging="173"/>
        <w:spacing w:after="0"/>
        <w:tabs>
          <w:tab w:leader="none" w:pos="42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expense was recorded in our Corporate and Other business segment.</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9"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components of net periodic benefit cost for pension benefits were as follows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66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20" w:type="dxa"/>
            <w:vAlign w:val="bottom"/>
          </w:tcPr>
          <w:p>
            <w:pPr>
              <w:spacing w:after="0"/>
              <w:rPr>
                <w:sz w:val="16"/>
                <w:szCs w:val="16"/>
                <w:color w:val="auto"/>
              </w:rPr>
            </w:pPr>
          </w:p>
        </w:tc>
        <w:tc>
          <w:tcPr>
            <w:tcW w:w="236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60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r>
      <w:tr>
        <w:trPr>
          <w:trHeight w:val="209"/>
        </w:trPr>
        <w:tc>
          <w:tcPr>
            <w:tcW w:w="6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22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rPr>
              <w:t>4.6</w:t>
            </w:r>
          </w:p>
        </w:tc>
      </w:tr>
      <w:tr>
        <w:trPr>
          <w:trHeight w:val="22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rPr>
              <w:t>4.1</w:t>
            </w:r>
          </w:p>
        </w:tc>
      </w:tr>
      <w:tr>
        <w:trPr>
          <w:trHeight w:val="22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center"/>
              <w:ind w:left="312"/>
              <w:spacing w:after="0"/>
              <w:rPr>
                <w:sz w:val="20"/>
                <w:szCs w:val="20"/>
                <w:color w:val="auto"/>
              </w:rPr>
            </w:pPr>
            <w:r>
              <w:rPr>
                <w:rFonts w:ascii="Times New Roman" w:cs="Times New Roman" w:eastAsia="Times New Roman" w:hAnsi="Times New Roman"/>
                <w:sz w:val="18"/>
                <w:szCs w:val="18"/>
                <w:color w:val="auto"/>
                <w:w w:val="98"/>
              </w:rPr>
              <w:t>(7.1)</w:t>
            </w:r>
          </w:p>
        </w:tc>
      </w:tr>
      <w:tr>
        <w:trPr>
          <w:trHeight w:val="22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rPr>
              <w:t>6.0</w:t>
            </w:r>
          </w:p>
        </w:tc>
      </w:tr>
      <w:tr>
        <w:trPr>
          <w:trHeight w:val="227"/>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w w:val="98"/>
              </w:rPr>
              <w:t>(0.4)</w:t>
            </w:r>
          </w:p>
        </w:tc>
      </w:tr>
      <w:tr>
        <w:trPr>
          <w:trHeight w:val="227"/>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 and curtailments</w:t>
            </w:r>
          </w:p>
        </w:tc>
        <w:tc>
          <w:tcPr>
            <w:tcW w:w="7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rPr>
              <w:t>1.1</w:t>
            </w:r>
          </w:p>
        </w:tc>
      </w:tr>
      <w:tr>
        <w:trPr>
          <w:trHeight w:val="245"/>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78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rPr>
              <w:t>8.4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As of September 30, 2022, we had approximately $3.7 million in total gross unrecognized tax benefits which, if recognized, would be recorded through the Consolidated Statements of Operations.</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are currently in the Bridge program for our U.S. federal income taxes under the Internal Revenue Service's Compliance Assurance Program for 2022 and 2021. As a result, our returns for those years will not be examined. However, we are subject to examination by numerous other taxing authorities in the U.S. and in foreign jurisdictions. We are generally no longer subject to U.S. federal, state and local, or non-U.S. income tax examinations by taxing authorities for years prior to 2015.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summarizes our outstanding debt obligations and their classification in the accompanying Consolidated Balance Sheets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0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r>
      <w:tr>
        <w:trPr>
          <w:trHeight w:val="227"/>
        </w:trPr>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securitization program</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r>
      <w:tr>
        <w:trPr>
          <w:trHeight w:val="22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0"/>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1,226.5</w:t>
            </w:r>
          </w:p>
        </w:tc>
      </w:tr>
      <w:tr>
        <w:trPr>
          <w:trHeight w:val="245"/>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Obligations</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Through several of our foreign subsidiaries, we have facilities available to assist us in financing seasonal borrowing needs for our foreign locations. We had no outstanding foreign obligations as of September 30, 2022 or December 31, 2021 and there were no borrowings or repayments on these facilities during the nine months ended September 30, 2022.</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Securitization Program</w:t>
      </w:r>
    </w:p>
    <w:p>
      <w:pPr>
        <w:spacing w:after="0" w:line="249" w:lineRule="exact"/>
        <w:rPr>
          <w:sz w:val="20"/>
          <w:szCs w:val="20"/>
          <w:color w:val="auto"/>
        </w:rPr>
      </w:pPr>
    </w:p>
    <w:p>
      <w:pPr>
        <w:jc w:val="both"/>
        <w:ind w:right="80" w:firstLine="241"/>
        <w:spacing w:after="0" w:line="252" w:lineRule="auto"/>
        <w:rPr>
          <w:sz w:val="20"/>
          <w:szCs w:val="20"/>
          <w:color w:val="auto"/>
        </w:rPr>
      </w:pPr>
      <w:r>
        <w:rPr>
          <w:rFonts w:ascii="Times New Roman" w:cs="Times New Roman" w:eastAsia="Times New Roman" w:hAnsi="Times New Roman"/>
          <w:sz w:val="18"/>
          <w:szCs w:val="18"/>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212" w:lineRule="exact"/>
        <w:rPr>
          <w:sz w:val="20"/>
          <w:szCs w:val="20"/>
          <w:color w:val="auto"/>
        </w:rPr>
      </w:pPr>
    </w:p>
    <w:p>
      <w:pPr>
        <w:jc w:val="both"/>
        <w:ind w:right="80" w:firstLine="241"/>
        <w:spacing w:after="0" w:line="257" w:lineRule="auto"/>
        <w:rPr>
          <w:sz w:val="20"/>
          <w:szCs w:val="20"/>
          <w:color w:val="auto"/>
        </w:rPr>
      </w:pPr>
      <w:r>
        <w:rPr>
          <w:rFonts w:ascii="Times New Roman" w:cs="Times New Roman" w:eastAsia="Times New Roman" w:hAnsi="Times New Roman"/>
          <w:sz w:val="18"/>
          <w:szCs w:val="18"/>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1"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7360" w:type="dxa"/>
            <w:vAlign w:val="bottom"/>
          </w:tcPr>
          <w:p>
            <w:pPr>
              <w:spacing w:after="0"/>
              <w:rPr>
                <w:sz w:val="18"/>
                <w:szCs w:val="18"/>
                <w:color w:val="auto"/>
              </w:rPr>
            </w:pPr>
          </w:p>
        </w:tc>
        <w:tc>
          <w:tcPr>
            <w:tcW w:w="1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Eligible amount available under the ASP on qualified accounts receivable</w:t>
            </w:r>
          </w:p>
        </w:tc>
        <w:tc>
          <w:tcPr>
            <w:tcW w:w="70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7"/>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Beneficial interest transferred</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5"/>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amount available</w:t>
            </w:r>
          </w:p>
        </w:tc>
        <w:tc>
          <w:tcPr>
            <w:tcW w:w="70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80" w:firstLine="241"/>
        <w:spacing w:after="0" w:line="253" w:lineRule="auto"/>
        <w:rPr>
          <w:sz w:val="20"/>
          <w:szCs w:val="20"/>
          <w:color w:val="auto"/>
        </w:rPr>
      </w:pPr>
      <w:r>
        <w:rPr>
          <w:rFonts w:ascii="Times New Roman" w:cs="Times New Roman" w:eastAsia="Times New Roman" w:hAnsi="Times New Roman"/>
          <w:sz w:val="18"/>
          <w:szCs w:val="18"/>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September 30, 2022 and December 31, 2021 were 3.85% and 0.82%,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14" w:lineRule="exact"/>
        <w:rPr>
          <w:sz w:val="20"/>
          <w:szCs w:val="20"/>
          <w:color w:val="auto"/>
        </w:rPr>
      </w:pPr>
    </w:p>
    <w:p>
      <w:pPr>
        <w:jc w:val="both"/>
        <w:ind w:right="80" w:firstLine="241"/>
        <w:spacing w:after="0" w:line="257" w:lineRule="auto"/>
        <w:rPr>
          <w:sz w:val="20"/>
          <w:szCs w:val="20"/>
          <w:color w:val="auto"/>
        </w:rPr>
      </w:pPr>
      <w:r>
        <w:rPr>
          <w:rFonts w:ascii="Times New Roman" w:cs="Times New Roman" w:eastAsia="Times New Roman" w:hAnsi="Times New Roman"/>
          <w:sz w:val="18"/>
          <w:szCs w:val="18"/>
          <w:color w:val="auto"/>
        </w:rPr>
        <w:t>The ASP contains certain restrictive covenants relating to the quality of our accounts receivable and cross-default provisions with our Credit Agreement (as defined below), senior unsecured notes and any other indebtedness we may have over $75.0 million. The administrative agent under the ASP is also a participant in our Credit Agreement, as defined below. The participating financial institutions have investment grade credit ratings. As of September 30, 2022,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49" w:lineRule="exact"/>
        <w:rPr>
          <w:sz w:val="20"/>
          <w:szCs w:val="20"/>
          <w:color w:val="auto"/>
        </w:rPr>
      </w:pPr>
    </w:p>
    <w:p>
      <w:pPr>
        <w:jc w:val="both"/>
        <w:ind w:right="80" w:firstLine="241"/>
        <w:spacing w:after="0" w:line="262" w:lineRule="auto"/>
        <w:rPr>
          <w:sz w:val="20"/>
          <w:szCs w:val="20"/>
          <w:color w:val="auto"/>
        </w:rPr>
      </w:pPr>
      <w:r>
        <w:rPr>
          <w:rFonts w:ascii="Times New Roman" w:cs="Times New Roman" w:eastAsia="Times New Roman" w:hAnsi="Times New Roman"/>
          <w:sz w:val="18"/>
          <w:szCs w:val="18"/>
          <w:color w:val="auto"/>
        </w:rPr>
        <w:t>In July 2021, we entered into a new domestic credit facility (the “Credit Agreement”) with JPMorgan Chase Bank, N.A., as administrative agent, and the other lenders party thereto, which refinanced and replaced the Seventh Amended and Restated Credit Facility.</w:t>
      </w:r>
    </w:p>
    <w:p>
      <w:pPr>
        <w:spacing w:after="0" w:line="189" w:lineRule="exact"/>
        <w:rPr>
          <w:sz w:val="20"/>
          <w:szCs w:val="20"/>
          <w:color w:val="auto"/>
        </w:rPr>
      </w:pPr>
    </w:p>
    <w:p>
      <w:pPr>
        <w:jc w:val="both"/>
        <w:ind w:right="80" w:firstLine="241"/>
        <w:spacing w:after="0" w:line="247" w:lineRule="auto"/>
        <w:rPr>
          <w:sz w:val="20"/>
          <w:szCs w:val="20"/>
          <w:color w:val="auto"/>
        </w:rPr>
      </w:pPr>
      <w:r>
        <w:rPr>
          <w:rFonts w:ascii="Times New Roman" w:cs="Times New Roman" w:eastAsia="Times New Roman" w:hAnsi="Times New Roman"/>
          <w:sz w:val="18"/>
          <w:szCs w:val="18"/>
          <w:color w:val="auto"/>
        </w:rPr>
        <w:t>The Credit Agreement consists of a $750.0 million unsecured revolving credit facility. We had outstanding borrowings of $222.0 million as well as $2.0 million committed to standby letters of credit as of September 30, 2022. Subject to covenant limitations, $526.0 million was available for future borrowings. The Credit Agreement will expire and outstanding loans will be required to be repaid in July 2026, unless maturity is extended by the lenders pursuant to two one-year extension options that we may request under the Credit Agreement.</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weighted average borrowing rate on the facility was as follows: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25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23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borrowing rate</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20"/>
          </w:cols>
          <w:pgMar w:left="320" w:top="879" w:right="259" w:bottom="1440" w:gutter="0" w:footer="0" w:header="0"/>
        </w:sectPr>
      </w:pPr>
    </w:p>
    <w:bookmarkStart w:id="19" w:name="page20"/>
    <w:bookmarkEnd w:id="19"/>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0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 (cross default), and bankruptcy. A cross default under our Credit Agreement could occur if:</w:t>
      </w:r>
    </w:p>
    <w:p>
      <w:pPr>
        <w:spacing w:after="0" w:line="204" w:lineRule="exact"/>
        <w:rPr>
          <w:sz w:val="20"/>
          <w:szCs w:val="20"/>
          <w:color w:val="auto"/>
        </w:rPr>
      </w:pPr>
    </w:p>
    <w:p>
      <w:pPr>
        <w:ind w:left="360" w:hanging="113"/>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pay any principal or interest when due on any other indebtedness or receivables securitization exceeding $75.0 million; or</w:t>
      </w:r>
    </w:p>
    <w:p>
      <w:pPr>
        <w:spacing w:after="0" w:line="247" w:lineRule="exact"/>
        <w:rPr>
          <w:rFonts w:ascii="Times New Roman" w:cs="Times New Roman" w:eastAsia="Times New Roman" w:hAnsi="Times New Roman"/>
          <w:sz w:val="18"/>
          <w:szCs w:val="18"/>
          <w:color w:val="auto"/>
        </w:rPr>
      </w:pPr>
    </w:p>
    <w:p>
      <w:pPr>
        <w:jc w:val="both"/>
        <w:ind w:firstLine="247"/>
        <w:spacing w:after="0" w:line="262" w:lineRule="auto"/>
        <w:tabs>
          <w:tab w:leader="none" w:pos="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Each of our major debt agreements contains provisions by which a default under one agreement causes a default in the others (a “cross default”). If a cross default under the Credit Agreement,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 As of September 30, 2022, we believe we were in compliance with all covenant requirements.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Notes</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209"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2022,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11. Comprehensive Income (Loss):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on items reclassified from AOCL to Net income in the accompanying Consolidated Statements of Operations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4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40" w:type="dxa"/>
            <w:vAlign w:val="bottom"/>
          </w:tcPr>
          <w:p>
            <w:pPr>
              <w:spacing w:after="0"/>
              <w:rPr>
                <w:sz w:val="16"/>
                <w:szCs w:val="16"/>
                <w:color w:val="auto"/>
              </w:rPr>
            </w:pPr>
          </w:p>
        </w:tc>
        <w:tc>
          <w:tcPr>
            <w:tcW w:w="21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9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22"/>
        </w:trPr>
        <w:tc>
          <w:tcPr>
            <w:tcW w:w="35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tc>
        <w:tc>
          <w:tcPr>
            <w:tcW w:w="0" w:type="dxa"/>
            <w:vAlign w:val="bottom"/>
          </w:tcPr>
          <w:p>
            <w:pPr>
              <w:spacing w:after="0"/>
              <w:rPr>
                <w:sz w:val="1"/>
                <w:szCs w:val="1"/>
                <w:color w:val="auto"/>
              </w:rPr>
            </w:pPr>
          </w:p>
        </w:tc>
      </w:tr>
      <w:tr>
        <w:trPr>
          <w:trHeight w:val="19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(Losses) Gains on Cash Flow Hedges:</w:t>
            </w: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Cost of goods sold; Losses (gains) and</w:t>
            </w:r>
          </w:p>
        </w:tc>
        <w:tc>
          <w:tcPr>
            <w:tcW w:w="0" w:type="dxa"/>
            <w:vAlign w:val="bottom"/>
          </w:tcPr>
          <w:p>
            <w:pPr>
              <w:spacing w:after="0"/>
              <w:rPr>
                <w:sz w:val="1"/>
                <w:szCs w:val="1"/>
                <w:color w:val="auto"/>
              </w:rPr>
            </w:pPr>
          </w:p>
        </w:tc>
      </w:tr>
      <w:tr>
        <w:trPr>
          <w:trHeight w:val="24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contracts</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(3.7)</w:t>
            </w:r>
          </w:p>
        </w:tc>
        <w:tc>
          <w:tcPr>
            <w:tcW w:w="120" w:type="dxa"/>
            <w:vAlign w:val="bottom"/>
          </w:tcPr>
          <w:p>
            <w:pPr>
              <w:spacing w:after="0"/>
              <w:rPr>
                <w:sz w:val="20"/>
                <w:szCs w:val="20"/>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(2.9)</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72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settlements</w:t>
            </w: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of tax</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 from AOCL</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(4.0)</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4.5</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11.1</w:t>
            </w: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on changes in AOCL, by component (net of tax), for the nine months ended September 30, 2022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 of equity</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(Losses) Gains on</w:t>
            </w:r>
          </w:p>
        </w:tc>
        <w:tc>
          <w:tcPr>
            <w:tcW w:w="140" w:type="dxa"/>
            <w:vAlign w:val="bottom"/>
          </w:tcPr>
          <w:p>
            <w:pPr>
              <w:spacing w:after="0"/>
              <w:rPr>
                <w:sz w:val="13"/>
                <w:szCs w:val="13"/>
                <w:color w:val="auto"/>
              </w:rPr>
            </w:pPr>
          </w:p>
        </w:tc>
        <w:tc>
          <w:tcPr>
            <w:tcW w:w="138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method</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Defined Benefit</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152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investments other</w:t>
            </w:r>
          </w:p>
        </w:tc>
        <w:tc>
          <w:tcPr>
            <w:tcW w:w="13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Cash Flow</w:t>
            </w:r>
          </w:p>
        </w:tc>
        <w:tc>
          <w:tcPr>
            <w:tcW w:w="140" w:type="dxa"/>
            <w:vAlign w:val="bottom"/>
          </w:tcPr>
          <w:p>
            <w:pPr>
              <w:spacing w:after="0"/>
              <w:rPr>
                <w:sz w:val="13"/>
                <w:szCs w:val="13"/>
                <w:color w:val="auto"/>
              </w:rPr>
            </w:pPr>
          </w:p>
        </w:tc>
        <w:tc>
          <w:tcPr>
            <w:tcW w:w="1380" w:type="dxa"/>
            <w:vAlign w:val="bottom"/>
            <w:gridSpan w:val="2"/>
          </w:tcPr>
          <w:p>
            <w:pPr>
              <w:jc w:val="center"/>
              <w:ind w:right="280"/>
              <w:spacing w:after="0" w:line="161"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Pension Plan</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w w:val="97"/>
              </w:rPr>
              <w:t>Translation</w:t>
            </w:r>
          </w:p>
        </w:tc>
        <w:tc>
          <w:tcPr>
            <w:tcW w:w="140" w:type="dxa"/>
            <w:vAlign w:val="bottom"/>
          </w:tcPr>
          <w:p>
            <w:pPr>
              <w:spacing w:after="0"/>
              <w:rPr>
                <w:sz w:val="13"/>
                <w:szCs w:val="13"/>
                <w:color w:val="auto"/>
              </w:rPr>
            </w:pP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Total AOCL</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Hedges</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Items</w:t>
            </w: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0" w:type="dxa"/>
            <w:vAlign w:val="bottom"/>
          </w:tcPr>
          <w:p>
            <w:pPr>
              <w:spacing w:after="0"/>
              <w:rPr>
                <w:sz w:val="1"/>
                <w:szCs w:val="1"/>
                <w:color w:val="auto"/>
              </w:rPr>
            </w:pPr>
          </w:p>
        </w:tc>
      </w:tr>
      <w:tr>
        <w:trPr>
          <w:trHeight w:val="174"/>
        </w:trPr>
        <w:tc>
          <w:tcPr>
            <w:tcW w:w="43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0"/>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45"/>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 methodologies used to determine the fair value of our financial assets and liabilities at September 30, 2022 were the same as those used at December 31,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Carried at Fair Value on a Recurring Basis</w:t>
      </w:r>
    </w:p>
    <w:p>
      <w:pPr>
        <w:spacing w:after="0" w:line="251" w:lineRule="exact"/>
        <w:rPr>
          <w:sz w:val="20"/>
          <w:szCs w:val="20"/>
          <w:color w:val="auto"/>
        </w:rPr>
      </w:pPr>
    </w:p>
    <w:p>
      <w:pPr>
        <w:jc w:val="both"/>
        <w:ind w:firstLine="241"/>
        <w:spacing w:after="0" w:line="285" w:lineRule="auto"/>
        <w:rPr>
          <w:sz w:val="20"/>
          <w:szCs w:val="20"/>
          <w:color w:val="auto"/>
        </w:rPr>
      </w:pPr>
      <w:r>
        <w:rPr>
          <w:rFonts w:ascii="Times New Roman" w:cs="Times New Roman" w:eastAsia="Times New Roman" w:hAnsi="Times New Roman"/>
          <w:sz w:val="17"/>
          <w:szCs w:val="17"/>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1" w:name="page22"/>
    <w:bookmarkEnd w:id="21"/>
    <w:p>
      <w:pPr>
        <w:ind w:firstLine="241"/>
        <w:spacing w:after="0" w:line="272" w:lineRule="auto"/>
        <w:rPr>
          <w:sz w:val="20"/>
          <w:szCs w:val="20"/>
          <w:color w:val="auto"/>
        </w:rPr>
      </w:pPr>
      <w:r>
        <w:rPr>
          <w:rFonts w:ascii="Times New Roman" w:cs="Times New Roman" w:eastAsia="Times New Roman" w:hAnsi="Times New Roman"/>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tbl>
      <w:tblPr>
        <w:tblLayout w:type="fixed"/>
        <w:tblInd w:w="0" w:type="dxa"/>
        <w:tblCellMar>
          <w:top w:w="0" w:type="dxa"/>
          <w:left w:w="0" w:type="dxa"/>
          <w:bottom w:w="0" w:type="dxa"/>
          <w:right w:w="0" w:type="dxa"/>
        </w:tblCellMar>
      </w:tblPr>
      <w:tr>
        <w:trPr>
          <w:trHeight w:val="164"/>
        </w:trPr>
        <w:tc>
          <w:tcPr>
            <w:tcW w:w="7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280"/>
              <w:spacing w:after="0" w:line="164" w:lineRule="exact"/>
              <w:rPr>
                <w:sz w:val="20"/>
                <w:szCs w:val="20"/>
                <w:color w:val="auto"/>
              </w:rPr>
            </w:pPr>
            <w:r>
              <w:rPr>
                <w:rFonts w:ascii="Times New Roman" w:cs="Times New Roman" w:eastAsia="Times New Roman" w:hAnsi="Times New Roman"/>
                <w:sz w:val="16"/>
                <w:szCs w:val="16"/>
                <w:b w:val="1"/>
                <w:bCs w:val="1"/>
                <w:color w:val="auto"/>
                <w:w w:val="99"/>
              </w:rPr>
              <w:t>As of September 30,</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0" w:type="dxa"/>
            <w:vAlign w:val="bottom"/>
          </w:tcPr>
          <w:p>
            <w:pPr>
              <w:spacing w:after="0"/>
              <w:rPr>
                <w:sz w:val="1"/>
                <w:szCs w:val="1"/>
                <w:color w:val="auto"/>
              </w:rPr>
            </w:pPr>
          </w:p>
        </w:tc>
      </w:tr>
      <w:tr>
        <w:trPr>
          <w:trHeight w:val="212"/>
        </w:trPr>
        <w:tc>
          <w:tcPr>
            <w:tcW w:w="7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15"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In addition to the specific uncertainties discussed elsewhere in this Quarterly Report on Form 10-Q, the risk factors set forth in Part I, “Item 1A. Risk Factors” in our Annual Report on Form 10-K for the year ended December 31, 2021,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2 in the Notes to the Consolidated Financial Statements.</w:t>
      </w:r>
    </w:p>
    <w:p>
      <w:pPr>
        <w:spacing w:after="0" w:line="20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20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2" w:lineRule="exact"/>
        <w:rPr>
          <w:sz w:val="20"/>
          <w:szCs w:val="20"/>
          <w:color w:val="auto"/>
        </w:rPr>
      </w:pPr>
    </w:p>
    <w:p>
      <w:pPr>
        <w:jc w:val="both"/>
        <w:ind w:firstLine="241"/>
        <w:spacing w:after="0" w:line="253" w:lineRule="auto"/>
        <w:rPr>
          <w:sz w:val="20"/>
          <w:szCs w:val="20"/>
          <w:color w:val="auto"/>
        </w:rPr>
      </w:pPr>
      <w:r>
        <w:rPr>
          <w:rFonts w:ascii="Times New Roman" w:cs="Times New Roman" w:eastAsia="Times New Roman" w:hAnsi="Times New Roman"/>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49" w:lineRule="exact"/>
        <w:rPr>
          <w:sz w:val="20"/>
          <w:szCs w:val="20"/>
          <w:color w:val="auto"/>
        </w:rPr>
      </w:pPr>
    </w:p>
    <w:p>
      <w:pPr>
        <w:jc w:val="both"/>
        <w:ind w:firstLine="241"/>
        <w:spacing w:after="0" w:line="243" w:lineRule="auto"/>
        <w:rPr>
          <w:sz w:val="20"/>
          <w:szCs w:val="20"/>
          <w:color w:val="auto"/>
        </w:rPr>
      </w:pPr>
      <w:r>
        <w:rPr>
          <w:rFonts w:ascii="Times New Roman" w:cs="Times New Roman" w:eastAsia="Times New Roman" w:hAnsi="Times New Roman"/>
          <w:sz w:val="18"/>
          <w:szCs w:val="18"/>
          <w:color w:val="auto"/>
        </w:rPr>
        <w:t>A novel strain of coronavirus (“COVID-19”) has surfaced and spread around the world. The COVID-19 pandemic is creating supply chain disruptions and higher employee absenteeism in our factories and distribution locations. We cannot predict whether any of our manufacturing, operational or distribution facilities will experience any future disruptions, or how long such disruptions would last. It also remains unclear how various national, state, and local governments will react if new variants of the virus spread. If the pandemic worsens or continues longer than presently expected, COVID-19 could impact our results of operations, financial position and cash flows.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Executive Leadership Transition</w:t>
      </w:r>
    </w:p>
    <w:p>
      <w:pPr>
        <w:spacing w:after="0" w:line="249"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On March 23, 2022, the Board of Directors appointed Alok Maskara as CEO effective May 9, 2022. Mr. Maskara succeeds Todd Bluedorn, who announced in July 2021 his plans to step down by mid-2022 as Chairman and CEO. Todd J. Teske was appointed Chairman of the Board and served as interim CEO until Mr. Maskara assumed the role as CEO on May 9,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Results for the third quarter of 2022 were driven by overall year-over-year sales and profit increases. Net sales increased 17% and segment profit increased $10 million for the Residential Heating &amp; Cooling segment. Net sales increased 20% and segment profit increased $7 million for the Commercial Heating &amp; Cooling segment. Net sales increased 14% and segment profit increased $8 million for the Refrigeration segment.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249" w:lineRule="exact"/>
        <w:rPr>
          <w:sz w:val="20"/>
          <w:szCs w:val="20"/>
          <w:color w:val="auto"/>
        </w:rPr>
      </w:pPr>
    </w:p>
    <w:p>
      <w:pPr>
        <w:ind w:left="640" w:hanging="313"/>
        <w:spacing w:after="0" w:line="25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$185 million to $1,245 million in the third quarter of 2022 driven by favorable price, volume, and mix partially offset by unfavorable foreign currency.</w:t>
      </w:r>
    </w:p>
    <w:p>
      <w:pPr>
        <w:spacing w:after="0" w:line="1" w:lineRule="exact"/>
        <w:rPr>
          <w:rFonts w:ascii="Times New Roman" w:cs="Times New Roman" w:eastAsia="Times New Roman" w:hAnsi="Times New Roman"/>
          <w:sz w:val="18"/>
          <w:szCs w:val="18"/>
          <w:color w:val="auto"/>
        </w:rPr>
      </w:pPr>
    </w:p>
    <w:p>
      <w:pPr>
        <w:ind w:left="640" w:hanging="313"/>
        <w:spacing w:after="0" w:line="24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 the third quarter of 2022 increased $23 million to $186 million primarily driven by higher net sales partially offset by rising costs.</w:t>
      </w:r>
    </w:p>
    <w:p>
      <w:pPr>
        <w:spacing w:after="0" w:line="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third quarter of 2022 was $142 million.</w:t>
      </w:r>
    </w:p>
    <w:p>
      <w:pPr>
        <w:spacing w:after="0" w:line="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$3.99 per share in the third quarter of 2022 compared to $3.41 per share in the third quarter of 2021.</w:t>
      </w:r>
    </w:p>
    <w:p>
      <w:pPr>
        <w:spacing w:after="0" w:line="6" w:lineRule="exact"/>
        <w:rPr>
          <w:rFonts w:ascii="Times New Roman" w:cs="Times New Roman" w:eastAsia="Times New Roman" w:hAnsi="Times New Roman"/>
          <w:sz w:val="18"/>
          <w:szCs w:val="18"/>
          <w:color w:val="auto"/>
        </w:rPr>
      </w:pPr>
    </w:p>
    <w:p>
      <w:pPr>
        <w:ind w:left="640" w:hanging="313"/>
        <w:spacing w:after="0" w:line="25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2022, we returned $142 million to shareholders through dividend payments and repurchased $300 million of common stock through our share repurchase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Compared to Three Months Ended September 30, 2021 -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480" w:type="dxa"/>
            <w:vAlign w:val="bottom"/>
            <w:gridSpan w:val="3"/>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9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1"/>
                <w:szCs w:val="11"/>
                <w:color w:val="auto"/>
              </w:rPr>
            </w:pPr>
          </w:p>
        </w:tc>
        <w:tc>
          <w:tcPr>
            <w:tcW w:w="14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tcBorders>
              <w:top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Fav/(Unfav)</w:t>
            </w: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1,059.9</w:t>
            </w:r>
          </w:p>
        </w:tc>
        <w:tc>
          <w:tcPr>
            <w:tcW w:w="1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17.5 %</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tcPr>
          <w:p>
            <w:pPr>
              <w:spacing w:after="0"/>
              <w:rPr>
                <w:sz w:val="19"/>
                <w:szCs w:val="19"/>
                <w:color w:val="auto"/>
              </w:rPr>
            </w:pP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11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162.7</w:t>
            </w:r>
          </w:p>
        </w:tc>
        <w:tc>
          <w:tcPr>
            <w:tcW w:w="140" w:type="dxa"/>
            <w:vAlign w:val="bottom"/>
          </w:tcPr>
          <w:p>
            <w:pPr>
              <w:spacing w:after="0"/>
              <w:rPr>
                <w:sz w:val="19"/>
                <w:szCs w:val="19"/>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14.2 %</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14.9 %</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15.4 %</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Net sales for the third quarter of 2022 compared to the third quarter of 2021 increased as a result of favorable price of 11%, an increase in sales volume of 5%, and favorable product mix of 2% which was partially offset by unfavorable foreign currency of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4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Gross profit margins in the third quarter of 2022 decreased 110 basis points ("bps") to 26.8% compared to 27.9% in the third quarter of 2021. Gross margins decreased 220 bps from higher commodity costs, 200 bps from other product costs including adjustments for LIFO, 190 bps from higher component costs, 120 bps from factory inefficiencies, 50 bps from higher freight and distribution costs, and 10 bps from unfavorable mix. Partially offsetting these decreases was 680 bps from favorable price.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jc w:val="both"/>
        <w:ind w:right="20" w:firstLine="241"/>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$13 million to $147 million in the third quarter of 2022 compared to $134 million in the third quarter of 2021 due to higher employee related costs. As a percentage of net sales, SG&amp;A decreased 90 bps to 11.8%.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third quarter of 2022 and 2021 included the following (in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760" w:type="dxa"/>
            <w:vAlign w:val="bottom"/>
          </w:tcPr>
          <w:p>
            <w:pPr>
              <w:spacing w:after="0"/>
              <w:rPr>
                <w:sz w:val="18"/>
                <w:szCs w:val="18"/>
                <w:color w:val="auto"/>
              </w:rPr>
            </w:pPr>
          </w:p>
        </w:tc>
        <w:tc>
          <w:tcPr>
            <w:tcW w:w="3460" w:type="dxa"/>
            <w:vAlign w:val="bottom"/>
            <w:tcBorders>
              <w:bottom w:val="single" w:sz="8" w:color="auto"/>
            </w:tcBorders>
            <w:gridSpan w:val="5"/>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r>
      <w:tr>
        <w:trPr>
          <w:trHeight w:val="208"/>
        </w:trPr>
        <w:tc>
          <w:tcPr>
            <w:tcW w:w="77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2"/>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losses (gains) on settled future contracts</w:t>
            </w: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losses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1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5"/>
        </w:trPr>
        <w:tc>
          <w:tcPr>
            <w:tcW w:w="77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14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Restructuring charges were immaterial in the third quarter of 2022 and 2021. Restructuring charges related to ongoing cost reduction actions taken in prior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We recognized income from equity method investments of $2 million in the third quarter of 2022 and $4 million in the third quarter of 2021. The decline was due to lower operating results at the equity method investees due to higher material costs.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Interest expense, net increased to $11 million in the third quarter of 2022 from $7 million in the third quarter of 2021 due to higher borrowings and higher borrowing costs during the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76" w:lineRule="exact"/>
        <w:rPr>
          <w:sz w:val="20"/>
          <w:szCs w:val="20"/>
          <w:color w:val="auto"/>
        </w:rPr>
      </w:pPr>
    </w:p>
    <w:p>
      <w:pPr>
        <w:ind w:right="180" w:firstLine="241"/>
        <w:spacing w:after="0" w:line="262" w:lineRule="auto"/>
        <w:rPr>
          <w:sz w:val="20"/>
          <w:szCs w:val="20"/>
          <w:color w:val="auto"/>
        </w:rPr>
      </w:pPr>
      <w:r>
        <w:rPr>
          <w:rFonts w:ascii="Times New Roman" w:cs="Times New Roman" w:eastAsia="Times New Roman" w:hAnsi="Times New Roman"/>
          <w:sz w:val="18"/>
          <w:szCs w:val="18"/>
          <w:color w:val="auto"/>
        </w:rPr>
        <w:t>Our effective tax rate was 18.7% for the third quarter of 2022 compared to 18.4% for the third quarter of 2021. The increase in rate is primarily due to a decrease in excess tax benefits. We expect our annual effective tax rate in 2022 to be 18-20%.</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Third Quarter of 2022 Compared to Third Quarter of 2021 -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 presents our Residential Heating &amp; Cooling segment's net sales and profit for the third quarter of 2022 and 2021 (dollars in millions):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20" w:type="dxa"/>
            <w:vAlign w:val="bottom"/>
          </w:tcPr>
          <w:p>
            <w:pPr>
              <w:spacing w:after="0"/>
              <w:rPr>
                <w:sz w:val="18"/>
                <w:szCs w:val="18"/>
                <w:color w:val="auto"/>
              </w:rPr>
            </w:pPr>
          </w:p>
        </w:tc>
        <w:tc>
          <w:tcPr>
            <w:tcW w:w="376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835.3</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711.0</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6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2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bl>
    <w:p>
      <w:pPr>
        <w:spacing w:after="0" w:line="75"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17% in the third quarter of 2022 compared to 2021, as price increased 10% and sales volume increased by 7%. Product mix was neutral for the quarter.</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Segment profit in the third quarter of 2022 compared to 2021 increased by $10 million, driven by $77 million from higher price, $15 million from higher sales volume, and $2 million from lower product warranty costs. Partially offsetting these increases were $21 million from higher other product costs including adjustments for LIFO, $20 million from higher commodity costs, $14 million from higher component costs, $11 million from unfavorable product mix, $7 million from higher distribution and freight charges, $6 million from higher SG&amp;A costs, $3 million from factory inefficiencies, $1 million from unfavorable foreign currency, and $1 million from lower earnings from our equity method investments.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49" w:lineRule="exact"/>
        <w:rPr>
          <w:sz w:val="20"/>
          <w:szCs w:val="20"/>
          <w:color w:val="auto"/>
        </w:rPr>
      </w:pPr>
    </w:p>
    <w:p>
      <w:pPr>
        <w:jc w:val="both"/>
        <w:ind w:firstLine="241"/>
        <w:spacing w:after="0" w:line="272" w:lineRule="auto"/>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the third quarter of 2022 and 2021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378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tcBorders>
              <w:top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252.9</w:t>
            </w:r>
          </w:p>
        </w:tc>
        <w:tc>
          <w:tcPr>
            <w:tcW w:w="16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2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8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Pr>
          <w:p>
            <w:pPr>
              <w:spacing w:after="0"/>
              <w:rPr>
                <w:sz w:val="19"/>
                <w:szCs w:val="19"/>
                <w:color w:val="auto"/>
              </w:rPr>
            </w:pP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bl>
    <w:p>
      <w:pPr>
        <w:spacing w:after="0" w:line="3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sales increased 20% in the third quarter of 2022 compared to 2021 as higher factory output enabled us to convert more order backlog into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mix was 11% favorable and price increased by 9%. Sales volume was neutral for the quarter.</w:t>
      </w:r>
    </w:p>
    <w:p>
      <w:pPr>
        <w:spacing w:after="0" w:line="228"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Segment profit in the third quarter of 2022 compared to 2021 increased $7 million due to $20 million from favorable price and $13 million from favorable product mix. Partially offsetting these increases was $9 million from factory inefficiencies, $5 million from higher component costs, $4 million from higher commodity costs, $3 million from higher other product costs including adjustments for LIFO, $2 million from higher SG&amp;A costs, $2 million from lower sales volume, and $1 million from lower miscellaneous other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third quarter of 2022 and 2021 (dollars in millions):</w:t>
      </w:r>
    </w:p>
    <w:p>
      <w:pPr>
        <w:spacing w:after="0" w:line="49" w:lineRule="exact"/>
        <w:rPr>
          <w:sz w:val="20"/>
          <w:szCs w:val="20"/>
          <w:color w:val="auto"/>
        </w:rPr>
      </w:pPr>
    </w:p>
    <w:tbl>
      <w:tblPr>
        <w:tblLayout w:type="fixed"/>
        <w:tblInd w:w="240" w:type="dxa"/>
        <w:tblCellMar>
          <w:top w:w="0" w:type="dxa"/>
          <w:left w:w="0" w:type="dxa"/>
          <w:bottom w:w="0" w:type="dxa"/>
          <w:right w:w="0" w:type="dxa"/>
        </w:tblCellMar>
      </w:tblPr>
      <w:tr>
        <w:trPr>
          <w:trHeight w:val="211"/>
        </w:trPr>
        <w:tc>
          <w:tcPr>
            <w:tcW w:w="4440" w:type="dxa"/>
            <w:vAlign w:val="bottom"/>
          </w:tcPr>
          <w:p>
            <w:pPr>
              <w:spacing w:after="0"/>
              <w:rPr>
                <w:sz w:val="18"/>
                <w:szCs w:val="18"/>
                <w:color w:val="auto"/>
              </w:rPr>
            </w:pPr>
          </w:p>
        </w:tc>
        <w:tc>
          <w:tcPr>
            <w:tcW w:w="370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2"/>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tcBorders>
              <w:top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156.7</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137.4</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9"/>
                <w:szCs w:val="19"/>
                <w:color w:val="auto"/>
              </w:rPr>
            </w:pPr>
          </w:p>
        </w:tc>
        <w:tc>
          <w:tcPr>
            <w:tcW w:w="104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r>
      <w:tr>
        <w:trPr>
          <w:trHeight w:val="22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pacing w:after="0" w:line="316"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14% in the third quarter of 2022 compared to 2021, as price increased 16% and sales volume increased by 5%. Partially offsetting these increases were unfavorable foreign currency of 7%. Product mix was neutral for the quarter.</w:t>
      </w:r>
    </w:p>
    <w:p>
      <w:pPr>
        <w:spacing w:after="0" w:line="190" w:lineRule="exact"/>
        <w:rPr>
          <w:sz w:val="20"/>
          <w:szCs w:val="20"/>
          <w:color w:val="auto"/>
        </w:rPr>
      </w:pPr>
    </w:p>
    <w:p>
      <w:pPr>
        <w:jc w:val="both"/>
        <w:ind w:right="20" w:firstLine="241"/>
        <w:spacing w:after="0" w:line="257" w:lineRule="auto"/>
        <w:rPr>
          <w:sz w:val="20"/>
          <w:szCs w:val="20"/>
          <w:color w:val="auto"/>
        </w:rPr>
      </w:pPr>
      <w:r>
        <w:rPr>
          <w:rFonts w:ascii="Times New Roman" w:cs="Times New Roman" w:eastAsia="Times New Roman" w:hAnsi="Times New Roman"/>
          <w:sz w:val="18"/>
          <w:szCs w:val="18"/>
          <w:color w:val="auto"/>
        </w:rPr>
        <w:t>Segment profit in the third quarter of 2022 compared to 2021 increased by $8 million driven by $22 million from higher price, $3 million from higher sales volume, and $1 million from favorable product mix. Partially offsetting these increases were $5 million from higher SG&amp;A, $4 million from commodity costs, $4 million from higher component costs, $3 million from factory inefficiencies, $1 million from freight and distribution costs, and $1 million from unfavorable foreign currency.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material changes in Corporate and Other costs during the third quarter of 2022 as compared to the third quarter of 2021.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2022 Compared to Year-to-Date through September 30, 2021 - Consolidated Results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a summary of our financial results, including information presented as a percentage of net sales: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260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1"/>
                <w:szCs w:val="11"/>
                <w:color w:val="auto"/>
              </w:rPr>
            </w:pPr>
          </w:p>
        </w:tc>
        <w:tc>
          <w:tcPr>
            <w:tcW w:w="148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top w:val="single" w:sz="8" w:color="auto"/>
            </w:tcBorders>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2"/>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Fav/(Unfav)</w:t>
            </w:r>
          </w:p>
        </w:tc>
        <w:tc>
          <w:tcPr>
            <w:tcW w:w="1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3,624.6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3,229.3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12.2 %</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72.4</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c>
          <w:tcPr>
            <w:tcW w:w="120" w:type="dxa"/>
            <w:vAlign w:val="bottom"/>
          </w:tcPr>
          <w:p>
            <w:pPr>
              <w:spacing w:after="0"/>
              <w:rPr>
                <w:sz w:val="19"/>
                <w:szCs w:val="19"/>
                <w:color w:val="auto"/>
              </w:rPr>
            </w:pPr>
          </w:p>
        </w:tc>
        <w:tc>
          <w:tcPr>
            <w:tcW w:w="13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and other expenses,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492.7</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14.5 %</w:t>
            </w:r>
          </w:p>
        </w:tc>
        <w:tc>
          <w:tcPr>
            <w:tcW w:w="1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49" w:lineRule="exact"/>
        <w:rPr>
          <w:sz w:val="20"/>
          <w:szCs w:val="20"/>
          <w:color w:val="auto"/>
        </w:rPr>
      </w:pPr>
    </w:p>
    <w:p>
      <w:pPr>
        <w:jc w:val="both"/>
        <w:ind w:right="20" w:firstLine="241"/>
        <w:spacing w:after="0" w:line="258" w:lineRule="auto"/>
        <w:rPr>
          <w:sz w:val="20"/>
          <w:szCs w:val="20"/>
          <w:color w:val="auto"/>
        </w:rPr>
      </w:pPr>
      <w:r>
        <w:rPr>
          <w:rFonts w:ascii="Times New Roman" w:cs="Times New Roman" w:eastAsia="Times New Roman" w:hAnsi="Times New Roman"/>
          <w:sz w:val="18"/>
          <w:szCs w:val="18"/>
          <w:color w:val="auto"/>
        </w:rPr>
        <w:t>Net sales increased 12% for the nine months ended September 30, 2022 compared to the nine months ended September 30, 2021 due to higher price of 11%, higher sales volume of 1%, and favorable mix of 1%. Partially offsetting these increases was unfavorable foreign currency of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8" w:lineRule="exact"/>
        <w:rPr>
          <w:sz w:val="20"/>
          <w:szCs w:val="20"/>
          <w:color w:val="auto"/>
        </w:rPr>
      </w:pPr>
    </w:p>
    <w:p>
      <w:pPr>
        <w:jc w:val="both"/>
        <w:ind w:right="20" w:firstLine="241"/>
        <w:spacing w:after="0" w:line="257" w:lineRule="auto"/>
        <w:rPr>
          <w:sz w:val="20"/>
          <w:szCs w:val="20"/>
          <w:color w:val="auto"/>
        </w:rPr>
      </w:pPr>
      <w:r>
        <w:rPr>
          <w:rFonts w:ascii="Times New Roman" w:cs="Times New Roman" w:eastAsia="Times New Roman" w:hAnsi="Times New Roman"/>
          <w:sz w:val="18"/>
          <w:szCs w:val="18"/>
          <w:color w:val="auto"/>
        </w:rPr>
        <w:t>Gross profit margins for the nine months ended September 30, 2022 decreased 130 bps to 27.6% compared to 28.9% for the nine months ended September 30, 2021. Gross margins decreased 250 bps from higher commodity costs, 180 bps from higher component costs, 150 bps from higher other product costs including adjustments for LIFO, 100 bps from factory inefficiencies, 90 bps from higher freight and distribution costs, and 50 bps from unfavorable mix. Partially offsetting these decreases were 670 bps from higher price and 20 bps from miscellaneous other costs.</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60"/>
          </w:cols>
          <w:pgMar w:left="320" w:top="88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49" w:lineRule="exact"/>
        <w:rPr>
          <w:sz w:val="20"/>
          <w:szCs w:val="20"/>
          <w:color w:val="auto"/>
        </w:rPr>
      </w:pPr>
    </w:p>
    <w:p>
      <w:pPr>
        <w:ind w:right="20" w:firstLine="241"/>
        <w:spacing w:after="0" w:line="277" w:lineRule="auto"/>
        <w:rPr>
          <w:sz w:val="20"/>
          <w:szCs w:val="20"/>
          <w:color w:val="auto"/>
        </w:rPr>
      </w:pPr>
      <w:r>
        <w:rPr>
          <w:rFonts w:ascii="Times New Roman" w:cs="Times New Roman" w:eastAsia="Times New Roman" w:hAnsi="Times New Roman"/>
          <w:sz w:val="18"/>
          <w:szCs w:val="18"/>
          <w:color w:val="auto"/>
        </w:rPr>
        <w:t>SG&amp;A increased $25 million to $472 million for the nine months ended September 30, 2022 compared to $447 million for the nine months ended September 30, 2021 primarily due to higher employee related costs. As a percentage of net sales, SG&amp;A decreased 90 bps to 13.0% from 13.9%.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(gains) and Other Expenses, Net</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Losses (gains) and other expenses, net for the nine months ended September 30, 2022 and 2021 included the following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0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0"/>
        </w:trPr>
        <w:tc>
          <w:tcPr>
            <w:tcW w:w="79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 on settled future contracts</w:t>
            </w:r>
          </w:p>
        </w:tc>
        <w:tc>
          <w:tcPr>
            <w:tcW w:w="1080" w:type="dxa"/>
            <w:vAlign w:val="bottom"/>
          </w:tcPr>
          <w:p>
            <w:pPr>
              <w:jc w:val="right"/>
              <w:ind w:right="897"/>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6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fixed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losses (gains) on unsettled futures contracts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 and special litigation charges</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 related to COVID-19 pandemic</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7"/>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Losses (gains) and other expenses, net (pre-tax)</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Restructuring charges were $1 million for the nine months ended September 30, 2022 and $2 million for the nine months ended September 30,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related to ongoing cost reduction actions taken in prior periods.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Income from equity method investments decreased $8 million to $4 million for the nine months ended September 30, 2022 as compared to $12 million for the nine months ended September 30, 2021. The decline was due to lower operating results at the equity method investees due to higher material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Interest expense, net increased $7 million for the nine months ended September 30, 2022 compared to the nine months ended September 30, 2021 primarily due to higher borrowings and higher borrowing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Our effective tax rate decreased to 18.9% for the nine months ended September 30, 2022 compared to 19.0% for the nine months ended September 30, 2021 primarily due to a favorable mix of income to low tax jurisdictions.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Year-to-Date through September 30, 2022 Compared to Year-to-Date through September 30, 2021 - Results by Segment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Heating &amp; Cooling</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Residential Heating &amp; Cooling segment's net sales and profit for the nine months ended September 30, 2022 and 2021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380" w:type="dxa"/>
            <w:vAlign w:val="bottom"/>
            <w:tcBorders>
              <w:top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2,494.9</w:t>
            </w:r>
          </w:p>
        </w:tc>
        <w:tc>
          <w:tcPr>
            <w:tcW w:w="160" w:type="dxa"/>
            <w:vAlign w:val="bottom"/>
          </w:tcPr>
          <w:p>
            <w:pPr>
              <w:spacing w:after="0"/>
              <w:rPr>
                <w:sz w:val="19"/>
                <w:szCs w:val="19"/>
                <w:color w:val="auto"/>
              </w:rPr>
            </w:pPr>
          </w:p>
        </w:tc>
        <w:tc>
          <w:tcPr>
            <w:tcW w:w="4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2,155.3</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6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477.7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430.1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70"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16% for the nine months ended September 30, 2022 compared to the nine months ended September 30, 2021 as price increased by 12% and sales volume increased by 4%. Product mix was neutral.</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Segment profit for the first nine months of 2022 compared to 2021 increased $48 million primarily due to $256 million from favorable price, $31 million from higher sales volume, and $2 million from miscellaneous income. Partially offsetting these increases were $70 million from higher commodity costs, $40 million from increased component costs, $40 million from higher other product costs including adjustments for LIFO, $30 million from unfavorable mix, $24 million from higher freight and distribution costs, $12 million from factory inefficiencies, $12 million from higher SG&amp;A costs, $7 million from lower income from equity method investments, and $6 million from unfavorable foreign currency.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Heating &amp; Cooling</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Commercial Heating &amp; Cooling segment's net sales and profit for the nine months ended September 30, 2022 and 2021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358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2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660.2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663.4</w:t>
            </w:r>
          </w:p>
        </w:tc>
        <w:tc>
          <w:tcPr>
            <w:tcW w:w="160" w:type="dxa"/>
            <w:vAlign w:val="bottom"/>
          </w:tcPr>
          <w:p>
            <w:pPr>
              <w:spacing w:after="0"/>
              <w:rPr>
                <w:sz w:val="19"/>
                <w:szCs w:val="19"/>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7"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color w:val="auto"/>
        </w:rPr>
        <w:t>Net sales decreased 0.5% for the nine months ended September 30, 2022 compared to the nine months ended September 30, 2021 as sales volume decreased by 13%. Partially offsetting the decrease was favorable mix of 7% and favorable price of 6%.</w:t>
      </w:r>
    </w:p>
    <w:p>
      <w:pPr>
        <w:spacing w:after="0" w:line="1" w:lineRule="exact"/>
        <w:rPr>
          <w:sz w:val="20"/>
          <w:szCs w:val="20"/>
          <w:color w:val="auto"/>
        </w:rPr>
      </w:pPr>
    </w:p>
    <w:p>
      <w:pPr>
        <w:jc w:val="both"/>
        <w:ind w:firstLine="241"/>
        <w:spacing w:after="0" w:line="249" w:lineRule="auto"/>
        <w:rPr>
          <w:sz w:val="20"/>
          <w:szCs w:val="20"/>
          <w:color w:val="auto"/>
        </w:rPr>
      </w:pPr>
      <w:r>
        <w:rPr>
          <w:rFonts w:ascii="Times New Roman" w:cs="Times New Roman" w:eastAsia="Times New Roman" w:hAnsi="Times New Roman"/>
          <w:sz w:val="18"/>
          <w:szCs w:val="18"/>
          <w:color w:val="auto"/>
        </w:rPr>
        <w:t>Segment profit for the first nine months of 2022 compared to 2021 decreased $42 million primarily due to $34 million from lower sales volume primarily due to supply chain constraints, $20 million from factory inefficiencies, $17 million from higher component costs, $12 million from higher other product costs including adjustments for LIFO, $9 million from increased SG&amp;A costs, $9 million from higher commodity costs, and $5 million from higher freight and distribution costs. Partially offsetting these decreases were $37 million from higher price, $25 million from favorable product mix, $1 million from foreign currency, and $1 million from lower product warranty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Refrigeration</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The following table presents our Refrigeration segment's net sales and profit for the nine months ended September 30, 2022 and 2021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80" w:type="dxa"/>
            <w:vAlign w:val="bottom"/>
          </w:tcPr>
          <w:p>
            <w:pPr>
              <w:spacing w:after="0"/>
              <w:rPr>
                <w:sz w:val="18"/>
                <w:szCs w:val="18"/>
                <w:color w:val="auto"/>
              </w:rPr>
            </w:pPr>
          </w:p>
        </w:tc>
        <w:tc>
          <w:tcPr>
            <w:tcW w:w="3540" w:type="dxa"/>
            <w:vAlign w:val="bottom"/>
            <w:gridSpan w:val="6"/>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47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Difference</w:t>
            </w:r>
          </w:p>
        </w:tc>
        <w:tc>
          <w:tcPr>
            <w:tcW w:w="144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tcBorders>
              <w:top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98"/>
              </w:rPr>
              <w:t>469.5</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98"/>
              </w:rPr>
              <w:t>410.6</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2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r>
      <w:tr>
        <w:trPr>
          <w:trHeight w:val="23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310"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Net sales increased 14% for the nine months ended September 30, 2022 compared to the nine months ended September 30, 2021 as price increased by 12% and sales volume increased by 8%. Partially offsetting these increases was unfavorable foreign currency of 5% and unfavorable mix of 1%.</w:t>
      </w:r>
    </w:p>
    <w:p>
      <w:pPr>
        <w:spacing w:after="0" w:line="190"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Segment profit for the first nine months of 2022 compared to 2021 increased $24 million primarily due to $50 million from favorable price, $13 million from higher sales volume, $1 million from favorable mix, and $1 million from lower tariff costs. Partially offsetting these increases were $14 million from higher commodity costs, $10 million from higher SG&amp;A costs, $8 million from higher component costs, $4 million from factory inefficiencies, $3 million from higher freight and distribution costs, and $2 million from higher other product costs.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249"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Corporate and other expenses decreased $2 million in the nine months ended September 30, 2022 compared to the nine months ended September 30, 2021 primarily due to lower employee related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1" w:lineRule="exact"/>
        <w:rPr>
          <w:sz w:val="20"/>
          <w:szCs w:val="20"/>
          <w:color w:val="auto"/>
        </w:rPr>
      </w:pPr>
    </w:p>
    <w:p>
      <w:pPr>
        <w:jc w:val="both"/>
        <w:ind w:firstLine="241"/>
        <w:spacing w:after="0" w:line="277" w:lineRule="auto"/>
        <w:rPr>
          <w:sz w:val="20"/>
          <w:szCs w:val="20"/>
          <w:color w:val="auto"/>
        </w:rPr>
      </w:pPr>
      <w:r>
        <w:rPr>
          <w:rFonts w:ascii="Times New Roman" w:cs="Times New Roman" w:eastAsia="Times New Roman" w:hAnsi="Times New Roman"/>
          <w:sz w:val="18"/>
          <w:szCs w:val="18"/>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Flows</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nine months ended September 30, 2022 and 2021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60" w:type="dxa"/>
            <w:vAlign w:val="bottom"/>
            <w:tcBorders>
              <w:bottom w:val="single" w:sz="8" w:color="CCEEFF"/>
            </w:tcBorders>
          </w:tcPr>
          <w:p>
            <w:pPr>
              <w:spacing w:after="0"/>
              <w:rPr>
                <w:sz w:val="18"/>
                <w:szCs w:val="18"/>
                <w:color w:val="auto"/>
              </w:rPr>
            </w:pPr>
          </w:p>
        </w:tc>
        <w:tc>
          <w:tcPr>
            <w:tcW w:w="3260" w:type="dxa"/>
            <w:vAlign w:val="bottom"/>
            <w:tcBorders>
              <w:bottom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w:t>
            </w:r>
          </w:p>
        </w:tc>
      </w:tr>
      <w:tr>
        <w:trPr>
          <w:trHeight w:val="210"/>
        </w:trPr>
        <w:tc>
          <w:tcPr>
            <w:tcW w:w="79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170.1</w:t>
            </w:r>
          </w:p>
        </w:tc>
        <w:tc>
          <w:tcPr>
            <w:tcW w:w="16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w:t>
            </w:r>
          </w:p>
        </w:tc>
      </w:tr>
      <w:tr>
        <w:trPr>
          <w:trHeight w:val="22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3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r>
    </w:tbl>
    <w:p>
      <w:pPr>
        <w:spacing w:after="0" w:line="295" w:lineRule="exact"/>
        <w:rPr>
          <w:sz w:val="20"/>
          <w:szCs w:val="20"/>
          <w:color w:val="auto"/>
        </w:rPr>
      </w:pPr>
    </w:p>
    <w:p>
      <w:pPr>
        <w:jc w:val="both"/>
        <w:ind w:firstLine="2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 </w:t>
      </w:r>
      <w:r>
        <w:rPr>
          <w:rFonts w:ascii="Times New Roman" w:cs="Times New Roman" w:eastAsia="Times New Roman" w:hAnsi="Times New Roman"/>
          <w:sz w:val="18"/>
          <w:szCs w:val="18"/>
          <w:color w:val="auto"/>
        </w:rPr>
        <w:t>The change in net cash provided by operating activities for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net cash provided by operating activities for the same period in 2021 reflects less favorable changes in working capital.</w:t>
      </w:r>
    </w:p>
    <w:p>
      <w:pPr>
        <w:spacing w:after="0" w:line="187" w:lineRule="exact"/>
        <w:rPr>
          <w:sz w:val="20"/>
          <w:szCs w:val="20"/>
          <w:color w:val="auto"/>
        </w:rPr>
      </w:pPr>
    </w:p>
    <w:p>
      <w:pPr>
        <w:jc w:val="both"/>
        <w:ind w:firstLine="2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 </w:t>
      </w:r>
      <w:r>
        <w:rPr>
          <w:rFonts w:ascii="Times New Roman" w:cs="Times New Roman" w:eastAsia="Times New Roman" w:hAnsi="Times New Roman"/>
          <w:sz w:val="18"/>
          <w:szCs w:val="18"/>
          <w:color w:val="auto"/>
        </w:rPr>
        <w:t>Capital expenditures were $67 million for the nine months ended September 30, 2022 compared to $69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of 2021. Capital expenditures in 2022 were primarily related to the expansion of manufacturing capacity and equipment, and investments in systems and software to support the overall enterprise.</w:t>
      </w:r>
    </w:p>
    <w:p>
      <w:pPr>
        <w:spacing w:after="0" w:line="201" w:lineRule="exact"/>
        <w:rPr>
          <w:sz w:val="20"/>
          <w:szCs w:val="20"/>
          <w:color w:val="auto"/>
        </w:rPr>
      </w:pPr>
    </w:p>
    <w:p>
      <w:pPr>
        <w:jc w:val="both"/>
        <w:ind w:firstLine="2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for the nine months ended September 30, 2022 decreased to $89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$411 million used in the same period of 2021. The change was primarily due to increased net borrowings in the current year as compared to the prior year and less spent on share repurchases. We repurchased $300 million of shares for the nine months ended September 30, 2022 and returned $142 million to shareholders through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dividend payments. For additional information on share repurchases, refer to Note 5 in the Notes to the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Position</w:t>
      </w: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details our lines of credit and financing arrangements as of September 30, 2022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2"/>
        </w:trPr>
        <w:tc>
          <w:tcPr>
            <w:tcW w:w="9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maturities of long-term debt: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0" w:type="dxa"/>
            <w:vAlign w:val="bottom"/>
          </w:tcPr>
          <w:p>
            <w:pPr>
              <w:spacing w:after="0"/>
              <w:rPr>
                <w:sz w:val="1"/>
                <w:szCs w:val="1"/>
                <w:color w:val="auto"/>
              </w:rPr>
            </w:pPr>
          </w:p>
        </w:tc>
      </w:tr>
      <w:tr>
        <w:trPr>
          <w:trHeight w:val="209"/>
        </w:trPr>
        <w:tc>
          <w:tcPr>
            <w:tcW w:w="97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0"/>
        </w:trPr>
        <w:tc>
          <w:tcPr>
            <w:tcW w:w="9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maturities of long-term debt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Asset Securitization Program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27"/>
        </w:trPr>
        <w:tc>
          <w:tcPr>
            <w:tcW w:w="974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Credit agreement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27"/>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27"/>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0"/>
        </w:trPr>
        <w:tc>
          <w:tcPr>
            <w:tcW w:w="9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0" w:type="dxa"/>
            <w:vAlign w:val="bottom"/>
          </w:tcPr>
          <w:p>
            <w:pPr>
              <w:spacing w:after="0"/>
              <w:rPr>
                <w:sz w:val="1"/>
                <w:szCs w:val="1"/>
                <w:color w:val="auto"/>
              </w:rPr>
            </w:pPr>
          </w:p>
        </w:tc>
      </w:tr>
      <w:tr>
        <w:trPr>
          <w:trHeight w:val="22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1,604.5</w:t>
            </w:r>
          </w:p>
        </w:tc>
        <w:tc>
          <w:tcPr>
            <w:tcW w:w="0" w:type="dxa"/>
            <w:vAlign w:val="bottom"/>
          </w:tcPr>
          <w:p>
            <w:pPr>
              <w:spacing w:after="0"/>
              <w:rPr>
                <w:sz w:val="1"/>
                <w:szCs w:val="1"/>
                <w:color w:val="auto"/>
              </w:rPr>
            </w:pPr>
          </w:p>
        </w:tc>
      </w:tr>
      <w:tr>
        <w:trPr>
          <w:trHeight w:val="20"/>
        </w:trPr>
        <w:tc>
          <w:tcPr>
            <w:tcW w:w="9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320" w:hanging="313"/>
        <w:spacing w:after="0" w:line="238" w:lineRule="auto"/>
        <w:tabs>
          <w:tab w:leader="none" w:pos="17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available future borrowings on our Credit Agreement (as defined below) are $526.0 million, after being reduced by the outstanding borrowings and $2.0 million in outstanding standby letters of credit. Refer to Note 10 in the Notes to the Consolidated Financial Statements for more information.</w:t>
      </w:r>
    </w:p>
    <w:p>
      <w:pPr>
        <w:spacing w:after="0" w:line="36" w:lineRule="exact"/>
        <w:rPr>
          <w:rFonts w:ascii="Times New Roman" w:cs="Times New Roman" w:eastAsia="Times New Roman" w:hAnsi="Times New Roman"/>
          <w:sz w:val="22"/>
          <w:szCs w:val="22"/>
          <w:color w:val="auto"/>
          <w:vertAlign w:val="superscript"/>
        </w:rPr>
      </w:pPr>
    </w:p>
    <w:p>
      <w:pPr>
        <w:ind w:left="320" w:hanging="313"/>
        <w:spacing w:after="0" w:line="268" w:lineRule="auto"/>
        <w:tabs>
          <w:tab w:leader="none" w:pos="176"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maximum securitization amount ranges from $300.0 million to $450.0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Both our Asset Securitization Program as well as our $350.0 million 2023 Notes will mature in 2023. We are currently evaluating our options related to these obligations including refinancing and other alternatives. We do not believe that our options or alternatives will have any material impact on our results of operations or liquidity.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Credit Agreement</w:t>
      </w:r>
    </w:p>
    <w:p>
      <w:pPr>
        <w:spacing w:after="0" w:line="249"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In July 2021, we entered into a domestic credit facility (the “Credit Agreement”) with JPMorgan Chase Bank, N.A., as administrative agent, and the other lenders party thereto, which refinanced and replaced the Seventh Amended and Restated Credit Facility.</w:t>
      </w:r>
    </w:p>
    <w:p>
      <w:pPr>
        <w:spacing w:after="0" w:line="190"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210"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September 30, 2022, we believe we were in compliance with all covenant requirements.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Leverage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1" w:name="page32"/>
    <w:bookmarkEnd w:id="31"/>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123% at September 30, 2022 from 128% at December 31, 2021.</w:t>
      </w:r>
    </w:p>
    <w:p>
      <w:pPr>
        <w:spacing w:after="0" w:line="209"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As of September 30, 2022,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249" w:lineRule="exact"/>
        <w:rPr>
          <w:sz w:val="20"/>
          <w:szCs w:val="20"/>
          <w:color w:val="auto"/>
        </w:rPr>
      </w:pPr>
    </w:p>
    <w:p>
      <w:pPr>
        <w:jc w:val="both"/>
        <w:ind w:firstLine="241"/>
        <w:spacing w:after="0" w:line="252" w:lineRule="auto"/>
        <w:rPr>
          <w:sz w:val="20"/>
          <w:szCs w:val="20"/>
          <w:color w:val="auto"/>
        </w:rPr>
      </w:pPr>
      <w:r>
        <w:rPr>
          <w:rFonts w:ascii="Times New Roman" w:cs="Times New Roman" w:eastAsia="Times New Roman" w:hAnsi="Times New Roman"/>
          <w:sz w:val="18"/>
          <w:szCs w:val="18"/>
          <w:color w:val="auto"/>
        </w:rPr>
        <w:t>We believe our cash and cash equivalents of $41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$41 million as of September 30, 2022 was $19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 related to our Debt Obligations</w:t>
      </w:r>
    </w:p>
    <w:p>
      <w:pPr>
        <w:spacing w:after="0" w:line="228"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Our senior unsecured notes were issued by Lennox International Inc. (the "Parent") and are unconditionally guaranteed by certain of our subsidiaries (the "Guarantor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1" w:lineRule="exact"/>
        <w:rPr>
          <w:sz w:val="20"/>
          <w:szCs w:val="20"/>
          <w:color w:val="auto"/>
        </w:rPr>
      </w:pPr>
    </w:p>
    <w:p>
      <w:pPr>
        <w:jc w:val="both"/>
        <w:ind w:firstLine="241"/>
        <w:spacing w:after="0" w:line="255" w:lineRule="auto"/>
        <w:rPr>
          <w:sz w:val="20"/>
          <w:szCs w:val="20"/>
          <w:color w:val="auto"/>
        </w:rPr>
      </w:pPr>
      <w:r>
        <w:rPr>
          <w:rFonts w:ascii="Times New Roman" w:cs="Times New Roman" w:eastAsia="Times New Roman" w:hAnsi="Times New Roman"/>
          <w:sz w:val="18"/>
          <w:szCs w:val="18"/>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information regarding our commitments, contingencies and guarantees, see Note 4 in the Notes to the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recent accounting pronouncements that are expected to have a material impact on our financial statements and disclosures.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30"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2021. Our exposure to market risk has not changed materially since December 31, 2021.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51" w:lineRule="auto"/>
        <w:rPr>
          <w:sz w:val="20"/>
          <w:szCs w:val="20"/>
          <w:color w:val="auto"/>
        </w:rPr>
      </w:pPr>
      <w:r>
        <w:rPr>
          <w:rFonts w:ascii="Times New Roman" w:cs="Times New Roman" w:eastAsia="Times New Roman" w:hAnsi="Times New Roman"/>
          <w:sz w:val="18"/>
          <w:szCs w:val="18"/>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2022,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1" w:lineRule="exact"/>
        <w:rPr>
          <w:sz w:val="20"/>
          <w:szCs w:val="20"/>
          <w:color w:val="auto"/>
        </w:rPr>
      </w:pPr>
    </w:p>
    <w:p>
      <w:pPr>
        <w:jc w:val="both"/>
        <w:ind w:right="20" w:firstLine="241"/>
        <w:spacing w:after="0" w:line="277"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materially affected, or are reasonably likely to materially affect, our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62" w:lineRule="auto"/>
        <w:rPr>
          <w:sz w:val="20"/>
          <w:szCs w:val="20"/>
          <w:color w:val="auto"/>
        </w:rPr>
      </w:pPr>
      <w:r>
        <w:rPr>
          <w:rFonts w:ascii="Times New Roman" w:cs="Times New Roman" w:eastAsia="Times New Roman" w:hAnsi="Times New Roman"/>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2021, which could materially affect our business, financial condition or results of operations. There have been no material changes to our risk factors from those disclosed in our Annual Report on Form 10-K for the year ended December 31, 2021.</w:t>
      </w: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the third quarter of 2022, we purchased shares of our common stock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Approximate Dollar Value of</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95"/>
              <w:spacing w:after="0" w:line="161" w:lineRule="exact"/>
              <w:rPr>
                <w:sz w:val="20"/>
                <w:szCs w:val="20"/>
                <w:color w:val="auto"/>
              </w:rPr>
            </w:pPr>
            <w:r>
              <w:rPr>
                <w:rFonts w:ascii="Times New Roman" w:cs="Times New Roman" w:eastAsia="Times New Roman" w:hAnsi="Times New Roman"/>
                <w:sz w:val="16"/>
                <w:szCs w:val="16"/>
                <w:b w:val="1"/>
                <w:bCs w:val="1"/>
                <w:color w:val="auto"/>
              </w:rPr>
              <w:t>Shares that may yet be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restart"/>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20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uto"/>
              </w:rPr>
              <w:t>Purchased under our Share</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per Share (including</w:t>
            </w:r>
          </w:p>
        </w:tc>
        <w:tc>
          <w:tcPr>
            <w:tcW w:w="19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tcPr>
          <w:p>
            <w:pPr>
              <w:jc w:val="center"/>
              <w:ind w:right="75"/>
              <w:spacing w:after="0" w:line="161" w:lineRule="exact"/>
              <w:rPr>
                <w:sz w:val="20"/>
                <w:szCs w:val="20"/>
                <w:color w:val="auto"/>
              </w:rPr>
            </w:pPr>
            <w:r>
              <w:rPr>
                <w:rFonts w:ascii="Times New Roman" w:cs="Times New Roman" w:eastAsia="Times New Roman" w:hAnsi="Times New Roman"/>
                <w:sz w:val="16"/>
                <w:szCs w:val="16"/>
                <w:b w:val="1"/>
                <w:bCs w:val="1"/>
                <w:color w:val="auto"/>
                <w:w w:val="99"/>
              </w:rPr>
              <w:t>Repurchase Plans</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460" w:type="dxa"/>
            <w:vAlign w:val="bottom"/>
          </w:tcPr>
          <w:p>
            <w:pPr>
              <w:jc w:val="right"/>
              <w:spacing w:after="0" w:line="214" w:lineRule="exact"/>
              <w:rPr>
                <w:sz w:val="20"/>
                <w:szCs w:val="20"/>
                <w:color w:val="auto"/>
              </w:rPr>
            </w:pPr>
            <w:r>
              <w:rPr>
                <w:rFonts w:ascii="Times New Roman" w:cs="Times New Roman" w:eastAsia="Times New Roman" w:hAnsi="Times New Roman"/>
                <w:sz w:val="16"/>
                <w:szCs w:val="16"/>
                <w:b w:val="1"/>
                <w:bCs w:val="1"/>
                <w:color w:val="auto"/>
                <w:w w:val="98"/>
              </w:rPr>
              <w:t xml:space="preserve">Shares Purchased </w:t>
            </w:r>
            <w:r>
              <w:rPr>
                <w:rFonts w:ascii="Times New Roman" w:cs="Times New Roman" w:eastAsia="Times New Roman" w:hAnsi="Times New Roman"/>
                <w:sz w:val="20"/>
                <w:szCs w:val="20"/>
                <w:b w:val="1"/>
                <w:bCs w:val="1"/>
                <w:color w:val="auto"/>
                <w:w w:val="98"/>
                <w:vertAlign w:val="superscript"/>
              </w:rPr>
              <w:t>(1)</w:t>
            </w:r>
          </w:p>
        </w:tc>
        <w:tc>
          <w:tcPr>
            <w:tcW w:w="20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fees)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jc w:val="center"/>
              <w:ind w:right="75"/>
              <w:spacing w:after="0" w:line="214" w:lineRule="exact"/>
              <w:rPr>
                <w:sz w:val="20"/>
                <w:szCs w:val="20"/>
                <w:color w:val="auto"/>
              </w:rPr>
            </w:pPr>
            <w:r>
              <w:rPr>
                <w:rFonts w:ascii="Times New Roman" w:cs="Times New Roman" w:eastAsia="Times New Roman" w:hAnsi="Times New Roman"/>
                <w:sz w:val="16"/>
                <w:szCs w:val="16"/>
                <w:b w:val="1"/>
                <w:bCs w:val="1"/>
                <w:color w:val="auto"/>
                <w:w w:val="96"/>
              </w:rPr>
              <w:t xml:space="preserve">(in millions) </w:t>
            </w:r>
            <w:r>
              <w:rPr>
                <w:rFonts w:ascii="Times New Roman" w:cs="Times New Roman" w:eastAsia="Times New Roman" w:hAnsi="Times New Roman"/>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20"/>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2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244.15</w:t>
            </w:r>
          </w:p>
        </w:tc>
        <w:tc>
          <w:tcPr>
            <w:tcW w:w="240" w:type="dxa"/>
            <w:vAlign w:val="bottom"/>
          </w:tcPr>
          <w:p>
            <w:pPr>
              <w:spacing w:after="0"/>
              <w:rPr>
                <w:sz w:val="19"/>
                <w:szCs w:val="19"/>
                <w:color w:val="auto"/>
              </w:rPr>
            </w:pPr>
          </w:p>
        </w:tc>
        <w:tc>
          <w:tcPr>
            <w:tcW w:w="19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w:t>
            </w:r>
          </w:p>
        </w:tc>
        <w:tc>
          <w:tcPr>
            <w:tcW w:w="24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ind w:left="400" w:hanging="153"/>
        <w:spacing w:after="0" w:line="227" w:lineRule="auto"/>
        <w:tabs>
          <w:tab w:leader="none" w:pos="446"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shares of common stock we repurchased in July, August and September of 2022 to satisfy employee tax-withholding obligations in connection with the exercise of long-term incentive awards.</w:t>
      </w:r>
    </w:p>
    <w:p>
      <w:pPr>
        <w:spacing w:after="0" w:line="34" w:lineRule="exact"/>
        <w:rPr>
          <w:rFonts w:ascii="Times New Roman" w:cs="Times New Roman" w:eastAsia="Times New Roman" w:hAnsi="Times New Roman"/>
          <w:sz w:val="23"/>
          <w:szCs w:val="23"/>
          <w:color w:val="auto"/>
          <w:vertAlign w:val="superscript"/>
        </w:rPr>
      </w:pPr>
    </w:p>
    <w:p>
      <w:pPr>
        <w:ind w:left="400" w:hanging="153"/>
        <w:spacing w:after="0" w:line="267" w:lineRule="auto"/>
        <w:tabs>
          <w:tab w:leader="none" w:pos="417"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After $100.0 million related to the repurchase under the ASR agreement executed in May 2022. The stock repurchase was executed pursuant to a previously announced repurchase plan. See Note 5 in the Notes to the Consolidated Financial Statement for further details.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240" w:type="dxa"/>
            <w:vAlign w:val="bottom"/>
            <w:gridSpan w:val="21"/>
            <w:shd w:val="clear" w:color="auto" w:fill="CCEEFF"/>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Restated Certificate of Incorporation of Lennox International Inc. (“LII”) (filed as Exhibit 3.1 to LII's Annual Report on Form 10-K filed on</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80" w:type="dxa"/>
            <w:vAlign w:val="bottom"/>
            <w:tcBorders>
              <w:top w:val="single" w:sz="8" w:color="0000FF"/>
              <w:bottom w:val="single" w:sz="8" w:color="0000FF"/>
            </w:tcBorders>
            <w:gridSpan w:val="5"/>
            <w:shd w:val="clear" w:color="auto" w:fill="CCEEFF"/>
          </w:tcPr>
          <w:p>
            <w:pPr>
              <w:spacing w:after="0" w:line="154" w:lineRule="exact"/>
              <w:rPr>
                <w:rFonts w:ascii="Times New Roman" w:cs="Times New Roman" w:eastAsia="Times New Roman" w:hAnsi="Times New Roman"/>
                <w:sz w:val="17"/>
                <w:szCs w:val="17"/>
                <w:color w:val="0000FF"/>
              </w:rPr>
            </w:pPr>
            <w:hyperlink r:id="rId45">
              <w:r>
                <w:rPr>
                  <w:rFonts w:ascii="Times New Roman" w:cs="Times New Roman" w:eastAsia="Times New Roman" w:hAnsi="Times New Roman"/>
                  <w:sz w:val="17"/>
                  <w:szCs w:val="17"/>
                  <w:color w:val="0000FF"/>
                </w:rPr>
                <w:t>February 15, 2022 and incorporated herein by reference).</w:t>
              </w:r>
            </w:hyperlink>
          </w:p>
        </w:tc>
        <w:tc>
          <w:tcPr>
            <w:tcW w:w="590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LII (filed as Exhibit 3.2 to LII's Annual Report on Form 10-K filed on February 15, 2022 and incorporated</w:t>
              </w:r>
            </w:hyperlink>
          </w:p>
        </w:tc>
      </w:tr>
      <w:tr>
        <w:trPr>
          <w:trHeight w:val="154"/>
        </w:trPr>
        <w:tc>
          <w:tcPr>
            <w:tcW w:w="920" w:type="dxa"/>
            <w:vAlign w:val="bottom"/>
          </w:tcPr>
          <w:p>
            <w:pPr>
              <w:spacing w:after="0"/>
              <w:rPr>
                <w:sz w:val="13"/>
                <w:szCs w:val="13"/>
                <w:color w:val="auto"/>
              </w:rPr>
            </w:pPr>
          </w:p>
        </w:tc>
        <w:tc>
          <w:tcPr>
            <w:tcW w:w="10060" w:type="dxa"/>
            <w:vAlign w:val="bottom"/>
            <w:tcBorders>
              <w:top w:val="single" w:sz="8" w:color="0000FF"/>
            </w:tcBorders>
            <w:gridSpan w:val="13"/>
          </w:tcPr>
          <w:p>
            <w:pPr>
              <w:spacing w:after="0" w:line="154" w:lineRule="exact"/>
              <w:rPr>
                <w:rFonts w:ascii="Times New Roman" w:cs="Times New Roman" w:eastAsia="Times New Roman" w:hAnsi="Times New Roman"/>
                <w:sz w:val="17"/>
                <w:szCs w:val="17"/>
                <w:color w:val="0000FF"/>
              </w:rPr>
            </w:pPr>
            <w:hyperlink r:id="rId46">
              <w:r>
                <w:rPr>
                  <w:rFonts w:ascii="Times New Roman" w:cs="Times New Roman" w:eastAsia="Times New Roman" w:hAnsi="Times New Roman"/>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4.1</w:t>
            </w:r>
          </w:p>
        </w:tc>
        <w:tc>
          <w:tcPr>
            <w:tcW w:w="9920" w:type="dxa"/>
            <w:vAlign w:val="bottom"/>
            <w:tcBorders>
              <w:bottom w:val="single" w:sz="8" w:color="0000FF"/>
            </w:tcBorders>
            <w:gridSpan w:val="11"/>
            <w:shd w:val="clear" w:color="auto" w:fill="CCEEFF"/>
          </w:tcPr>
          <w:p>
            <w:pPr>
              <w:spacing w:after="0" w:line="187"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Indenture, dated as of May 3, 2010, between LII and U.S. Bank National Association, as trustee (filed as Exhibit 4.3 to LII’s Post-Effective</w:t>
              </w:r>
            </w:hyperlink>
          </w:p>
        </w:tc>
        <w:tc>
          <w:tcPr>
            <w:tcW w:w="320" w:type="dxa"/>
            <w:vAlign w:val="bottom"/>
            <w:tcBorders>
              <w:bottom w:val="single" w:sz="8" w:color="CCEEFF"/>
            </w:tcBorders>
            <w:gridSpan w:val="10"/>
            <w:shd w:val="clear" w:color="auto" w:fill="CCEEFF"/>
          </w:tcPr>
          <w:p>
            <w:pPr>
              <w:spacing w:after="0"/>
              <w:rPr>
                <w:sz w:val="16"/>
                <w:szCs w:val="16"/>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10220" w:type="dxa"/>
            <w:vAlign w:val="bottom"/>
            <w:tcBorders>
              <w:bottom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47">
              <w:r>
                <w:rPr>
                  <w:rFonts w:ascii="Times New Roman" w:cs="Times New Roman" w:eastAsia="Times New Roman" w:hAnsi="Times New Roman"/>
                  <w:sz w:val="17"/>
                  <w:szCs w:val="17"/>
                  <w:color w:val="0000FF"/>
                </w:rPr>
                <w:t>Amendment No. 1 to Registration Statement on S-3 (Registration No. 333-155796) filed on May 3, 2010 and incorporated herein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4.2</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8">
              <w:r>
                <w:rPr>
                  <w:rFonts w:ascii="Times New Roman" w:cs="Times New Roman" w:eastAsia="Times New Roman" w:hAnsi="Times New Roman"/>
                  <w:sz w:val="18"/>
                  <w:szCs w:val="18"/>
                  <w:color w:val="0000FF"/>
                  <w:w w:val="98"/>
                </w:rPr>
                <w:t>Sixth Supplemental Indenture, dated as of November 3, 2016, among LII, each other existing Guarantor under the Indenture, dated as of May 3</w:t>
              </w:r>
            </w:hyperlink>
          </w:p>
        </w:tc>
      </w:tr>
      <w:tr>
        <w:trPr>
          <w:trHeight w:val="154"/>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80" w:type="dxa"/>
            <w:vAlign w:val="bottom"/>
            <w:tcBorders>
              <w:top w:val="single" w:sz="8" w:color="0000FF"/>
            </w:tcBorders>
            <w:gridSpan w:val="18"/>
          </w:tcPr>
          <w:p>
            <w:pPr>
              <w:spacing w:after="0" w:line="16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filed on November 3, 2016 and incorporated herein by reference).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4.3</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Form of 3.000% Notes due 2023 (filed as Exhibit A in Exhibit 4.2 to LII’s Current Report on Form 8-K filed on November 3, 2016 and</w:t>
              </w:r>
            </w:hyperlink>
          </w:p>
        </w:tc>
      </w:tr>
      <w:tr>
        <w:trPr>
          <w:trHeight w:val="154"/>
        </w:trPr>
        <w:tc>
          <w:tcPr>
            <w:tcW w:w="920" w:type="dxa"/>
            <w:vAlign w:val="bottom"/>
            <w:tcBorders>
              <w:top w:val="single" w:sz="8" w:color="CCEEFF"/>
            </w:tcBorders>
            <w:shd w:val="clear" w:color="auto" w:fill="CCEEFF"/>
          </w:tcPr>
          <w:p>
            <w:pPr>
              <w:spacing w:after="0"/>
              <w:rPr>
                <w:sz w:val="13"/>
                <w:szCs w:val="13"/>
                <w:color w:val="auto"/>
              </w:rPr>
            </w:pPr>
          </w:p>
        </w:tc>
        <w:tc>
          <w:tcPr>
            <w:tcW w:w="9660" w:type="dxa"/>
            <w:vAlign w:val="bottom"/>
            <w:tcBorders>
              <w:top w:val="single" w:sz="8" w:color="0000FF"/>
            </w:tcBorders>
            <w:gridSpan w:val="9"/>
            <w:shd w:val="clear" w:color="auto" w:fill="CCEEFF"/>
          </w:tcPr>
          <w:p>
            <w:pPr>
              <w:spacing w:after="0" w:line="154" w:lineRule="exact"/>
              <w:rPr>
                <w:rFonts w:ascii="Times New Roman" w:cs="Times New Roman" w:eastAsia="Times New Roman" w:hAnsi="Times New Roman"/>
                <w:sz w:val="17"/>
                <w:szCs w:val="17"/>
                <w:color w:val="0000FF"/>
              </w:rPr>
            </w:pPr>
            <w:hyperlink r:id="rId48">
              <w:r>
                <w:rPr>
                  <w:rFonts w:ascii="Times New Roman" w:cs="Times New Roman" w:eastAsia="Times New Roman" w:hAnsi="Times New Roman"/>
                  <w:sz w:val="17"/>
                  <w:szCs w:val="17"/>
                  <w:color w:val="0000FF"/>
                </w:rPr>
                <w:t>incorporated herein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9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4.4</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Ninth Supplemental Indenture, dated as of July 30, 2020, among LII, each existing Guarantor under the Indenture, dated as of May 3, 2010, as</w:t>
              </w:r>
            </w:hyperlink>
          </w:p>
        </w:tc>
      </w:tr>
      <w:tr>
        <w:trPr>
          <w:trHeight w:val="154"/>
        </w:trPr>
        <w:tc>
          <w:tcPr>
            <w:tcW w:w="920" w:type="dxa"/>
            <w:vAlign w:val="bottom"/>
          </w:tcPr>
          <w:p>
            <w:pPr>
              <w:spacing w:after="0"/>
              <w:rPr>
                <w:sz w:val="13"/>
                <w:szCs w:val="13"/>
                <w:color w:val="auto"/>
              </w:rPr>
            </w:pPr>
          </w:p>
        </w:tc>
        <w:tc>
          <w:tcPr>
            <w:tcW w:w="1016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subsequently supplemented, and U.S. Bank National Association, as trustee (filed as Exhibit 4.2 to LII’s Current Report on Form 8-K filed on</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10120" w:type="dxa"/>
            <w:vAlign w:val="bottom"/>
            <w:tcBorders>
              <w:top w:val="single" w:sz="8" w:color="0000FF"/>
            </w:tcBorders>
            <w:gridSpan w:val="15"/>
          </w:tcPr>
          <w:p>
            <w:pPr>
              <w:spacing w:after="0" w:line="167"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July 30, 2020 and incorporated herein by reference).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4.5</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Form of 1.350% Notes due 2025 (filed as Exhibit A in Exhibit 4.2 to LII’s Current Report on Form 8-K filed on July 30, 2020 and incorporate</w:t>
              </w:r>
            </w:hyperlink>
          </w:p>
        </w:tc>
      </w:tr>
      <w:tr>
        <w:trPr>
          <w:trHeight w:val="187"/>
        </w:trPr>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0000FF"/>
              <w:bottom w:val="single" w:sz="8" w:color="0000FF"/>
            </w:tcBorders>
            <w:gridSpan w:val="2"/>
            <w:shd w:val="clear" w:color="auto" w:fill="CCEEFF"/>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87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4.6</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w w:val="98"/>
              </w:rPr>
            </w:pPr>
            <w:hyperlink r:id="rId49">
              <w:r>
                <w:rPr>
                  <w:rFonts w:ascii="Times New Roman" w:cs="Times New Roman" w:eastAsia="Times New Roman" w:hAnsi="Times New Roman"/>
                  <w:sz w:val="18"/>
                  <w:szCs w:val="18"/>
                  <w:color w:val="0000FF"/>
                  <w:w w:val="98"/>
                </w:rPr>
                <w:t>Form of 1.700% Notes due 2027 (filed as Exhibit B in Exhibit 4.2 to LII’s Current Report on Form 8-K filed on July 30, 2020 and incorporated</w:t>
              </w:r>
            </w:hyperlink>
          </w:p>
        </w:tc>
      </w:tr>
      <w:tr>
        <w:trPr>
          <w:trHeight w:val="154"/>
        </w:trPr>
        <w:tc>
          <w:tcPr>
            <w:tcW w:w="920" w:type="dxa"/>
            <w:vAlign w:val="bottom"/>
          </w:tcPr>
          <w:p>
            <w:pPr>
              <w:spacing w:after="0"/>
              <w:rPr>
                <w:sz w:val="13"/>
                <w:szCs w:val="13"/>
                <w:color w:val="auto"/>
              </w:rPr>
            </w:pPr>
          </w:p>
        </w:tc>
        <w:tc>
          <w:tcPr>
            <w:tcW w:w="1022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2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4.7</w:t>
            </w:r>
          </w:p>
        </w:tc>
        <w:tc>
          <w:tcPr>
            <w:tcW w:w="10240" w:type="dxa"/>
            <w:vAlign w:val="bottom"/>
            <w:gridSpan w:val="21"/>
            <w:shd w:val="clear" w:color="auto" w:fill="CCEEFF"/>
          </w:tcPr>
          <w:p>
            <w:pPr>
              <w:spacing w:after="0" w:line="187"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Tenth Supplemental Indenture, dated as of July 14, 2021, among LII, each existing Guarantor under the Indenture, dated as of May 3, 2010, as</w:t>
              </w:r>
            </w:hyperlink>
          </w:p>
        </w:tc>
      </w:tr>
      <w:tr>
        <w:trPr>
          <w:trHeight w:val="154"/>
        </w:trPr>
        <w:tc>
          <w:tcPr>
            <w:tcW w:w="920" w:type="dxa"/>
            <w:vAlign w:val="bottom"/>
            <w:tcBorders>
              <w:top w:val="single" w:sz="8" w:color="CCEEFF"/>
              <w:bottom w:val="single" w:sz="8" w:color="CCEEFF"/>
            </w:tcBorders>
            <w:shd w:val="clear" w:color="auto" w:fill="CCEEFF"/>
          </w:tcPr>
          <w:p>
            <w:pPr>
              <w:spacing w:after="0"/>
              <w:rPr>
                <w:sz w:val="13"/>
                <w:szCs w:val="13"/>
                <w:color w:val="auto"/>
              </w:rPr>
            </w:pPr>
          </w:p>
        </w:tc>
        <w:tc>
          <w:tcPr>
            <w:tcW w:w="10140" w:type="dxa"/>
            <w:vAlign w:val="bottom"/>
            <w:tcBorders>
              <w:top w:val="single" w:sz="8" w:color="0000FF"/>
              <w:bottom w:val="single" w:sz="8" w:color="0000FF"/>
            </w:tcBorders>
            <w:gridSpan w:val="16"/>
            <w:shd w:val="clear" w:color="auto" w:fill="CCEEFF"/>
          </w:tcPr>
          <w:p>
            <w:pPr>
              <w:spacing w:after="0" w:line="154"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subsequently supplemented, and U.S. Bank National Association, as trustee (filed as Exhibit 4.7 to LII's Annual Report on Form 10-K filed on</w:t>
              </w:r>
            </w:hyperlink>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87"/>
        </w:trPr>
        <w:tc>
          <w:tcPr>
            <w:tcW w:w="9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FF"/>
            </w:tcBorders>
            <w:gridSpan w:val="5"/>
            <w:shd w:val="clear" w:color="auto" w:fill="CCEEFF"/>
          </w:tcPr>
          <w:p>
            <w:pPr>
              <w:spacing w:after="0" w:line="167" w:lineRule="exact"/>
              <w:rPr>
                <w:rFonts w:ascii="Times New Roman" w:cs="Times New Roman" w:eastAsia="Times New Roman" w:hAnsi="Times New Roman"/>
                <w:sz w:val="18"/>
                <w:szCs w:val="18"/>
                <w:color w:val="0000FF"/>
                <w:w w:val="98"/>
              </w:rPr>
            </w:pPr>
            <w:hyperlink r:id="rId50">
              <w:r>
                <w:rPr>
                  <w:rFonts w:ascii="Times New Roman" w:cs="Times New Roman" w:eastAsia="Times New Roman" w:hAnsi="Times New Roman"/>
                  <w:sz w:val="18"/>
                  <w:szCs w:val="18"/>
                  <w:color w:val="0000FF"/>
                  <w:w w:val="98"/>
                </w:rPr>
                <w:t>February 15, 2022 and incorporated herein by reference).</w:t>
              </w:r>
            </w:hyperlink>
          </w:p>
        </w:tc>
        <w:tc>
          <w:tcPr>
            <w:tcW w:w="6120" w:type="dxa"/>
            <w:vAlign w:val="bottom"/>
            <w:tcBorders>
              <w:bottom w:val="single" w:sz="8" w:color="CCEEFF"/>
            </w:tcBorders>
            <w:gridSpan w:val="14"/>
            <w:shd w:val="clear" w:color="auto" w:fill="CCEEFF"/>
          </w:tcPr>
          <w:p>
            <w:pPr>
              <w:spacing w:after="0"/>
              <w:rPr>
                <w:sz w:val="16"/>
                <w:szCs w:val="16"/>
                <w:color w:val="auto"/>
              </w:rPr>
            </w:pPr>
          </w:p>
        </w:tc>
        <w:tc>
          <w:tcPr>
            <w:tcW w:w="40" w:type="dxa"/>
            <w:vAlign w:val="bottom"/>
            <w:tcBorders>
              <w:bottom w:val="single" w:sz="8" w:color="CCEEFF"/>
            </w:tcBorders>
            <w:gridSpan w:val="2"/>
            <w:shd w:val="clear" w:color="auto" w:fill="CCEEFF"/>
          </w:tcPr>
          <w:p>
            <w:pPr>
              <w:spacing w:after="0"/>
              <w:rPr>
                <w:sz w:val="16"/>
                <w:szCs w:val="16"/>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22.1</w:t>
            </w:r>
          </w:p>
        </w:tc>
        <w:tc>
          <w:tcPr>
            <w:tcW w:w="10240" w:type="dxa"/>
            <w:vAlign w:val="bottom"/>
            <w:gridSpan w:val="21"/>
          </w:tcPr>
          <w:p>
            <w:pPr>
              <w:spacing w:after="0" w:line="187"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List of Guarantor Subsidiaries (filed as Exhibit 22.1 to LII's Annual Report on Form 10-K filed on February 15, 2022 and incorporated herein</w:t>
              </w:r>
            </w:hyperlink>
          </w:p>
        </w:tc>
      </w:tr>
      <w:tr>
        <w:trPr>
          <w:trHeight w:val="154"/>
        </w:trPr>
        <w:tc>
          <w:tcPr>
            <w:tcW w:w="920" w:type="dxa"/>
            <w:vAlign w:val="bottom"/>
          </w:tcPr>
          <w:p>
            <w:pPr>
              <w:spacing w:after="0"/>
              <w:rPr>
                <w:sz w:val="13"/>
                <w:szCs w:val="13"/>
                <w:color w:val="auto"/>
              </w:rPr>
            </w:pPr>
          </w:p>
        </w:tc>
        <w:tc>
          <w:tcPr>
            <w:tcW w:w="1010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by reference).</w:t>
              </w:r>
            </w:hyperlink>
          </w:p>
        </w:tc>
        <w:tc>
          <w:tcPr>
            <w:tcW w:w="140" w:type="dxa"/>
            <w:vAlign w:val="bottom"/>
            <w:gridSpan w:val="7"/>
          </w:tcPr>
          <w:p>
            <w:pPr>
              <w:spacing w:after="0"/>
              <w:rPr>
                <w:sz w:val="13"/>
                <w:szCs w:val="13"/>
                <w:color w:val="auto"/>
              </w:rPr>
            </w:pPr>
          </w:p>
        </w:tc>
      </w:tr>
      <w:tr>
        <w:trPr>
          <w:trHeight w:val="33"/>
        </w:trPr>
        <w:tc>
          <w:tcPr>
            <w:tcW w:w="920" w:type="dxa"/>
            <w:vAlign w:val="bottom"/>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31.1</w:t>
            </w:r>
          </w:p>
        </w:tc>
        <w:tc>
          <w:tcPr>
            <w:tcW w:w="4480" w:type="dxa"/>
            <w:vAlign w:val="bottom"/>
            <w:tcBorders>
              <w:bottom w:val="single" w:sz="8" w:color="0000FF"/>
            </w:tcBorders>
            <w:gridSpan w:val="7"/>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(filed herewith).</w:t>
            </w:r>
          </w:p>
        </w:tc>
        <w:tc>
          <w:tcPr>
            <w:tcW w:w="5760" w:type="dxa"/>
            <w:vAlign w:val="bottom"/>
            <w:tcBorders>
              <w:bottom w:val="single" w:sz="8" w:color="CCEEFF"/>
            </w:tcBorders>
            <w:gridSpan w:val="14"/>
            <w:shd w:val="clear" w:color="auto" w:fill="CCEEFF"/>
          </w:tcPr>
          <w:p>
            <w:pPr>
              <w:spacing w:after="0"/>
              <w:rPr>
                <w:sz w:val="18"/>
                <w:szCs w:val="18"/>
                <w:color w:val="auto"/>
              </w:rPr>
            </w:pPr>
          </w:p>
        </w:tc>
      </w:tr>
      <w:tr>
        <w:trPr>
          <w:trHeight w:val="187"/>
        </w:trPr>
        <w:tc>
          <w:tcPr>
            <w:tcW w:w="92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1"/>
          </w:tcPr>
          <w:p>
            <w:pPr>
              <w:spacing w:after="0" w:line="187" w:lineRule="exact"/>
              <w:rPr>
                <w:sz w:val="20"/>
                <w:szCs w:val="20"/>
                <w:color w:val="auto"/>
              </w:rPr>
            </w:pPr>
            <w:r>
              <w:rPr>
                <w:rFonts w:ascii="Times New Roman" w:cs="Times New Roman" w:eastAsia="Times New Roman" w:hAnsi="Times New Roman"/>
                <w:sz w:val="18"/>
                <w:szCs w:val="18"/>
                <w:color w:val="0000FF"/>
              </w:rPr>
              <w:t>Certification of the principal financial officer (filed herewith).</w:t>
            </w:r>
          </w:p>
        </w:tc>
      </w:tr>
      <w:tr>
        <w:trPr>
          <w:trHeight w:val="20"/>
        </w:trPr>
        <w:tc>
          <w:tcPr>
            <w:tcW w:w="920" w:type="dxa"/>
            <w:vAlign w:val="bottom"/>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20" w:type="dxa"/>
            <w:vAlign w:val="bottom"/>
            <w:tcBorders>
              <w:bottom w:val="single" w:sz="8" w:color="CCEEFF"/>
            </w:tcBorders>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FF"/>
            </w:tcBorders>
            <w:gridSpan w:val="10"/>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0000FF"/>
                <w:w w:val="98"/>
              </w:rPr>
              <w:t>Certification of the principal executive officer and the principal financial officer pursuant to 18 U.S.C. Section 1350 (furnished herewith).</w:t>
            </w:r>
          </w:p>
        </w:tc>
        <w:tc>
          <w:tcPr>
            <w:tcW w:w="420" w:type="dxa"/>
            <w:vAlign w:val="bottom"/>
            <w:tcBorders>
              <w:bottom w:val="single" w:sz="8" w:color="CCEEFF"/>
            </w:tcBorders>
            <w:gridSpan w:val="11"/>
            <w:shd w:val="clear" w:color="auto" w:fill="CCEEFF"/>
          </w:tcPr>
          <w:p>
            <w:pPr>
              <w:spacing w:after="0"/>
              <w:rPr>
                <w:sz w:val="18"/>
                <w:szCs w:val="18"/>
                <w:color w:val="auto"/>
              </w:rPr>
            </w:pP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INS XBRL Instance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SCH Inline XBRL Taxonomy Extension Schema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CAL Inline XBRL Taxonomy Extension Calculation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Inline XBRL Taxonomy Extension Label Linkbase Document</w:t>
            </w:r>
          </w:p>
        </w:tc>
      </w:tr>
      <w:tr>
        <w:trPr>
          <w:trHeight w:val="2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PRE Inline XBRL Taxonomy Extension Presentation Linkbase Document</w:t>
            </w:r>
          </w:p>
        </w:tc>
      </w:tr>
      <w:tr>
        <w:trPr>
          <w:trHeight w:val="227"/>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auto"/>
              </w:rPr>
              <w:t>DEF Inline XBRL Taxonomy Extension Definition Linkbase Document</w:t>
            </w:r>
          </w:p>
        </w:tc>
      </w:tr>
    </w:tbl>
    <w:p>
      <w:pPr>
        <w:ind w:left="1160" w:hanging="895"/>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79" w:right="239" w:bottom="1440" w:gutter="0" w:footer="0" w:header="0"/>
        </w:sectPr>
      </w:pPr>
    </w:p>
    <w:bookmarkStart w:id="34" w:name="page35"/>
    <w:bookmarkEnd w:id="34"/>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1" w:lineRule="exact"/>
        <w:rPr>
          <w:sz w:val="20"/>
          <w:szCs w:val="20"/>
          <w:color w:val="auto"/>
        </w:rPr>
      </w:pPr>
    </w:p>
    <w:p>
      <w:pPr>
        <w:ind w:firstLine="2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Joseph W. Reitmeier</w:t>
      </w:r>
    </w:p>
    <w:p>
      <w:pPr>
        <w:spacing w:after="0" w:line="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(on behalf of registrant and as principal financial officer)</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420"/>
          </w:cols>
          <w:pgMar w:left="320" w:top="1119" w:right="11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960" w:right="180" w:hanging="312"/>
        <w:spacing w:after="0" w:line="262"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960" w:right="480" w:hanging="312"/>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960" w:right="640" w:hanging="312"/>
        <w:spacing w:after="0" w:line="308" w:lineRule="auto"/>
        <w:tabs>
          <w:tab w:leader="none" w:pos="9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960" w:right="180" w:hanging="312"/>
        <w:spacing w:after="0" w:line="262"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960" w:right="80" w:hanging="312"/>
        <w:spacing w:after="0" w:line="277" w:lineRule="auto"/>
        <w:tabs>
          <w:tab w:leader="none" w:pos="9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Times New Roman" w:cs="Times New Roman" w:eastAsia="Times New Roman" w:hAnsi="Times New Roman"/>
          <w:sz w:val="18"/>
          <w:szCs w:val="18"/>
          <w:color w:val="auto"/>
        </w:rPr>
      </w:pPr>
    </w:p>
    <w:p>
      <w:pPr>
        <w:ind w:left="960" w:right="40" w:hanging="312"/>
        <w:spacing w:after="0" w:line="277" w:lineRule="auto"/>
        <w:tabs>
          <w:tab w:leader="none" w:pos="9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W. Reitmeier, certify that:</w:t>
      </w:r>
    </w:p>
    <w:p>
      <w:pPr>
        <w:spacing w:after="0" w:line="114" w:lineRule="exact"/>
        <w:rPr>
          <w:sz w:val="20"/>
          <w:szCs w:val="20"/>
          <w:color w:val="auto"/>
        </w:rPr>
      </w:pPr>
    </w:p>
    <w:p>
      <w:pPr>
        <w:ind w:left="640" w:hanging="633"/>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Lennox International Inc.;</w:t>
      </w:r>
    </w:p>
    <w:p>
      <w:pPr>
        <w:spacing w:after="0" w:line="113" w:lineRule="exact"/>
        <w:rPr>
          <w:rFonts w:ascii="Times New Roman" w:cs="Times New Roman" w:eastAsia="Times New Roman" w:hAnsi="Times New Roman"/>
          <w:sz w:val="18"/>
          <w:szCs w:val="18"/>
          <w:color w:val="auto"/>
        </w:rPr>
      </w:pPr>
    </w:p>
    <w:p>
      <w:pPr>
        <w:jc w:val="both"/>
        <w:ind w:left="640" w:right="24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Times New Roman" w:cs="Times New Roman" w:eastAsia="Times New Roman" w:hAnsi="Times New Roman"/>
          <w:sz w:val="18"/>
          <w:szCs w:val="18"/>
          <w:color w:val="auto"/>
        </w:rPr>
      </w:pPr>
    </w:p>
    <w:p>
      <w:pPr>
        <w:jc w:val="both"/>
        <w:ind w:left="640" w:right="220" w:hanging="633"/>
        <w:spacing w:after="0" w:line="262"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8"/>
          <w:szCs w:val="18"/>
          <w:color w:val="auto"/>
        </w:rPr>
      </w:pPr>
    </w:p>
    <w:p>
      <w:pPr>
        <w:ind w:left="1280" w:right="40" w:hanging="632"/>
        <w:spacing w:after="0" w:line="262" w:lineRule="auto"/>
        <w:tabs>
          <w:tab w:leader="none" w:pos="12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Times New Roman" w:cs="Times New Roman" w:eastAsia="Times New Roman" w:hAnsi="Times New Roman"/>
          <w:sz w:val="18"/>
          <w:szCs w:val="18"/>
          <w:color w:val="auto"/>
        </w:rPr>
      </w:pPr>
    </w:p>
    <w:p>
      <w:pPr>
        <w:ind w:left="1280" w:right="160" w:hanging="632"/>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Times New Roman" w:cs="Times New Roman" w:eastAsia="Times New Roman" w:hAnsi="Times New Roman"/>
          <w:sz w:val="18"/>
          <w:szCs w:val="18"/>
          <w:color w:val="auto"/>
        </w:rPr>
      </w:pPr>
    </w:p>
    <w:p>
      <w:pPr>
        <w:jc w:val="both"/>
        <w:ind w:left="1280" w:right="320" w:hanging="632"/>
        <w:spacing w:after="0" w:line="308"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2" w:lineRule="exact"/>
        <w:rPr>
          <w:rFonts w:ascii="Times New Roman" w:cs="Times New Roman" w:eastAsia="Times New Roman" w:hAnsi="Times New Roman"/>
          <w:sz w:val="17"/>
          <w:szCs w:val="17"/>
          <w:color w:val="auto"/>
        </w:rPr>
      </w:pPr>
    </w:p>
    <w:p>
      <w:pPr>
        <w:ind w:left="1280" w:right="40" w:hanging="632"/>
        <w:spacing w:after="0" w:line="262"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Times New Roman" w:cs="Times New Roman" w:eastAsia="Times New Roman" w:hAnsi="Times New Roman"/>
          <w:sz w:val="18"/>
          <w:szCs w:val="18"/>
          <w:color w:val="auto"/>
        </w:rPr>
      </w:pPr>
    </w:p>
    <w:p>
      <w:pPr>
        <w:ind w:left="640" w:right="200" w:hanging="633"/>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Times New Roman" w:cs="Times New Roman" w:eastAsia="Times New Roman" w:hAnsi="Times New Roman"/>
          <w:sz w:val="18"/>
          <w:szCs w:val="18"/>
          <w:color w:val="auto"/>
        </w:rPr>
      </w:pPr>
    </w:p>
    <w:p>
      <w:pPr>
        <w:ind w:left="1280" w:right="580" w:hanging="632"/>
        <w:spacing w:after="0" w:line="308" w:lineRule="auto"/>
        <w:tabs>
          <w:tab w:leader="none" w:pos="127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Times New Roman" w:cs="Times New Roman" w:eastAsia="Times New Roman" w:hAnsi="Times New Roman"/>
          <w:sz w:val="17"/>
          <w:szCs w:val="17"/>
          <w:color w:val="auto"/>
        </w:rPr>
      </w:pPr>
    </w:p>
    <w:p>
      <w:pPr>
        <w:ind w:left="1280" w:right="260" w:hanging="632"/>
        <w:spacing w:after="0" w:line="277" w:lineRule="auto"/>
        <w:tabs>
          <w:tab w:leader="none" w:pos="127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27, 2022</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15875</wp:posOffset>
            </wp:positionV>
            <wp:extent cx="2781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8"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Lennox International Inc. (the “Company”) on Form 10-Q for the Quarter ended September 30, 2022 as filed with the Securities and Exchange Commission on the date hereof (the “Report”), each of the undersigned, Alok Maskara,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29" w:lineRule="exact"/>
        <w:rPr>
          <w:sz w:val="20"/>
          <w:szCs w:val="20"/>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7"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Alok Maskara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2022</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781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W. Reitmeier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2022</w:t>
      </w:r>
    </w:p>
    <w:p>
      <w:pPr>
        <w:spacing w:after="0" w:line="167" w:lineRule="exact"/>
        <w:rPr>
          <w:sz w:val="20"/>
          <w:szCs w:val="20"/>
          <w:color w:val="auto"/>
        </w:rPr>
      </w:pPr>
    </w:p>
    <w:p>
      <w:pPr>
        <w:ind w:right="80" w:firstLine="441"/>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972"/>
    </w:lvl>
  </w:abstractNum>
  <w:abstractNum w:abstractNumId="3">
    <w:nsid w:val="4DB127F8"/>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216231B"/>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5">
    <w:nsid w:val="1F16E9E8"/>
    <w:multiLevelType w:val="hybridMultilevel"/>
    <w:lvl w:ilvl="0">
      <w:lvlJc w:val="left"/>
      <w:lvlText w:val="%1."/>
      <w:numFmt w:val="decimal"/>
      <w:start w:val="7"/>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45" Type="http://schemas.openxmlformats.org/officeDocument/2006/relationships/hyperlink" Target="https://www.sec.gov/Archives/edgar/data/0001069202/000162828022002664/lii-ex31_20211231x10k.htm" TargetMode="External"/><Relationship Id="rId46" Type="http://schemas.openxmlformats.org/officeDocument/2006/relationships/hyperlink" Target="https://www.sec.gov/Archives/edgar/data/0001069202/000162828022002664/lii-ex32_20211231x10k.htm" TargetMode="External"/><Relationship Id="rId47" Type="http://schemas.openxmlformats.org/officeDocument/2006/relationships/hyperlink" Target="https://www.sec.gov/Archives/edgar/data/1017609/000095012310042399/d72548exv4w3.htm" TargetMode="External"/><Relationship Id="rId48" Type="http://schemas.openxmlformats.org/officeDocument/2006/relationships/hyperlink" Target="https://www.sec.gov/Archives/edgar/data/1069202/000119312516758285/d284193dex42.htm" TargetMode="External"/><Relationship Id="rId49" Type="http://schemas.openxmlformats.org/officeDocument/2006/relationships/hyperlink" Target="https://www.sec.gov/Archives/edgar/data/1069202/000119312520203588/d22651dex42.htm" TargetMode="External"/><Relationship Id="rId50" Type="http://schemas.openxmlformats.org/officeDocument/2006/relationships/hyperlink" Target="https://www.sec.gov/Archives/edgar/data/1069202/000162828022002664/lii-ex47_20211231x10k.htm" TargetMode="External"/><Relationship Id="rId51" Type="http://schemas.openxmlformats.org/officeDocument/2006/relationships/hyperlink" Target="https://www.sec.gov/Archives/edgar/data/1069202/000162828022002664/lii-ex221_2021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2022-10-27T10:43:26Z</dcterms:created>
  <dcterms:modified xsi:type="dcterms:W3CDTF">2022-10-27T10:43:26Z</dcterms:modified>
</cp:coreProperties>
</file>