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38" w:lineRule="exact"/>
        <w:rPr>
          <w:sz w:val="24"/>
          <w:szCs w:val="24"/>
          <w:color w:val="auto"/>
        </w:rPr>
      </w:pPr>
    </w:p>
    <w:p>
      <w:pPr>
        <w:ind w:left="3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ind w:left="4380"/>
        <w:spacing w:after="0"/>
        <w:rPr>
          <w:sz w:val="20"/>
          <w:szCs w:val="20"/>
          <w:color w:val="auto"/>
        </w:rPr>
      </w:pPr>
      <w:r>
        <w:rPr>
          <w:rFonts w:ascii="Arial" w:cs="Arial" w:eastAsia="Arial" w:hAnsi="Arial"/>
          <w:sz w:val="25"/>
          <w:szCs w:val="25"/>
          <w:b w:val="1"/>
          <w:bCs w:val="1"/>
          <w:color w:val="auto"/>
        </w:rPr>
        <w:t>Washington, D. C. 20549</w:t>
      </w:r>
    </w:p>
    <w:p>
      <w:pPr>
        <w:ind w:left="396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_________________________________________________</w:t>
      </w:r>
    </w:p>
    <w:p>
      <w:pPr>
        <w:spacing w:after="0" w:line="18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1"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For the quarterly period ended June 30, 2019</w:t>
      </w:r>
    </w:p>
    <w:p>
      <w:pPr>
        <w:spacing w:after="0" w:line="4"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69"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1"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For the transition period from _____to 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7"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LENNOX INTERNATIONAL INC</w:t>
      </w:r>
      <w:r>
        <w:rPr>
          <w:rFonts w:ascii="Arial" w:cs="Arial" w:eastAsia="Arial" w:hAnsi="Arial"/>
          <w:sz w:val="36"/>
          <w:szCs w:val="36"/>
          <w:b w:val="1"/>
          <w:bCs w:val="1"/>
          <w:color w:val="auto"/>
        </w:rPr>
        <w:t>.</w:t>
      </w:r>
    </w:p>
    <w:p>
      <w:pPr>
        <w:spacing w:after="0" w:line="57"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13"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72"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(972-497-5000)</w:t>
      </w:r>
    </w:p>
    <w:p>
      <w:pPr>
        <w:spacing w:after="0" w:line="9" w:lineRule="exact"/>
        <w:rPr>
          <w:sz w:val="24"/>
          <w:szCs w:val="24"/>
          <w:color w:val="auto"/>
        </w:rPr>
      </w:pPr>
    </w:p>
    <w:p>
      <w:pPr>
        <w:jc w:val="right"/>
        <w:ind w:right="352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right"/>
        <w:ind w:right="35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43" w:right="239" w:bottom="1440" w:gutter="0" w:footer="0" w:header="0"/>
        </w:sectPr>
      </w:pPr>
    </w:p>
    <w:p>
      <w:pPr>
        <w:spacing w:after="0" w:line="153" w:lineRule="exact"/>
        <w:rPr>
          <w:sz w:val="24"/>
          <w:szCs w:val="24"/>
          <w:color w:val="auto"/>
        </w:rPr>
      </w:pPr>
    </w:p>
    <w:p>
      <w:pPr>
        <w:jc w:val="center"/>
        <w:ind w:left="7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7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7" w:lineRule="exact"/>
        <w:rPr>
          <w:sz w:val="24"/>
          <w:szCs w:val="24"/>
          <w:color w:val="auto"/>
        </w:rPr>
      </w:pPr>
    </w:p>
    <w:p>
      <w:pPr>
        <w:sectPr>
          <w:pgSz w:w="11900" w:h="16838" w:orient="portrait"/>
          <w:cols w:equalWidth="0" w:num="3">
            <w:col w:w="4440" w:space="720"/>
            <w:col w:w="1480" w:space="720"/>
            <w:col w:w="4060"/>
          </w:cols>
          <w:pgMar w:left="240" w:top="643" w:right="239" w:bottom="1440" w:gutter="0" w:footer="0" w:header="0"/>
          <w:type w:val="continuous"/>
        </w:sectPr>
      </w:pPr>
    </w:p>
    <w:p>
      <w:pPr>
        <w:ind w:left="98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43" w:lineRule="exact"/>
        <w:rPr>
          <w:sz w:val="24"/>
          <w:szCs w:val="24"/>
          <w:color w:val="auto"/>
        </w:rPr>
      </w:pPr>
    </w:p>
    <w:p>
      <w:pPr>
        <w:sectPr>
          <w:pgSz w:w="11900" w:h="16838" w:orient="portrait"/>
          <w:cols w:equalWidth="0" w:num="3">
            <w:col w:w="5040" w:space="720"/>
            <w:col w:w="1520" w:space="720"/>
            <w:col w:w="3420"/>
          </w:cols>
          <w:pgMar w:left="240" w:top="643" w:right="239" w:bottom="1440" w:gutter="0" w:footer="0" w:header="0"/>
          <w:type w:val="continuous"/>
        </w:sectPr>
      </w:pPr>
    </w:p>
    <w:p>
      <w:pPr>
        <w:jc w:val="both"/>
        <w:ind w:firstLine="243"/>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jc w:val="both"/>
        <w:ind w:firstLine="243"/>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1"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p>
      <w:pPr>
        <w:ind w:left="740"/>
        <w:spacing w:after="0" w:line="221" w:lineRule="exact"/>
        <w:tabs>
          <w:tab w:leader="none" w:pos="3500" w:val="left"/>
          <w:tab w:leader="none" w:pos="7740" w:val="left"/>
          <w:tab w:leader="none" w:pos="104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9"/>
          <w:szCs w:val="19"/>
          <w:color w:val="auto"/>
        </w:rPr>
        <w:t>☐</w:t>
      </w:r>
    </w:p>
    <w:p>
      <w:pPr>
        <w:spacing w:after="0" w:line="131" w:lineRule="exact"/>
        <w:rPr>
          <w:sz w:val="24"/>
          <w:szCs w:val="24"/>
          <w:color w:val="auto"/>
        </w:rPr>
      </w:pPr>
    </w:p>
    <w:p>
      <w:pPr>
        <w:ind w:left="740"/>
        <w:spacing w:after="0" w:line="221" w:lineRule="exact"/>
        <w:tabs>
          <w:tab w:leader="none" w:pos="3500" w:val="left"/>
          <w:tab w:leader="none" w:pos="7740" w:val="left"/>
          <w:tab w:leader="none" w:pos="104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9"/>
          <w:szCs w:val="19"/>
          <w:color w:val="auto"/>
        </w:rPr>
        <w:t>☐</w:t>
      </w:r>
    </w:p>
    <w:p>
      <w:pPr>
        <w:spacing w:after="0" w:line="91" w:lineRule="exact"/>
        <w:rPr>
          <w:sz w:val="24"/>
          <w:szCs w:val="24"/>
          <w:color w:val="auto"/>
        </w:rPr>
      </w:pPr>
    </w:p>
    <w:p>
      <w:pPr>
        <w:ind w:left="7760"/>
        <w:spacing w:after="0" w:line="207" w:lineRule="exact"/>
        <w:tabs>
          <w:tab w:leader="none" w:pos="104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97" w:lineRule="exact"/>
        <w:rPr>
          <w:sz w:val="24"/>
          <w:szCs w:val="24"/>
          <w:color w:val="auto"/>
        </w:rPr>
      </w:pPr>
    </w:p>
    <w:p>
      <w:pPr>
        <w:ind w:firstLine="243"/>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 w:lineRule="exact"/>
        <w:rPr>
          <w:sz w:val="24"/>
          <w:szCs w:val="24"/>
          <w:color w:val="auto"/>
        </w:rPr>
      </w:pPr>
    </w:p>
    <w:p>
      <w:pPr>
        <w:jc w:val="both"/>
        <w:ind w:left="260" w:right="170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July 12, 2019, the number of shares outstanding of the registrant’s common stock, par value $0.01 per share, was 38,726,356.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3"/>
          </w:tcPr>
          <w:p>
            <w:pPr>
              <w:ind w:left="160"/>
              <w:spacing w:after="0"/>
              <w:rPr>
                <w:sz w:val="20"/>
                <w:szCs w:val="20"/>
                <w:color w:val="auto"/>
              </w:rPr>
            </w:pPr>
            <w:r>
              <w:rPr>
                <w:rFonts w:ascii="Arial" w:cs="Arial" w:eastAsia="Arial" w:hAnsi="Arial"/>
                <w:sz w:val="17"/>
                <w:szCs w:val="17"/>
                <w:b w:val="1"/>
                <w:bCs w:val="1"/>
                <w:color w:val="auto"/>
              </w:rPr>
              <w:t>Page</w:t>
            </w:r>
          </w:p>
        </w:tc>
      </w:tr>
      <w:tr>
        <w:trPr>
          <w:trHeight w:val="31"/>
        </w:trPr>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w:t>
            </w:r>
          </w:p>
        </w:tc>
        <w:tc>
          <w:tcPr>
            <w:tcW w:w="9900" w:type="dxa"/>
            <w:vAlign w:val="bottom"/>
            <w:gridSpan w:val="18"/>
            <w:shd w:val="clear" w:color="auto" w:fill="CCEEFF"/>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Balance Sheets - June 30, 2019 (Unaudited) and December 31, 2018</w:t>
            </w: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7"/>
          </w:tcPr>
          <w:p>
            <w:pPr>
              <w:spacing w:after="0"/>
              <w:rPr>
                <w:sz w:val="20"/>
                <w:szCs w:val="20"/>
                <w:color w:val="auto"/>
              </w:rPr>
            </w:pPr>
            <w:r>
              <w:rPr>
                <w:rFonts w:ascii="Arial" w:cs="Arial" w:eastAsia="Arial" w:hAnsi="Arial"/>
                <w:sz w:val="16"/>
                <w:szCs w:val="16"/>
                <w:color w:val="0000FF"/>
              </w:rPr>
              <w:t>Consolidated Statements of Operations (Unaudited) - Three Months and Six Months Ended June 30, 2019 and 2018</w:t>
            </w:r>
          </w:p>
        </w:tc>
        <w:tc>
          <w:tcPr>
            <w:tcW w:w="440" w:type="dxa"/>
            <w:vAlign w:val="bottom"/>
            <w:gridSpan w:val="2"/>
          </w:tcPr>
          <w:p>
            <w:pPr>
              <w:jc w:val="center"/>
              <w:ind w:left="1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320" w:type="dxa"/>
            <w:vAlign w:val="bottom"/>
            <w:gridSpan w:val="15"/>
            <w:shd w:val="clear" w:color="auto" w:fill="CCEEFF"/>
          </w:tcPr>
          <w:p>
            <w:pPr>
              <w:spacing w:after="0"/>
              <w:rPr>
                <w:sz w:val="20"/>
                <w:szCs w:val="20"/>
                <w:color w:val="auto"/>
              </w:rPr>
            </w:pPr>
            <w:r>
              <w:rPr>
                <w:rFonts w:ascii="Arial" w:cs="Arial" w:eastAsia="Arial" w:hAnsi="Arial"/>
                <w:sz w:val="16"/>
                <w:szCs w:val="16"/>
                <w:color w:val="0000FF"/>
                <w:w w:val="91"/>
              </w:rPr>
              <w:t>Consolidated Statements of Comprehensive Income (Unaudited) -Three Months and Six Months Ended June 30, 2019 and 2018</w:t>
            </w:r>
          </w:p>
        </w:tc>
        <w:tc>
          <w:tcPr>
            <w:tcW w:w="1340" w:type="dxa"/>
            <w:vAlign w:val="bottom"/>
            <w:gridSpan w:val="2"/>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7"/>
          </w:tcPr>
          <w:p>
            <w:pPr>
              <w:spacing w:after="0"/>
              <w:rPr>
                <w:sz w:val="20"/>
                <w:szCs w:val="20"/>
                <w:color w:val="auto"/>
              </w:rPr>
            </w:pPr>
            <w:r>
              <w:rPr>
                <w:rFonts w:ascii="Arial" w:cs="Arial" w:eastAsia="Arial" w:hAnsi="Arial"/>
                <w:sz w:val="16"/>
                <w:szCs w:val="16"/>
                <w:color w:val="0000FF"/>
              </w:rPr>
              <w:t>Consolidated Statements of Stockholders' (Deficit) Equity (Unaudited) - Three Months and Six Months Ended June 30, 2019 and 2018</w:t>
            </w:r>
          </w:p>
        </w:tc>
        <w:tc>
          <w:tcPr>
            <w:tcW w:w="440" w:type="dxa"/>
            <w:vAlign w:val="bottom"/>
            <w:gridSpan w:val="2"/>
          </w:tcPr>
          <w:p>
            <w:pPr>
              <w:jc w:val="center"/>
              <w:ind w:left="1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Statements of Cash Flows (Unaudited) - Six Months Ended June 30, 2019 and 2018</w:t>
            </w: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40" w:type="dxa"/>
            <w:vAlign w:val="bottom"/>
            <w:gridSpan w:val="13"/>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Notes to Consolidated Financial Statements (Unaudited)</w:t>
              </w:r>
            </w:hyperlink>
          </w:p>
        </w:tc>
        <w:tc>
          <w:tcPr>
            <w:tcW w:w="3320" w:type="dxa"/>
            <w:vAlign w:val="bottom"/>
            <w:gridSpan w:val="4"/>
          </w:tcPr>
          <w:p>
            <w:pPr>
              <w:spacing w:after="0"/>
              <w:rPr>
                <w:sz w:val="17"/>
                <w:szCs w:val="17"/>
                <w:color w:val="auto"/>
              </w:rPr>
            </w:pPr>
          </w:p>
        </w:tc>
        <w:tc>
          <w:tcPr>
            <w:tcW w:w="440" w:type="dxa"/>
            <w:vAlign w:val="bottom"/>
            <w:gridSpan w:val="2"/>
          </w:tcPr>
          <w:p>
            <w:pPr>
              <w:jc w:val="center"/>
              <w:ind w:left="150"/>
              <w:spacing w:after="0" w:line="202"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2. Management's Discussion and Analysis of Financial Condition and Results of Operations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35</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6300" w:type="dxa"/>
            <w:vAlign w:val="bottom"/>
            <w:gridSpan w:val="13"/>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3. Quantitative and Qualitative Disclosures About Market Risk</w:t>
              </w:r>
            </w:hyperlink>
          </w:p>
        </w:tc>
        <w:tc>
          <w:tcPr>
            <w:tcW w:w="3600" w:type="dxa"/>
            <w:vAlign w:val="bottom"/>
            <w:gridSpan w:val="5"/>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45</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8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Item 4.</w:t>
              </w:r>
            </w:hyperlink>
          </w:p>
        </w:tc>
        <w:tc>
          <w:tcPr>
            <w:tcW w:w="1620" w:type="dxa"/>
            <w:vAlign w:val="bottom"/>
            <w:gridSpan w:val="7"/>
            <w:shd w:val="clear" w:color="auto" w:fill="CCEEFF"/>
          </w:tcPr>
          <w:p>
            <w:pPr>
              <w:ind w:left="20"/>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Controls and Procedures</w:t>
              </w:r>
            </w:hyperlink>
          </w:p>
        </w:tc>
        <w:tc>
          <w:tcPr>
            <w:tcW w:w="7800" w:type="dxa"/>
            <w:vAlign w:val="bottom"/>
            <w:gridSpan w:val="9"/>
            <w:shd w:val="clear" w:color="auto" w:fill="CCEEFF"/>
          </w:tcPr>
          <w:p>
            <w:pPr>
              <w:spacing w:after="0"/>
              <w:rPr>
                <w:sz w:val="21"/>
                <w:szCs w:val="21"/>
                <w:color w:val="auto"/>
              </w:rPr>
            </w:pPr>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45</w:t>
              </w:r>
            </w:hyperlink>
          </w:p>
        </w:tc>
        <w:tc>
          <w:tcPr>
            <w:tcW w:w="240" w:type="dxa"/>
            <w:vAlign w:val="bottom"/>
            <w:shd w:val="clear" w:color="auto" w:fill="CCEEFF"/>
          </w:tcPr>
          <w:p>
            <w:pPr>
              <w:spacing w:after="0"/>
              <w:rPr>
                <w:sz w:val="21"/>
                <w:szCs w:val="21"/>
                <w:color w:val="auto"/>
              </w:rPr>
            </w:pPr>
          </w:p>
        </w:tc>
      </w:tr>
      <w:tr>
        <w:trPr>
          <w:trHeight w:val="203"/>
        </w:trPr>
        <w:tc>
          <w:tcPr>
            <w:tcW w:w="840" w:type="dxa"/>
            <w:vAlign w:val="bottom"/>
            <w:tcBorders>
              <w:top w:val="single" w:sz="8" w:color="CCEEFF"/>
            </w:tcBorders>
          </w:tcPr>
          <w:p>
            <w:pPr>
              <w:jc w:val="center"/>
              <w:spacing w:after="0"/>
              <w:rPr>
                <w:sz w:val="20"/>
                <w:szCs w:val="20"/>
                <w:color w:val="auto"/>
              </w:rPr>
            </w:pPr>
            <w:r>
              <w:rPr>
                <w:rFonts w:ascii="Arial" w:cs="Arial" w:eastAsia="Arial" w:hAnsi="Arial"/>
                <w:sz w:val="16"/>
                <w:szCs w:val="16"/>
                <w:b w:val="1"/>
                <w:bCs w:val="1"/>
                <w:color w:val="auto"/>
              </w:rPr>
              <w:t>Part II</w:t>
            </w:r>
          </w:p>
        </w:tc>
        <w:tc>
          <w:tcPr>
            <w:tcW w:w="2100" w:type="dxa"/>
            <w:vAlign w:val="bottom"/>
            <w:tcBorders>
              <w:top w:val="single" w:sz="8" w:color="0000FF"/>
            </w:tcBorders>
            <w:gridSpan w:val="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Other Information</w:t>
              </w:r>
            </w:hyperlink>
          </w:p>
        </w:tc>
        <w:tc>
          <w:tcPr>
            <w:tcW w:w="7800" w:type="dxa"/>
            <w:vAlign w:val="bottom"/>
            <w:tcBorders>
              <w:top w:val="single" w:sz="8" w:color="CCEEFF"/>
            </w:tcBorders>
            <w:gridSpan w:val="9"/>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Item 1.</w:t>
              </w:r>
            </w:hyperlink>
          </w:p>
        </w:tc>
        <w:tc>
          <w:tcPr>
            <w:tcW w:w="9420" w:type="dxa"/>
            <w:vAlign w:val="bottom"/>
            <w:gridSpan w:val="16"/>
            <w:shd w:val="clear" w:color="auto" w:fill="CCEEFF"/>
          </w:tcPr>
          <w:p>
            <w:pPr>
              <w:ind w:left="20"/>
              <w:spacing w:after="0"/>
              <w:rPr>
                <w:rFonts w:ascii="Arial" w:cs="Arial" w:eastAsia="Arial" w:hAnsi="Arial"/>
                <w:sz w:val="16"/>
                <w:szCs w:val="16"/>
                <w:color w:val="0000FF"/>
              </w:rPr>
            </w:pPr>
            <w:hyperlink w:anchor="page48">
              <w:r>
                <w:rPr>
                  <w:rFonts w:ascii="Arial" w:cs="Arial" w:eastAsia="Arial" w:hAnsi="Arial"/>
                  <w:sz w:val="16"/>
                  <w:szCs w:val="16"/>
                  <w:color w:val="0000FF"/>
                </w:rPr>
                <w:t>Legal Proceedings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45</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1A. Risk Factors</w:t>
              </w:r>
            </w:hyperlink>
          </w:p>
        </w:tc>
        <w:tc>
          <w:tcPr>
            <w:tcW w:w="8200" w:type="dxa"/>
            <w:vAlign w:val="bottom"/>
            <w:gridSpan w:val="11"/>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45</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9">
              <w:r>
                <w:rPr>
                  <w:rFonts w:ascii="Arial" w:cs="Arial" w:eastAsia="Arial" w:hAnsi="Arial"/>
                  <w:sz w:val="16"/>
                  <w:szCs w:val="16"/>
                  <w:color w:val="0000FF"/>
                  <w:w w:val="93"/>
                </w:rPr>
                <w:t>Item 2.</w:t>
              </w:r>
            </w:hyperlink>
          </w:p>
        </w:tc>
        <w:tc>
          <w:tcPr>
            <w:tcW w:w="9420" w:type="dxa"/>
            <w:vAlign w:val="bottom"/>
            <w:gridSpan w:val="16"/>
            <w:shd w:val="clear" w:color="auto" w:fill="CCEEFF"/>
          </w:tcPr>
          <w:p>
            <w:pPr>
              <w:ind w:left="20"/>
              <w:spacing w:after="0"/>
              <w:rPr>
                <w:rFonts w:ascii="Arial" w:cs="Arial" w:eastAsia="Arial" w:hAnsi="Arial"/>
                <w:sz w:val="16"/>
                <w:szCs w:val="16"/>
                <w:color w:val="0000FF"/>
              </w:rPr>
            </w:pPr>
            <w:hyperlink w:anchor="page49">
              <w:r>
                <w:rPr>
                  <w:rFonts w:ascii="Arial" w:cs="Arial" w:eastAsia="Arial" w:hAnsi="Arial"/>
                  <w:sz w:val="16"/>
                  <w:szCs w:val="16"/>
                  <w:color w:val="0000FF"/>
                </w:rPr>
                <w:t>Unregistered Sales of Equity Securities and Use of Proceeds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50">
              <w:r>
                <w:rPr>
                  <w:rFonts w:ascii="Arial" w:cs="Arial" w:eastAsia="Arial" w:hAnsi="Arial"/>
                  <w:sz w:val="16"/>
                  <w:szCs w:val="16"/>
                  <w:color w:val="0000FF"/>
                  <w:w w:val="93"/>
                </w:rPr>
                <w:t>Item 6.</w:t>
              </w:r>
            </w:hyperlink>
          </w:p>
        </w:tc>
        <w:tc>
          <w:tcPr>
            <w:tcW w:w="3940" w:type="dxa"/>
            <w:vAlign w:val="bottom"/>
            <w:gridSpan w:val="9"/>
          </w:tcPr>
          <w:p>
            <w:pPr>
              <w:ind w:left="20"/>
              <w:spacing w:after="0"/>
              <w:rPr>
                <w:rFonts w:ascii="Arial" w:cs="Arial" w:eastAsia="Arial" w:hAnsi="Arial"/>
                <w:sz w:val="16"/>
                <w:szCs w:val="16"/>
                <w:color w:val="0000FF"/>
              </w:rPr>
            </w:pPr>
            <w:hyperlink w:anchor="page50">
              <w:r>
                <w:rPr>
                  <w:rFonts w:ascii="Arial" w:cs="Arial" w:eastAsia="Arial" w:hAnsi="Arial"/>
                  <w:sz w:val="16"/>
                  <w:szCs w:val="16"/>
                  <w:color w:val="0000FF"/>
                </w:rPr>
                <w:t>Exhibits</w:t>
              </w:r>
            </w:hyperlink>
          </w:p>
        </w:tc>
        <w:tc>
          <w:tcPr>
            <w:tcW w:w="5480" w:type="dxa"/>
            <w:vAlign w:val="bottom"/>
            <w:gridSpan w:val="7"/>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47</w:t>
              </w:r>
            </w:hyperlink>
          </w:p>
        </w:tc>
        <w:tc>
          <w:tcPr>
            <w:tcW w:w="2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As of June 30, 2019</w:t>
            </w: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As of December 31, 2018</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8"/>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Assets: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Short-term investments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Accounts and notes receivable, net of allowances of $6.1 and $6.3 in 2019 and 2018,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472.7</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Inventories, net</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630.2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509.8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60.6</w:t>
            </w:r>
          </w:p>
        </w:tc>
      </w:tr>
      <w:tr>
        <w:trPr>
          <w:trHeight w:val="219"/>
        </w:trPr>
        <w:tc>
          <w:tcPr>
            <w:tcW w:w="7440" w:type="dxa"/>
            <w:vAlign w:val="bottom"/>
          </w:tcPr>
          <w:p>
            <w:pPr>
              <w:ind w:left="380"/>
              <w:spacing w:after="0"/>
              <w:rPr>
                <w:sz w:val="20"/>
                <w:szCs w:val="20"/>
                <w:color w:val="auto"/>
              </w:rPr>
            </w:pPr>
            <w:r>
              <w:rPr>
                <w:rFonts w:ascii="Arial" w:cs="Arial" w:eastAsia="Arial" w:hAnsi="Arial"/>
                <w:sz w:val="17"/>
                <w:szCs w:val="17"/>
                <w:color w:val="auto"/>
              </w:rPr>
              <w:t>Total current assets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1,443.9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1,089.4</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Property, plant and equipment, net of accumulated depreciation of $795.8 and $778.5 in 2019 and 2018,</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408.3</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Right-of-use assets from operating leases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166.2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186.6</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Deferred income taxes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67.0</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65.9</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2,340.4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1,817.2</w:t>
            </w:r>
          </w:p>
        </w:tc>
      </w:tr>
      <w:tr>
        <w:trPr>
          <w:trHeight w:val="271"/>
        </w:trPr>
        <w:tc>
          <w:tcPr>
            <w:tcW w:w="7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DEFICIT</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311.0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300.8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473.6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433.3</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20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1,008.5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1,155.8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740.5</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Pensions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82.8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135.0</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2,557.9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1,966.8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Stockholders' deficit:</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1,078.8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20"/>
                <w:szCs w:val="20"/>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1,979.4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1,855.0</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w w:val="97"/>
              </w:rPr>
              <w:t>Treasury stock, at cost, 48,144,394 shares and 47,312,248 shares for 2019 and 2018, respectively</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(3,154.0)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(2,895.5)</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(149.6)</w:t>
            </w:r>
          </w:p>
        </w:tc>
      </w:tr>
      <w:tr>
        <w:trPr>
          <w:trHeight w:val="24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deficit</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2,340.4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1,817.2</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1,099.1</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1,355.8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(gain) on sale of businesses and related property</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Insurance proceeds for lost profits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Discontinued Operations: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discontinued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175.5</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69"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860" w:type="dxa"/>
            <w:vAlign w:val="bottom"/>
            <w:gridSpan w:val="6"/>
          </w:tcPr>
          <w:p>
            <w:pPr>
              <w:ind w:left="60"/>
              <w:spacing w:after="0"/>
              <w:rPr>
                <w:sz w:val="20"/>
                <w:szCs w:val="20"/>
                <w:color w:val="auto"/>
              </w:rPr>
            </w:pPr>
            <w:r>
              <w:rPr>
                <w:rFonts w:ascii="Arial" w:cs="Arial" w:eastAsia="Arial" w:hAnsi="Arial"/>
                <w:sz w:val="16"/>
                <w:szCs w:val="16"/>
                <w:b w:val="1"/>
                <w:bCs w:val="1"/>
                <w:color w:val="auto"/>
                <w:w w:val="97"/>
              </w:rPr>
              <w:t>For the Three Months Ended June 30,</w:t>
            </w:r>
          </w:p>
        </w:tc>
        <w:tc>
          <w:tcPr>
            <w:tcW w:w="258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5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175.5</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w w:val="97"/>
              </w:rPr>
              <w:t>Reclassification of foreign currency translation adjustments into earnings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7"/>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pension and post-retirement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w w:val="94"/>
              </w:rPr>
              <w:t>Reclassification of pension and post-retirement benefit losses into earnings</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Change in available-for-sale marketable equity securities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fair value of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Reclassification of cash flow hedge losses (gains) into earnings</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income taxes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5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r>
      <w:tr>
        <w:trPr>
          <w:trHeight w:val="25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161.3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239.2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151.9</w:t>
            </w: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769" w:right="259" w:bottom="1440" w:gutter="0" w:footer="0" w:header="0"/>
        </w:sectPr>
      </w:pPr>
    </w:p>
    <w:bookmarkStart w:id="5" w:name="page6"/>
    <w:bookmarkEnd w:id="5"/>
    <w:p>
      <w:pPr>
        <w:jc w:val="center"/>
        <w:ind w:left="840" w:right="2300"/>
        <w:spacing w:after="0" w:line="258" w:lineRule="auto"/>
        <w:rPr>
          <w:sz w:val="20"/>
          <w:szCs w:val="20"/>
          <w:color w:val="auto"/>
        </w:rPr>
      </w:pPr>
      <w:r>
        <w:rPr>
          <w:rFonts w:ascii="Arial" w:cs="Arial" w:eastAsia="Arial" w:hAnsi="Arial"/>
          <w:sz w:val="16"/>
          <w:szCs w:val="16"/>
          <w:b w:val="1"/>
          <w:bCs w:val="1"/>
          <w:color w:val="auto"/>
        </w:rPr>
        <w:t>LENNOX INTERNATIONAL INC. AND SUBSIDIARIES CONSOLIDATED STATEMENTS OF STOCKHOLDERS' (DEFICIT) EQUITY For the Three and Six months ended June 30, 2019 and 2018 (Unaudited) (In millions, except per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7"/>
          </w:tcPr>
          <w:p>
            <w:pPr>
              <w:jc w:val="center"/>
              <w:spacing w:after="0"/>
              <w:rPr>
                <w:sz w:val="20"/>
                <w:szCs w:val="20"/>
                <w:color w:val="auto"/>
              </w:rPr>
            </w:pPr>
            <w:r>
              <w:rPr>
                <w:rFonts w:ascii="Arial" w:cs="Arial" w:eastAsia="Arial" w:hAnsi="Arial"/>
                <w:sz w:val="15"/>
                <w:szCs w:val="15"/>
                <w:b w:val="1"/>
                <w:bCs w:val="1"/>
                <w:color w:val="auto"/>
                <w:w w:val="92"/>
              </w:rPr>
              <w:t>Treasury Stock 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ind w:right="20"/>
              <w:spacing w:after="0" w:line="162" w:lineRule="exact"/>
              <w:rPr>
                <w:sz w:val="20"/>
                <w:szCs w:val="20"/>
                <w:color w:val="auto"/>
              </w:rPr>
            </w:pPr>
            <w:r>
              <w:rPr>
                <w:rFonts w:ascii="Arial" w:cs="Arial" w:eastAsia="Arial" w:hAnsi="Arial"/>
                <w:sz w:val="15"/>
                <w:szCs w:val="15"/>
                <w:b w:val="1"/>
                <w:bCs w:val="1"/>
                <w:color w:val="auto"/>
                <w:w w:val="92"/>
              </w:rPr>
              <w:t>Common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center"/>
              <w:ind w:right="480"/>
              <w:spacing w:after="0" w:line="162" w:lineRule="exact"/>
              <w:rPr>
                <w:sz w:val="20"/>
                <w:szCs w:val="20"/>
                <w:color w:val="auto"/>
              </w:rPr>
            </w:pPr>
            <w:r>
              <w:rPr>
                <w:rFonts w:ascii="Arial" w:cs="Arial" w:eastAsia="Arial" w:hAnsi="Arial"/>
                <w:sz w:val="15"/>
                <w:szCs w:val="15"/>
                <w:b w:val="1"/>
                <w:bCs w:val="1"/>
                <w:color w:val="auto"/>
                <w:w w:val="89"/>
              </w:rPr>
              <w:t>Cost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cente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88"/>
              </w:rPr>
              <w:t>Stock</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ind w:left="40"/>
              <w:spacing w:after="0" w:line="159" w:lineRule="exact"/>
              <w:rPr>
                <w:sz w:val="20"/>
                <w:szCs w:val="20"/>
                <w:color w:val="auto"/>
              </w:rPr>
            </w:pPr>
            <w:r>
              <w:rPr>
                <w:rFonts w:ascii="Arial" w:cs="Arial" w:eastAsia="Arial" w:hAnsi="Arial"/>
                <w:sz w:val="15"/>
                <w:szCs w:val="15"/>
                <w:b w:val="1"/>
                <w:bCs w:val="1"/>
                <w:color w:val="auto"/>
                <w:w w:val="94"/>
              </w:rPr>
              <w:t>Retained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gridSpan w:val="3"/>
            <w:vMerge w:val="restart"/>
          </w:tcPr>
          <w:p>
            <w:pPr>
              <w:jc w:val="center"/>
              <w:ind w:right="2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i w:val="1"/>
                <w:iCs w:val="1"/>
                <w:color w:val="auto"/>
              </w:rPr>
              <w:t>(For the three months ended June 30, 2019)</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Issued</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3"/>
              </w:rPr>
              <w:t>Earnings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5"/>
              </w:rPr>
              <w:t>Loss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83"/>
              </w:rPr>
              <w:t>Shares</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1,079.4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$1,898.7</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(180.2)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1"/>
              </w:rPr>
              <w:t>$ 47.6</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(3,003.6)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(204.8)</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110.7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Dividends, $0.77 per share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Foreign currency translation adjustments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ind w:right="3"/>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Pension and post-retirement liability changes, net of tax</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expense of $16.4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49.8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Stock-based compensation expense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in cash flow hedges, net of tax benefit of $0.8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Treasury shares reissued for common stock</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0.3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0.6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Treasury stock purchases</w:t>
            </w: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gridSpan w:val="2"/>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00" w:type="dxa"/>
            <w:vAlign w:val="bottom"/>
            <w:gridSpan w:val="2"/>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4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1,085.8</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$1,979.4</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(129.6)</w:t>
            </w:r>
          </w:p>
        </w:tc>
        <w:tc>
          <w:tcPr>
            <w:tcW w:w="4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$ 48.1</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(3,154.0)</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(217.5)</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7"/>
          </w:tcPr>
          <w:p>
            <w:pPr>
              <w:jc w:val="center"/>
              <w:ind w:right="40"/>
              <w:spacing w:after="0"/>
              <w:rPr>
                <w:sz w:val="20"/>
                <w:szCs w:val="20"/>
                <w:color w:val="auto"/>
              </w:rPr>
            </w:pPr>
            <w:r>
              <w:rPr>
                <w:rFonts w:ascii="Arial" w:cs="Arial" w:eastAsia="Arial" w:hAnsi="Arial"/>
                <w:sz w:val="15"/>
                <w:szCs w:val="15"/>
                <w:b w:val="1"/>
                <w:bCs w:val="1"/>
                <w:color w:val="auto"/>
                <w:w w:val="92"/>
              </w:rPr>
              <w:t>Treasury Stock at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Common</w:t>
            </w:r>
          </w:p>
        </w:tc>
        <w:tc>
          <w:tcPr>
            <w:tcW w:w="60" w:type="dxa"/>
            <w:vAlign w:val="bottom"/>
          </w:tcPr>
          <w:p>
            <w:pPr>
              <w:spacing w:after="0"/>
              <w:rPr>
                <w:sz w:val="14"/>
                <w:szCs w:val="14"/>
                <w:color w:val="auto"/>
              </w:rPr>
            </w:pPr>
          </w:p>
        </w:tc>
        <w:tc>
          <w:tcPr>
            <w:tcW w:w="800" w:type="dxa"/>
            <w:vAlign w:val="bottom"/>
            <w:gridSpan w:val="4"/>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center"/>
              <w:ind w:right="540"/>
              <w:spacing w:after="0" w:line="162" w:lineRule="exact"/>
              <w:rPr>
                <w:sz w:val="20"/>
                <w:szCs w:val="20"/>
                <w:color w:val="auto"/>
              </w:rPr>
            </w:pPr>
            <w:r>
              <w:rPr>
                <w:rFonts w:ascii="Arial" w:cs="Arial" w:eastAsia="Arial" w:hAnsi="Arial"/>
                <w:sz w:val="15"/>
                <w:szCs w:val="15"/>
                <w:b w:val="1"/>
                <w:bCs w:val="1"/>
                <w:color w:val="auto"/>
                <w:w w:val="89"/>
              </w:rPr>
              <w:t>Cost</w:t>
            </w:r>
          </w:p>
        </w:tc>
        <w:tc>
          <w:tcPr>
            <w:tcW w:w="80" w:type="dxa"/>
            <w:vAlign w:val="bottom"/>
          </w:tcPr>
          <w:p>
            <w:pPr>
              <w:spacing w:after="0"/>
              <w:rPr>
                <w:sz w:val="14"/>
                <w:szCs w:val="14"/>
                <w:color w:val="auto"/>
              </w:rPr>
            </w:pPr>
          </w:p>
        </w:tc>
        <w:tc>
          <w:tcPr>
            <w:tcW w:w="980" w:type="dxa"/>
            <w:vAlign w:val="bottom"/>
            <w:gridSpan w:val="4"/>
          </w:tcPr>
          <w:p>
            <w:pPr>
              <w:jc w:val="center"/>
              <w:ind w:right="4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Stock</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ind w:left="100"/>
              <w:spacing w:after="0" w:line="159"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jc w:val="right"/>
              <w:ind w:right="80"/>
              <w:spacing w:after="0" w:line="159" w:lineRule="exact"/>
              <w:rPr>
                <w:sz w:val="20"/>
                <w:szCs w:val="20"/>
                <w:color w:val="auto"/>
              </w:rPr>
            </w:pPr>
            <w:r>
              <w:rPr>
                <w:rFonts w:ascii="Arial" w:cs="Arial" w:eastAsia="Arial" w:hAnsi="Arial"/>
                <w:sz w:val="15"/>
                <w:szCs w:val="15"/>
                <w:b w:val="1"/>
                <w:bCs w:val="1"/>
                <w:color w:val="auto"/>
                <w:w w:val="88"/>
              </w:rPr>
              <w:t>Retained</w:t>
            </w:r>
          </w:p>
        </w:tc>
        <w:tc>
          <w:tcPr>
            <w:tcW w:w="80" w:type="dxa"/>
            <w:vAlign w:val="bottom"/>
          </w:tcPr>
          <w:p>
            <w:pPr>
              <w:spacing w:after="0"/>
              <w:rPr>
                <w:sz w:val="4"/>
                <w:szCs w:val="4"/>
                <w:color w:val="auto"/>
              </w:rPr>
            </w:pPr>
          </w:p>
        </w:tc>
        <w:tc>
          <w:tcPr>
            <w:tcW w:w="1120" w:type="dxa"/>
            <w:vAlign w:val="bottom"/>
            <w:gridSpan w:val="4"/>
            <w:vMerge w:val="restart"/>
          </w:tcPr>
          <w:p>
            <w:pPr>
              <w:jc w:val="center"/>
              <w:ind w:right="6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i w:val="1"/>
                <w:iCs w:val="1"/>
                <w:color w:val="auto"/>
              </w:rPr>
              <w:t>(For the three months ended June 30, 2018)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4"/>
              </w:rPr>
              <w:t>Issued</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3"/>
              </w:rPr>
              <w:t>Earnings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85"/>
              </w:rPr>
              <w:t>Loss</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Shares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8"/>
              </w:rPr>
              <w:t>Amount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5"/>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March 31, 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1,036.7</w:t>
            </w:r>
          </w:p>
        </w:tc>
        <w:tc>
          <w:tcPr>
            <w:tcW w:w="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$1,609.6</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(181.3)</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45.9</w:t>
            </w:r>
          </w:p>
        </w:tc>
        <w:tc>
          <w:tcPr>
            <w:tcW w:w="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(2,568.5)</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80"/>
              <w:spacing w:after="0" w:line="169" w:lineRule="exact"/>
              <w:rPr>
                <w:sz w:val="20"/>
                <w:szCs w:val="20"/>
                <w:color w:val="auto"/>
              </w:rPr>
            </w:pPr>
            <w:r>
              <w:rPr>
                <w:rFonts w:ascii="Arial" w:cs="Arial" w:eastAsia="Arial" w:hAnsi="Arial"/>
                <w:sz w:val="15"/>
                <w:szCs w:val="15"/>
                <w:color w:val="auto"/>
              </w:rPr>
              <w:t>Cumulative effect adjustment upon adoption of new</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ind w:left="280"/>
              <w:spacing w:after="0" w:line="162" w:lineRule="exact"/>
              <w:rPr>
                <w:sz w:val="20"/>
                <w:szCs w:val="20"/>
                <w:color w:val="auto"/>
              </w:rPr>
            </w:pPr>
            <w:r>
              <w:rPr>
                <w:rFonts w:ascii="Arial" w:cs="Arial" w:eastAsia="Arial" w:hAnsi="Arial"/>
                <w:sz w:val="15"/>
                <w:szCs w:val="15"/>
                <w:color w:val="auto"/>
              </w:rPr>
              <w:t>accounting standards (ASU 2016-16), (ASU 2018-02),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(ASU2016-1)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tcPr>
          <w:p>
            <w:pPr>
              <w:jc w:val="right"/>
              <w:ind w:right="23"/>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137.6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137.6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Dividends, $0.64 per share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(25.8)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Pension and post-retirement liability changes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0.7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Change in cash flow hedges, net of tax benefit of $0.8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0" w:type="dxa"/>
            <w:vAlign w:val="bottom"/>
            <w:gridSpan w:val="4"/>
            <w:shd w:val="clear" w:color="auto" w:fill="CCEEFF"/>
          </w:tcPr>
          <w:p>
            <w:pPr>
              <w:jc w:val="right"/>
              <w:ind w:right="3"/>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22.5</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color w:val="auto"/>
              </w:rPr>
              <w:t>1.0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gridSpan w:val="2"/>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(223.2)</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1,068.4</w:t>
            </w:r>
          </w:p>
        </w:tc>
        <w:tc>
          <w:tcPr>
            <w:tcW w:w="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$1,722.8</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(181.0)</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46.9</w:t>
            </w:r>
          </w:p>
        </w:tc>
        <w:tc>
          <w:tcPr>
            <w:tcW w:w="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(2,791.3)</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60"/>
          </w:cols>
          <w:pgMar w:left="820" w:top="585" w:right="819" w:bottom="1440" w:gutter="0" w:footer="0" w:header="0"/>
        </w:sectPr>
      </w:pPr>
    </w:p>
    <w:bookmarkStart w:id="6" w:name="page7"/>
    <w:bookmarkEnd w:id="6"/>
    <w:p>
      <w:pPr>
        <w:jc w:val="center"/>
        <w:ind w:left="840" w:right="2300"/>
        <w:spacing w:after="0" w:line="258" w:lineRule="auto"/>
        <w:rPr>
          <w:sz w:val="20"/>
          <w:szCs w:val="20"/>
          <w:color w:val="auto"/>
        </w:rPr>
      </w:pPr>
      <w:r>
        <w:rPr>
          <w:rFonts w:ascii="Arial" w:cs="Arial" w:eastAsia="Arial" w:hAnsi="Arial"/>
          <w:sz w:val="16"/>
          <w:szCs w:val="16"/>
          <w:b w:val="1"/>
          <w:bCs w:val="1"/>
          <w:color w:val="auto"/>
        </w:rPr>
        <w:t>LENNOX INTERNATIONAL INC. AND SUBSIDIARIES CONSOLIDATED STATEMENTS OF STOCKHOLDERS' (DEFICIT) EQUITY For the Three and Six months ended June 30, 2019 and 2018 (Unaudited) (In millions,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44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2"/>
              </w:rPr>
              <w:t>Treasury Stock at</w:t>
            </w:r>
          </w:p>
        </w:tc>
        <w:tc>
          <w:tcPr>
            <w:tcW w:w="14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Common</w:t>
            </w:r>
          </w:p>
        </w:tc>
        <w:tc>
          <w:tcPr>
            <w:tcW w:w="88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500" w:type="dxa"/>
            <w:vAlign w:val="bottom"/>
          </w:tcPr>
          <w:p>
            <w:pPr>
              <w:spacing w:after="0"/>
              <w:rPr>
                <w:sz w:val="14"/>
                <w:szCs w:val="14"/>
                <w:color w:val="auto"/>
              </w:rPr>
            </w:pPr>
          </w:p>
        </w:tc>
        <w:tc>
          <w:tcPr>
            <w:tcW w:w="940" w:type="dxa"/>
            <w:vAlign w:val="bottom"/>
            <w:gridSpan w:val="3"/>
          </w:tcPr>
          <w:p>
            <w:pPr>
              <w:jc w:val="center"/>
              <w:ind w:right="600"/>
              <w:spacing w:after="0" w:line="162" w:lineRule="exact"/>
              <w:rPr>
                <w:sz w:val="20"/>
                <w:szCs w:val="20"/>
                <w:color w:val="auto"/>
              </w:rPr>
            </w:pPr>
            <w:r>
              <w:rPr>
                <w:rFonts w:ascii="Arial" w:cs="Arial" w:eastAsia="Arial" w:hAnsi="Arial"/>
                <w:sz w:val="15"/>
                <w:szCs w:val="15"/>
                <w:b w:val="1"/>
                <w:bCs w:val="1"/>
                <w:color w:val="auto"/>
                <w:w w:val="89"/>
              </w:rPr>
              <w:t>Cost</w:t>
            </w:r>
          </w:p>
        </w:tc>
        <w:tc>
          <w:tcPr>
            <w:tcW w:w="94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40"/>
              <w:spacing w:after="0" w:line="159" w:lineRule="exact"/>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4"/>
                <w:szCs w:val="4"/>
                <w:color w:val="auto"/>
              </w:rPr>
            </w:pPr>
          </w:p>
        </w:tc>
        <w:tc>
          <w:tcPr>
            <w:tcW w:w="76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780" w:type="dxa"/>
            <w:vAlign w:val="bottom"/>
            <w:gridSpan w:val="2"/>
            <w:vMerge w:val="restart"/>
          </w:tcPr>
          <w:p>
            <w:pPr>
              <w:ind w:left="40"/>
              <w:spacing w:after="0" w:line="159" w:lineRule="exact"/>
              <w:rPr>
                <w:sz w:val="20"/>
                <w:szCs w:val="20"/>
                <w:color w:val="auto"/>
              </w:rPr>
            </w:pPr>
            <w:r>
              <w:rPr>
                <w:rFonts w:ascii="Arial" w:cs="Arial" w:eastAsia="Arial" w:hAnsi="Arial"/>
                <w:sz w:val="15"/>
                <w:szCs w:val="15"/>
                <w:b w:val="1"/>
                <w:bCs w:val="1"/>
                <w:color w:val="auto"/>
              </w:rPr>
              <w:t>Retained</w:t>
            </w:r>
          </w:p>
        </w:tc>
        <w:tc>
          <w:tcPr>
            <w:tcW w:w="1180" w:type="dxa"/>
            <w:vAlign w:val="bottom"/>
            <w:gridSpan w:val="3"/>
            <w:vMerge w:val="restart"/>
          </w:tcPr>
          <w:p>
            <w:pPr>
              <w:ind w:left="20"/>
              <w:spacing w:after="0" w:line="159" w:lineRule="exact"/>
              <w:rPr>
                <w:sz w:val="20"/>
                <w:szCs w:val="20"/>
                <w:color w:val="auto"/>
              </w:rPr>
            </w:pPr>
            <w:r>
              <w:rPr>
                <w:rFonts w:ascii="Arial" w:cs="Arial" w:eastAsia="Arial" w:hAnsi="Arial"/>
                <w:sz w:val="15"/>
                <w:szCs w:val="15"/>
                <w:b w:val="1"/>
                <w:bCs w:val="1"/>
                <w:color w:val="auto"/>
              </w:rPr>
              <w:t>Comprehensive</w:t>
            </w: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restart"/>
          </w:tcPr>
          <w:p>
            <w:pPr>
              <w:jc w:val="center"/>
              <w:ind w:right="63"/>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i w:val="1"/>
                <w:iCs w:val="1"/>
                <w:color w:val="auto"/>
              </w:rPr>
              <w:t>(For the six months ended June 30, 2019)</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8"/>
              </w:rPr>
              <w:t>Issued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3"/>
              </w:rPr>
              <w:t>Earnings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1,078.8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$1,855.0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(188.8)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1"/>
              </w:rPr>
              <w:t>$ 47.3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(2,895.5)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80"/>
              <w:spacing w:after="0" w:line="169" w:lineRule="exact"/>
              <w:rPr>
                <w:sz w:val="20"/>
                <w:szCs w:val="20"/>
                <w:color w:val="auto"/>
              </w:rPr>
            </w:pPr>
            <w:r>
              <w:rPr>
                <w:rFonts w:ascii="Arial" w:cs="Arial" w:eastAsia="Arial" w:hAnsi="Arial"/>
                <w:sz w:val="15"/>
                <w:szCs w:val="15"/>
                <w:color w:val="auto"/>
              </w:rPr>
              <w:t>Effect on adjustment upon adoption of new accounting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80"/>
              <w:spacing w:after="0"/>
              <w:rPr>
                <w:sz w:val="20"/>
                <w:szCs w:val="20"/>
                <w:color w:val="auto"/>
              </w:rPr>
            </w:pPr>
            <w:r>
              <w:rPr>
                <w:rFonts w:ascii="Arial" w:cs="Arial" w:eastAsia="Arial" w:hAnsi="Arial"/>
                <w:sz w:val="15"/>
                <w:szCs w:val="15"/>
                <w:color w:val="auto"/>
              </w:rPr>
              <w:t>standards (ASC 842)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180.0</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Dividends, $1.41 per share</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76"/>
        </w:trPr>
        <w:tc>
          <w:tcPr>
            <w:tcW w:w="4240" w:type="dxa"/>
            <w:vAlign w:val="bottom"/>
          </w:tcPr>
          <w:p>
            <w:pPr>
              <w:ind w:left="280"/>
              <w:spacing w:after="0"/>
              <w:rPr>
                <w:sz w:val="20"/>
                <w:szCs w:val="20"/>
                <w:color w:val="auto"/>
              </w:rPr>
            </w:pPr>
            <w:r>
              <w:rPr>
                <w:rFonts w:ascii="Arial" w:cs="Arial" w:eastAsia="Arial" w:hAnsi="Arial"/>
                <w:sz w:val="15"/>
                <w:szCs w:val="15"/>
                <w:color w:val="auto"/>
              </w:rPr>
              <w:t>Pension and post-retirement liability changes, net of tax</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80"/>
              <w:spacing w:after="0"/>
              <w:rPr>
                <w:sz w:val="20"/>
                <w:szCs w:val="20"/>
                <w:color w:val="auto"/>
              </w:rPr>
            </w:pPr>
            <w:r>
              <w:rPr>
                <w:rFonts w:ascii="Arial" w:cs="Arial" w:eastAsia="Arial" w:hAnsi="Arial"/>
                <w:sz w:val="15"/>
                <w:szCs w:val="15"/>
                <w:color w:val="auto"/>
              </w:rPr>
              <w:t>expense of $16.4</w:t>
            </w: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17"/>
                <w:szCs w:val="17"/>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11.4</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Change in cash flow hedges, net of tax expense of $1.5</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3"/>
                <w:szCs w:val="23"/>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(264.5)</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1,085.8</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$1,979.4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(129.6)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1"/>
              </w:rPr>
              <w:t>$ 48.1</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(3,154.0)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(217.5)</w:t>
            </w:r>
          </w:p>
        </w:tc>
        <w:tc>
          <w:tcPr>
            <w:tcW w:w="0" w:type="dxa"/>
            <w:vAlign w:val="bottom"/>
          </w:tcPr>
          <w:p>
            <w:pPr>
              <w:spacing w:after="0"/>
              <w:rPr>
                <w:sz w:val="1"/>
                <w:szCs w:val="1"/>
                <w:color w:val="auto"/>
              </w:rPr>
            </w:pPr>
          </w:p>
        </w:tc>
      </w:tr>
      <w:tr>
        <w:trPr>
          <w:trHeight w:val="74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44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2"/>
              </w:rPr>
              <w:t>Treasury Stock at</w:t>
            </w:r>
          </w:p>
        </w:tc>
        <w:tc>
          <w:tcPr>
            <w:tcW w:w="140" w:type="dxa"/>
            <w:vAlign w:val="bottom"/>
          </w:tcPr>
          <w:p>
            <w:pPr>
              <w:spacing w:after="0"/>
              <w:rPr>
                <w:sz w:val="24"/>
                <w:szCs w:val="24"/>
                <w:color w:val="auto"/>
              </w:rPr>
            </w:pPr>
          </w:p>
        </w:tc>
        <w:tc>
          <w:tcPr>
            <w:tcW w:w="800" w:type="dxa"/>
            <w:vAlign w:val="bottom"/>
          </w:tcPr>
          <w:p>
            <w:pPr>
              <w:jc w:val="center"/>
              <w:ind w:right="6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Common</w:t>
            </w:r>
          </w:p>
        </w:tc>
        <w:tc>
          <w:tcPr>
            <w:tcW w:w="88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500" w:type="dxa"/>
            <w:vAlign w:val="bottom"/>
          </w:tcPr>
          <w:p>
            <w:pPr>
              <w:spacing w:after="0"/>
              <w:rPr>
                <w:sz w:val="14"/>
                <w:szCs w:val="14"/>
                <w:color w:val="auto"/>
              </w:rPr>
            </w:pPr>
          </w:p>
        </w:tc>
        <w:tc>
          <w:tcPr>
            <w:tcW w:w="940" w:type="dxa"/>
            <w:vAlign w:val="bottom"/>
            <w:gridSpan w:val="3"/>
          </w:tcPr>
          <w:p>
            <w:pPr>
              <w:jc w:val="center"/>
              <w:ind w:right="600"/>
              <w:spacing w:after="0" w:line="162" w:lineRule="exact"/>
              <w:rPr>
                <w:sz w:val="20"/>
                <w:szCs w:val="20"/>
                <w:color w:val="auto"/>
              </w:rPr>
            </w:pPr>
            <w:r>
              <w:rPr>
                <w:rFonts w:ascii="Arial" w:cs="Arial" w:eastAsia="Arial" w:hAnsi="Arial"/>
                <w:sz w:val="15"/>
                <w:szCs w:val="15"/>
                <w:b w:val="1"/>
                <w:bCs w:val="1"/>
                <w:color w:val="auto"/>
                <w:w w:val="89"/>
              </w:rPr>
              <w:t>Cost</w:t>
            </w:r>
          </w:p>
        </w:tc>
        <w:tc>
          <w:tcPr>
            <w:tcW w:w="94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40"/>
              <w:spacing w:after="0" w:line="159" w:lineRule="exact"/>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4"/>
                <w:szCs w:val="4"/>
                <w:color w:val="auto"/>
              </w:rPr>
            </w:pPr>
          </w:p>
        </w:tc>
        <w:tc>
          <w:tcPr>
            <w:tcW w:w="76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780" w:type="dxa"/>
            <w:vAlign w:val="bottom"/>
            <w:gridSpan w:val="2"/>
            <w:vMerge w:val="restart"/>
          </w:tcPr>
          <w:p>
            <w:pPr>
              <w:ind w:left="40"/>
              <w:spacing w:after="0" w:line="159" w:lineRule="exact"/>
              <w:rPr>
                <w:sz w:val="20"/>
                <w:szCs w:val="20"/>
                <w:color w:val="auto"/>
              </w:rPr>
            </w:pPr>
            <w:r>
              <w:rPr>
                <w:rFonts w:ascii="Arial" w:cs="Arial" w:eastAsia="Arial" w:hAnsi="Arial"/>
                <w:sz w:val="15"/>
                <w:szCs w:val="15"/>
                <w:b w:val="1"/>
                <w:bCs w:val="1"/>
                <w:color w:val="auto"/>
              </w:rPr>
              <w:t>Retained</w:t>
            </w:r>
          </w:p>
        </w:tc>
        <w:tc>
          <w:tcPr>
            <w:tcW w:w="1180" w:type="dxa"/>
            <w:vAlign w:val="bottom"/>
            <w:gridSpan w:val="3"/>
            <w:vMerge w:val="restart"/>
          </w:tcPr>
          <w:p>
            <w:pPr>
              <w:ind w:left="20"/>
              <w:spacing w:after="0" w:line="159" w:lineRule="exact"/>
              <w:rPr>
                <w:sz w:val="20"/>
                <w:szCs w:val="20"/>
                <w:color w:val="auto"/>
              </w:rPr>
            </w:pPr>
            <w:r>
              <w:rPr>
                <w:rFonts w:ascii="Arial" w:cs="Arial" w:eastAsia="Arial" w:hAnsi="Arial"/>
                <w:sz w:val="15"/>
                <w:szCs w:val="15"/>
                <w:b w:val="1"/>
                <w:bCs w:val="1"/>
                <w:color w:val="auto"/>
              </w:rPr>
              <w:t>Comprehensive</w:t>
            </w: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restart"/>
          </w:tcPr>
          <w:p>
            <w:pPr>
              <w:jc w:val="center"/>
              <w:ind w:right="63"/>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i w:val="1"/>
                <w:iCs w:val="1"/>
                <w:color w:val="auto"/>
              </w:rPr>
              <w:t>(For the six months ended June 30, 2018)</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8"/>
              </w:rPr>
              <w:t>Issued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3"/>
              </w:rPr>
              <w:t>Earnings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1,061.5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$1,575.9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(2,430.8)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50.1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80"/>
              <w:spacing w:after="0" w:line="169" w:lineRule="exact"/>
              <w:rPr>
                <w:sz w:val="20"/>
                <w:szCs w:val="20"/>
                <w:color w:val="auto"/>
              </w:rPr>
            </w:pPr>
            <w:r>
              <w:rPr>
                <w:rFonts w:ascii="Arial" w:cs="Arial" w:eastAsia="Arial" w:hAnsi="Arial"/>
                <w:sz w:val="15"/>
                <w:szCs w:val="15"/>
                <w:color w:val="auto"/>
              </w:rPr>
              <w:t>Cumulative effect adjustment upon adoption of new</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80"/>
              <w:spacing w:after="0" w:line="162" w:lineRule="exact"/>
              <w:rPr>
                <w:sz w:val="20"/>
                <w:szCs w:val="20"/>
                <w:color w:val="auto"/>
              </w:rPr>
            </w:pPr>
            <w:r>
              <w:rPr>
                <w:rFonts w:ascii="Arial" w:cs="Arial" w:eastAsia="Arial" w:hAnsi="Arial"/>
                <w:sz w:val="15"/>
                <w:szCs w:val="15"/>
                <w:color w:val="auto"/>
              </w:rPr>
              <w:t>accounting standards (ASU 2016-16), (ASU 2018-02),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80"/>
              <w:spacing w:after="0"/>
              <w:rPr>
                <w:sz w:val="20"/>
                <w:szCs w:val="20"/>
                <w:color w:val="auto"/>
              </w:rPr>
            </w:pPr>
            <w:r>
              <w:rPr>
                <w:rFonts w:ascii="Arial" w:cs="Arial" w:eastAsia="Arial" w:hAnsi="Arial"/>
                <w:sz w:val="15"/>
                <w:szCs w:val="15"/>
                <w:color w:val="auto"/>
              </w:rPr>
              <w:t>(ASU2016-1)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24"/>
                <w:szCs w:val="24"/>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175.5</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Dividends, $1.15 per share</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(46.9)</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76"/>
        </w:trPr>
        <w:tc>
          <w:tcPr>
            <w:tcW w:w="4240" w:type="dxa"/>
            <w:vAlign w:val="bottom"/>
          </w:tcPr>
          <w:p>
            <w:pPr>
              <w:ind w:left="280"/>
              <w:spacing w:after="0"/>
              <w:rPr>
                <w:sz w:val="20"/>
                <w:szCs w:val="20"/>
                <w:color w:val="auto"/>
              </w:rPr>
            </w:pPr>
            <w:r>
              <w:rPr>
                <w:rFonts w:ascii="Arial" w:cs="Arial" w:eastAsia="Arial" w:hAnsi="Arial"/>
                <w:sz w:val="15"/>
                <w:szCs w:val="15"/>
                <w:color w:val="auto"/>
              </w:rPr>
              <w:t>Pension and post-retirement liability changes, net of tax</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80"/>
              <w:spacing w:after="0"/>
              <w:rPr>
                <w:sz w:val="20"/>
                <w:szCs w:val="20"/>
                <w:color w:val="auto"/>
              </w:rPr>
            </w:pPr>
            <w:r>
              <w:rPr>
                <w:rFonts w:ascii="Arial" w:cs="Arial" w:eastAsia="Arial" w:hAnsi="Arial"/>
                <w:sz w:val="15"/>
                <w:szCs w:val="15"/>
                <w:color w:val="auto"/>
              </w:rPr>
              <w:t>expense of $0.1</w:t>
            </w: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13.6</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Change in cash flow hedges, net of tax benefit of $2.5</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23"/>
                <w:szCs w:val="23"/>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(368.8)</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1,068.4</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$1,722.8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1"/>
              </w:rPr>
              <w:t>$ 46.9</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(2,791.3)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60"/>
          </w:cols>
          <w:pgMar w:left="820" w:top="585" w:right="8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32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gridSpan w:val="4"/>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For the Six Months Ended June 30,</w:t>
            </w:r>
          </w:p>
        </w:tc>
      </w:tr>
      <w:tr>
        <w:trPr>
          <w:trHeight w:val="211"/>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53"/>
        </w:trPr>
        <w:tc>
          <w:tcPr>
            <w:tcW w:w="8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operating activities:</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175.5</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Loss on sale of businesses</w:t>
            </w:r>
          </w:p>
        </w:tc>
        <w:tc>
          <w:tcPr>
            <w:tcW w:w="3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on sale of Australian Property</w:t>
            </w: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Loss on Brazil assets held for sale</w:t>
            </w:r>
          </w:p>
        </w:tc>
        <w:tc>
          <w:tcPr>
            <w:tcW w:w="32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31.4</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Gain from insurance recoveries, net of losses incurred</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Income from equity method investments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Dividend from Affiliates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Restructuring charges, net of cash paid</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0.6</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Provision for bad debts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Unrealized losses on derivative contracts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32.8</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Pension expense</w:t>
            </w:r>
          </w:p>
        </w:tc>
        <w:tc>
          <w:tcPr>
            <w:tcW w:w="3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Pension contributions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Other items, net</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 net of effects of divestitures: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Accounts and notes receivable</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(272.1)</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Other current assets</w:t>
            </w:r>
          </w:p>
        </w:tc>
        <w:tc>
          <w:tcPr>
            <w:tcW w:w="3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taxes payable and receivable</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r>
      <w:tr>
        <w:trPr>
          <w:trHeight w:val="264"/>
        </w:trPr>
        <w:tc>
          <w:tcPr>
            <w:tcW w:w="810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disposal of property, plant and equipment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Purchases of property, plant and equipment</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sale of businesses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Purchases of short-term investments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investing activities</w:t>
            </w:r>
          </w:p>
        </w:tc>
        <w:tc>
          <w:tcPr>
            <w:tcW w:w="32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68.5</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Short-term debt payments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 proceeds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Asset securitization borrowings</w:t>
            </w:r>
          </w:p>
        </w:tc>
        <w:tc>
          <w:tcPr>
            <w:tcW w:w="32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65.0</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Asset securitization payments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Long-term debt payments</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Borrowings from credit facility</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1,391.0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Payments on credit facility</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(1,037.5)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(1,042.0)</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employee stock purchases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Repurchases of common stock</w:t>
            </w: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(350.2)</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264"/>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dividends paid</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(61.9)</w:t>
            </w:r>
          </w:p>
        </w:tc>
      </w:tr>
      <w:tr>
        <w:trPr>
          <w:trHeight w:val="250"/>
        </w:trPr>
        <w:tc>
          <w:tcPr>
            <w:tcW w:w="810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68.2</w:t>
            </w: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39.4</w:t>
            </w: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380"/>
          </w:cols>
          <w:pgMar w:left="260" w:top="769" w:right="259" w:bottom="51"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Supplemental disclosures of cash flow information:</w:t>
      </w:r>
    </w:p>
    <w:p>
      <w:pPr>
        <w:sectPr>
          <w:pgSz w:w="11900" w:h="16838" w:orient="portrait"/>
          <w:cols w:equalWidth="0" w:num="1">
            <w:col w:w="11380"/>
          </w:cols>
          <w:pgMar w:left="260" w:top="769" w:right="259" w:bottom="51"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paid</w:t>
            </w:r>
          </w:p>
        </w:tc>
        <w:tc>
          <w:tcPr>
            <w:tcW w:w="56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Income taxes paid (net of refunds)</w:t>
            </w:r>
          </w:p>
        </w:tc>
        <w:tc>
          <w:tcPr>
            <w:tcW w:w="56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Pr>
          <w:p>
            <w:pPr>
              <w:ind w:left="280"/>
              <w:spacing w:after="0"/>
              <w:rPr>
                <w:sz w:val="20"/>
                <w:szCs w:val="20"/>
                <w:color w:val="auto"/>
              </w:rPr>
            </w:pPr>
            <w:r>
              <w:rPr>
                <w:rFonts w:ascii="Arial" w:cs="Arial" w:eastAsia="Arial" w:hAnsi="Arial"/>
                <w:sz w:val="14"/>
                <w:szCs w:val="14"/>
                <w:color w:val="auto"/>
              </w:rPr>
              <w:t>Insurance recoveries received</w:t>
            </w:r>
          </w:p>
        </w:tc>
        <w:tc>
          <w:tcPr>
            <w:tcW w:w="6500" w:type="dxa"/>
            <w:vAlign w:val="bottom"/>
            <w:gridSpan w:val="2"/>
          </w:tcPr>
          <w:p>
            <w:pPr>
              <w:ind w:left="56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8"/>
                <w:szCs w:val="18"/>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620" w:type="dxa"/>
            <w:vAlign w:val="bottom"/>
            <w:vMerge w:val="restart"/>
          </w:tcPr>
          <w:p>
            <w:pPr>
              <w:ind w:left="220"/>
              <w:spacing w:after="0"/>
              <w:rPr>
                <w:sz w:val="20"/>
                <w:szCs w:val="20"/>
                <w:color w:val="auto"/>
              </w:rPr>
            </w:pPr>
            <w:r>
              <w:rPr>
                <w:rFonts w:ascii="Arial" w:cs="Arial" w:eastAsia="Arial" w:hAnsi="Arial"/>
                <w:sz w:val="17"/>
                <w:szCs w:val="17"/>
                <w:color w:val="auto"/>
                <w:w w:val="94"/>
              </w:rPr>
              <w:t>The accompanying notes are an integral part of these consolidated financial</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7"/>
                <w:szCs w:val="17"/>
                <w:color w:val="auto"/>
                <w:w w:val="97"/>
              </w:rPr>
              <w:t>statements.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69"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accompanying unaudited Consolidated Balance Sheet as of June 30, 2019, the accompanying unaudited Consolidated Statements of Operations for the three and six months ended June 30, 2019 and 2018, the accompanying unaudited Consolidated Statements of Comprehensive Income for the three and six months ended June 30, 2019 and 2018, the accompanying unaudited Consolidated Statements of Stockholders' (Deficit) Equity for the three and six months ended June 30, 2019 and 2018, and the accompanying unaudited Consolidated Statements of Cash Flows for the six months ended June 30, 2019 and 2018 should be read in conjunction with our audited consolidated financial statements and footnotes included in our Annual Report on Form 10-K for the year ended December 31, 2018.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8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amounts have been reclassified from the prior year presentation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306"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In August 2018, the SEC issued Release No. 33-10532 that amends and clarifies certain financial reporting requirements. The principal change to our financial reporting is the inclusion of the annual disclosure requirement of changes in stockholders’ equity in Rule 3-04 of Regulation S-X to interim periods.</w:t>
      </w:r>
    </w:p>
    <w:p>
      <w:pPr>
        <w:spacing w:after="0" w:line="20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adopted other new accounting standards during the first quarter of 2019. The impact of these additional standards are discussed in their respective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16 for additional information on our reportable business segments and the products and services sold in each segment.</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2"/>
              </w:rPr>
              <w:t>For the Three Months Ended June 30, 2019</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966.3</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63.8</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69.0</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689.1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261.3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148.7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1,099.1</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2"/>
              </w:rPr>
              <w:t>For the Three Months Ended June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1,006.1</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75.1</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716.0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252.1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207.3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1,175.4</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5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1"/>
              </w:rPr>
              <w:t>For the Six Months Ended June 30, 2019</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1,648.3</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112.8</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1,154.6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434.7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300.1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1,889.4</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540" w:type="dxa"/>
            <w:vAlign w:val="bottom"/>
            <w:tcBorders>
              <w:bottom w:val="single" w:sz="8" w:color="CCEEFF"/>
            </w:tcBorders>
            <w:gridSpan w:val="5"/>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1"/>
              </w:rPr>
              <w:t>For the Six Months Ended June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22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1,687.6</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122.9</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1,169.7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431.2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409.3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2,010.2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Residential Heating &amp; Cooling </w:t>
      </w:r>
      <w:r>
        <w:rPr>
          <w:rFonts w:ascii="Arial" w:cs="Arial" w:eastAsia="Arial" w:hAnsi="Arial"/>
          <w:sz w:val="18"/>
          <w:szCs w:val="18"/>
          <w:color w:val="auto"/>
        </w:rPr>
        <w:t>- We manufacture and market a broad range of furnaces, air conditioners, heat pumps, packaged heating and cooling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segment, for the three months ended June 30, 2019 and 2018, direct sales represent approximately $515.2 million and $546.7 million of revenues, and sales to independent distributors represent approximately $173.9 million and $169.3 million of revenues, respectively. For the six months ended June 30, 2019 and 2018, direct sales represent approximately $849.8 million and $886.3 million of revenues, and sales to independent distributors represent approximately $304.8 million and $283.4 million of revenues, respectively. Given the nature of our business, customer product orders are fulfilled at a point in time and not over a period of time.</w:t>
      </w:r>
    </w:p>
    <w:p>
      <w:pPr>
        <w:sectPr>
          <w:pgSz w:w="11900" w:h="16838" w:orient="portrait"/>
          <w:cols w:equalWidth="0" w:num="1">
            <w:col w:w="11420"/>
          </w:cols>
          <w:pgMar w:left="240" w:top="958"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58" w:right="239" w:bottom="1440" w:gutter="0" w:footer="0" w:header="0"/>
          <w:type w:val="continuous"/>
        </w:sectPr>
      </w:pPr>
    </w:p>
    <w:bookmarkStart w:id="12" w:name="page13"/>
    <w:bookmarkEnd w:id="12"/>
    <w:p>
      <w:pPr>
        <w:jc w:val="both"/>
        <w:ind w:firstLine="243"/>
        <w:spacing w:after="0" w:line="270"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segment, for the three months ended June 30, 2019 and 2018, equipment sales represent approximately $226.6 million and $218.7 million of revenues while $34.7 million and $33.4 million of our revenue is generated from our service business, respectively. For the six months ended June 30, 2019 and 2018, equipment sales represent approximately $370.2 million and $370.2 million of revenues while $64.5 million and $61.0 million of our revenue is generated from our service business, respectively.</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Revenue for the products sold is $148.2 million and $205.5 million for the three months ended June 30, 2019 and 2018 and $297.1 million and $405.5 million for the six months ended June 30, 2019 and 2018, respectively and is recognized at a point in time when control transfers to the customer, which is generally at time of shipment. The remaining segment revenue relates to service revenues related to start-up and commissioning activities.</w:t>
      </w:r>
    </w:p>
    <w:p>
      <w:pPr>
        <w:spacing w:after="0" w:line="18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w:t>
      </w:r>
    </w:p>
    <w:p>
      <w:pPr>
        <w:spacing w:after="0" w:line="180"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 The noncurrent portion of deferred revenue is included in Other liabilities in our Consolidated Balance Sheet.</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5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58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37"/>
        </w:trPr>
        <w:tc>
          <w:tcPr>
            <w:tcW w:w="582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3" w:name="page14"/>
    <w:bookmarkEnd w:id="13"/>
    <w:p>
      <w:pPr>
        <w:jc w:val="both"/>
        <w:ind w:firstLine="243"/>
        <w:spacing w:after="0" w:line="264" w:lineRule="auto"/>
        <w:rPr>
          <w:sz w:val="20"/>
          <w:szCs w:val="20"/>
          <w:color w:val="auto"/>
        </w:rPr>
      </w:pPr>
      <w:r>
        <w:rPr>
          <w:rFonts w:ascii="Arial" w:cs="Arial" w:eastAsia="Arial" w:hAnsi="Arial"/>
          <w:sz w:val="18"/>
          <w:szCs w:val="18"/>
          <w:color w:val="auto"/>
        </w:rPr>
        <w:t>For the three months ended June 30, 2019 and 2018, we recognized revenue of $1.5 million and $1.3 million and for the six months ended June 30, 2019 and 2018, we recognized revenue of $2.6 million and $2.9 million related to our contract liabilities at January 1, 2019 and 2018, respectively. Impairment losses recognized in our receivables and contract assets were de minimis in the second quarter of 2019 and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9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569.6</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inventories,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630.2</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509.8</w:t>
            </w: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the carrying amount of goodwill for the first six months of 2019, in total and by segment, are summarized in the table below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160" w:type="dxa"/>
            <w:vAlign w:val="bottom"/>
          </w:tcPr>
          <w:p>
            <w:pPr>
              <w:spacing w:after="0"/>
              <w:rPr>
                <w:sz w:val="14"/>
                <w:szCs w:val="14"/>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1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Changes in foreign</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Balance at June 30,</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currency translation</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 xml:space="preserve">Reallocation </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rates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Goodwill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2" w:lineRule="auto"/>
        <w:tabs>
          <w:tab w:leader="none" w:pos="196"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 2019, we reorganized our external financial reporting structure by moving our European Commercial HVAC business from our Commercial segment to our Refrigeration segment as we manage both our commercial HVAC and refrigeration operations in Europe together. See Note 16 for additional information.</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perform our annual goodwill impairment test in the fourth quarter of each year, and we monitor our reporting units for indicators of impairment throughout the year to determine if a change in facts or circumstances warrants a re-evaluation of our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4" w:name="page15"/>
    <w:bookmarkEnd w:id="14"/>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January 2020 and November 2020,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unsettled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56" w:lineRule="exact"/>
        <w:rPr>
          <w:sz w:val="20"/>
          <w:szCs w:val="20"/>
          <w:color w:val="auto"/>
        </w:rPr>
      </w:pPr>
    </w:p>
    <w:p>
      <w:pPr>
        <w:ind w:left="500" w:hanging="168"/>
        <w:spacing w:after="0" w:line="216" w:lineRule="auto"/>
        <w:tabs>
          <w:tab w:leader="none" w:pos="541" w:val="left"/>
        </w:tabs>
        <w:numPr>
          <w:ilvl w:val="1"/>
          <w:numId w:val="4"/>
        </w:numPr>
        <w:rPr>
          <w:rFonts w:ascii="Arial" w:cs="Arial" w:eastAsia="Arial" w:hAnsi="Arial"/>
          <w:sz w:val="25"/>
          <w:szCs w:val="25"/>
          <w:color w:val="auto"/>
          <w:vertAlign w:val="superscript"/>
        </w:rPr>
      </w:pPr>
      <w:r>
        <w:rPr>
          <w:rFonts w:ascii="Arial" w:cs="Arial" w:eastAsia="Arial" w:hAnsi="Arial"/>
          <w:sz w:val="18"/>
          <w:szCs w:val="18"/>
          <w:color w:val="auto"/>
        </w:rPr>
        <w:t>Assuming commodity and foreign currency prices remain constant, we expect to reclassify $2.6 million of derivative losses into earnings within the next 12 months.</w:t>
      </w:r>
    </w:p>
    <w:p>
      <w:pPr>
        <w:spacing w:after="0" w:line="200" w:lineRule="exact"/>
        <w:rPr>
          <w:rFonts w:ascii="Arial" w:cs="Arial" w:eastAsia="Arial" w:hAnsi="Arial"/>
          <w:sz w:val="25"/>
          <w:szCs w:val="25"/>
          <w:color w:val="auto"/>
          <w:vertAlign w:val="superscript"/>
        </w:rPr>
      </w:pPr>
    </w:p>
    <w:p>
      <w:pPr>
        <w:spacing w:after="0" w:line="215"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we had no unrecognized tax benefits.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2018 and are subject to examination by numerous other taxing authorities in the U.S. and in foreign jurisdictions. We are generally no longer subject to U.S. federal, state and local, or non-U.S. income tax examinations by taxing authorities for years prior to 2011.</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Since January 1, 2019, several states have enacted legislation effective for tax years beginning on or after January 1, 2019, including changes to tax rates and apportionment methods. The impact of these changes is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 xml:space="preserve">On February 25,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xml:space="preserve"> We adopted ASC 842 on January 1, 2019, using the effective date method, with the cumulative-effect adjustment to the opening balance sheet of retained earnings as of the effective date. The financial results reported in periods prior to January 1, 2019 are unchanged. Upon adoption, we recognized almost all of our leases greater than one year in duration on the balance sheet as right-of-use assets and lease liabilities. For income statement purposes, the FASB retained a dual model, requiring leases to be classified as either operating or finance. Classification is based on criteria that are largely similar to those applied in current lease accounting standard, but without explicit bright lines. We have made certain assumptions in judgments when applying ASC 842. Those judgments of most significance are as follows:</w:t>
      </w:r>
    </w:p>
    <w:p>
      <w:pPr>
        <w:spacing w:after="0" w:line="5" w:lineRule="exact"/>
        <w:rPr>
          <w:sz w:val="20"/>
          <w:szCs w:val="20"/>
          <w:color w:val="auto"/>
        </w:rPr>
      </w:pPr>
    </w:p>
    <w:p>
      <w:pPr>
        <w:ind w:left="940" w:hanging="3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elected the package of practical expedients available for transition which allow us to not reassess:</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Whether expired or existing contracts contain leases under the new definition of a lease;</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Lease classification for expired or existing leases; and</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Whether previously capitalized initial direct costs would qualify for capitalization under ASC 842.</w:t>
      </w:r>
    </w:p>
    <w:p>
      <w:pPr>
        <w:spacing w:after="0" w:line="9" w:lineRule="exact"/>
        <w:rPr>
          <w:rFonts w:ascii="Arial" w:cs="Arial" w:eastAsia="Arial" w:hAnsi="Arial"/>
          <w:sz w:val="18"/>
          <w:szCs w:val="18"/>
          <w:color w:val="auto"/>
        </w:rPr>
      </w:pPr>
    </w:p>
    <w:p>
      <w:pPr>
        <w:ind w:left="940" w:right="20" w:hanging="324"/>
        <w:spacing w:after="0" w:line="250"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elect to use hindsight for transition when considering judgments and estimates such as assessments of lessee options to extend or terminate a lease or purchase the underlying asset.</w:t>
      </w:r>
    </w:p>
    <w:p>
      <w:pPr>
        <w:ind w:left="940" w:hanging="32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did not elect to reassess whether land easements meet the definition of a lease if they were not accounted for as leases under the former rules.</w:t>
      </w:r>
    </w:p>
    <w:p>
      <w:pPr>
        <w:spacing w:after="0" w:line="32" w:lineRule="exact"/>
        <w:rPr>
          <w:rFonts w:ascii="Arial" w:cs="Arial" w:eastAsia="Arial" w:hAnsi="Arial"/>
          <w:sz w:val="16"/>
          <w:szCs w:val="16"/>
          <w:color w:val="auto"/>
        </w:rPr>
      </w:pPr>
    </w:p>
    <w:p>
      <w:pPr>
        <w:ind w:left="940" w:hanging="3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asset classes, we elected to not recognize a right-of-use asset and lease liability for leases with a term of 12 months or less.</w:t>
      </w:r>
    </w:p>
    <w:p>
      <w:pPr>
        <w:spacing w:after="0" w:line="9" w:lineRule="exact"/>
        <w:rPr>
          <w:rFonts w:ascii="Arial" w:cs="Arial" w:eastAsia="Arial" w:hAnsi="Arial"/>
          <w:sz w:val="18"/>
          <w:szCs w:val="18"/>
          <w:color w:val="auto"/>
        </w:rPr>
      </w:pPr>
    </w:p>
    <w:p>
      <w:pPr>
        <w:ind w:left="940" w:hanging="324"/>
        <w:spacing w:after="0" w:line="26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asset classes, we elected to not separate non-lease components from lease components to which they relate and have accounted for the combined lease and non-lease components as a single lease component.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5" w:name="page16"/>
    <w:bookmarkEnd w:id="15"/>
    <w:p>
      <w:pPr>
        <w:jc w:val="both"/>
        <w:ind w:firstLine="230"/>
        <w:spacing w:after="0" w:line="270" w:lineRule="auto"/>
        <w:rPr>
          <w:sz w:val="20"/>
          <w:szCs w:val="20"/>
          <w:color w:val="auto"/>
        </w:rPr>
      </w:pPr>
      <w:r>
        <w:rPr>
          <w:rFonts w:ascii="Arial" w:cs="Arial" w:eastAsia="Arial" w:hAnsi="Arial"/>
          <w:sz w:val="17"/>
          <w:szCs w:val="17"/>
          <w:color w:val="auto"/>
        </w:rPr>
        <w:t>We determine if an arrangement is a lease at inception. Operating leases are included in our Consolidated Balance Sheet as Right-of-use assets from operating leases, Current operating lease liabilities and Long-term operating lease liabilities. Finance leases are included in Property, plant and equipment, Current maturities of long-term debt and Long-term debt in our Consolidated Balance Sheet. 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w:t>
      </w:r>
    </w:p>
    <w:p>
      <w:pPr>
        <w:spacing w:after="0" w:line="18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70"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173" w:lineRule="exact"/>
        <w:rPr>
          <w:sz w:val="20"/>
          <w:szCs w:val="20"/>
          <w:color w:val="auto"/>
        </w:rPr>
      </w:pPr>
    </w:p>
    <w:p>
      <w:pPr>
        <w:jc w:val="both"/>
        <w:ind w:right="20" w:firstLine="230"/>
        <w:spacing w:after="0" w:line="342" w:lineRule="auto"/>
        <w:rPr>
          <w:sz w:val="20"/>
          <w:szCs w:val="20"/>
          <w:color w:val="auto"/>
        </w:rPr>
      </w:pPr>
      <w:r>
        <w:rPr>
          <w:rFonts w:ascii="Arial" w:cs="Arial" w:eastAsia="Arial" w:hAnsi="Arial"/>
          <w:sz w:val="16"/>
          <w:szCs w:val="16"/>
          <w:color w:val="auto"/>
        </w:rPr>
        <w:t>We lease certain real and personal property under non-cancelable operating leases. Approximately 75% of our right-of-use assets and lease liabilities relate to our leases of real estate with the remaining amounts relating to our leases of IT equipment, fleet vehicles and manufacturing and distribution equipment.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6"/>
                <w:szCs w:val="16"/>
                <w:b w:val="1"/>
                <w:bCs w:val="1"/>
                <w:color w:val="auto"/>
                <w:w w:val="95"/>
              </w:rPr>
              <w:t>For the Three Months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51"/>
              <w:spacing w:after="0"/>
              <w:rPr>
                <w:sz w:val="20"/>
                <w:szCs w:val="20"/>
                <w:color w:val="auto"/>
              </w:rPr>
            </w:pPr>
            <w:r>
              <w:rPr>
                <w:rFonts w:ascii="Arial" w:cs="Arial" w:eastAsia="Arial" w:hAnsi="Arial"/>
                <w:sz w:val="16"/>
                <w:szCs w:val="16"/>
                <w:b w:val="1"/>
                <w:bCs w:val="1"/>
                <w:color w:val="auto"/>
                <w:w w:val="97"/>
              </w:rPr>
              <w:t>For the Six Months</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6"/>
                <w:szCs w:val="16"/>
                <w:b w:val="1"/>
                <w:bCs w:val="1"/>
                <w:color w:val="auto"/>
                <w:w w:val="96"/>
              </w:rPr>
              <w:t>Ended 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6"/>
                <w:szCs w:val="16"/>
                <w:b w:val="1"/>
                <w:bCs w:val="1"/>
                <w:color w:val="auto"/>
                <w:w w:val="91"/>
              </w:rPr>
              <w:t>Ended June 30, 2019</w:t>
            </w:r>
          </w:p>
        </w:tc>
      </w:tr>
      <w:tr>
        <w:trPr>
          <w:trHeight w:val="237"/>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Finance lease cost:</w:t>
            </w:r>
          </w:p>
        </w:tc>
        <w:tc>
          <w:tcPr>
            <w:tcW w:w="20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Interest on lease liabilities</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Short-term lease cost</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97"/>
        </w:trPr>
        <w:tc>
          <w:tcPr>
            <w:tcW w:w="55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Total lease cost</w:t>
            </w:r>
          </w:p>
        </w:tc>
        <w:tc>
          <w:tcPr>
            <w:tcW w:w="20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45.3</w:t>
            </w:r>
          </w:p>
        </w:tc>
      </w:tr>
      <w:tr>
        <w:trPr>
          <w:trHeight w:val="31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03"/>
        </w:trPr>
        <w:tc>
          <w:tcPr>
            <w:tcW w:w="55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Other information</w:t>
            </w: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lease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4"/>
              </w:rPr>
              <w:t>Right-of-use assets obtained in exchange for new finance lease liabilities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r>
      <w:tr>
        <w:trPr>
          <w:trHeight w:val="675"/>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20" w:type="dxa"/>
            <w:vAlign w:val="bottom"/>
          </w:tcPr>
          <w:p>
            <w:pPr>
              <w:jc w:val="right"/>
              <w:ind w:right="165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gridSpan w:val="4"/>
            <w:shd w:val="clear" w:color="auto" w:fill="CCEEFF"/>
          </w:tcPr>
          <w:p>
            <w:pPr>
              <w:jc w:val="right"/>
              <w:ind w:right="410"/>
              <w:spacing w:after="0"/>
              <w:rPr>
                <w:sz w:val="20"/>
                <w:szCs w:val="20"/>
                <w:color w:val="auto"/>
              </w:rPr>
            </w:pPr>
            <w:r>
              <w:rPr>
                <w:rFonts w:ascii="Arial" w:cs="Arial" w:eastAsia="Arial" w:hAnsi="Arial"/>
                <w:sz w:val="16"/>
                <w:szCs w:val="16"/>
                <w:b w:val="1"/>
                <w:bCs w:val="1"/>
                <w:color w:val="auto"/>
              </w:rPr>
              <w:t>As of June 30, 2019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Finance lease right-of-use assets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23.9</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Finance lease liability, current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6.6</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liability,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liability, current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49.6</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5.31 years</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4.25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648"/>
        </w:trPr>
        <w:tc>
          <w:tcPr>
            <w:tcW w:w="9820" w:type="dxa"/>
            <w:vAlign w:val="bottom"/>
            <w:gridSpan w:val="5"/>
          </w:tcPr>
          <w:p>
            <w:pPr>
              <w:ind w:left="260"/>
              <w:spacing w:after="0"/>
              <w:rPr>
                <w:sz w:val="20"/>
                <w:szCs w:val="20"/>
                <w:color w:val="auto"/>
              </w:rPr>
            </w:pPr>
            <w:r>
              <w:rPr>
                <w:rFonts w:ascii="Arial" w:cs="Arial" w:eastAsia="Arial" w:hAnsi="Arial"/>
                <w:sz w:val="18"/>
                <w:szCs w:val="18"/>
                <w:color w:val="auto"/>
                <w:w w:val="98"/>
              </w:rPr>
              <w:t>Future annual minimum lease payments and finance lease commitments as of June 30, 2019 were as follows (in millions):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88"/>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6"/>
                <w:szCs w:val="16"/>
                <w:b w:val="1"/>
                <w:bCs w:val="1"/>
                <w:color w:val="auto"/>
                <w:w w:val="92"/>
              </w:rPr>
              <w:t>Finance Leases</w:t>
            </w: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six months ended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460" w:type="dxa"/>
            <w:vAlign w:val="bottom"/>
            <w:gridSpan w:val="2"/>
          </w:tcPr>
          <w:p>
            <w:pPr>
              <w:jc w:val="right"/>
              <w:ind w:right="19"/>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460" w:type="dxa"/>
            <w:vAlign w:val="bottom"/>
            <w:gridSpan w:val="2"/>
          </w:tcPr>
          <w:p>
            <w:pPr>
              <w:jc w:val="right"/>
              <w:ind w:right="19"/>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140" w:type="dxa"/>
            <w:vAlign w:val="bottom"/>
          </w:tcPr>
          <w:p>
            <w:pPr>
              <w:spacing w:after="0"/>
              <w:rPr>
                <w:sz w:val="21"/>
                <w:szCs w:val="21"/>
                <w:color w:val="auto"/>
              </w:rPr>
            </w:pPr>
          </w:p>
        </w:tc>
        <w:tc>
          <w:tcPr>
            <w:tcW w:w="1460" w:type="dxa"/>
            <w:vAlign w:val="bottom"/>
            <w:gridSpan w:val="2"/>
          </w:tcPr>
          <w:p>
            <w:pPr>
              <w:jc w:val="right"/>
              <w:ind w:right="19"/>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adopted ASU 2016-02 on January 1, 2019 as noted above, and as required, the following disclosure is provided for periods prior to adoption. Future annual minimum lease payments and capital lease commitments as of December 31, 2018 were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Arial" w:cs="Arial" w:eastAsia="Arial" w:hAnsi="Arial"/>
                <w:sz w:val="16"/>
                <w:szCs w:val="16"/>
                <w:b w:val="1"/>
                <w:bCs w:val="1"/>
                <w:color w:val="auto"/>
                <w:w w:val="94"/>
              </w:rPr>
              <w:t>Capital Leases</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On March 1, 2019, we entered into an agreement with a financial institution to renew the lease of our corporate headquarters in Richardson, Texas for a term of five years through March 1, 2024.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ectPr>
          <w:pgSz w:w="11900" w:h="16838" w:orient="portrait"/>
          <w:cols w:equalWidth="0" w:num="1">
            <w:col w:w="11420"/>
          </w:cols>
          <w:pgMar w:left="240" w:top="734"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34" w:right="239" w:bottom="1440" w:gutter="0" w:footer="0" w:header="0"/>
          <w:type w:val="continuous"/>
        </w:sectPr>
      </w:pPr>
    </w:p>
    <w:bookmarkStart w:id="17" w:name="page18"/>
    <w:bookmarkEnd w:id="17"/>
    <w:p>
      <w:pPr>
        <w:jc w:val="both"/>
        <w:ind w:firstLine="243"/>
        <w:spacing w:after="0" w:line="259" w:lineRule="auto"/>
        <w:rPr>
          <w:sz w:val="20"/>
          <w:szCs w:val="20"/>
          <w:color w:val="auto"/>
        </w:rPr>
      </w:pPr>
      <w:r>
        <w:rPr>
          <w:rFonts w:ascii="Arial" w:cs="Arial" w:eastAsia="Arial" w:hAnsi="Arial"/>
          <w:sz w:val="18"/>
          <w:szCs w:val="18"/>
          <w:color w:val="auto"/>
        </w:rPr>
        <w:t>Our obligations under the headquarters lease are secured by a pledge of our interest in the leased property. The lease contains customary lease covenants and events of default as well as events of default if (i) indebtedness of $75 million or more is not paid when due, (ii) there is a change of control or (iii) we fail to comply with certain covenants incorporated from our existing credit facility agreement. We believe we were in compliance with these financial covenants as of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2019</w:t>
            </w:r>
          </w:p>
        </w:tc>
        <w:tc>
          <w:tcPr>
            <w:tcW w:w="19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As of December 31, 2018</w:t>
            </w:r>
          </w:p>
        </w:tc>
      </w:tr>
      <w:tr>
        <w:trPr>
          <w:trHeight w:val="33"/>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111.6</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changes in product warranty liabilities related to continuing operations for the six months ended June 30, 2019 were as follows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Total warranty liability as of December 31, 2018</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111.6</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claims paid</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liability from divestitures</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Total warranty liability as of June 30, 2019</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113.9</w:t>
            </w:r>
          </w:p>
        </w:tc>
      </w:tr>
      <w:tr>
        <w:trPr>
          <w:trHeight w:val="27"/>
        </w:trPr>
        <w:tc>
          <w:tcPr>
            <w:tcW w:w="10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second quarter of 2017, we identified a product quality issue in a defective vendor-supplied component affecting a product line in the Residential Heating &amp; Cooling segment. This defect was isolated, the vendor is supplying corrected components, and we are manufacturing products with the corrected components. We incurred and recorded expenses associated with this product quality in 2017. In the second quarter of 2019, the vendor agreed to reimburse us for certain losses incurred due to this quality issue. These reimbursements will include cash payments in 2019 and price reductions on annual qualifying purchases from this vendor through 2024. The total reimbursements we receive from the vendor should off set the cost we have incurred related to this product quality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so we may have greater financial exposure for future settlements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judgments. For the three months ended June 30, 2019 and 2018, expense for asbestos-related litigation was $0.4 million and $(0.2) million and for the six months ended June 30, 2019 and 2018, expense for asbestos-related litigation was $1.8 million and $1.9 million, respectively, net of probable insurance recoveries, for known and future asbestos-related litigation and is recorded in Losses (gains) and other expenses, net in the Consolidated Statements of Operations.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Marshalltown Tornado and Recovery</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July 19, 2018, our manufacturing facility in Marshalltown, Iowa was severely damaged by a tornado. We have insurance for the repair or replacement of our assets that suffered damage or loss, and we are working closely with our insurance carriers and claims adjusters to ascertain the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These costs and insurance recoveries are shown in Gain from insurance recoveries, net of losses incurred and Insurance proceeds for lost profits in the Consolidated Statements of Operations.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Gain from insurance recoveries, net of losses incurred:</w:t>
      </w: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9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16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5"/>
              </w:rPr>
              <w:t>For the Three months Ended</w:t>
            </w:r>
          </w:p>
        </w:tc>
        <w:tc>
          <w:tcPr>
            <w:tcW w:w="1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2"/>
              <w:spacing w:after="0"/>
              <w:rPr>
                <w:sz w:val="20"/>
                <w:szCs w:val="20"/>
                <w:color w:val="auto"/>
              </w:rPr>
            </w:pPr>
            <w:r>
              <w:rPr>
                <w:rFonts w:ascii="Arial" w:cs="Arial" w:eastAsia="Arial" w:hAnsi="Arial"/>
                <w:sz w:val="16"/>
                <w:szCs w:val="16"/>
                <w:b w:val="1"/>
                <w:bCs w:val="1"/>
                <w:color w:val="auto"/>
                <w:w w:val="89"/>
              </w:rPr>
              <w:t>For the Six months Ended</w:t>
            </w: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vMerge w:val="continue"/>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Insurance recoveries received</w:t>
            </w:r>
          </w:p>
        </w:tc>
        <w:tc>
          <w:tcPr>
            <w:tcW w:w="16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52.0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losses and expenses incurred:</w:t>
            </w:r>
          </w:p>
        </w:tc>
        <w:tc>
          <w:tcPr>
            <w:tcW w:w="1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Site clean-up and remediation</w:t>
            </w: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Factory inefficiencies due to lower productivity</w:t>
            </w:r>
          </w:p>
        </w:tc>
        <w:tc>
          <w:tcPr>
            <w:tcW w:w="1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losses and expenses</w:t>
            </w:r>
          </w:p>
        </w:tc>
        <w:tc>
          <w:tcPr>
            <w:tcW w:w="16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49.7</w:t>
            </w:r>
          </w:p>
        </w:tc>
        <w:tc>
          <w:tcPr>
            <w:tcW w:w="0" w:type="dxa"/>
            <w:vAlign w:val="bottom"/>
          </w:tcPr>
          <w:p>
            <w:pPr>
              <w:spacing w:after="0"/>
              <w:rPr>
                <w:sz w:val="1"/>
                <w:szCs w:val="1"/>
                <w:color w:val="auto"/>
              </w:rPr>
            </w:pPr>
          </w:p>
        </w:tc>
      </w:tr>
      <w:tr>
        <w:trPr>
          <w:trHeight w:val="29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gain from insurance recoveries</w:t>
            </w:r>
          </w:p>
        </w:tc>
        <w:tc>
          <w:tcPr>
            <w:tcW w:w="16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78.3</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Presentation in the Consolidated Statements of Operations:</w:t>
            </w:r>
          </w:p>
        </w:tc>
        <w:tc>
          <w:tcPr>
            <w:tcW w:w="16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Insurance proceeds for lost profits</w:t>
            </w: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from insurance recoveries, net of losses incurred</w:t>
            </w:r>
          </w:p>
        </w:tc>
        <w:tc>
          <w:tcPr>
            <w:tcW w:w="1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891"/>
        </w:trPr>
        <w:tc>
          <w:tcPr>
            <w:tcW w:w="494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8. Lines of Credit and Financing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As of June 30, 2019</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3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Domestic credit facility</w:t>
            </w:r>
          </w:p>
        </w:tc>
        <w:tc>
          <w:tcPr>
            <w:tcW w:w="30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378.0</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1,466.8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1,041.3</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no outstanding foreign obligations as of June 30, 2019 or December 31, 2018. There were no significant proceeds or repayments on these facilities for the six months ended June 30, 2019. Proceeds and repayments on these facilities were $21.3 million and $18.4 million, respectively, for the six months ended June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 The ASP will expire in November 2019 and we intend to renew the ASP prior to its expiration.</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of June 30, 2019</w:t>
            </w: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As of December 31, 2018</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Eligible amount available under the ASP on qualified accounts receivable</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Less: Beneficial interest transferred</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0" w:name="page21"/>
    <w:bookmarkEnd w:id="20"/>
    <w:p>
      <w:pPr>
        <w:jc w:val="both"/>
        <w:ind w:firstLine="243"/>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June 30, 2019 and December 31, 2018 were 3.11% and 3.27%, respectively. The unused fee is based on 101% of the maximum available amount less the beneficial interest transferred and is calculated at a 0.35% fixed rate throughout the term of the agreement. We recorded these fees in Interest expense, net in the accompanying Consolidated Statements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June 30, 2019,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January 22, 2019, we amended our credit facility with the Domestic Credit Facility to provide for a $350.0 million increase in revolving commitments. The Domestic Credit Facility currently consists of a $1,000.0 million unsecured revolving credit facility and a $190.0 million unsecured term loan that matures in August 2021 (the "Maturity Date"). Under our Domestic Credit Facility, we had outstanding borrowings of $800.0 million, of which $160.0 million was the term loan balance, as well as $2.5 million committed to standby letters of credit as of June 30, 2019. Subject to covenant limitations, $357.5 million was available for future borrowings. The unsecured term loan also matures on the Maturity Date and requires quarterly principal repayments of $7.5 million. The revolving credit facility includes a subfacility for swingline loans of up to $65.0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6"/>
                <w:szCs w:val="16"/>
                <w:b w:val="1"/>
                <w:bCs w:val="1"/>
                <w:color w:val="auto"/>
              </w:rPr>
              <w:t>As of June 30, 2019</w:t>
            </w:r>
          </w:p>
        </w:tc>
        <w:tc>
          <w:tcPr>
            <w:tcW w:w="2340" w:type="dxa"/>
            <w:vAlign w:val="bottom"/>
          </w:tcPr>
          <w:p>
            <w:pPr>
              <w:jc w:val="right"/>
              <w:ind w:right="234"/>
              <w:spacing w:after="0"/>
              <w:rPr>
                <w:sz w:val="20"/>
                <w:szCs w:val="20"/>
                <w:color w:val="auto"/>
              </w:rPr>
            </w:pPr>
            <w:r>
              <w:rPr>
                <w:rFonts w:ascii="Arial" w:cs="Arial" w:eastAsia="Arial" w:hAnsi="Arial"/>
                <w:sz w:val="16"/>
                <w:szCs w:val="16"/>
                <w:b w:val="1"/>
                <w:bCs w:val="1"/>
                <w:color w:val="auto"/>
              </w:rPr>
              <w:t>As of December 31, 2018</w:t>
            </w:r>
          </w:p>
        </w:tc>
      </w:tr>
      <w:tr>
        <w:trPr>
          <w:trHeight w:val="33"/>
        </w:trPr>
        <w:tc>
          <w:tcPr>
            <w:tcW w:w="66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6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3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3"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and payable and the lenders’ commitments will automatically terminate). As of June 30, 2019, we believe we were in compliance with all covenant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2019, we believe we were in compliance with all covenant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 Plans: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March 10, 2017, the FASB issued ASU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ASU 2017-07 changes the income statement presentation of defined benefit plan expense by requiring separation between operating expense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(income),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April 3, 2019, we entered into an agreement with Pacific Life Insurance Company to purchase a group annuity contract and transfer $100.0 million of our pension plan assets and $105.6 million of related pension benefit obligations. In the second quarter of 2019, we recognized a $60.6 million pension settlement charge in the Statement of Operations and reclassified $5.6 million of pension benefit obligations to AOCL as a result of this transaction.</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66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92"/>
              </w:rPr>
              <w:t>For the Three Months Ended June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89"/>
              </w:rPr>
              <w:t>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For the Six Months Ended June 30,</w:t>
            </w:r>
          </w:p>
        </w:tc>
      </w:tr>
      <w:tr>
        <w:trPr>
          <w:trHeight w:val="33"/>
        </w:trPr>
        <w:tc>
          <w:tcPr>
            <w:tcW w:w="59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r>
      <w:tr>
        <w:trPr>
          <w:trHeight w:val="33"/>
        </w:trPr>
        <w:tc>
          <w:tcPr>
            <w:tcW w:w="5900" w:type="dxa"/>
            <w:vAlign w:val="bottom"/>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2120" w:type="dxa"/>
            <w:vAlign w:val="bottom"/>
            <w:gridSpan w:val="5"/>
          </w:tcPr>
          <w:p>
            <w:pPr>
              <w:jc w:val="center"/>
              <w:ind w:left="375"/>
              <w:spacing w:after="0"/>
              <w:rPr>
                <w:sz w:val="20"/>
                <w:szCs w:val="20"/>
                <w:color w:val="auto"/>
              </w:rPr>
            </w:pPr>
            <w:r>
              <w:rPr>
                <w:rFonts w:ascii="Arial" w:cs="Arial" w:eastAsia="Arial" w:hAnsi="Arial"/>
                <w:sz w:val="16"/>
                <w:szCs w:val="16"/>
                <w:b w:val="1"/>
                <w:bCs w:val="1"/>
                <w:color w:val="auto"/>
                <w:w w:val="87"/>
              </w:rPr>
              <w:t>Pension Benefits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Pension Benefits</w:t>
            </w:r>
          </w:p>
        </w:tc>
      </w:tr>
      <w:tr>
        <w:trPr>
          <w:trHeight w:val="33"/>
        </w:trPr>
        <w:tc>
          <w:tcPr>
            <w:tcW w:w="5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8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6.2</w:t>
            </w:r>
          </w:p>
        </w:tc>
      </w:tr>
      <w:tr>
        <w:trPr>
          <w:trHeight w:val="27"/>
        </w:trPr>
        <w:tc>
          <w:tcPr>
            <w:tcW w:w="5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
        </w:trPr>
        <w:tc>
          <w:tcPr>
            <w:tcW w:w="5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60.6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780" w:type="dxa"/>
            <w:vAlign w:val="bottom"/>
            <w:shd w:val="clear" w:color="auto" w:fill="CCEEFF"/>
          </w:tcPr>
          <w:p>
            <w:pPr>
              <w:jc w:val="right"/>
              <w:ind w:right="575"/>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62.2</w:t>
            </w:r>
          </w:p>
        </w:tc>
        <w:tc>
          <w:tcPr>
            <w:tcW w:w="9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 January 2018, we reduced our estimated long-term rate of return on plan assets for U.S. pension plans from 7.5% to 6.5%. A 25 basis point decrease in the long-term rate of return will result in a $0.4 million increase in net periodic benefit cost for U.S. pension plans.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2010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980" w:type="dxa"/>
            <w:vAlign w:val="bottom"/>
            <w:gridSpan w:val="6"/>
          </w:tcPr>
          <w:p>
            <w:pPr>
              <w:ind w:left="140"/>
              <w:spacing w:after="0"/>
              <w:rPr>
                <w:sz w:val="20"/>
                <w:szCs w:val="20"/>
                <w:color w:val="auto"/>
              </w:rPr>
            </w:pPr>
            <w:r>
              <w:rPr>
                <w:rFonts w:ascii="Arial" w:cs="Arial" w:eastAsia="Arial" w:hAnsi="Arial"/>
                <w:sz w:val="16"/>
                <w:szCs w:val="16"/>
                <w:b w:val="1"/>
                <w:bCs w:val="1"/>
                <w:color w:val="auto"/>
                <w:w w:val="98"/>
              </w:rPr>
              <w:t>For the Three Months Ended June 30,</w:t>
            </w: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8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r>
      <w:tr>
        <w:trPr>
          <w:trHeight w:val="33"/>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5"/>
                <w:szCs w:val="25"/>
                <w:color w:val="auto"/>
                <w:vertAlign w:val="superscript"/>
              </w:rPr>
              <w:t>(1)</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11.4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All expense was recorded in our Corporate and Other business segment.</w:t>
      </w:r>
    </w:p>
    <w:p>
      <w:pPr>
        <w:spacing w:after="0" w:line="14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Our Board of Directors has authorized a total of $2.5 billion to repurchase shares of our common stock (collectively referred to as the "Share Repurchase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Plans"), including a $500 million share repurchase authorization in March 2018.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June 30, 2019, $196 million of shares may be repurchased under the Share Repurchase Plans.</w:t>
      </w:r>
    </w:p>
    <w:p>
      <w:pPr>
        <w:spacing w:after="0" w:line="1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repurchased 0.4 million shares for $100.0 million during the first quarter of 2019 and 0.6 million shares for $150.0 million during the second quarter of 2019, respectively, from open market transactions. We also repurchased 0.1 million shares for $14.5 million during the six months ended June 30, 2019 from employees who surrendered shares to satisfy minimum tax withholding obligations upon the exercise of long-term incentive awards.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12. Comprehensive Income (Loss):</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5"/>
              </w:rPr>
              <w:t>For the Six Months Ended June</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9"/>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4"/>
              </w:rPr>
              <w:t>Affected Line Item(s) in the Consolidated</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80" w:type="dxa"/>
            <w:vAlign w:val="bottom"/>
          </w:tcPr>
          <w:p>
            <w:pPr>
              <w:ind w:left="66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Gains/(Losses) on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Commodity futures contracts/foreign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exchange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Cost of goods sold; Selling, general and</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Pension and post-retirement benefit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adjustments on sale of</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Loss (gain), net on sale of businesses and</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property</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 reclassifications from AOCL</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4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provides information on changes in AOCL, by component (net of tax), for the six months ended June 30, 2019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Gains (Losses) on</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Cash Flow Hedges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Items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 AOCL</w:t>
            </w:r>
          </w:p>
        </w:tc>
      </w:tr>
      <w:tr>
        <w:trPr>
          <w:trHeight w:val="33"/>
        </w:trPr>
        <w:tc>
          <w:tcPr>
            <w:tcW w:w="5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5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5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5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w:t>
            </w:r>
          </w:p>
        </w:tc>
      </w:tr>
      <w:tr>
        <w:trPr>
          <w:trHeight w:val="27"/>
        </w:trPr>
        <w:tc>
          <w:tcPr>
            <w:tcW w:w="56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June 30, 2019</w:t>
            </w: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r>
      <w:tr>
        <w:trPr>
          <w:trHeight w:val="20"/>
        </w:trPr>
        <w:tc>
          <w:tcPr>
            <w:tcW w:w="5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16. Restructuring activities in 2018 and 2019 were insignificant.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Divestiture:</w:t>
      </w:r>
    </w:p>
    <w:p>
      <w:pPr>
        <w:spacing w:after="0" w:line="225" w:lineRule="exact"/>
        <w:rPr>
          <w:sz w:val="20"/>
          <w:szCs w:val="20"/>
          <w:color w:val="auto"/>
        </w:rPr>
      </w:pPr>
    </w:p>
    <w:p>
      <w:pPr>
        <w:jc w:val="both"/>
        <w:ind w:right="160" w:firstLine="243"/>
        <w:spacing w:after="0" w:line="264" w:lineRule="auto"/>
        <w:rPr>
          <w:sz w:val="20"/>
          <w:szCs w:val="20"/>
          <w:color w:val="auto"/>
        </w:rPr>
      </w:pPr>
      <w:r>
        <w:rPr>
          <w:rFonts w:ascii="Arial" w:cs="Arial" w:eastAsia="Arial" w:hAnsi="Arial"/>
          <w:sz w:val="18"/>
          <w:szCs w:val="18"/>
          <w:color w:val="auto"/>
        </w:rPr>
        <w:t>During the first quarter of 2019, we obtained Board of Directors' approval and signed an agreement with EPTA S.p.A., a private Italian company, for the sale of our Kysor Warren business. The sale was completed on March 29, 2019 with the post-completion adjustment being recorded in the second quarter of 2019. The following table summarizes the net loss recognized in connection with this divestiture:</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2"/>
              </w:rPr>
              <w:t>For the Six Months Ended June</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6"/>
                <w:szCs w:val="16"/>
                <w:b w:val="1"/>
                <w:bCs w:val="1"/>
                <w:color w:val="auto"/>
              </w:rPr>
              <w:t>30, 2019</w:t>
            </w:r>
          </w:p>
        </w:tc>
      </w:tr>
      <w:tr>
        <w:trPr>
          <w:trHeight w:val="237"/>
        </w:trPr>
        <w:tc>
          <w:tcPr>
            <w:tcW w:w="8500" w:type="dxa"/>
            <w:vAlign w:val="bottom"/>
          </w:tcPr>
          <w:p>
            <w:pPr>
              <w:ind w:left="20"/>
              <w:spacing w:after="0"/>
              <w:rPr>
                <w:sz w:val="20"/>
                <w:szCs w:val="20"/>
                <w:color w:val="auto"/>
              </w:rPr>
            </w:pPr>
            <w:r>
              <w:rPr>
                <w:rFonts w:ascii="Arial" w:cs="Arial" w:eastAsia="Arial" w:hAnsi="Arial"/>
                <w:sz w:val="18"/>
                <w:szCs w:val="18"/>
                <w:color w:val="auto"/>
              </w:rPr>
              <w:t>Cash received from the buyer</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sold</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AOCI reclassification adjustments, primarily foreign currency translation</w:t>
            </w:r>
          </w:p>
        </w:tc>
        <w:tc>
          <w:tcPr>
            <w:tcW w:w="4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costs to sell</w:t>
            </w:r>
          </w:p>
        </w:tc>
        <w:tc>
          <w:tcPr>
            <w:tcW w:w="4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8500" w:type="dxa"/>
            <w:vAlign w:val="bottom"/>
          </w:tcPr>
          <w:p>
            <w:pPr>
              <w:ind w:left="260"/>
              <w:spacing w:after="0"/>
              <w:rPr>
                <w:sz w:val="20"/>
                <w:szCs w:val="20"/>
                <w:color w:val="auto"/>
              </w:rPr>
            </w:pPr>
            <w:r>
              <w:rPr>
                <w:rFonts w:ascii="Arial" w:cs="Arial" w:eastAsia="Arial" w:hAnsi="Arial"/>
                <w:sz w:val="18"/>
                <w:szCs w:val="18"/>
                <w:b w:val="1"/>
                <w:bCs w:val="1"/>
                <w:color w:val="auto"/>
              </w:rPr>
              <w:t>Loss on sale of business</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New Zealand and Asia Divestiture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2018, we obtained Board of Directors' approval and signed an agreement with Beijer Ref AB, a Stockholm Stock Exchange-listed company, for the sale of our Australia, New Zealand and Asia business, except for the Milperra property that was sold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pacing w:after="0" w:line="33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Year Ended December</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(1)</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4"/>
        </w:trPr>
        <w:tc>
          <w:tcPr>
            <w:tcW w:w="8500" w:type="dxa"/>
            <w:vAlign w:val="bottom"/>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20" w:firstLine="494"/>
        <w:spacing w:after="0" w:line="252" w:lineRule="auto"/>
        <w:tabs>
          <w:tab w:leader="none" w:pos="678"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Includes $10.3 million of net assets that were written down during the quarter ended March 31, 2018 based on the expected proceeds from the sale, net of selling costs for the sale for our Australia, New Zealand and Asia business.</w:t>
      </w:r>
    </w:p>
    <w:p>
      <w:pPr>
        <w:spacing w:after="0" w:line="189"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America Divestiture</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the second quarter of 2018, we obtained Board of Directors'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5" w:name="page26"/>
    <w:bookmarkEnd w:id="25"/>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For the Year Ended December</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(2)</w:t>
            </w:r>
          </w:p>
        </w:tc>
        <w:tc>
          <w:tcPr>
            <w:tcW w:w="48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33"/>
        </w:trPr>
        <w:tc>
          <w:tcPr>
            <w:tcW w:w="8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4"/>
        </w:trPr>
        <w:tc>
          <w:tcPr>
            <w:tcW w:w="8500" w:type="dxa"/>
            <w:vAlign w:val="bottom"/>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firstLine="494"/>
        <w:spacing w:after="0" w:line="252" w:lineRule="auto"/>
        <w:tabs>
          <w:tab w:leader="none" w:pos="678"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Includes $1.2 million of net assets that were written down during the quarter ended June 30, 2018 based on the expected proceeds from the sale, net of selling costs for the sale for our Brazil business.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total Loss (gain), net on sale of businesses and related property in our Consolidated Statements of Operations for year ended December 31, 2018 of $27.0 million is comprised of the $13.3 million loss on the sale of our Australia, New Zealand and Asia business, the $23.8 million gain on the sale of our Milperra property, and the $37.5 million loss on the sale of our Brazil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111.0</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basic</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6"/>
              </w:rPr>
              <w:t>Add: Potential effect of dilutive securities attributable to stock-based payments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41.6</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4.31</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4.27</w:t>
            </w:r>
          </w:p>
        </w:tc>
      </w:tr>
      <w:tr>
        <w:trPr>
          <w:trHeight w:val="284"/>
        </w:trPr>
        <w:tc>
          <w:tcPr>
            <w:tcW w:w="6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8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74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w w:val="91"/>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8"/>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w:t>
            </w: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Price per share</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205.53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Business Segments: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Furnaces, air conditioners, heat pumps, packaged heating and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cooling systems, indoor air quality equipment, comfort control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Unitary heating and air conditioning equipment, applied</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systems, controls, installation and service of commercial</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heating and cooling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Central America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compressorized racks, supermarket display cases and systems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Europe</w:t>
            </w:r>
            <w:r>
              <w:rPr>
                <w:rFonts w:ascii="Arial" w:cs="Arial" w:eastAsia="Arial" w:hAnsi="Arial"/>
                <w:sz w:val="25"/>
                <w:szCs w:val="25"/>
                <w:color w:val="auto"/>
                <w:vertAlign w:val="superscript"/>
              </w:rPr>
              <w:t>(1)</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Asia Pacific</w:t>
            </w:r>
            <w:r>
              <w:rPr>
                <w:rFonts w:ascii="Arial" w:cs="Arial" w:eastAsia="Arial" w:hAnsi="Arial"/>
                <w:sz w:val="25"/>
                <w:szCs w:val="25"/>
                <w:color w:val="auto"/>
                <w:vertAlign w:val="superscript"/>
              </w:rPr>
              <w:t>(2)</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South America</w:t>
            </w:r>
            <w:r>
              <w:rPr>
                <w:rFonts w:ascii="Arial" w:cs="Arial" w:eastAsia="Arial" w:hAnsi="Arial"/>
                <w:sz w:val="25"/>
                <w:szCs w:val="25"/>
                <w:color w:val="auto"/>
                <w:vertAlign w:val="superscript"/>
              </w:rPr>
              <w:t>(2)</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America</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Effective January 1, 2019, we realigned our segment structure. We shifted financial reporting of the European Commercial HVAC business from our Commercial Heating &amp; Cooling segment to our Refrigeration segment as we manage both our commercial HVAC and refrigeration operations in Europe together. We have revised our historical segment results to present them on a comparable basis.</w:t>
      </w:r>
    </w:p>
    <w:p>
      <w:pPr>
        <w:spacing w:after="0" w:line="20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Our businesses in the Asia Pacific and South America area were sold in the second and third quarters of 2018, respectively. Refer to Note 14 for details regarding the divestiture of these businesses.</w:t>
      </w:r>
    </w:p>
    <w:p>
      <w:pPr>
        <w:spacing w:after="0" w:line="2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 June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w w:val="89"/>
              </w:rPr>
              <w:t>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689.1</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1,154.6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1,169.7</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409.3</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1,099.1</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153.4</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204.9</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segment profit</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276.1</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Operating income: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Special inventory write down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product quality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(gain) on sale of businesses and related property</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Partial advance of insurance recoveries related to lost profits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insurance recoveries, net of losses incurred</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4"/>
              </w:rPr>
              <w:t>Items in losses (gains) and other expenses, net that are excluded from segment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60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5"/>
                <w:szCs w:val="25"/>
                <w:color w:val="auto"/>
                <w:vertAlign w:val="superscript"/>
              </w:rPr>
              <w:t>(1)</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248.1</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right="440" w:hanging="249"/>
        <w:spacing w:after="0" w:line="245" w:lineRule="auto"/>
        <w:tabs>
          <w:tab w:leader="none" w:pos="435"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 The following items in Losses (gains) and other expenses, net:</w:t>
      </w: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12"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6"/>
          <w:szCs w:val="16"/>
          <w:color w:val="auto"/>
        </w:rPr>
        <w:t>Divestiture costs,</w:t>
      </w:r>
    </w:p>
    <w:p>
      <w:pPr>
        <w:spacing w:after="0" w:line="6"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product quality adjustment,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Loss (gain) on sale of businesses and related property,</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Loss on assets held for sale,</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Partial advance of insurance recoveries related to lost profits,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Gain from insurance recoveries, net of losses incurred,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i w:val="1"/>
          <w:iCs w:val="1"/>
          <w:color w:val="auto"/>
        </w:rPr>
        <w:t>Total Assets by Segment</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2019</w:t>
            </w:r>
          </w:p>
        </w:tc>
        <w:tc>
          <w:tcPr>
            <w:tcW w:w="18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As of December 31, 2018</w:t>
            </w:r>
          </w:p>
        </w:tc>
      </w:tr>
      <w:tr>
        <w:trPr>
          <w:trHeight w:val="33"/>
        </w:trPr>
        <w:tc>
          <w:tcPr>
            <w:tcW w:w="7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1,269.0</w:t>
            </w:r>
          </w:p>
        </w:tc>
        <w:tc>
          <w:tcPr>
            <w:tcW w:w="120" w:type="dxa"/>
            <w:vAlign w:val="bottom"/>
          </w:tcPr>
          <w:p>
            <w:pPr>
              <w:spacing w:after="0"/>
              <w:rPr>
                <w:sz w:val="21"/>
                <w:szCs w:val="21"/>
                <w:color w:val="auto"/>
              </w:rPr>
            </w:pP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837.4</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8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462.9</w:t>
            </w:r>
          </w:p>
        </w:tc>
      </w:tr>
      <w:tr>
        <w:trPr>
          <w:trHeight w:val="27"/>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w:t>
            </w:r>
          </w:p>
        </w:tc>
      </w:tr>
      <w:tr>
        <w:trPr>
          <w:trHeight w:val="257"/>
        </w:trPr>
        <w:tc>
          <w:tcPr>
            <w:tcW w:w="73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2,340.4</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1,817.2</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assets in the Corporate and other segment primarily consist of cash, short-term investments, property, plant and equipment and deferred tax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recorded in the operating segments represent those assets directly associated with those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June 30, 2019 were the same as those used at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5 for more information related to our derivative instruments.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As of June 30,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r>
      <w:tr>
        <w:trPr>
          <w:trHeight w:val="27"/>
        </w:trPr>
        <w:tc>
          <w:tcPr>
            <w:tcW w:w="7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senior unsecured notes are unconditionally guaranteed by certain of our subsidiaries (the “Guarantor Subsidiaries”) and are not guaranteed by our other subsidiaries (the “Non-Guarantor Subsidiaries”). The Guarantor Subsidiaries are 100% owned, all guarantees are full and unconditional, and all guarantees are joint and several. As a result of the guarantee arrangements, we are required to present the following condensed consolidating financial statements.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condensed consolidating financial statements reflect our investments in our subsidiaries using the equity method of accounting. The principal elimination entries eliminate investments in subsidiaries and intercompany balances and transactions. Our condensed consolidating financial statements and our Guarantor Subsidiaries and Non-Guarantor Subsidiaries as of June 30, 2019 and December 31, 2018, and for the three and six months ended June 30, 2019 and 2018 are shown on the following pages.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30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Right-of-use assets from operating leases</w:t>
            </w:r>
          </w:p>
        </w:tc>
        <w:tc>
          <w:tcPr>
            <w:tcW w:w="30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2,620.3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1,086.1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2,340.4</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w w:val="99"/>
              </w:rPr>
              <w:t>LIABILITIES AND STOCKHOLDERS’ (DEFICIT) EQUITY</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1,634.2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941.3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2,620.3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1,086.1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2,340.4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30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604.4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2,102.8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1,817.2</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w w:val="99"/>
              </w:rPr>
              <w:t>LIABILITIES AND STOCKHOLDERS’ (DEFICIT) EQUITY</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Pensions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769.4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1,966.8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444.3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1,817.2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June 30,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1,019.2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146.5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1,099.1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Insurance proceeds for lost profits</w:t>
            </w:r>
          </w:p>
        </w:tc>
        <w:tc>
          <w:tcPr>
            <w:tcW w:w="26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50.6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2" w:name="page33"/>
    <w:bookmarkEnd w:id="32"/>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Six Months Ended June 30,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1,742.1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267.7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1,889.4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Insurance proceeds for lost profits</w:t>
            </w:r>
          </w:p>
        </w:tc>
        <w:tc>
          <w:tcPr>
            <w:tcW w:w="26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59.2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June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1,057.8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303.8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1,175.4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asset held for sale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Six Months Ended June 30,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2,010.2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assets held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221.6</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166.1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163.6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96" w:right="239" w:bottom="1440" w:gutter="0" w:footer="0" w:header="0"/>
        </w:sectPr>
      </w:pPr>
    </w:p>
    <w:bookmarkStart w:id="35" w:name="page36"/>
    <w:bookmarkEnd w:id="35"/>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2"/>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from natural disaster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by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debt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 proceeds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businesses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debt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 proceeds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19. Subsequent Event:</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2019, we repurchased 0.5 million shares of our common stock for $150.0 million under the Share Repurchase Plans through transactions pursuant to a Rule 10b5-1 trading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Quarterly Report on Form 10-Q, the risk factors set forth in Part I, “Item 1A. Risk Factors” in our Annual Report on Form 10-K for the year ended December 31, 2018,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16 in the Notes to the Consolidated Financial Statements.</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5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newly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July 19, 2018, our manufacturing facility in Marshalltown, Iowa was damaged by a tornado. Insurance covers the repair or replacement of our assets that suffered damage or loss, and we are working closely with our insurance carriers and claims adjusters to ascertain the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8" w:name="page39"/>
    <w:bookmarkEnd w:id="38"/>
    <w:p>
      <w:pPr>
        <w:jc w:val="both"/>
        <w:ind w:firstLine="243"/>
        <w:spacing w:after="0" w:line="255" w:lineRule="auto"/>
        <w:rPr>
          <w:sz w:val="20"/>
          <w:szCs w:val="20"/>
          <w:color w:val="auto"/>
        </w:rPr>
      </w:pPr>
      <w:r>
        <w:rPr>
          <w:rFonts w:ascii="Arial" w:cs="Arial" w:eastAsia="Arial" w:hAnsi="Arial"/>
          <w:sz w:val="18"/>
          <w:szCs w:val="18"/>
          <w:color w:val="auto"/>
        </w:rPr>
        <w:t>In the second quarter of 2019, we incurred expenses of $20 million related to damages caused by the tornado, which included site clean-up and demolition, factory inefficiencies, freight to move product to other warehouses and sales and marketing promotional costs. We received insurance recoveries of $52 million in the second quarter of 2019 and allocated the first $26 million of these proceeds to cover our expenses and rebuilding costs incurred during the three months ended June 30, 2019, which is included in Gain from insurance recoveries, net of losses incurred in the Consolidated Statements of Operations. The remaining $26 million of insurance recoveries represents amounts for lost profits and is shown in Insurance proceeds for lost profits in the Consolidated Statements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year ended December 31, 2019, we expect to receive insurance proceeds of $94 million related to lost profits and $154 million to fund the reconstruction of the facility and as reimbursement for other losses and expenses expected to be incurred. We expect to receive a cumulative total of $121 million in insurance proceeds related to lost profits and a cumulative total of $251 million to fund the reconstruction of the facility and as reimbursement for other losses and expenses expected to be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Results for the second quarter of 2019, most notably in our Residential Heating &amp; Cooling segment, were impacted by unfavorable weather conditions in North America when compared to the second quarter of 2018. The Residential Heating &amp; Cooling segment saw a 4% decrease in net sales primarily on unfavorable weather and their segment profit was flat, including the impact of insurance proceeds received for lost profits. The Commercial Heating &amp; Cooling segment had a 4% increase in net sales and a $3 million increase in segment profit which were driven by lower volumes and higher price and mix. Sales in our Refrigeration segment decreased by 28% primarily due to the sale of our Australia, New Zealand, Asia, Brazil and Kysor Warren businesses in prior quarters, and segment profit declined $4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$76 million, or 6%, to $1,099 million in the second quarter of 2019 primarily due to the sale of our Australia, New Zealand, Asia, Brazil and Kysor Warren businesses in prior quarters.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in the second quarter of 2019 increased $19 million to $214 million due primarily to $26 million of insurance proceeds for lost profits.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for the second quarter of 2019 decreased $27 million to $111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$2.81 per share in the second quarter of 2019 compared to $3.39 per share in the second quarter of 2018.</w:t>
      </w:r>
    </w:p>
    <w:p>
      <w:pPr>
        <w:ind w:left="660" w:right="2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six months ended June 30, 2019, we returned $51 million to shareholders through dividend payments and have repurchased $250 million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2019 Compared to Second Quarter of 2018 -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20" w:type="dxa"/>
            <w:vAlign w:val="bottom"/>
            <w:gridSpan w:val="6"/>
          </w:tcPr>
          <w:p>
            <w:pPr>
              <w:ind w:left="400"/>
              <w:spacing w:after="0"/>
              <w:rPr>
                <w:sz w:val="20"/>
                <w:szCs w:val="20"/>
                <w:color w:val="auto"/>
              </w:rPr>
            </w:pPr>
            <w:r>
              <w:rPr>
                <w:rFonts w:ascii="Arial" w:cs="Arial" w:eastAsia="Arial" w:hAnsi="Arial"/>
                <w:sz w:val="16"/>
                <w:szCs w:val="16"/>
                <w:b w:val="1"/>
                <w:bCs w:val="1"/>
                <w:color w:val="auto"/>
              </w:rPr>
              <w:t>For the Three Months Ended 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Dollars (in millions)</w:t>
            </w: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2380" w:type="dxa"/>
            <w:vAlign w:val="bottom"/>
            <w:gridSpan w:val="3"/>
            <w:vMerge w:val="restart"/>
          </w:tcPr>
          <w:p>
            <w:pPr>
              <w:jc w:val="right"/>
              <w:ind w:right="53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5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gridSpan w:val="5"/>
            <w:vMerge w:val="continue"/>
          </w:tcPr>
          <w:p>
            <w:pPr>
              <w:spacing w:after="0"/>
              <w:rPr>
                <w:sz w:val="6"/>
                <w:szCs w:val="6"/>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Change</w:t>
            </w:r>
          </w:p>
        </w:tc>
        <w:tc>
          <w:tcPr>
            <w:tcW w:w="2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5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Fav/(Unfav)</w:t>
            </w: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1,175.4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net on sale of businesses and related property</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Loss on assets held for sale</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for lost profits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Gain from insurance recoveries, net of losses incurred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195.1</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16.6 %</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6% in the second quarter of 2019 compared to the second quarter of 2018. The loss of sales related to our Australia, New Zealand, Asia, Brazil and Kysor Warren businesses contributed 5%, lower sales volume contributed 4% and unfavorable foreign currency exchange rates contributed 1%. These were partially offset by favorable combined price and mix of 4% across all of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Gross profit margin in the second quarter of 2019 decreased to 30.2% compared to 30.8% in the second quarter of 2018. We saw decreases in profit margin of 60 basis points ("bps") from higher commodity prices, 100 bps from higher freight and distribution costs, 30 bps from tariffs on Chinese imports and 90 bps from other product costs. Partially offsetting these decreases were positive margin increases of 100 bps from favorable price and mix, 30 bps from favorable product warranty costs, 20 bps from sourcing and engineering-led cost reductions and 70 bps from the divested Australia, New Zealand, Asia, Brazil and Kysor Warren businesses which had lower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Selling, general and administrative expenses, or SG&amp;A, was $152 million in the second quarter of 2019 compared to $161 million in the second quarter of 2018 primarily due to the sale of our Australia, New Zealand, Asia, Brazil and Kysor Warren businesses. As a percentage of net sales, SG&amp;A increased 20 bps to 13.9% primarily due to a sales decline that was larger than the decline in SG&amp;A from our divested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the second quarter of 2019 and 2018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Three Months Ended June</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(gains) on settled future contracts</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exchange gains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Divestiture costs</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net change in unrealized losses (gains)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 Refer to Note 14 in the Notes to the Consolidated Financial Statements for more information on the divestiture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Restructuring charges were insigificant in the second quarter of 2019. For additional information on our restructuring activities, refer to Note 13 in the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Loss on Sale of Businesses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recognized a loss of $0.4 million in the second quarter of 2019 on the sale of our Kysor Warren business in the first quarter of 2019. Refer to Note 14 in the Notes to the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$5 million in the second quarter of 2019 was comparable to the second quarter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April 3, 2019, we entered into an agreement with Pacific Life Insurance Company to purchase a group annuity contract and transfer $100.0 million of our pension plan assets and $105.6 million of related pension benefit obligations. In the second quarter of 2019, we recognized a $60.6 million pension settlement charge in the Statement of Operations and reclassified $5.6 million of pension benefit obligations to AOCL as a result of this transaction. For additional information, refer to Note 9 in the Notes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$13 million in the second quarter of 2019 was up from $10 million in the second quarter of 2018 due to an increase in our average net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effective tax rate was 20.6% for the three months ended June 30, 2019 compared to 24.6% for the three months ended June 30, 2018. The rate for the three months ended June 30, 2019 is lower than the rate for the three months ended June 30, 2018 primarily due to a change in the mix of earnings between the U.S. and foreign jurisdictions. We expect our annual effective tax rate to be between 22% and 23%, excluding the impact of excess tax benefits recorded as a reduction of income taxes under ASU No. 2016-09.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2019 Compared to Second Quarter of 2018 -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second quarter of 2019 and 2018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decreased 4% in the second quarter of 2019 compared to the second quarter. Sales volume was lower by 6% and foreign currency exchange rates were unfavorable by 1% and were partially offset by 3% higher combined price and mix.</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second quarter of 2019 was flat compared to the second quarter of 2018 due to $17 million of lower sales volume primarily from unfavorable weather, $9 million of higher freight and distribution expense, $4 million of higher commodity costs, $2 million of lower factory productivity, $2 million of tariffs on Chinese imports, $2 million of higher SG&amp;A expense, $1 million of higher other product costs, $1 million of lower equity method income, and $1 million of unfavorable foreign currency.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33"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Offsetting these were $18 million of higher combined price and mix, $18 million of insurance proceeds for lost profits due to the Marshalltown tornado and $3 million of sourcing and engineering-led cost reductions.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second quarter of 2019 and 2018 (dollars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860" w:type="dxa"/>
            <w:vAlign w:val="bottom"/>
            <w:gridSpan w:val="6"/>
          </w:tcPr>
          <w:p>
            <w:pPr>
              <w:ind w:left="80"/>
              <w:spacing w:after="0"/>
              <w:rPr>
                <w:sz w:val="20"/>
                <w:szCs w:val="20"/>
                <w:color w:val="auto"/>
              </w:rPr>
            </w:pPr>
            <w:r>
              <w:rPr>
                <w:rFonts w:ascii="Arial" w:cs="Arial" w:eastAsia="Arial" w:hAnsi="Arial"/>
                <w:sz w:val="16"/>
                <w:szCs w:val="16"/>
                <w:b w:val="1"/>
                <w:bCs w:val="1"/>
                <w:color w:val="auto"/>
                <w:w w:val="96"/>
              </w:rPr>
              <w:t>For the Three Months Ended June 30,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2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5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4% in the second quarter of 2019 compared to the second quarter of 2018. Price and mix combined increased sales by 6% and was partially offset by 2% lower sales volume.</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in the second quarter of 2019 increased $3 million compared to the second quarter of 2018 due to $12 million of higher combined price and mix, and $2 million of sourcing and engineering-led cost reductions. Partially offsetting these increases was $2 million of lower sales volume, $2 million of higher commodity costs, $2 million of higher other product costs, $2 million of higher freight and distribution costs, $1 million of lower factory productivity, $1 million of higher tariffs on Chinese imports, and $1 million of higher SG&amp;A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second quarter of 2019 and 2018 (dollars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28% in the second quarter of 2019 compared to the second quarter of 2018. The loss of sales from the divested Australia, New Zealand, Asia, Brazil and Kysor Warren businesses contributed 30% and unfavorable foreign currency exchange rates contributed 2%, partially offset by 1% higher sales volume and 3% higher price and mix combined.</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Segment profit in the second quarter of 2019 decreased $4 million compared to the second quarter of 2018. The decrease was driven by $2 million related to the timing of selling refrigerant allocations in Europe, $1 million of higher commodity costs, $1 million of tariffs on Chinese imports, $1 million of higher other product costs, $1 million of lower factory productivity, $1 million of higher freight and distribution costs, $1 million of lower equity method income, and $1 million of unfavorable foreign currency exchange rates. Partially offsetting these decreases was $1 million of higher sales volume, $1 million of combined price and mix, $1 million of engineering-led cost reductions, $1 million of lower SG&amp;A expense, and $1 million of favorable foreign currency hedges.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increased $2 million in the second quarter of 2019 compared to the second quarter of 2018 primarily due to the timing of information technology investments and non-recurring discretionary expenses.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2019 Compared to Year-to-Date through June 30, 2018 -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6"/>
          </w:tcPr>
          <w:p>
            <w:pPr>
              <w:ind w:left="520"/>
              <w:spacing w:after="0"/>
              <w:rPr>
                <w:sz w:val="20"/>
                <w:szCs w:val="20"/>
                <w:color w:val="auto"/>
              </w:rPr>
            </w:pPr>
            <w:r>
              <w:rPr>
                <w:rFonts w:ascii="Arial" w:cs="Arial" w:eastAsia="Arial" w:hAnsi="Arial"/>
                <w:sz w:val="16"/>
                <w:szCs w:val="16"/>
                <w:b w:val="1"/>
                <w:bCs w:val="1"/>
                <w:color w:val="auto"/>
              </w:rPr>
              <w:t>For the Six Months Ended June 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gridSpan w:val="5"/>
            <w:vMerge w:val="continue"/>
          </w:tcPr>
          <w:p>
            <w:pPr>
              <w:spacing w:after="0"/>
              <w:rPr>
                <w:sz w:val="6"/>
                <w:szCs w:val="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1,889.4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1,355.8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1,425.5</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net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proceeds for lost profits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248.1</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16.3 %</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6% in the first six months of 2019 compared to the first six months of 2018 due to a 5% decline related to the sale of our Australia, New Zealand, Asia and Brazil and Kysor Warren businesses, a 3% decline in sales volume and 1% from unfavorable foreign currency exchange rates. These were partially offset by 3% from favorable price and mix combined.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Gross profit margins in the first six months of 2019 decreased 90 bps to 28.2% compared to the first six months of 2018. Our profit margin decreased 80 bps from higher commodity costs, 110 bps from higher freight and distribution costs, 30 bps from tariffs on Chinese imports and 90 bps from other product costs. These were partially offset by 130 bps from favorable price and mix combined, 60 bps from sourcing and engineering-led cost reductions and 30 bps from the divested Australia, New Zealand, Asia, Brazil and Kysor Warren businesses which had lower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SG&amp;A was $298 million for the first six months of 2019 compared to $317 million for the first six months of 2018, and declined primarily due to the sale of our Australia, New Zealand, Asia, Brazil and Kysor Warren businesses. As a percentage of net sales, SG&amp;A increased 10 bps to 15.8% from 15.7%.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the first six months of 2019 and 2018 included the following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8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7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losses (gains) on settled future contracts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Foreign currency exchange (gains) losses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disposal of fixed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0.1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0"/>
        </w:trPr>
        <w:tc>
          <w:tcPr>
            <w:tcW w:w="8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47" w:right="239" w:bottom="1440" w:gutter="0" w:footer="0" w:header="0"/>
          <w:type w:val="continuous"/>
        </w:sectPr>
      </w:pPr>
    </w:p>
    <w:bookmarkStart w:id="43" w:name="page44"/>
    <w:bookmarkEnd w:id="43"/>
    <w:p>
      <w:pPr>
        <w:jc w:val="both"/>
        <w:ind w:firstLine="243"/>
        <w:spacing w:after="0" w:line="259"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Restructuring charges were less than $1 million in the first six months of 2019 and related primarily to projects to realign resources in our Refrigeration segment. For additional information on our restructuring activities, refer to Note 13 in the Notes to the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Income from equity method investments of $7 million in the first six months of 2019 was down from $8 million when compared to the first six months of 2018. The decrease is because the joint ventures have experienced increased costs related to commodities and components and have not passed along these increased costs to customers through price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April 3, 2019, we entered into an agreement with Pacific Life Insurance Company to purchase a group annuity contract and transfer $100.0 million of our pension plan assets and $105.6 million of related pension benefit obligations. For the six months ended June 30, 2019, we recognized a $60.6 million pension settlement charge in the Statement of Operations and reclassified $5.6 million of pension benefit obligations to AOCL as a result of this transaction. For additional information, refer to Note 9 in the Notes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$24 million in the first six months of 2019 increased from $18 million in the first six months of 2018 due to an increase in our average net borrowings and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effective tax rate was 19.0% for the six months ended June 30, 2019 compared to 22.5% for the six months ended June 30, 2018. The rate for the six months ended June 30, 2019 is lower compared to the six months ended June 30, 2018 primarily due to the mix of earnings between U.S. and foreign jurisdictions.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2019 Compared to Year-to-Date through June 30, 2018 -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first six months of 2019 and 2018 (dollars in millions):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Six Months Ended June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7"/>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decreased 1% in the first six months of 2019 compared to the first six months of 2018. Sales volume decreased 4% partially offset by 3% combined higher price and mix.</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Segment profit for the first six months of 2019 increased $35 million compared to the first six months of 2018 due to $58 million of insurance proceeds for lost profits related to the Marshalltown tornado, $30 million favorable price and mix, $9 million of sourcing and engineering-led cost reductions, and $1 million of higher equity method income. Partially offsetting these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auto"/>
        </w:rPr>
        <w:t>is $18 million of higher freight and distribution expenses, $17 million of lower sales volume primarily from unfavorable weather in the second quarter of 2019, $11 million of higher commodity costs, $5 million of higher SG&amp;A expense, $4 million of tariffs on imported Chinese components, $4 million of lower factory productivity, $3 million of higher other product costs, and $1 million of unfavorable foreign currency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first six months of 2019 and 2018 (dollars in millions):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5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1% in the first six months of 2019 compared to the first six months of 2018. Favorable price and mix combined was 5% higher partially offset by 4% lower sales volume.</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Segment profit for the first six months of 2019 decreased $4 million compared to the first six months of 2018 due to $6 million of lower sales volume, $6 million of higher other product costs, $4 million of higher commodity costs, $3 million of lower factory productivity, $3 million of higher freight and distribution expense, $2 million of tariffs on imported Chinese components, and $2 million of higher SG&amp;A expense. Partially offsetting these declines was $19 million of favorable combined price and mix and $3 million of sourcing and engineering-led cost reductions.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first six months of 2019 and 2018 (dollars in millions):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Six Months Ended June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5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5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5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Refrigeration net sales decreased 27% in the first six months of 2019 compared to the first six months of 2018. The loss of sales from our divested Australia, New Zealand, Asia and Brazil and Kysor Warren businesses contributed 26% and unfavorable foreign currency exchange rates contributed 2%, partially offset by 1% favorable price and mix combined.</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Segment profit for the first six months of 2019 decreased $5 million compared to the first six months of 2018 due to $3 million of higher commodity costs, $2 million of higher freight and distribution expense, $2 million lower profit due to the divested Australia, Asia, Brazil and Kysor Warren businesses, $1 million of tariffs on imported Chinese components, $1 million of higher other product costs, $1 million of lower equity method income, and $1 million of unfavorable foreign currency exchange rates. Partially offsetting these decreases was $3 million of favorable combined price and mix, $2 million of sourcing and engineering-led cost reductions, and $1 million of favorable foreign currency hedges.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and other expenses increased $2 million to $36 million in the first six months of 2019 from $34 million in the first six months of 2018 due primarily to the timing of information technology investments and non-recurring discretionary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working capital and capital expenditure requirements are generally met through internally generated funds, bank lines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credit and an asset securitization arrangement. Working capital needs are generally greater in the first and second quarters due to the seasonal nature of our business cycle.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six months ended June 30, 2019 and 2018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net cash used in operating activities in the first six months of 2019 and 2018 reflects the seasonal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working capital requirements. The increase in cash used in operating activities in the first six months of 2019 as compared to 2018 was primarily due to the timing of working capital payments.</w:t>
      </w:r>
    </w:p>
    <w:p>
      <w:pPr>
        <w:spacing w:after="0" w:line="18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Net Cash Provided by (Used in) Investing Activities - </w:t>
      </w:r>
      <w:r>
        <w:rPr>
          <w:rFonts w:ascii="Arial" w:cs="Arial" w:eastAsia="Arial" w:hAnsi="Arial"/>
          <w:sz w:val="17"/>
          <w:szCs w:val="17"/>
          <w:color w:val="auto"/>
        </w:rPr>
        <w:t>Capital expenditures were $54 million in the first six months of 2019 compared to $43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six months of 2018. Capital expenditures in 2019 were primarily related to the reconstruction of the Marshalltown facility as well as equipment and investments in systems and software to support the overall enterprise. Net proceeds of $44 million in the first quarter of 2019 were provided by the sale of our Kysor Warren business. We also received $13 million in insurance proceeds to fund the reconstruction of our Marshalltown facility.</w:t>
      </w:r>
    </w:p>
    <w:p>
      <w:pPr>
        <w:spacing w:after="0" w:line="17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Net Cash Provided by (Used in) Financing Activities - </w:t>
      </w:r>
      <w:r>
        <w:rPr>
          <w:rFonts w:ascii="Arial" w:cs="Arial" w:eastAsia="Arial" w:hAnsi="Arial"/>
          <w:sz w:val="18"/>
          <w:szCs w:val="18"/>
          <w:color w:val="auto"/>
        </w:rPr>
        <w:t>Net cash provided by financing activities in the first six months of 2019 was $97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net cash used of $62 million in the first six months of 2018. The increase in cash provided by financing activities is largely due to a reduction in the amount of share repurchases in 2019 compared to 2018 and higher net borrowings on our revolving credit facility. During the first six months of 2019, we repurchased $250 million of shares as compared to $350 million of shares in the first six months of 2018. We also returned $51 million to shareholders through dividend payments in the first six months of 2019. For additional information on share repurchases, refer to Note 11 in the Notes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June 30, 2019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Outstanding</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Arial" w:cs="Arial" w:eastAsia="Arial" w:hAnsi="Arial"/>
                <w:sz w:val="16"/>
                <w:szCs w:val="16"/>
                <w:b w:val="1"/>
                <w:bCs w:val="1"/>
                <w:color w:val="auto"/>
              </w:rPr>
              <w:t>Borrowings</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4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Asset Securitization Program</w:t>
            </w:r>
          </w:p>
        </w:tc>
        <w:tc>
          <w:tcPr>
            <w:tcW w:w="5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5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4440" w:type="dxa"/>
            <w:vAlign w:val="bottom"/>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4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48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440" w:type="dxa"/>
            <w:vAlign w:val="bottom"/>
          </w:tcPr>
          <w:p>
            <w:pPr>
              <w:ind w:left="260"/>
              <w:spacing w:after="0"/>
              <w:rPr>
                <w:sz w:val="20"/>
                <w:szCs w:val="20"/>
                <w:color w:val="auto"/>
              </w:rPr>
            </w:pPr>
            <w:r>
              <w:rPr>
                <w:rFonts w:ascii="Arial" w:cs="Arial" w:eastAsia="Arial" w:hAnsi="Arial"/>
                <w:sz w:val="18"/>
                <w:szCs w:val="18"/>
                <w:color w:val="auto"/>
              </w:rPr>
              <w:t>Total current maturities of long-term debt</w:t>
            </w:r>
          </w:p>
        </w:tc>
        <w:tc>
          <w:tcPr>
            <w:tcW w:w="4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4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(2)</w:t>
            </w:r>
          </w:p>
        </w:tc>
        <w:tc>
          <w:tcPr>
            <w:tcW w:w="4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4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4440" w:type="dxa"/>
            <w:vAlign w:val="bottom"/>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4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48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4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w:t>
            </w:r>
          </w:p>
        </w:tc>
        <w:tc>
          <w:tcPr>
            <w:tcW w:w="4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4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1,466.8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880" w:type="dxa"/>
            <w:vAlign w:val="bottom"/>
            <w:vMerge w:val="restart"/>
          </w:tcPr>
          <w:p>
            <w:pPr>
              <w:jc w:val="right"/>
              <w:ind w:right="3430"/>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8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44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6" w:name="page47"/>
    <w:bookmarkEnd w:id="46"/>
    <w:p>
      <w:pPr>
        <w:ind w:left="340" w:hanging="332"/>
        <w:spacing w:after="0" w:line="226" w:lineRule="auto"/>
        <w:tabs>
          <w:tab w:leader="none" w:pos="218"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credit facility are $357.5 million after being reduced by the outstanding borrowings and $2.5 million in outstanding standby letters of credit. We also had $29.6 million in outstanding standby letters of credit outside of the domestic credit facility as of June 30, 2019.</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223"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maximum securitization amount ranges from $225.0 million to $380.0 million, depending on the period. The maximum capacity of the ASP is the lesser of the maximum securitization amount or 100% of the net pool balance less reserves, as defined under the ASP.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117.4% at June 30, 2019 from 116.8% at December 31, 2018.</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June 30, 2019,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We believe our cash and cash equivalents of $36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$36 million as of June 30, 2019 was $14.0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58" w:lineRule="exact"/>
        <w:rPr>
          <w:sz w:val="20"/>
          <w:szCs w:val="20"/>
          <w:color w:val="auto"/>
        </w:rPr>
      </w:pPr>
    </w:p>
    <w:p>
      <w:pPr>
        <w:jc w:val="both"/>
        <w:ind w:right="20" w:firstLine="230"/>
        <w:spacing w:after="0" w:line="342" w:lineRule="auto"/>
        <w:rPr>
          <w:sz w:val="20"/>
          <w:szCs w:val="20"/>
          <w:color w:val="auto"/>
        </w:rPr>
      </w:pPr>
      <w:r>
        <w:rPr>
          <w:rFonts w:ascii="Arial" w:cs="Arial" w:eastAsia="Arial" w:hAnsi="Arial"/>
          <w:sz w:val="16"/>
          <w:szCs w:val="16"/>
          <w:color w:val="auto"/>
        </w:rPr>
        <w:t>Our expected capital expenditures for 2019 are $100 million, excluding capital expenditures made in conjunction with repair of our Marshalltown facility as those repairs will be covered by insurance. We also expect to return a total of $400 million to shareholders through share repurchases in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7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3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2018. Our exposure to market risk has not changed materially since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2019,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the first quarter of 2019, we implemented new controls as part of our efforts to adopt ASU 2016-02. We implemented new controls related to the adoption process, a new IT system to capture, calculate, and account for leases, and gather the necessary data to properly account for leases under ASC 842. There were no other changes in our internal control over financial reporting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1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discussed in Part I, “Item 1A. Risk Factors” in our Annual Report on Form 10-K for the year ended December 31, 2018, which could materially affect our business, financial condition or results of operations. There have been no material changes to our risk factors from those disclosed in our 2018 Annual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second quarter of 2019,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 yet be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our Share</w:t>
            </w:r>
          </w:p>
        </w:tc>
      </w:tr>
      <w:tr>
        <w:trPr>
          <w:trHeight w:val="203"/>
        </w:trPr>
        <w:tc>
          <w:tcPr>
            <w:tcW w:w="366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Plans</w:t>
            </w:r>
          </w:p>
        </w:tc>
      </w:tr>
      <w:tr>
        <w:trPr>
          <w:trHeight w:val="243"/>
        </w:trPr>
        <w:tc>
          <w:tcPr>
            <w:tcW w:w="36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fees)</w:t>
            </w:r>
          </w:p>
        </w:tc>
        <w:tc>
          <w:tcPr>
            <w:tcW w:w="2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through April 27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551,422</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271.88</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551,827</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195.8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April 27 through May 25</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1,655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274.05</w:t>
            </w:r>
          </w:p>
        </w:tc>
        <w:tc>
          <w:tcPr>
            <w:tcW w:w="22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9"/>
              <w:spacing w:after="0"/>
              <w:rPr>
                <w:sz w:val="20"/>
                <w:szCs w:val="20"/>
                <w:color w:val="auto"/>
              </w:rPr>
            </w:pPr>
            <w:r>
              <w:rPr>
                <w:rFonts w:ascii="Arial" w:cs="Arial" w:eastAsia="Arial" w:hAnsi="Arial"/>
                <w:sz w:val="18"/>
                <w:szCs w:val="18"/>
                <w:color w:val="auto"/>
              </w:rPr>
              <w:t>195.8</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26 through June 30</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2,234</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274.01</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195.8</w:t>
            </w:r>
          </w:p>
        </w:tc>
      </w:tr>
      <w:tr>
        <w:trPr>
          <w:trHeight w:val="237"/>
        </w:trPr>
        <w:tc>
          <w:tcPr>
            <w:tcW w:w="36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555,311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551,827</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hanging="169"/>
        <w:spacing w:after="0" w:line="216" w:lineRule="auto"/>
        <w:tabs>
          <w:tab w:leader="none" w:pos="479"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3,484 shares of common stock we repurchased in April, May and June of 2019 surrendered to LII to satisfy employee tax-withholding obligations in connection with the exercise of long-term incentive awards.</w:t>
      </w:r>
    </w:p>
    <w:p>
      <w:pPr>
        <w:spacing w:after="0" w:line="41" w:lineRule="exact"/>
        <w:rPr>
          <w:rFonts w:ascii="Arial" w:cs="Arial" w:eastAsia="Arial" w:hAnsi="Arial"/>
          <w:sz w:val="25"/>
          <w:szCs w:val="25"/>
          <w:color w:val="auto"/>
          <w:vertAlign w:val="superscript"/>
        </w:rPr>
      </w:pPr>
    </w:p>
    <w:p>
      <w:pPr>
        <w:jc w:val="both"/>
        <w:ind w:left="420" w:hanging="169"/>
        <w:spacing w:after="0" w:line="226" w:lineRule="auto"/>
        <w:tabs>
          <w:tab w:leader="none" w:pos="457"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After $100.0 million and $150.0 million share repurchase from stock market transactions during the first quarter and second quarter, respectively. The stock repurchase was executed pursuant to a previously announced repurchase plan. See Note 11 in the Notes to the Consolidated Financial Statements for further details.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460" w:type="dxa"/>
            <w:vAlign w:val="bottom"/>
            <w:gridSpan w:val="22"/>
            <w:shd w:val="clear" w:color="auto" w:fill="CCEEFF"/>
          </w:tcPr>
          <w:p>
            <w:pPr>
              <w:spacing w:after="0"/>
              <w:rPr>
                <w:rFonts w:ascii="Arial" w:cs="Arial" w:eastAsia="Arial" w:hAnsi="Arial"/>
                <w:sz w:val="18"/>
                <w:szCs w:val="18"/>
                <w:color w:val="0000FF"/>
                <w:w w:val="97"/>
              </w:rPr>
            </w:pPr>
            <w:hyperlink r:id="rId14">
              <w:r>
                <w:rPr>
                  <w:rFonts w:ascii="Arial" w:cs="Arial" w:eastAsia="Arial" w:hAnsi="Arial"/>
                  <w:sz w:val="18"/>
                  <w:szCs w:val="18"/>
                  <w:color w:val="0000FF"/>
                  <w:w w:val="97"/>
                </w:rPr>
                <w:t>Restated Certificate of Incorporation of Lennox International Inc. (“LII”) (filed as Exhibit 3.1 to LII’s Registration Statement on Form S-1</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(Registration Statement No. 333-75725) filed on April 6, 1999 and incorporated herein by reference).</w:t>
              </w:r>
            </w:hyperlink>
          </w:p>
        </w:tc>
        <w:tc>
          <w:tcPr>
            <w:tcW w:w="500" w:type="dxa"/>
            <w:vAlign w:val="bottom"/>
            <w:tcBorders>
              <w:top w:val="single" w:sz="8" w:color="CCEEFF"/>
            </w:tcBorders>
            <w:gridSpan w:val="10"/>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460" w:type="dxa"/>
            <w:vAlign w:val="bottom"/>
            <w:gridSpan w:val="22"/>
          </w:tcPr>
          <w:p>
            <w:pPr>
              <w:spacing w:after="0" w:line="202"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Amended and Restated Bylaws of LII (filed as Exhibit 3.1 to LII’s Current Report on Form 8-K filed on December 16, 2013 and incorporated</w:t>
              </w:r>
            </w:hyperlink>
          </w:p>
        </w:tc>
      </w:tr>
      <w:tr>
        <w:trPr>
          <w:trHeight w:val="196"/>
        </w:trPr>
        <w:tc>
          <w:tcPr>
            <w:tcW w:w="960" w:type="dxa"/>
            <w:vAlign w:val="bottom"/>
          </w:tcPr>
          <w:p>
            <w:pPr>
              <w:spacing w:after="0"/>
              <w:rPr>
                <w:sz w:val="17"/>
                <w:szCs w:val="17"/>
                <w:color w:val="auto"/>
              </w:rPr>
            </w:pPr>
          </w:p>
        </w:tc>
        <w:tc>
          <w:tcPr>
            <w:tcW w:w="102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60" w:type="dxa"/>
            <w:vAlign w:val="bottom"/>
            <w:gridSpan w:val="6"/>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460" w:type="dxa"/>
            <w:vAlign w:val="bottom"/>
            <w:gridSpan w:val="22"/>
            <w:shd w:val="clear" w:color="auto" w:fill="CCEEFF"/>
          </w:tcPr>
          <w:p>
            <w:pPr>
              <w:spacing w:after="0" w:line="202"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Specimen Stock Certificate for the Common Stock, par value $.01 per share, of LII (filed as Exhibit 4.1 to LII’s Amendment to Registration</w:t>
              </w:r>
            </w:hyperlink>
          </w:p>
        </w:tc>
      </w:tr>
      <w:tr>
        <w:trPr>
          <w:trHeight w:val="244"/>
        </w:trPr>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848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Statement on Form S-1/A (Registration No. 333-75725) filed on June 16, 1999 and incorporated herein by reference).</w:t>
              </w:r>
            </w:hyperlink>
          </w:p>
        </w:tc>
        <w:tc>
          <w:tcPr>
            <w:tcW w:w="160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460" w:type="dxa"/>
            <w:vAlign w:val="bottom"/>
            <w:gridSpan w:val="22"/>
          </w:tcPr>
          <w:p>
            <w:pPr>
              <w:spacing w:after="0" w:line="202"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1040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Form of Supplemental Indenture among LII, the guarantors party thereto and U.S. Bank National Association, as trustee (filed as Exhibit 4.11 to</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2"/>
            <w:shd w:val="clear" w:color="auto" w:fill="CCEEFF"/>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LII’s Post-Effective Amendment No. 1 to Registration Statement on S-3 (Registration No. 333-155796) filed on May 3, 2010, and incorporated</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14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10460" w:type="dxa"/>
            <w:vAlign w:val="bottom"/>
            <w:gridSpan w:val="22"/>
          </w:tcPr>
          <w:p>
            <w:pPr>
              <w:spacing w:after="0" w:line="202"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Sixth Supplemental Indenture, dated as of November 3, 2016, among LII, each other existing Guarantor under the Indenture, dated as of May 3,</w:t>
              </w:r>
            </w:hyperlink>
          </w:p>
        </w:tc>
      </w:tr>
      <w:tr>
        <w:trPr>
          <w:trHeight w:val="196"/>
        </w:trPr>
        <w:tc>
          <w:tcPr>
            <w:tcW w:w="960" w:type="dxa"/>
            <w:vAlign w:val="bottom"/>
          </w:tcPr>
          <w:p>
            <w:pPr>
              <w:spacing w:after="0"/>
              <w:rPr>
                <w:sz w:val="17"/>
                <w:szCs w:val="17"/>
                <w:color w:val="auto"/>
              </w:rPr>
            </w:pPr>
          </w:p>
        </w:tc>
        <w:tc>
          <w:tcPr>
            <w:tcW w:w="10360" w:type="dxa"/>
            <w:vAlign w:val="bottom"/>
            <w:tcBorders>
              <w:top w:val="single" w:sz="8" w:color="0000FF"/>
            </w:tcBorders>
            <w:gridSpan w:val="19"/>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2010, as subsequently supplemented, and US Bank National Association, as trustee (filed as Exhibit 4.2 to LII’s Current Report on Form 8-K</w:t>
              </w:r>
            </w:hyperlink>
          </w:p>
        </w:tc>
        <w:tc>
          <w:tcPr>
            <w:tcW w:w="10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16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filed on November 3, 2016, and incorporated herein by reference).</w:t>
              </w:r>
            </w:hyperlink>
          </w:p>
        </w:tc>
        <w:tc>
          <w:tcPr>
            <w:tcW w:w="300" w:type="dxa"/>
            <w:vAlign w:val="bottom"/>
            <w:gridSpan w:val="7"/>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10460" w:type="dxa"/>
            <w:vAlign w:val="bottom"/>
            <w:gridSpan w:val="22"/>
            <w:shd w:val="clear" w:color="auto" w:fill="CCEEFF"/>
          </w:tcPr>
          <w:p>
            <w:pPr>
              <w:spacing w:after="0" w:line="202"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Seventh Supplemental Indenture, dated as of January 23, 2019, among LII Mexico Holdings Ltd., Lennox International Inc., each other existing</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Guarantor under the Indenture, dated as of May 3, 2010, as subsequently supplemented, and US Bank National Association, as trustee (filed as</w:t>
              </w:r>
            </w:hyperlink>
          </w:p>
        </w:tc>
        <w:tc>
          <w:tcPr>
            <w:tcW w:w="100" w:type="dxa"/>
            <w:vAlign w:val="bottom"/>
            <w:tcBorders>
              <w:top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28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Exhibit 2.5 to LII's Annual Report on Form 10-K filed on February 19, 2019 and incorporated herein by reference).</w:t>
              </w:r>
            </w:hyperlink>
          </w:p>
        </w:tc>
        <w:tc>
          <w:tcPr>
            <w:tcW w:w="18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9800" w:type="dxa"/>
            <w:vAlign w:val="bottom"/>
            <w:tcBorders>
              <w:bottom w:val="single" w:sz="8" w:color="0000FF"/>
            </w:tcBorders>
            <w:gridSpan w:val="10"/>
          </w:tcPr>
          <w:p>
            <w:pPr>
              <w:spacing w:after="0" w:line="202"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660" w:type="dxa"/>
            <w:vAlign w:val="bottom"/>
            <w:gridSpan w:val="1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2"/>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incorporated herein by reference).</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0460" w:type="dxa"/>
            <w:vAlign w:val="bottom"/>
            <w:gridSpan w:val="22"/>
            <w:shd w:val="clear" w:color="auto" w:fill="CCEEFF"/>
          </w:tcPr>
          <w:p>
            <w:pPr>
              <w:spacing w:after="0" w:line="202" w:lineRule="exact"/>
              <w:rPr>
                <w:rFonts w:ascii="Arial" w:cs="Arial" w:eastAsia="Arial" w:hAnsi="Arial"/>
                <w:sz w:val="18"/>
                <w:szCs w:val="18"/>
                <w:color w:val="0000FF"/>
                <w:w w:val="95"/>
              </w:rPr>
            </w:pPr>
            <w:hyperlink r:id="rId21">
              <w:r>
                <w:rPr>
                  <w:rFonts w:ascii="Arial" w:cs="Arial" w:eastAsia="Arial" w:hAnsi="Arial"/>
                  <w:sz w:val="18"/>
                  <w:szCs w:val="18"/>
                  <w:color w:val="0000FF"/>
                  <w:w w:val="95"/>
                </w:rPr>
                <w:t>Lennox International Inc. 2019 Equity and Incentive Compensation Plan (filed as Exhibit 10.1 to LII’s Current Report on Form 8-K filed on</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May 24, 2019, and incorporated herein by reference).</w:t>
              </w:r>
            </w:hyperlink>
          </w:p>
        </w:tc>
        <w:tc>
          <w:tcPr>
            <w:tcW w:w="380" w:type="dxa"/>
            <w:vAlign w:val="bottom"/>
            <w:tcBorders>
              <w:top w:val="single" w:sz="8" w:color="CCEEFF"/>
            </w:tcBorders>
            <w:gridSpan w:val="8"/>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0460" w:type="dxa"/>
            <w:vAlign w:val="bottom"/>
            <w:gridSpan w:val="22"/>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Certification of the principal executive officer (filed herewith).</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40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44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4"/>
              </w:rPr>
            </w:pPr>
            <w:hyperlink w:anchor="page53">
              <w:r>
                <w:rPr>
                  <w:rFonts w:ascii="Arial" w:cs="Arial" w:eastAsia="Arial" w:hAnsi="Arial"/>
                  <w:sz w:val="18"/>
                  <w:szCs w:val="18"/>
                  <w:color w:val="0000FF"/>
                  <w:w w:val="94"/>
                </w:rPr>
                <w:t>Certification of the principal financial officer (filed herewith).</w:t>
              </w:r>
            </w:hyperlink>
          </w:p>
        </w:tc>
        <w:tc>
          <w:tcPr>
            <w:tcW w:w="6000" w:type="dxa"/>
            <w:vAlign w:val="bottom"/>
            <w:tcBorders>
              <w:bottom w:val="single" w:sz="8" w:color="CCEEFF"/>
            </w:tcBorders>
            <w:gridSpan w:val="18"/>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11"/>
          </w:tcPr>
          <w:p>
            <w:pPr>
              <w:spacing w:after="0" w:line="202" w:lineRule="exact"/>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the principal executive officer and the principal financial officer pursuant to 18 U.S.C. Section 1350 (furnished herewith).</w:t>
              </w:r>
            </w:hyperlink>
          </w:p>
        </w:tc>
        <w:tc>
          <w:tcPr>
            <w:tcW w:w="540" w:type="dxa"/>
            <w:vAlign w:val="bottom"/>
            <w:gridSpan w:val="11"/>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No. (101).INS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(101).DEF XBRL Taxonomy Extension Definition Linkbase Document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50" w:name="page51"/>
    <w:bookmarkEnd w:id="50"/>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20"/>
          </w:cols>
          <w:pgMar w:left="240" w:top="796" w:right="11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2019</w:t>
      </w:r>
    </w:p>
    <w:p>
      <w:pPr>
        <w:spacing w:after="0" w:line="200" w:lineRule="exact"/>
        <w:rPr>
          <w:sz w:val="20"/>
          <w:szCs w:val="20"/>
          <w:color w:val="auto"/>
        </w:rPr>
      </w:pPr>
    </w:p>
    <w:p>
      <w:pPr>
        <w:spacing w:after="0" w:line="3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2019</w:t>
      </w:r>
    </w:p>
    <w:p>
      <w:pPr>
        <w:spacing w:after="0" w:line="200" w:lineRule="exact"/>
        <w:rPr>
          <w:sz w:val="20"/>
          <w:szCs w:val="20"/>
          <w:color w:val="auto"/>
        </w:rPr>
      </w:pPr>
    </w:p>
    <w:p>
      <w:pPr>
        <w:spacing w:after="0" w:line="3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June 30, 2019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22, 2019</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6"/>
    </w:lvl>
    <w:lvl w:ilvl="1">
      <w:lvlJc w:val="left"/>
      <w:lvlText w:val="%2"/>
      <w:numFmt w:val="decimal"/>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14" Type="http://schemas.openxmlformats.org/officeDocument/2006/relationships/hyperlink" Target="http://www.sec.gov/Archives/edgar/data/1069202/0000950134-99-002720-index.html" TargetMode="External"/><Relationship Id="rId15" Type="http://schemas.openxmlformats.org/officeDocument/2006/relationships/hyperlink" Target="http://www.sec.gov/Archives/edgar/data/1069202/000119312513474576/d644537dex31.htm" TargetMode="External"/><Relationship Id="rId16" Type="http://schemas.openxmlformats.org/officeDocument/2006/relationships/hyperlink" Target="http://www.sec.gov/Archives/edgar/data/1069202/0000950134-99-005530-index.html" TargetMode="External"/><Relationship Id="rId17" Type="http://schemas.openxmlformats.org/officeDocument/2006/relationships/hyperlink" Target="http://www.sec.gov/Archives/edgar/data/1017609/000095012310042399/d72548exv4w3.htm" TargetMode="External"/><Relationship Id="rId18" Type="http://schemas.openxmlformats.org/officeDocument/2006/relationships/hyperlink" Target="http://www.sec.gov/Archives/edgar/data/1017609/000095012310042399/d72548exv4w11.htm" TargetMode="External"/><Relationship Id="rId19" Type="http://schemas.openxmlformats.org/officeDocument/2006/relationships/hyperlink" Target="http://www.sec.gov/Archives/edgar/data/1069202/000119312516758285/d284193dex42.htm" TargetMode="External"/><Relationship Id="rId20" Type="http://schemas.openxmlformats.org/officeDocument/2006/relationships/hyperlink" Target="http://www.sec.gov/Archives/edgar/data/1069202/000106920219000008/lii-ex45_20181231x10k.htm" TargetMode="External"/><Relationship Id="rId21" Type="http://schemas.openxmlformats.org/officeDocument/2006/relationships/hyperlink" Target="http://www.sec.gov/Archives/edgar/data/1069202/000119312519157041/d7520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2019-12-28T10:20:45Z</dcterms:created>
  <dcterms:modified xsi:type="dcterms:W3CDTF">2019-12-28T10:20:45Z</dcterms:modified>
</cp:coreProperties>
</file>