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0139"/>
          </w:cols>
          <w:pgMar w:left="320" w:top="1338" w:right="1440" w:bottom="1440" w:gutter="0" w:footer="0" w:header="0"/>
        </w:sectPr>
      </w:pPr>
    </w:p>
    <w:p>
      <w:pPr>
        <w:spacing w:after="0" w:line="23" w:lineRule="exact"/>
        <w:rPr>
          <w:sz w:val="24"/>
          <w:szCs w:val="24"/>
          <w:color w:val="auto"/>
        </w:rPr>
      </w:pPr>
    </w:p>
    <w:p>
      <w:pPr>
        <w:ind w:left="4620"/>
        <w:spacing w:after="0"/>
        <w:rPr>
          <w:sz w:val="20"/>
          <w:szCs w:val="20"/>
          <w:color w:val="auto"/>
        </w:rPr>
      </w:pPr>
      <w:r>
        <w:rPr>
          <w:rFonts w:ascii="Arial" w:cs="Arial" w:eastAsia="Arial" w:hAnsi="Arial"/>
          <w:sz w:val="19"/>
          <w:szCs w:val="19"/>
          <w:b w:val="1"/>
          <w:bCs w:val="1"/>
          <w:color w:val="auto"/>
        </w:rPr>
        <w:t>(Amendment No. 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199" w:lineRule="exact"/>
        <w:rPr>
          <w:sz w:val="24"/>
          <w:szCs w:val="24"/>
          <w:color w:val="auto"/>
        </w:rPr>
      </w:pPr>
    </w:p>
    <w:p>
      <w:pPr>
        <w:sectPr>
          <w:pgSz w:w="11900" w:h="16838" w:orient="portrait"/>
          <w:cols w:equalWidth="0" w:num="2">
            <w:col w:w="6400" w:space="160"/>
            <w:col w:w="3579"/>
          </w:cols>
          <w:pgMar w:left="320" w:top="1338" w:right="1440" w:bottom="1440" w:gutter="0" w:footer="0" w:header="0"/>
          <w:type w:val="continuous"/>
        </w:sect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564" w:lineRule="exact"/>
        <w:rPr>
          <w:sz w:val="24"/>
          <w:szCs w:val="24"/>
          <w:color w:val="auto"/>
        </w:rPr>
      </w:pPr>
    </w:p>
    <w:p>
      <w:pPr>
        <w:sectPr>
          <w:pgSz w:w="11900" w:h="16838" w:orient="portrait"/>
          <w:cols w:equalWidth="0" w:num="2">
            <w:col w:w="4920" w:space="720"/>
            <w:col w:w="4499"/>
          </w:cols>
          <w:pgMar w:left="320" w:top="1338" w:right="1440" w:bottom="1440" w:gutter="0" w:footer="0" w:header="0"/>
          <w:type w:val="continuous"/>
        </w:sectPr>
      </w:pPr>
    </w:p>
    <w:p>
      <w:pPr>
        <w:spacing w:after="0" w:line="10"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98" w:lineRule="exact"/>
        <w:rPr>
          <w:sz w:val="24"/>
          <w:szCs w:val="24"/>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LENNOX INTERNATIONAL INC.</w:t>
      </w:r>
    </w:p>
    <w:p>
      <w:pPr>
        <w:spacing w:after="0" w:line="17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8" w:lineRule="exact"/>
        <w:rPr>
          <w:sz w:val="24"/>
          <w:szCs w:val="24"/>
          <w:color w:val="auto"/>
        </w:rPr>
      </w:pPr>
    </w:p>
    <w:p>
      <w:pPr>
        <w:ind w:left="25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220" w:hanging="213"/>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220" w:hanging="213"/>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220" w:hanging="213"/>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38"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39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03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723265</wp:posOffset>
            </wp:positionV>
            <wp:extent cx="139700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7432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1348740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C60C35"/>
        </w:rPr>
        <w:t>NOTICE OF 2025 ANNUAL MEETING OF</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C60C35"/>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sz w:val="1"/>
          <w:szCs w:val="1"/>
          <w:color w:val="auto"/>
        </w:rPr>
        <w:drawing>
          <wp:inline distT="0" distB="0" distL="0" distR="0">
            <wp:extent cx="76835" cy="77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29"/>
          <w:szCs w:val="29"/>
          <w:b w:val="1"/>
          <w:bCs w:val="1"/>
          <w:color w:val="C6093B"/>
        </w:rPr>
        <w:t>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60C35"/>
        </w:rPr>
        <w:t xml:space="preserve">DATE AND TIME </w:t>
      </w:r>
      <w:r>
        <w:rPr>
          <w:rFonts w:ascii="Arial" w:cs="Arial" w:eastAsia="Arial" w:hAnsi="Arial"/>
          <w:sz w:val="18"/>
          <w:szCs w:val="18"/>
          <w:color w:val="000000"/>
        </w:rPr>
        <w:t>Thursday, May 22, 2025 | 10:30 a.m., Central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20" w:right="480"/>
        <w:spacing w:after="0" w:line="287" w:lineRule="auto"/>
        <w:rPr>
          <w:sz w:val="20"/>
          <w:szCs w:val="20"/>
          <w:color w:val="auto"/>
        </w:rPr>
      </w:pPr>
      <w:r>
        <w:rPr>
          <w:rFonts w:ascii="Arial" w:cs="Arial" w:eastAsia="Arial" w:hAnsi="Arial"/>
          <w:sz w:val="18"/>
          <w:szCs w:val="18"/>
          <w:b w:val="1"/>
          <w:bCs w:val="1"/>
          <w:color w:val="C60C35"/>
        </w:rPr>
        <w:t xml:space="preserve">LOCATION </w:t>
      </w:r>
      <w:r>
        <w:rPr>
          <w:rFonts w:ascii="Arial" w:cs="Arial" w:eastAsia="Arial" w:hAnsi="Arial"/>
          <w:sz w:val="18"/>
          <w:szCs w:val="18"/>
          <w:color w:val="000000"/>
        </w:rPr>
        <w:t>Virtual Meeting. You must register in advance at www.proxydocs.com/LII to attend. After registering, you will receive further</w:t>
      </w:r>
      <w:r>
        <w:rPr>
          <w:rFonts w:ascii="Arial" w:cs="Arial" w:eastAsia="Arial" w:hAnsi="Arial"/>
          <w:sz w:val="18"/>
          <w:szCs w:val="18"/>
          <w:b w:val="1"/>
          <w:bCs w:val="1"/>
          <w:color w:val="C60C35"/>
        </w:rPr>
        <w:t xml:space="preserve"> </w:t>
      </w:r>
      <w:r>
        <w:rPr>
          <w:rFonts w:ascii="Arial" w:cs="Arial" w:eastAsia="Arial" w:hAnsi="Arial"/>
          <w:sz w:val="18"/>
          <w:szCs w:val="18"/>
          <w:color w:val="000000"/>
        </w:rPr>
        <w:t>instructions by email, including a unique link to access the 2025 Annual Meeting.</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6580" w:type="dxa"/>
            <w:vAlign w:val="bottom"/>
            <w:tcBorders>
              <w:bottom w:val="single" w:sz="8" w:color="auto"/>
            </w:tcBorders>
            <w:shd w:val="clear" w:color="auto" w:fill="F3F3F3"/>
          </w:tcPr>
          <w:p>
            <w:pPr>
              <w:ind w:left="140"/>
              <w:spacing w:after="0"/>
              <w:rPr>
                <w:sz w:val="20"/>
                <w:szCs w:val="20"/>
                <w:color w:val="auto"/>
              </w:rPr>
            </w:pPr>
            <w:r>
              <w:rPr>
                <w:rFonts w:ascii="Arial" w:cs="Arial" w:eastAsia="Arial" w:hAnsi="Arial"/>
                <w:sz w:val="29"/>
                <w:szCs w:val="29"/>
                <w:b w:val="1"/>
                <w:bCs w:val="1"/>
                <w:color w:val="C6093B"/>
              </w:rPr>
              <w:t>  Agenda</w:t>
            </w:r>
          </w:p>
        </w:tc>
        <w:tc>
          <w:tcPr>
            <w:tcW w:w="4660" w:type="dxa"/>
            <w:vAlign w:val="bottom"/>
            <w:tcBorders>
              <w:bottom w:val="single" w:sz="8" w:color="auto"/>
            </w:tcBorders>
            <w:shd w:val="clear" w:color="auto" w:fill="F3F3F3"/>
          </w:tcPr>
          <w:p>
            <w:pPr>
              <w:ind w:left="460"/>
              <w:spacing w:after="0"/>
              <w:rPr>
                <w:sz w:val="20"/>
                <w:szCs w:val="20"/>
                <w:color w:val="auto"/>
              </w:rPr>
            </w:pPr>
            <w:r>
              <w:rPr>
                <w:rFonts w:ascii="Arial" w:cs="Arial" w:eastAsia="Arial" w:hAnsi="Arial"/>
                <w:sz w:val="29"/>
                <w:szCs w:val="29"/>
                <w:b w:val="1"/>
                <w:bCs w:val="1"/>
                <w:color w:val="C6093B"/>
              </w:rPr>
              <w:t>Board Recommendation</w:t>
            </w:r>
          </w:p>
        </w:tc>
        <w:tc>
          <w:tcPr>
            <w:tcW w:w="0" w:type="dxa"/>
            <w:vAlign w:val="bottom"/>
          </w:tcPr>
          <w:p>
            <w:pPr>
              <w:spacing w:after="0"/>
              <w:rPr>
                <w:sz w:val="1"/>
                <w:szCs w:val="1"/>
                <w:color w:val="auto"/>
              </w:rPr>
            </w:pPr>
          </w:p>
        </w:tc>
      </w:tr>
      <w:tr>
        <w:trPr>
          <w:trHeight w:val="204"/>
        </w:trPr>
        <w:tc>
          <w:tcPr>
            <w:tcW w:w="6580" w:type="dxa"/>
            <w:vAlign w:val="bottom"/>
          </w:tcPr>
          <w:p>
            <w:pPr>
              <w:ind w:left="20"/>
              <w:spacing w:after="0" w:line="204" w:lineRule="exact"/>
              <w:rPr>
                <w:sz w:val="20"/>
                <w:szCs w:val="20"/>
                <w:color w:val="auto"/>
              </w:rPr>
            </w:pPr>
            <w:r>
              <w:rPr>
                <w:rFonts w:ascii="Arial" w:cs="Arial" w:eastAsia="Arial" w:hAnsi="Arial"/>
                <w:sz w:val="18"/>
                <w:szCs w:val="18"/>
                <w:b w:val="1"/>
                <w:bCs w:val="1"/>
                <w:color w:val="C60C35"/>
              </w:rPr>
              <w:t xml:space="preserve">Proposal 1 </w:t>
            </w:r>
            <w:r>
              <w:rPr>
                <w:rFonts w:ascii="Arial" w:cs="Arial" w:eastAsia="Arial" w:hAnsi="Arial"/>
                <w:sz w:val="18"/>
                <w:szCs w:val="18"/>
                <w:color w:val="000000"/>
              </w:rPr>
              <w:t>To elect two Class III directors for a three-year term expiring at the</w:t>
            </w:r>
          </w:p>
        </w:tc>
        <w:tc>
          <w:tcPr>
            <w:tcW w:w="4660" w:type="dxa"/>
            <w:vAlign w:val="bottom"/>
            <w:vMerge w:val="restart"/>
          </w:tcPr>
          <w:p>
            <w:pPr>
              <w:ind w:left="260"/>
              <w:spacing w:after="0" w:line="288" w:lineRule="exact"/>
              <w:rPr>
                <w:sz w:val="20"/>
                <w:szCs w:val="20"/>
                <w:color w:val="auto"/>
              </w:rPr>
            </w:pPr>
            <w:r>
              <w:rPr>
                <w:rFonts w:ascii="MS PGothic" w:cs="MS PGothic" w:eastAsia="MS PGothic" w:hAnsi="MS PGothic"/>
                <w:sz w:val="25"/>
                <w:szCs w:val="25"/>
                <w:color w:val="000000"/>
                <w:highlight w:val="black"/>
              </w:rPr>
              <w:t>☑</w:t>
            </w:r>
            <w:r>
              <w:rPr>
                <w:rFonts w:ascii="Arial" w:cs="Arial" w:eastAsia="Arial" w:hAnsi="Arial"/>
                <w:sz w:val="18"/>
                <w:szCs w:val="18"/>
                <w:b w:val="1"/>
                <w:bCs w:val="1"/>
                <w:color w:val="C60C35"/>
              </w:rPr>
              <w:t xml:space="preserve"> FOR </w:t>
            </w:r>
            <w:r>
              <w:rPr>
                <w:rFonts w:ascii="Arial" w:cs="Arial" w:eastAsia="Arial" w:hAnsi="Arial"/>
                <w:sz w:val="18"/>
                <w:szCs w:val="18"/>
                <w:color w:val="000000"/>
              </w:rPr>
              <w:t>each director nominee</w:t>
            </w:r>
          </w:p>
        </w:tc>
        <w:tc>
          <w:tcPr>
            <w:tcW w:w="0" w:type="dxa"/>
            <w:vAlign w:val="bottom"/>
          </w:tcPr>
          <w:p>
            <w:pPr>
              <w:spacing w:after="0"/>
              <w:rPr>
                <w:sz w:val="1"/>
                <w:szCs w:val="1"/>
                <w:color w:val="auto"/>
              </w:rPr>
            </w:pPr>
          </w:p>
        </w:tc>
      </w:tr>
      <w:tr>
        <w:trPr>
          <w:trHeight w:val="297"/>
        </w:trPr>
        <w:tc>
          <w:tcPr>
            <w:tcW w:w="6580" w:type="dxa"/>
            <w:vAlign w:val="bottom"/>
          </w:tcPr>
          <w:p>
            <w:pPr>
              <w:ind w:left="20"/>
              <w:spacing w:after="0"/>
              <w:rPr>
                <w:sz w:val="20"/>
                <w:szCs w:val="20"/>
                <w:color w:val="auto"/>
              </w:rPr>
            </w:pPr>
            <w:r>
              <w:rPr>
                <w:rFonts w:ascii="Arial" w:cs="Arial" w:eastAsia="Arial" w:hAnsi="Arial"/>
                <w:sz w:val="18"/>
                <w:szCs w:val="18"/>
                <w:color w:val="auto"/>
              </w:rPr>
              <w:t>2028 Annual Meeting of Stockholders</w:t>
            </w:r>
          </w:p>
        </w:tc>
        <w:tc>
          <w:tcPr>
            <w:tcW w:w="4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5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80" w:type="dxa"/>
            <w:vAlign w:val="bottom"/>
          </w:tcPr>
          <w:p>
            <w:pPr>
              <w:ind w:left="20"/>
              <w:spacing w:after="0" w:line="204" w:lineRule="exact"/>
              <w:rPr>
                <w:sz w:val="20"/>
                <w:szCs w:val="20"/>
                <w:color w:val="auto"/>
              </w:rPr>
            </w:pPr>
            <w:r>
              <w:rPr>
                <w:rFonts w:ascii="Arial" w:cs="Arial" w:eastAsia="Arial" w:hAnsi="Arial"/>
                <w:sz w:val="18"/>
                <w:szCs w:val="18"/>
                <w:b w:val="1"/>
                <w:bCs w:val="1"/>
                <w:color w:val="C60C35"/>
              </w:rPr>
              <w:t xml:space="preserve">Proposal 2 </w:t>
            </w:r>
            <w:r>
              <w:rPr>
                <w:rFonts w:ascii="Arial" w:cs="Arial" w:eastAsia="Arial" w:hAnsi="Arial"/>
                <w:sz w:val="18"/>
                <w:szCs w:val="18"/>
                <w:color w:val="000000"/>
              </w:rPr>
              <w:t>To conduct an advisory vote to approve the compensation of our</w:t>
            </w:r>
          </w:p>
        </w:tc>
        <w:tc>
          <w:tcPr>
            <w:tcW w:w="4660" w:type="dxa"/>
            <w:vAlign w:val="bottom"/>
            <w:vMerge w:val="restart"/>
          </w:tcPr>
          <w:p>
            <w:pPr>
              <w:ind w:left="260"/>
              <w:spacing w:after="0" w:line="288" w:lineRule="exact"/>
              <w:rPr>
                <w:sz w:val="20"/>
                <w:szCs w:val="20"/>
                <w:color w:val="auto"/>
              </w:rPr>
            </w:pPr>
            <w:r>
              <w:rPr>
                <w:rFonts w:ascii="MS PGothic" w:cs="MS PGothic" w:eastAsia="MS PGothic" w:hAnsi="MS PGothic"/>
                <w:sz w:val="25"/>
                <w:szCs w:val="25"/>
                <w:color w:val="000000"/>
                <w:highlight w:val="black"/>
              </w:rPr>
              <w:t>☑</w:t>
            </w:r>
            <w:r>
              <w:rPr>
                <w:rFonts w:ascii="Arial" w:cs="Arial" w:eastAsia="Arial" w:hAnsi="Arial"/>
                <w:sz w:val="18"/>
                <w:szCs w:val="18"/>
                <w:b w:val="1"/>
                <w:bCs w:val="1"/>
                <w:color w:val="C60C35"/>
              </w:rPr>
              <w:t xml:space="preserve"> FOR</w:t>
            </w:r>
          </w:p>
        </w:tc>
        <w:tc>
          <w:tcPr>
            <w:tcW w:w="0" w:type="dxa"/>
            <w:vAlign w:val="bottom"/>
          </w:tcPr>
          <w:p>
            <w:pPr>
              <w:spacing w:after="0"/>
              <w:rPr>
                <w:sz w:val="1"/>
                <w:szCs w:val="1"/>
                <w:color w:val="auto"/>
              </w:rPr>
            </w:pPr>
          </w:p>
        </w:tc>
      </w:tr>
      <w:tr>
        <w:trPr>
          <w:trHeight w:val="297"/>
        </w:trPr>
        <w:tc>
          <w:tcPr>
            <w:tcW w:w="6580" w:type="dxa"/>
            <w:vAlign w:val="bottom"/>
          </w:tcPr>
          <w:p>
            <w:pPr>
              <w:ind w:left="20"/>
              <w:spacing w:after="0"/>
              <w:rPr>
                <w:sz w:val="20"/>
                <w:szCs w:val="20"/>
                <w:color w:val="auto"/>
              </w:rPr>
            </w:pPr>
            <w:r>
              <w:rPr>
                <w:rFonts w:ascii="Arial" w:cs="Arial" w:eastAsia="Arial" w:hAnsi="Arial"/>
                <w:sz w:val="18"/>
                <w:szCs w:val="18"/>
                <w:color w:val="auto"/>
              </w:rPr>
              <w:t>named executive officers as disclosed in this Proxy Statement</w:t>
            </w:r>
          </w:p>
        </w:tc>
        <w:tc>
          <w:tcPr>
            <w:tcW w:w="4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5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80" w:type="dxa"/>
            <w:vAlign w:val="bottom"/>
          </w:tcPr>
          <w:p>
            <w:pPr>
              <w:ind w:left="20"/>
              <w:spacing w:after="0" w:line="204" w:lineRule="exact"/>
              <w:rPr>
                <w:sz w:val="20"/>
                <w:szCs w:val="20"/>
                <w:color w:val="auto"/>
              </w:rPr>
            </w:pPr>
            <w:r>
              <w:rPr>
                <w:rFonts w:ascii="Arial" w:cs="Arial" w:eastAsia="Arial" w:hAnsi="Arial"/>
                <w:sz w:val="18"/>
                <w:szCs w:val="18"/>
                <w:b w:val="1"/>
                <w:bCs w:val="1"/>
                <w:color w:val="C60C35"/>
              </w:rPr>
              <w:t xml:space="preserve">Proposal 3 </w:t>
            </w:r>
            <w:r>
              <w:rPr>
                <w:rFonts w:ascii="Arial" w:cs="Arial" w:eastAsia="Arial" w:hAnsi="Arial"/>
                <w:sz w:val="18"/>
                <w:szCs w:val="18"/>
                <w:color w:val="000000"/>
              </w:rPr>
              <w:t>To ratify the appointment of Ernst &amp; Young LLP as our independent</w:t>
            </w:r>
          </w:p>
        </w:tc>
        <w:tc>
          <w:tcPr>
            <w:tcW w:w="4660" w:type="dxa"/>
            <w:vAlign w:val="bottom"/>
            <w:vMerge w:val="restart"/>
          </w:tcPr>
          <w:p>
            <w:pPr>
              <w:ind w:left="260"/>
              <w:spacing w:after="0" w:line="288" w:lineRule="exact"/>
              <w:rPr>
                <w:sz w:val="20"/>
                <w:szCs w:val="20"/>
                <w:color w:val="auto"/>
              </w:rPr>
            </w:pPr>
            <w:r>
              <w:rPr>
                <w:rFonts w:ascii="MS PGothic" w:cs="MS PGothic" w:eastAsia="MS PGothic" w:hAnsi="MS PGothic"/>
                <w:sz w:val="25"/>
                <w:szCs w:val="25"/>
                <w:color w:val="000000"/>
                <w:highlight w:val="black"/>
              </w:rPr>
              <w:t>☑</w:t>
            </w:r>
            <w:r>
              <w:rPr>
                <w:rFonts w:ascii="Arial" w:cs="Arial" w:eastAsia="Arial" w:hAnsi="Arial"/>
                <w:sz w:val="18"/>
                <w:szCs w:val="18"/>
                <w:b w:val="1"/>
                <w:bCs w:val="1"/>
                <w:color w:val="C60C35"/>
              </w:rPr>
              <w:t xml:space="preserve"> FOR</w:t>
            </w:r>
          </w:p>
        </w:tc>
        <w:tc>
          <w:tcPr>
            <w:tcW w:w="0" w:type="dxa"/>
            <w:vAlign w:val="bottom"/>
          </w:tcPr>
          <w:p>
            <w:pPr>
              <w:spacing w:after="0"/>
              <w:rPr>
                <w:sz w:val="1"/>
                <w:szCs w:val="1"/>
                <w:color w:val="auto"/>
              </w:rPr>
            </w:pPr>
          </w:p>
        </w:tc>
      </w:tr>
      <w:tr>
        <w:trPr>
          <w:trHeight w:val="297"/>
        </w:trPr>
        <w:tc>
          <w:tcPr>
            <w:tcW w:w="6580" w:type="dxa"/>
            <w:vAlign w:val="bottom"/>
          </w:tcPr>
          <w:p>
            <w:pPr>
              <w:ind w:left="20"/>
              <w:spacing w:after="0"/>
              <w:rPr>
                <w:sz w:val="20"/>
                <w:szCs w:val="20"/>
                <w:color w:val="auto"/>
              </w:rPr>
            </w:pPr>
            <w:r>
              <w:rPr>
                <w:rFonts w:ascii="Arial" w:cs="Arial" w:eastAsia="Arial" w:hAnsi="Arial"/>
                <w:sz w:val="18"/>
                <w:szCs w:val="18"/>
                <w:color w:val="auto"/>
              </w:rPr>
              <w:t>registered public accounting firm for the 2025 fiscal year</w:t>
            </w:r>
          </w:p>
        </w:tc>
        <w:tc>
          <w:tcPr>
            <w:tcW w:w="4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5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80" w:type="dxa"/>
            <w:vAlign w:val="bottom"/>
          </w:tcPr>
          <w:p>
            <w:pPr>
              <w:ind w:left="20"/>
              <w:spacing w:after="0" w:line="204" w:lineRule="exact"/>
              <w:rPr>
                <w:sz w:val="20"/>
                <w:szCs w:val="20"/>
                <w:color w:val="auto"/>
              </w:rPr>
            </w:pPr>
            <w:r>
              <w:rPr>
                <w:rFonts w:ascii="Arial" w:cs="Arial" w:eastAsia="Arial" w:hAnsi="Arial"/>
                <w:sz w:val="18"/>
                <w:szCs w:val="18"/>
                <w:color w:val="auto"/>
              </w:rPr>
              <w:t>Transact any other business that may properly come before the 2025 Annual</w:t>
            </w: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Arial" w:cs="Arial" w:eastAsia="Arial" w:hAnsi="Arial"/>
                <w:sz w:val="18"/>
                <w:szCs w:val="18"/>
                <w:color w:val="auto"/>
              </w:rPr>
              <w:t>Meeting in accordance with the terms of our Bylaws</w:t>
            </w: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80" w:type="dxa"/>
            <w:vAlign w:val="bottom"/>
            <w:tcBorders>
              <w:bottom w:val="single" w:sz="8" w:color="auto"/>
            </w:tcBorders>
            <w:shd w:val="clear" w:color="auto" w:fill="F3F3F3"/>
          </w:tcPr>
          <w:p>
            <w:pPr>
              <w:ind w:left="220"/>
              <w:spacing w:after="0"/>
              <w:rPr>
                <w:sz w:val="20"/>
                <w:szCs w:val="20"/>
                <w:color w:val="auto"/>
              </w:rPr>
            </w:pPr>
            <w:r>
              <w:rPr>
                <w:rFonts w:ascii="Arial" w:cs="Arial" w:eastAsia="Arial" w:hAnsi="Arial"/>
                <w:sz w:val="29"/>
                <w:szCs w:val="29"/>
                <w:b w:val="1"/>
                <w:bCs w:val="1"/>
                <w:color w:val="C6093B"/>
              </w:rPr>
              <w:t>Voting Methods Available to You</w:t>
            </w:r>
          </w:p>
        </w:tc>
        <w:tc>
          <w:tcPr>
            <w:tcW w:w="4660" w:type="dxa"/>
            <w:vAlign w:val="bottom"/>
            <w:tcBorders>
              <w:bottom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-2253615</wp:posOffset>
            </wp:positionV>
            <wp:extent cx="76835" cy="77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-2253615</wp:posOffset>
            </wp:positionV>
            <wp:extent cx="77470" cy="77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-187960</wp:posOffset>
            </wp:positionV>
            <wp:extent cx="7683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8"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C60C35"/>
        </w:rPr>
        <w:t xml:space="preserve">INTERNET </w:t>
      </w:r>
      <w:r>
        <w:rPr>
          <w:rFonts w:ascii="Arial" w:cs="Arial" w:eastAsia="Arial" w:hAnsi="Arial"/>
          <w:sz w:val="18"/>
          <w:szCs w:val="18"/>
          <w:color w:val="000000"/>
        </w:rPr>
        <w:t>Visit the website on your Proxy</w:t>
      </w:r>
      <w:r>
        <w:rPr>
          <w:rFonts w:ascii="Arial" w:cs="Arial" w:eastAsia="Arial" w:hAnsi="Arial"/>
          <w:sz w:val="18"/>
          <w:szCs w:val="18"/>
          <w:b w:val="1"/>
          <w:bCs w:val="1"/>
          <w:color w:val="C60C35"/>
        </w:rPr>
        <w:t xml:space="preserve"> </w:t>
      </w:r>
      <w:r>
        <w:rPr>
          <w:rFonts w:ascii="Arial" w:cs="Arial" w:eastAsia="Arial" w:hAnsi="Arial"/>
          <w:sz w:val="18"/>
          <w:szCs w:val="18"/>
          <w:color w:val="000000"/>
        </w:rPr>
        <w:t>Card</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7"/>
          <w:szCs w:val="17"/>
          <w:b w:val="1"/>
          <w:bCs w:val="1"/>
          <w:color w:val="C60C35"/>
        </w:rPr>
        <w:t xml:space="preserve">BY MAIL </w:t>
      </w:r>
      <w:r>
        <w:rPr>
          <w:rFonts w:ascii="Arial" w:cs="Arial" w:eastAsia="Arial" w:hAnsi="Arial"/>
          <w:sz w:val="17"/>
          <w:szCs w:val="17"/>
          <w:color w:val="000000"/>
        </w:rPr>
        <w:t>Mark, sign, date, and return your</w:t>
      </w:r>
      <w:r>
        <w:rPr>
          <w:rFonts w:ascii="Arial" w:cs="Arial" w:eastAsia="Arial" w:hAnsi="Arial"/>
          <w:sz w:val="17"/>
          <w:szCs w:val="17"/>
          <w:b w:val="1"/>
          <w:bCs w:val="1"/>
          <w:color w:val="C60C35"/>
        </w:rPr>
        <w:t xml:space="preserve"> </w:t>
      </w:r>
      <w:r>
        <w:rPr>
          <w:rFonts w:ascii="Arial" w:cs="Arial" w:eastAsia="Arial" w:hAnsi="Arial"/>
          <w:sz w:val="17"/>
          <w:szCs w:val="17"/>
          <w:color w:val="000000"/>
        </w:rPr>
        <w:t>Proxy Card in the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103505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C6093B"/>
        </w:rPr>
        <w:t>Your vote is important. Please submit your</w:t>
      </w:r>
    </w:p>
    <w:p>
      <w:pPr>
        <w:spacing w:after="0" w:line="20"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b w:val="1"/>
          <w:bCs w:val="1"/>
          <w:i w:val="1"/>
          <w:iCs w:val="1"/>
          <w:color w:val="C6093B"/>
        </w:rPr>
        <w:t>proxy or voting instructions as soon as possible</w:t>
      </w:r>
    </w:p>
    <w:p>
      <w:pPr>
        <w:spacing w:after="0" w:line="47" w:lineRule="exact"/>
        <w:rPr>
          <w:sz w:val="20"/>
          <w:szCs w:val="20"/>
          <w:color w:val="auto"/>
        </w:rPr>
      </w:pPr>
    </w:p>
    <w:p>
      <w:pPr>
        <w:sectPr>
          <w:pgSz w:w="11900" w:h="16838" w:orient="portrait"/>
          <w:cols w:equalWidth="0" w:num="3">
            <w:col w:w="3440" w:space="320"/>
            <w:col w:w="3380" w:space="360"/>
            <w:col w:w="37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C60C35"/>
        </w:rPr>
        <w:t xml:space="preserve">TELEPHONE </w:t>
      </w:r>
      <w:r>
        <w:rPr>
          <w:rFonts w:ascii="Arial" w:cs="Arial" w:eastAsia="Arial" w:hAnsi="Arial"/>
          <w:sz w:val="18"/>
          <w:szCs w:val="18"/>
          <w:color w:val="000000"/>
        </w:rPr>
        <w:t>Call the number on your Proxy</w:t>
      </w:r>
      <w:r>
        <w:rPr>
          <w:rFonts w:ascii="Arial" w:cs="Arial" w:eastAsia="Arial" w:hAnsi="Arial"/>
          <w:sz w:val="18"/>
          <w:szCs w:val="18"/>
          <w:b w:val="1"/>
          <w:bCs w:val="1"/>
          <w:color w:val="C60C35"/>
        </w:rPr>
        <w:t xml:space="preserve">  DURING THE MEETING </w:t>
      </w:r>
      <w:r>
        <w:rPr>
          <w:rFonts w:ascii="Arial" w:cs="Arial" w:eastAsia="Arial" w:hAnsi="Arial"/>
          <w:sz w:val="18"/>
          <w:szCs w:val="18"/>
          <w:color w:val="000000"/>
        </w:rPr>
        <w:t>You must register in</w:t>
      </w:r>
    </w:p>
    <w:p>
      <w:pPr>
        <w:spacing w:after="0" w:line="14"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7"/>
          <w:szCs w:val="17"/>
          <w:color w:val="auto"/>
        </w:rPr>
        <w:t>Card</w:t>
      </w:r>
      <w:r>
        <w:rPr>
          <w:sz w:val="20"/>
          <w:szCs w:val="20"/>
          <w:color w:val="auto"/>
        </w:rPr>
        <w:tab/>
      </w:r>
      <w:r>
        <w:rPr>
          <w:rFonts w:ascii="Arial" w:cs="Arial" w:eastAsia="Arial" w:hAnsi="Arial"/>
          <w:sz w:val="17"/>
          <w:szCs w:val="17"/>
          <w:color w:val="auto"/>
        </w:rPr>
        <w:t xml:space="preserve">advance at </w:t>
      </w:r>
      <w:r>
        <w:rPr>
          <w:rFonts w:ascii="Arial" w:cs="Arial" w:eastAsia="Arial" w:hAnsi="Arial"/>
          <w:sz w:val="17"/>
          <w:szCs w:val="17"/>
          <w:i w:val="1"/>
          <w:iCs w:val="1"/>
          <w:color w:val="auto"/>
        </w:rPr>
        <w:t>www.proxydocs.com/LII</w:t>
      </w:r>
      <w:r>
        <w:rPr>
          <w:rFonts w:ascii="Arial" w:cs="Arial" w:eastAsia="Arial" w:hAnsi="Arial"/>
          <w:sz w:val="17"/>
          <w:szCs w:val="17"/>
          <w:color w:val="auto"/>
        </w:rPr>
        <w:t xml:space="preserve"> to virtually</w:t>
      </w:r>
    </w:p>
    <w:p>
      <w:pPr>
        <w:spacing w:after="0" w:line="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attend and vote during the 2025 Annual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Meeting</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60C35"/>
        </w:rPr>
        <w:t>Important Notice Regarding the Availability of Proxy Materials for the for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60C35"/>
        </w:rPr>
        <w:t>Stockholder Meeting to be Held on May 22, 2025:</w:t>
      </w:r>
    </w:p>
    <w:p>
      <w:pPr>
        <w:ind w:left="20"/>
        <w:spacing w:after="0" w:line="250" w:lineRule="auto"/>
        <w:rPr>
          <w:sz w:val="20"/>
          <w:szCs w:val="20"/>
          <w:color w:val="auto"/>
        </w:rPr>
      </w:pPr>
      <w:r>
        <w:rPr>
          <w:rFonts w:ascii="Arial" w:cs="Arial" w:eastAsia="Arial" w:hAnsi="Arial"/>
          <w:sz w:val="18"/>
          <w:szCs w:val="18"/>
          <w:color w:val="auto"/>
        </w:rPr>
        <w:t>The Proxy Statement, Proxy Card, and Annual Report on Form 10-K for the fiscal year ended December 31, 2024, accompany this Notice and are available at www.lennox.com and www.proxydocs.com/LII.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40"/>
        <w:spacing w:after="0" w:line="252" w:lineRule="auto"/>
        <w:rPr>
          <w:sz w:val="20"/>
          <w:szCs w:val="20"/>
          <w:color w:val="auto"/>
        </w:rPr>
      </w:pPr>
      <w:r>
        <w:rPr>
          <w:rFonts w:ascii="Arial" w:cs="Arial" w:eastAsia="Arial" w:hAnsi="Arial"/>
          <w:sz w:val="18"/>
          <w:szCs w:val="18"/>
          <w:b w:val="1"/>
          <w:bCs w:val="1"/>
          <w:color w:val="C60C35"/>
        </w:rPr>
        <w:t xml:space="preserve">Who May Vote </w:t>
      </w:r>
      <w:r>
        <w:rPr>
          <w:rFonts w:ascii="Arial" w:cs="Arial" w:eastAsia="Arial" w:hAnsi="Arial"/>
          <w:sz w:val="18"/>
          <w:szCs w:val="18"/>
          <w:color w:val="000000"/>
        </w:rPr>
        <w:t>Our stockholders of record at</w:t>
      </w:r>
      <w:r>
        <w:rPr>
          <w:rFonts w:ascii="Arial" w:cs="Arial" w:eastAsia="Arial" w:hAnsi="Arial"/>
          <w:sz w:val="18"/>
          <w:szCs w:val="18"/>
          <w:b w:val="1"/>
          <w:bCs w:val="1"/>
          <w:color w:val="C60C35"/>
        </w:rPr>
        <w:t xml:space="preserve"> </w:t>
      </w:r>
      <w:r>
        <w:rPr>
          <w:rFonts w:ascii="Arial" w:cs="Arial" w:eastAsia="Arial" w:hAnsi="Arial"/>
          <w:sz w:val="18"/>
          <w:szCs w:val="18"/>
          <w:color w:val="000000"/>
        </w:rPr>
        <w:t>the close of business on March 28, 2025, are entitled to notice of, and to vote at, the 2025 Annual Meeting</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23444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Monica M. Brown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2">
            <w:col w:w="7440" w:space="60"/>
            <w:col w:w="37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C60C35"/>
        </w:rPr>
        <w:t>TABLE OF CONTENTS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C60C35"/>
              </w:rPr>
              <w:t>Page</w:t>
            </w:r>
          </w:p>
        </w:tc>
        <w:tc>
          <w:tcPr>
            <w:tcW w:w="0" w:type="dxa"/>
            <w:vAlign w:val="bottom"/>
          </w:tcPr>
          <w:p>
            <w:pPr>
              <w:spacing w:after="0"/>
              <w:rPr>
                <w:sz w:val="1"/>
                <w:szCs w:val="1"/>
                <w:color w:val="auto"/>
              </w:rPr>
            </w:pPr>
          </w:p>
        </w:tc>
      </w:tr>
      <w:tr>
        <w:trPr>
          <w:trHeight w:val="573"/>
        </w:trPr>
        <w:tc>
          <w:tcPr>
            <w:tcW w:w="10340" w:type="dxa"/>
            <w:vAlign w:val="bottom"/>
          </w:tcPr>
          <w:p>
            <w:pPr>
              <w:spacing w:after="0"/>
              <w:rPr>
                <w:sz w:val="20"/>
                <w:szCs w:val="20"/>
                <w:color w:val="auto"/>
              </w:rPr>
            </w:pPr>
            <w:r>
              <w:rPr>
                <w:rFonts w:ascii="Arial" w:cs="Arial" w:eastAsia="Arial" w:hAnsi="Arial"/>
                <w:sz w:val="18"/>
                <w:szCs w:val="18"/>
                <w:color w:val="auto"/>
              </w:rPr>
              <w:t>GENERAL INFORMATION REGARDING THE 2025 ANNUAL MEETING OF STOCKHOLDERS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EXECUTIVE SUMMARY</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PROPOSALS REQUIRING YOUR VOTE</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9"/>
        </w:trPr>
        <w:tc>
          <w:tcPr>
            <w:tcW w:w="10340" w:type="dxa"/>
            <w:vAlign w:val="bottom"/>
          </w:tcPr>
          <w:p>
            <w:pPr>
              <w:ind w:left="660"/>
              <w:spacing w:after="0"/>
              <w:rPr>
                <w:sz w:val="20"/>
                <w:szCs w:val="20"/>
                <w:color w:val="auto"/>
              </w:rPr>
            </w:pPr>
            <w:r>
              <w:rPr>
                <w:rFonts w:ascii="Arial" w:cs="Arial" w:eastAsia="Arial" w:hAnsi="Arial"/>
                <w:sz w:val="18"/>
                <w:szCs w:val="18"/>
                <w:color w:val="auto"/>
              </w:rPr>
              <w:t>PROPOSAL 1 ELECTION OF DIRECTORS</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PROPOSAL 2 ADVISORY VOTE TO APPROVE THE COMPENSATION OF OUR NAMED EXECUTIVE OFFICERS</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96"/>
        </w:trPr>
        <w:tc>
          <w:tcPr>
            <w:tcW w:w="10340" w:type="dxa"/>
            <w:vAlign w:val="bottom"/>
          </w:tcPr>
          <w:p>
            <w:pPr>
              <w:ind w:left="660"/>
              <w:spacing w:after="0"/>
              <w:rPr>
                <w:sz w:val="20"/>
                <w:szCs w:val="20"/>
                <w:color w:val="auto"/>
              </w:rPr>
            </w:pPr>
            <w:r>
              <w:rPr>
                <w:rFonts w:ascii="Arial" w:cs="Arial" w:eastAsia="Arial" w:hAnsi="Arial"/>
                <w:sz w:val="18"/>
                <w:szCs w:val="18"/>
                <w:color w:val="auto"/>
              </w:rPr>
              <w:t>PROPOSAL 3 RATIFICATION OF THE APPOINTMENT OF ERNST &amp; YOUNG LLP AS OUR INDEPENDENT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31"/>
        </w:trPr>
        <w:tc>
          <w:tcPr>
            <w:tcW w:w="10340" w:type="dxa"/>
            <w:vAlign w:val="bottom"/>
            <w:vMerge w:val="restart"/>
          </w:tcPr>
          <w:p>
            <w:pPr>
              <w:ind w:left="980"/>
              <w:spacing w:after="0"/>
              <w:rPr>
                <w:sz w:val="20"/>
                <w:szCs w:val="20"/>
                <w:color w:val="auto"/>
              </w:rPr>
            </w:pPr>
            <w:r>
              <w:rPr>
                <w:rFonts w:ascii="Arial" w:cs="Arial" w:eastAsia="Arial" w:hAnsi="Arial"/>
                <w:sz w:val="18"/>
                <w:szCs w:val="18"/>
                <w:color w:val="auto"/>
              </w:rPr>
              <w:t>REGISTERED PUBLIC ACCOUNTING FIRM FOR THE 2025 FISCAL YEAR</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3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AUDIT COMMITTEE REPORT</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CORPORATE GOVERNANCE</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DIRECTOR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9"/>
        </w:trPr>
        <w:tc>
          <w:tcPr>
            <w:tcW w:w="10340" w:type="dxa"/>
            <w:vAlign w:val="bottom"/>
          </w:tcPr>
          <w:p>
            <w:pPr>
              <w:spacing w:after="0"/>
              <w:rPr>
                <w:sz w:val="20"/>
                <w:szCs w:val="20"/>
                <w:color w:val="auto"/>
              </w:rPr>
            </w:pPr>
            <w:r>
              <w:rPr>
                <w:rFonts w:ascii="Arial" w:cs="Arial" w:eastAsia="Arial" w:hAnsi="Arial"/>
                <w:sz w:val="18"/>
                <w:szCs w:val="18"/>
                <w:color w:val="auto"/>
              </w:rPr>
              <w:t>EXECUTIVE OFFICERS</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EXECUTIVE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COMPENSATION DISCUSSION AND ANALYSIS</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COMPENSATION COMMITTEE REPORT</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9"/>
        </w:trPr>
        <w:tc>
          <w:tcPr>
            <w:tcW w:w="10340" w:type="dxa"/>
            <w:vAlign w:val="bottom"/>
          </w:tcPr>
          <w:p>
            <w:pPr>
              <w:ind w:left="660"/>
              <w:spacing w:after="0"/>
              <w:rPr>
                <w:sz w:val="20"/>
                <w:szCs w:val="20"/>
                <w:color w:val="auto"/>
              </w:rPr>
            </w:pPr>
            <w:r>
              <w:rPr>
                <w:rFonts w:ascii="Arial" w:cs="Arial" w:eastAsia="Arial" w:hAnsi="Arial"/>
                <w:sz w:val="18"/>
                <w:szCs w:val="18"/>
                <w:color w:val="auto"/>
              </w:rPr>
              <w:t>2024 SUMMARY COMPENSATION TABLE</w:t>
            </w: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2024 GRANTS OF PLAN-BASED AWARDS</w:t>
            </w: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OUTSTANDING EQUITY AWARDS AT 2024 FISCAL YEAR-END</w:t>
            </w: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9"/>
        </w:trPr>
        <w:tc>
          <w:tcPr>
            <w:tcW w:w="10340" w:type="dxa"/>
            <w:vAlign w:val="bottom"/>
          </w:tcPr>
          <w:p>
            <w:pPr>
              <w:ind w:left="660"/>
              <w:spacing w:after="0"/>
              <w:rPr>
                <w:sz w:val="20"/>
                <w:szCs w:val="20"/>
                <w:color w:val="auto"/>
              </w:rPr>
            </w:pPr>
            <w:r>
              <w:rPr>
                <w:rFonts w:ascii="Arial" w:cs="Arial" w:eastAsia="Arial" w:hAnsi="Arial"/>
                <w:sz w:val="18"/>
                <w:szCs w:val="18"/>
                <w:color w:val="auto"/>
              </w:rPr>
              <w:t>2024 OPTION/SAR EXERCISES AND STOCK VESTED</w:t>
            </w: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RETIREMENT PLANS</w:t>
            </w: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2024 PENSION BENEFITS</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19"/>
        </w:trPr>
        <w:tc>
          <w:tcPr>
            <w:tcW w:w="10340" w:type="dxa"/>
            <w:vAlign w:val="bottom"/>
          </w:tcPr>
          <w:p>
            <w:pPr>
              <w:ind w:left="660"/>
              <w:spacing w:after="0"/>
              <w:rPr>
                <w:sz w:val="20"/>
                <w:szCs w:val="20"/>
                <w:color w:val="auto"/>
              </w:rPr>
            </w:pPr>
            <w:r>
              <w:rPr>
                <w:rFonts w:ascii="Arial" w:cs="Arial" w:eastAsia="Arial" w:hAnsi="Arial"/>
                <w:sz w:val="18"/>
                <w:szCs w:val="18"/>
                <w:color w:val="auto"/>
              </w:rPr>
              <w:t>2024 NONQUALIFIED DEFERRED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POTENTIAL PAYMENTS UPON TERMINATION OR CHANGE IN CONTROL</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CEO PAY RATIO</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9"/>
        </w:trPr>
        <w:tc>
          <w:tcPr>
            <w:tcW w:w="10340" w:type="dxa"/>
            <w:vAlign w:val="bottom"/>
          </w:tcPr>
          <w:p>
            <w:pPr>
              <w:spacing w:after="0"/>
              <w:rPr>
                <w:sz w:val="20"/>
                <w:szCs w:val="20"/>
                <w:color w:val="auto"/>
              </w:rPr>
            </w:pPr>
            <w:r>
              <w:rPr>
                <w:rFonts w:ascii="Arial" w:cs="Arial" w:eastAsia="Arial" w:hAnsi="Arial"/>
                <w:sz w:val="18"/>
                <w:szCs w:val="18"/>
                <w:color w:val="auto"/>
              </w:rPr>
              <w:t>PAY VERSUS PERFORMANCE DISCLOSURE</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EQUITY COMPENSATION PLAN INFORMATION</w:t>
            </w: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9"/>
        </w:trPr>
        <w:tc>
          <w:tcPr>
            <w:tcW w:w="10340" w:type="dxa"/>
            <w:vAlign w:val="bottom"/>
          </w:tcPr>
          <w:p>
            <w:pPr>
              <w:spacing w:after="0"/>
              <w:rPr>
                <w:sz w:val="20"/>
                <w:szCs w:val="20"/>
                <w:color w:val="auto"/>
              </w:rPr>
            </w:pPr>
            <w:r>
              <w:rPr>
                <w:rFonts w:ascii="Arial" w:cs="Arial" w:eastAsia="Arial" w:hAnsi="Arial"/>
                <w:sz w:val="18"/>
                <w:szCs w:val="18"/>
                <w:color w:val="auto"/>
              </w:rPr>
              <w:t>DELINQUENT SECTION 16(A) REPORTS</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9"/>
        </w:trPr>
        <w:tc>
          <w:tcPr>
            <w:tcW w:w="10340" w:type="dxa"/>
            <w:vAlign w:val="bottom"/>
          </w:tcPr>
          <w:p>
            <w:pPr>
              <w:spacing w:after="0"/>
              <w:rPr>
                <w:sz w:val="20"/>
                <w:szCs w:val="20"/>
                <w:color w:val="auto"/>
              </w:rPr>
            </w:pPr>
            <w:r>
              <w:rPr>
                <w:rFonts w:ascii="Arial" w:cs="Arial" w:eastAsia="Arial" w:hAnsi="Arial"/>
                <w:sz w:val="18"/>
                <w:szCs w:val="18"/>
                <w:color w:val="auto"/>
              </w:rPr>
              <w:t>BENEFICIAL OWNERSHIP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OTHER INFORMATION</w:t>
            </w: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9"/>
        </w:trPr>
        <w:tc>
          <w:tcPr>
            <w:tcW w:w="10340" w:type="dxa"/>
            <w:vAlign w:val="bottom"/>
          </w:tcPr>
          <w:p>
            <w:pPr>
              <w:ind w:left="660"/>
              <w:spacing w:after="0"/>
              <w:rPr>
                <w:sz w:val="20"/>
                <w:szCs w:val="20"/>
                <w:color w:val="auto"/>
              </w:rPr>
            </w:pPr>
            <w:r>
              <w:rPr>
                <w:rFonts w:ascii="Arial" w:cs="Arial" w:eastAsia="Arial" w:hAnsi="Arial"/>
                <w:sz w:val="18"/>
                <w:szCs w:val="18"/>
                <w:color w:val="auto"/>
              </w:rPr>
              <w:t>ATTENDING AND VOTING AT THE ANNUAL MEETING OF STOCKHOLDERS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9"/>
        </w:trPr>
        <w:tc>
          <w:tcPr>
            <w:tcW w:w="10340" w:type="dxa"/>
            <w:vAlign w:val="bottom"/>
          </w:tcPr>
          <w:p>
            <w:pPr>
              <w:ind w:left="660"/>
              <w:spacing w:after="0"/>
              <w:rPr>
                <w:sz w:val="20"/>
                <w:szCs w:val="20"/>
                <w:color w:val="auto"/>
              </w:rPr>
            </w:pPr>
            <w:r>
              <w:rPr>
                <w:rFonts w:ascii="Arial" w:cs="Arial" w:eastAsia="Arial" w:hAnsi="Arial"/>
                <w:sz w:val="18"/>
                <w:szCs w:val="18"/>
                <w:color w:val="auto"/>
              </w:rPr>
              <w:t>PROXY MATERIALS AND SOLICITATION</w:t>
            </w: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18"/>
        </w:trPr>
        <w:tc>
          <w:tcPr>
            <w:tcW w:w="10340" w:type="dxa"/>
            <w:vAlign w:val="bottom"/>
          </w:tcPr>
          <w:p>
            <w:pPr>
              <w:ind w:left="660"/>
              <w:spacing w:after="0"/>
              <w:rPr>
                <w:sz w:val="20"/>
                <w:szCs w:val="20"/>
                <w:color w:val="auto"/>
              </w:rPr>
            </w:pPr>
            <w:r>
              <w:rPr>
                <w:rFonts w:ascii="Arial" w:cs="Arial" w:eastAsia="Arial" w:hAnsi="Arial"/>
                <w:sz w:val="18"/>
                <w:szCs w:val="18"/>
                <w:color w:val="auto"/>
              </w:rPr>
              <w:t>STOCKHOLDER PROPOSALS FOR THE 2026 ANNUAL MEETING OF STOCKHOLDERS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9"/>
        </w:trPr>
        <w:tc>
          <w:tcPr>
            <w:tcW w:w="10340" w:type="dxa"/>
            <w:vAlign w:val="bottom"/>
          </w:tcPr>
          <w:p>
            <w:pPr>
              <w:ind w:left="660"/>
              <w:spacing w:after="0"/>
              <w:rPr>
                <w:sz w:val="20"/>
                <w:szCs w:val="20"/>
                <w:color w:val="auto"/>
              </w:rPr>
            </w:pPr>
            <w:r>
              <w:rPr>
                <w:rFonts w:ascii="Arial" w:cs="Arial" w:eastAsia="Arial" w:hAnsi="Arial"/>
                <w:sz w:val="18"/>
                <w:szCs w:val="18"/>
                <w:color w:val="auto"/>
              </w:rPr>
              <w:t>CAUTIONARY STATEMENT REGARDING FORWARD-LOOKING STATEMENTS</w:t>
            </w: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8"/>
        </w:trPr>
        <w:tc>
          <w:tcPr>
            <w:tcW w:w="10340" w:type="dxa"/>
            <w:vAlign w:val="bottom"/>
          </w:tcPr>
          <w:p>
            <w:pPr>
              <w:spacing w:after="0"/>
              <w:rPr>
                <w:sz w:val="20"/>
                <w:szCs w:val="20"/>
                <w:color w:val="auto"/>
              </w:rPr>
            </w:pPr>
            <w:r>
              <w:rPr>
                <w:rFonts w:ascii="Arial" w:cs="Arial" w:eastAsia="Arial" w:hAnsi="Arial"/>
                <w:sz w:val="18"/>
                <w:szCs w:val="18"/>
                <w:color w:val="auto"/>
              </w:rPr>
              <w:t>APPENDIX A—GAAP RECONCILIATION</w:t>
            </w:r>
          </w:p>
        </w:tc>
        <w:tc>
          <w:tcPr>
            <w:tcW w:w="86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763" w:right="359" w:bottom="0" w:gutter="0" w:footer="0" w:header="0"/>
        </w:sect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3" w:right="359" w:bottom="0" w:gutter="0" w:footer="0" w:header="0"/>
          <w:type w:val="continuous"/>
        </w:sectPr>
      </w:pPr>
    </w:p>
    <w:bookmarkStart w:id="4" w:name="page5"/>
    <w:bookmarkEnd w:id="4"/>
    <w:p>
      <w:pPr>
        <w:ind w:left="360"/>
        <w:spacing w:after="0"/>
        <w:rPr>
          <w:sz w:val="20"/>
          <w:szCs w:val="20"/>
          <w:color w:val="auto"/>
        </w:rPr>
      </w:pPr>
      <w:r>
        <w:rPr>
          <w:rFonts w:ascii="Arial" w:cs="Arial" w:eastAsia="Arial" w:hAnsi="Arial"/>
          <w:sz w:val="29"/>
          <w:szCs w:val="29"/>
          <w:b w:val="1"/>
          <w:bCs w:val="1"/>
          <w:color w:val="FFFFFF"/>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694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FFFFFF"/>
        </w:rPr>
        <w:t>REGARDING THE 2025 ANNUAL</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FFFFFF"/>
        </w:rPr>
        <w:t>MEETING OF STOCKHOLDERS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93B"/>
        </w:rPr>
        <w:t>Virtual Annual Meeting 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38735</wp:posOffset>
            </wp:positionV>
            <wp:extent cx="3446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83" w:lineRule="exact"/>
        <w:rPr>
          <w:sz w:val="20"/>
          <w:szCs w:val="20"/>
          <w:color w:val="auto"/>
        </w:rPr>
      </w:pPr>
    </w:p>
    <w:p>
      <w:pPr>
        <w:ind w:left="1520" w:right="60"/>
        <w:spacing w:after="0" w:line="257" w:lineRule="auto"/>
        <w:rPr>
          <w:sz w:val="20"/>
          <w:szCs w:val="20"/>
          <w:color w:val="auto"/>
        </w:rPr>
      </w:pPr>
      <w:r>
        <w:rPr>
          <w:rFonts w:ascii="Arial" w:cs="Arial" w:eastAsia="Arial" w:hAnsi="Arial"/>
          <w:sz w:val="16"/>
          <w:szCs w:val="16"/>
          <w:color w:val="auto"/>
        </w:rPr>
        <w:t xml:space="preserve">The 2025 Annual Meeting of Stockholders (the “Annual Meeting”) of Lennox International Inc. (NYSE: LII) (the “Company,” “Lennox,” “LII,” “us,” “we,” or “our”) will be held on Thursday, May 22, 2025, at 10:30 a.m., Central Daylight Time (“CDT”), in a virtual-only meeting format, using live webcast, which provides stockholders the ability to participate in the annual meeting, vote their shares, and ask questions via the voting site. </w:t>
      </w:r>
      <w:r>
        <w:rPr>
          <w:rFonts w:ascii="Arial" w:cs="Arial" w:eastAsia="Arial" w:hAnsi="Arial"/>
          <w:sz w:val="16"/>
          <w:szCs w:val="16"/>
          <w:b w:val="1"/>
          <w:bCs w:val="1"/>
          <w:color w:val="auto"/>
        </w:rPr>
        <w:t>You will not be able 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-499110</wp:posOffset>
            </wp:positionV>
            <wp:extent cx="574040" cy="1071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040" cy="1071245"/>
                    </a:xfrm>
                    <a:prstGeom prst="rect">
                      <a:avLst/>
                    </a:prstGeom>
                    <a:noFill/>
                  </pic:spPr>
                </pic:pic>
              </a:graphicData>
            </a:graphic>
          </wp:anchor>
        </w:drawing>
      </w:r>
    </w:p>
    <w:p>
      <w:pPr>
        <w:spacing w:after="0" w:line="177" w:lineRule="exact"/>
        <w:rPr>
          <w:sz w:val="20"/>
          <w:szCs w:val="20"/>
          <w:color w:val="auto"/>
        </w:rPr>
      </w:pPr>
    </w:p>
    <w:p>
      <w:pPr>
        <w:jc w:val="both"/>
        <w:ind w:left="1520" w:right="300"/>
        <w:spacing w:after="0" w:line="257" w:lineRule="auto"/>
        <w:rPr>
          <w:sz w:val="20"/>
          <w:szCs w:val="20"/>
          <w:color w:val="auto"/>
        </w:rPr>
      </w:pPr>
      <w:r>
        <w:rPr>
          <w:rFonts w:ascii="Arial" w:cs="Arial" w:eastAsia="Arial" w:hAnsi="Arial"/>
          <w:sz w:val="16"/>
          <w:szCs w:val="16"/>
          <w:color w:val="auto"/>
        </w:rPr>
        <w:t>We began mailing or making available this Proxy Statement and the accompanying Notice of 2025 Annual Meeting of Stockholders, Proxy Card, and Annual Report on Form 10-K to our stockholders on or about April 9, 2025, for the purpose of soliciting proxies on behalf of our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267970</wp:posOffset>
            </wp:positionV>
            <wp:extent cx="495490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4905" cy="3257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FFFFFF"/>
        </w:rPr>
        <w:t>How To Register For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-71755</wp:posOffset>
            </wp:positionV>
            <wp:extent cx="1105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10712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484"/>
        </w:trPr>
        <w:tc>
          <w:tcPr>
            <w:tcW w:w="3280" w:type="dxa"/>
            <w:vAlign w:val="bottom"/>
            <w:tcBorders>
              <w:top w:val="single" w:sz="8" w:color="C60C35"/>
              <w:left w:val="single" w:sz="8" w:color="C60C35"/>
            </w:tcBorders>
          </w:tcPr>
          <w:p>
            <w:pPr>
              <w:spacing w:after="0"/>
              <w:rPr>
                <w:sz w:val="24"/>
                <w:szCs w:val="24"/>
                <w:color w:val="auto"/>
              </w:rPr>
            </w:pPr>
          </w:p>
        </w:tc>
        <w:tc>
          <w:tcPr>
            <w:tcW w:w="380" w:type="dxa"/>
            <w:vAlign w:val="bottom"/>
            <w:tcBorders>
              <w:top w:val="single" w:sz="8" w:color="C60C35"/>
              <w:right w:val="single" w:sz="8" w:color="C60C35"/>
            </w:tcBorders>
          </w:tcPr>
          <w:p>
            <w:pPr>
              <w:spacing w:after="0"/>
              <w:rPr>
                <w:sz w:val="24"/>
                <w:szCs w:val="24"/>
                <w:color w:val="auto"/>
              </w:rPr>
            </w:pPr>
          </w:p>
        </w:tc>
        <w:tc>
          <w:tcPr>
            <w:tcW w:w="340" w:type="dxa"/>
            <w:vAlign w:val="bottom"/>
            <w:tcBorders>
              <w:top w:val="single" w:sz="8" w:color="636466"/>
            </w:tcBorders>
          </w:tcPr>
          <w:p>
            <w:pPr>
              <w:spacing w:after="0"/>
              <w:rPr>
                <w:sz w:val="24"/>
                <w:szCs w:val="24"/>
                <w:color w:val="auto"/>
              </w:rPr>
            </w:pPr>
          </w:p>
        </w:tc>
        <w:tc>
          <w:tcPr>
            <w:tcW w:w="3240" w:type="dxa"/>
            <w:vAlign w:val="bottom"/>
            <w:tcBorders>
              <w:top w:val="single" w:sz="8" w:color="636466"/>
              <w:bottom w:val="single" w:sz="8" w:color="636466"/>
            </w:tcBorders>
            <w:vMerge w:val="restart"/>
          </w:tcPr>
          <w:p>
            <w:pPr>
              <w:jc w:val="center"/>
              <w:spacing w:after="0"/>
              <w:rPr>
                <w:sz w:val="20"/>
                <w:szCs w:val="20"/>
                <w:color w:val="auto"/>
              </w:rPr>
            </w:pPr>
            <w:r>
              <w:rPr>
                <w:rFonts w:ascii="Arial" w:cs="Arial" w:eastAsia="Arial" w:hAnsi="Arial"/>
                <w:sz w:val="14"/>
                <w:szCs w:val="14"/>
                <w:b w:val="1"/>
                <w:bCs w:val="1"/>
                <w:color w:val="auto"/>
              </w:rPr>
              <w:t>A link will be</w:t>
            </w:r>
          </w:p>
        </w:tc>
        <w:tc>
          <w:tcPr>
            <w:tcW w:w="360" w:type="dxa"/>
            <w:vAlign w:val="bottom"/>
            <w:tcBorders>
              <w:top w:val="single" w:sz="8" w:color="636466"/>
              <w:right w:val="single" w:sz="8" w:color="C60C35"/>
            </w:tcBorders>
          </w:tcPr>
          <w:p>
            <w:pPr>
              <w:spacing w:after="0"/>
              <w:rPr>
                <w:sz w:val="24"/>
                <w:szCs w:val="24"/>
                <w:color w:val="auto"/>
              </w:rPr>
            </w:pPr>
          </w:p>
        </w:tc>
        <w:tc>
          <w:tcPr>
            <w:tcW w:w="340" w:type="dxa"/>
            <w:vAlign w:val="bottom"/>
            <w:tcBorders>
              <w:top w:val="single" w:sz="8" w:color="C60C35"/>
            </w:tcBorders>
          </w:tcPr>
          <w:p>
            <w:pPr>
              <w:spacing w:after="0"/>
              <w:rPr>
                <w:sz w:val="24"/>
                <w:szCs w:val="24"/>
                <w:color w:val="auto"/>
              </w:rPr>
            </w:pPr>
          </w:p>
        </w:tc>
        <w:tc>
          <w:tcPr>
            <w:tcW w:w="3300" w:type="dxa"/>
            <w:vAlign w:val="bottom"/>
            <w:tcBorders>
              <w:top w:val="single" w:sz="8" w:color="C60C35"/>
              <w:right w:val="single" w:sz="8" w:color="C60C35"/>
            </w:tcBorders>
          </w:tcPr>
          <w:p>
            <w:pPr>
              <w:jc w:val="center"/>
              <w:spacing w:after="0"/>
              <w:rPr>
                <w:sz w:val="20"/>
                <w:szCs w:val="20"/>
                <w:color w:val="auto"/>
              </w:rPr>
            </w:pPr>
            <w:r>
              <w:rPr>
                <w:rFonts w:ascii="Arial" w:cs="Arial" w:eastAsia="Arial" w:hAnsi="Arial"/>
                <w:sz w:val="14"/>
                <w:szCs w:val="14"/>
                <w:b w:val="1"/>
                <w:bCs w:val="1"/>
                <w:color w:val="auto"/>
              </w:rPr>
              <w:t>Enter the control</w:t>
            </w:r>
          </w:p>
        </w:tc>
        <w:tc>
          <w:tcPr>
            <w:tcW w:w="0" w:type="dxa"/>
            <w:vAlign w:val="bottom"/>
          </w:tcPr>
          <w:p>
            <w:pPr>
              <w:spacing w:after="0"/>
              <w:rPr>
                <w:sz w:val="1"/>
                <w:szCs w:val="1"/>
                <w:color w:val="auto"/>
              </w:rPr>
            </w:pPr>
          </w:p>
        </w:tc>
      </w:tr>
      <w:tr>
        <w:trPr>
          <w:trHeight w:val="112"/>
        </w:trPr>
        <w:tc>
          <w:tcPr>
            <w:tcW w:w="3280" w:type="dxa"/>
            <w:vAlign w:val="bottom"/>
            <w:tcBorders>
              <w:left w:val="single" w:sz="8" w:color="C60C35"/>
            </w:tcBorders>
          </w:tcPr>
          <w:p>
            <w:pPr>
              <w:spacing w:after="0"/>
              <w:rPr>
                <w:sz w:val="9"/>
                <w:szCs w:val="9"/>
                <w:color w:val="auto"/>
              </w:rPr>
            </w:pPr>
          </w:p>
        </w:tc>
        <w:tc>
          <w:tcPr>
            <w:tcW w:w="720" w:type="dxa"/>
            <w:vAlign w:val="bottom"/>
            <w:gridSpan w:val="2"/>
            <w:vMerge w:val="restart"/>
            <w:shd w:val="clear" w:color="auto" w:fill="F3F3F3"/>
          </w:tcPr>
          <w:p>
            <w:pPr>
              <w:jc w:val="right"/>
              <w:ind w:right="200"/>
              <w:spacing w:after="0"/>
              <w:rPr>
                <w:sz w:val="20"/>
                <w:szCs w:val="20"/>
                <w:color w:val="auto"/>
              </w:rPr>
            </w:pPr>
            <w:r>
              <w:rPr>
                <w:rFonts w:ascii="Arial" w:cs="Arial" w:eastAsia="Arial" w:hAnsi="Arial"/>
                <w:sz w:val="43"/>
                <w:szCs w:val="43"/>
                <w:b w:val="1"/>
                <w:bCs w:val="1"/>
                <w:color w:val="C60C35"/>
              </w:rPr>
              <w:t>Ü</w:t>
            </w:r>
          </w:p>
        </w:tc>
        <w:tc>
          <w:tcPr>
            <w:tcW w:w="3240" w:type="dxa"/>
            <w:vAlign w:val="bottom"/>
            <w:vMerge w:val="continue"/>
          </w:tcPr>
          <w:p>
            <w:pPr>
              <w:spacing w:after="0"/>
              <w:rPr>
                <w:sz w:val="9"/>
                <w:szCs w:val="9"/>
                <w:color w:val="auto"/>
              </w:rPr>
            </w:pPr>
          </w:p>
        </w:tc>
        <w:tc>
          <w:tcPr>
            <w:tcW w:w="700" w:type="dxa"/>
            <w:vAlign w:val="bottom"/>
            <w:gridSpan w:val="2"/>
            <w:vMerge w:val="restart"/>
            <w:shd w:val="clear" w:color="auto" w:fill="F3F3F3"/>
          </w:tcPr>
          <w:p>
            <w:pPr>
              <w:jc w:val="right"/>
              <w:ind w:right="180"/>
              <w:spacing w:after="0"/>
              <w:rPr>
                <w:sz w:val="20"/>
                <w:szCs w:val="20"/>
                <w:color w:val="auto"/>
              </w:rPr>
            </w:pPr>
            <w:r>
              <w:rPr>
                <w:rFonts w:ascii="Arial" w:cs="Arial" w:eastAsia="Arial" w:hAnsi="Arial"/>
                <w:sz w:val="43"/>
                <w:szCs w:val="43"/>
                <w:b w:val="1"/>
                <w:bCs w:val="1"/>
                <w:color w:val="C60C35"/>
              </w:rPr>
              <w:t>Ü</w:t>
            </w:r>
          </w:p>
        </w:tc>
        <w:tc>
          <w:tcPr>
            <w:tcW w:w="3300" w:type="dxa"/>
            <w:vAlign w:val="bottom"/>
            <w:tcBorders>
              <w:right w:val="single" w:sz="8" w:color="C60C35"/>
            </w:tcBorders>
          </w:tcPr>
          <w:p>
            <w:pPr>
              <w:jc w:val="center"/>
              <w:spacing w:after="0" w:line="113" w:lineRule="exact"/>
              <w:rPr>
                <w:sz w:val="20"/>
                <w:szCs w:val="20"/>
                <w:color w:val="auto"/>
              </w:rPr>
            </w:pPr>
            <w:r>
              <w:rPr>
                <w:rFonts w:ascii="Arial" w:cs="Arial" w:eastAsia="Arial" w:hAnsi="Arial"/>
                <w:sz w:val="13"/>
                <w:szCs w:val="13"/>
                <w:b w:val="1"/>
                <w:bCs w:val="1"/>
                <w:color w:val="auto"/>
              </w:rPr>
              <w:t>number on your</w:t>
            </w:r>
          </w:p>
        </w:tc>
        <w:tc>
          <w:tcPr>
            <w:tcW w:w="0" w:type="dxa"/>
            <w:vAlign w:val="bottom"/>
          </w:tcPr>
          <w:p>
            <w:pPr>
              <w:spacing w:after="0"/>
              <w:rPr>
                <w:sz w:val="1"/>
                <w:szCs w:val="1"/>
                <w:color w:val="auto"/>
              </w:rPr>
            </w:pPr>
          </w:p>
        </w:tc>
      </w:tr>
      <w:tr>
        <w:trPr>
          <w:trHeight w:val="210"/>
        </w:trPr>
        <w:tc>
          <w:tcPr>
            <w:tcW w:w="3280" w:type="dxa"/>
            <w:vAlign w:val="bottom"/>
            <w:tcBorders>
              <w:left w:val="single" w:sz="8" w:color="C60C35"/>
            </w:tcBorders>
          </w:tcPr>
          <w:p>
            <w:pPr>
              <w:jc w:val="center"/>
              <w:spacing w:after="0"/>
              <w:rPr>
                <w:sz w:val="20"/>
                <w:szCs w:val="20"/>
                <w:color w:val="auto"/>
              </w:rPr>
            </w:pPr>
            <w:r>
              <w:rPr>
                <w:rFonts w:ascii="Arial" w:cs="Arial" w:eastAsia="Arial" w:hAnsi="Arial"/>
                <w:sz w:val="14"/>
                <w:szCs w:val="14"/>
                <w:b w:val="1"/>
                <w:bCs w:val="1"/>
                <w:color w:val="auto"/>
              </w:rPr>
              <w:t>Register at</w:t>
            </w:r>
          </w:p>
        </w:tc>
        <w:tc>
          <w:tcPr>
            <w:tcW w:w="720" w:type="dxa"/>
            <w:vAlign w:val="bottom"/>
            <w:gridSpan w:val="2"/>
            <w:vMerge w:val="continue"/>
            <w:shd w:val="clear" w:color="auto" w:fill="F3F3F3"/>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emailed to you</w:t>
            </w:r>
          </w:p>
        </w:tc>
        <w:tc>
          <w:tcPr>
            <w:tcW w:w="700" w:type="dxa"/>
            <w:vAlign w:val="bottom"/>
            <w:gridSpan w:val="2"/>
            <w:vMerge w:val="continue"/>
            <w:shd w:val="clear" w:color="auto" w:fill="F3F3F3"/>
          </w:tcPr>
          <w:p>
            <w:pPr>
              <w:spacing w:after="0"/>
              <w:rPr>
                <w:sz w:val="18"/>
                <w:szCs w:val="18"/>
                <w:color w:val="auto"/>
              </w:rPr>
            </w:pPr>
          </w:p>
        </w:tc>
        <w:tc>
          <w:tcPr>
            <w:tcW w:w="3300" w:type="dxa"/>
            <w:vAlign w:val="bottom"/>
            <w:tcBorders>
              <w:right w:val="single" w:sz="8" w:color="C60C35"/>
            </w:tcBorders>
          </w:tcPr>
          <w:p>
            <w:pPr>
              <w:jc w:val="center"/>
              <w:spacing w:after="0"/>
              <w:rPr>
                <w:sz w:val="20"/>
                <w:szCs w:val="20"/>
                <w:color w:val="auto"/>
              </w:rPr>
            </w:pPr>
            <w:r>
              <w:rPr>
                <w:rFonts w:ascii="Arial" w:cs="Arial" w:eastAsia="Arial" w:hAnsi="Arial"/>
                <w:sz w:val="14"/>
                <w:szCs w:val="14"/>
                <w:b w:val="1"/>
                <w:bCs w:val="1"/>
                <w:color w:val="auto"/>
              </w:rPr>
              <w:t>Proxy Card, voting</w:t>
            </w:r>
          </w:p>
        </w:tc>
        <w:tc>
          <w:tcPr>
            <w:tcW w:w="0" w:type="dxa"/>
            <w:vAlign w:val="bottom"/>
          </w:tcPr>
          <w:p>
            <w:pPr>
              <w:spacing w:after="0"/>
              <w:rPr>
                <w:sz w:val="1"/>
                <w:szCs w:val="1"/>
                <w:color w:val="auto"/>
              </w:rPr>
            </w:pPr>
          </w:p>
        </w:tc>
      </w:tr>
      <w:tr>
        <w:trPr>
          <w:trHeight w:val="195"/>
        </w:trPr>
        <w:tc>
          <w:tcPr>
            <w:tcW w:w="3280" w:type="dxa"/>
            <w:vAlign w:val="bottom"/>
            <w:tcBorders>
              <w:left w:val="single" w:sz="8" w:color="636466"/>
            </w:tcBorders>
          </w:tcPr>
          <w:p>
            <w:pPr>
              <w:jc w:val="center"/>
              <w:spacing w:after="0"/>
              <w:rPr>
                <w:sz w:val="20"/>
                <w:szCs w:val="20"/>
                <w:color w:val="auto"/>
              </w:rPr>
            </w:pPr>
            <w:r>
              <w:rPr>
                <w:rFonts w:ascii="Arial" w:cs="Arial" w:eastAsia="Arial" w:hAnsi="Arial"/>
                <w:sz w:val="14"/>
                <w:szCs w:val="14"/>
                <w:b w:val="1"/>
                <w:bCs w:val="1"/>
                <w:color w:val="auto"/>
              </w:rPr>
              <w:t>www.proxydocs.com/LII</w:t>
            </w:r>
          </w:p>
        </w:tc>
        <w:tc>
          <w:tcPr>
            <w:tcW w:w="720" w:type="dxa"/>
            <w:vAlign w:val="bottom"/>
            <w:gridSpan w:val="2"/>
            <w:vMerge w:val="continue"/>
            <w:shd w:val="clear" w:color="auto" w:fill="F3F3F3"/>
          </w:tcPr>
          <w:p>
            <w:pPr>
              <w:spacing w:after="0"/>
              <w:rPr>
                <w:sz w:val="16"/>
                <w:szCs w:val="16"/>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to access the</w:t>
            </w:r>
          </w:p>
        </w:tc>
        <w:tc>
          <w:tcPr>
            <w:tcW w:w="700" w:type="dxa"/>
            <w:vAlign w:val="bottom"/>
            <w:gridSpan w:val="2"/>
            <w:vMerge w:val="continue"/>
            <w:shd w:val="clear" w:color="auto" w:fill="F3F3F3"/>
          </w:tcPr>
          <w:p>
            <w:pPr>
              <w:spacing w:after="0"/>
              <w:rPr>
                <w:sz w:val="16"/>
                <w:szCs w:val="16"/>
                <w:color w:val="auto"/>
              </w:rPr>
            </w:pPr>
          </w:p>
        </w:tc>
        <w:tc>
          <w:tcPr>
            <w:tcW w:w="3300" w:type="dxa"/>
            <w:vAlign w:val="bottom"/>
            <w:tcBorders>
              <w:right w:val="single" w:sz="8" w:color="636466"/>
            </w:tcBorders>
          </w:tcPr>
          <w:p>
            <w:pPr>
              <w:jc w:val="center"/>
              <w:spacing w:after="0"/>
              <w:rPr>
                <w:sz w:val="20"/>
                <w:szCs w:val="20"/>
                <w:color w:val="auto"/>
              </w:rPr>
            </w:pPr>
            <w:r>
              <w:rPr>
                <w:rFonts w:ascii="Arial" w:cs="Arial" w:eastAsia="Arial" w:hAnsi="Arial"/>
                <w:sz w:val="14"/>
                <w:szCs w:val="14"/>
                <w:b w:val="1"/>
                <w:bCs w:val="1"/>
                <w:color w:val="auto"/>
              </w:rPr>
              <w:t>instruction form or</w:t>
            </w:r>
          </w:p>
        </w:tc>
        <w:tc>
          <w:tcPr>
            <w:tcW w:w="0" w:type="dxa"/>
            <w:vAlign w:val="bottom"/>
          </w:tcPr>
          <w:p>
            <w:pPr>
              <w:spacing w:after="0"/>
              <w:rPr>
                <w:sz w:val="1"/>
                <w:szCs w:val="1"/>
                <w:color w:val="auto"/>
              </w:rPr>
            </w:pPr>
          </w:p>
        </w:tc>
      </w:tr>
      <w:tr>
        <w:trPr>
          <w:trHeight w:val="176"/>
        </w:trPr>
        <w:tc>
          <w:tcPr>
            <w:tcW w:w="3280" w:type="dxa"/>
            <w:vAlign w:val="bottom"/>
            <w:tcBorders>
              <w:left w:val="single" w:sz="8" w:color="636466"/>
            </w:tcBorders>
          </w:tcPr>
          <w:p>
            <w:pPr>
              <w:spacing w:after="0"/>
              <w:rPr>
                <w:sz w:val="15"/>
                <w:szCs w:val="15"/>
                <w:color w:val="auto"/>
              </w:rPr>
            </w:pPr>
          </w:p>
        </w:tc>
        <w:tc>
          <w:tcPr>
            <w:tcW w:w="380" w:type="dxa"/>
            <w:vAlign w:val="bottom"/>
            <w:tcBorders>
              <w:right w:val="single" w:sz="8" w:color="F3F3F3"/>
            </w:tcBorders>
            <w:shd w:val="clear" w:color="auto" w:fill="F3F3F3"/>
          </w:tcPr>
          <w:p>
            <w:pPr>
              <w:spacing w:after="0"/>
              <w:rPr>
                <w:sz w:val="15"/>
                <w:szCs w:val="15"/>
                <w:color w:val="auto"/>
              </w:rPr>
            </w:pPr>
          </w:p>
        </w:tc>
        <w:tc>
          <w:tcPr>
            <w:tcW w:w="340" w:type="dxa"/>
            <w:vAlign w:val="bottom"/>
            <w:shd w:val="clear" w:color="auto" w:fill="F3F3F3"/>
          </w:tcPr>
          <w:p>
            <w:pPr>
              <w:spacing w:after="0"/>
              <w:rPr>
                <w:sz w:val="15"/>
                <w:szCs w:val="15"/>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Annual Meeting</w:t>
            </w:r>
          </w:p>
        </w:tc>
        <w:tc>
          <w:tcPr>
            <w:tcW w:w="360" w:type="dxa"/>
            <w:vAlign w:val="bottom"/>
            <w:tcBorders>
              <w:right w:val="single" w:sz="8" w:color="F3F3F3"/>
            </w:tcBorders>
            <w:shd w:val="clear" w:color="auto" w:fill="F3F3F3"/>
          </w:tcPr>
          <w:p>
            <w:pPr>
              <w:spacing w:after="0"/>
              <w:rPr>
                <w:sz w:val="15"/>
                <w:szCs w:val="15"/>
                <w:color w:val="auto"/>
              </w:rPr>
            </w:pPr>
          </w:p>
        </w:tc>
        <w:tc>
          <w:tcPr>
            <w:tcW w:w="340" w:type="dxa"/>
            <w:vAlign w:val="bottom"/>
            <w:shd w:val="clear" w:color="auto" w:fill="F3F3F3"/>
          </w:tcPr>
          <w:p>
            <w:pPr>
              <w:spacing w:after="0"/>
              <w:rPr>
                <w:sz w:val="15"/>
                <w:szCs w:val="15"/>
                <w:color w:val="auto"/>
              </w:rPr>
            </w:pPr>
          </w:p>
        </w:tc>
        <w:tc>
          <w:tcPr>
            <w:tcW w:w="3300" w:type="dxa"/>
            <w:vAlign w:val="bottom"/>
            <w:tcBorders>
              <w:right w:val="single" w:sz="8" w:color="636466"/>
            </w:tcBorders>
          </w:tcPr>
          <w:p>
            <w:pPr>
              <w:jc w:val="center"/>
              <w:spacing w:after="0"/>
              <w:rPr>
                <w:sz w:val="20"/>
                <w:szCs w:val="20"/>
                <w:color w:val="auto"/>
              </w:rPr>
            </w:pPr>
            <w:r>
              <w:rPr>
                <w:rFonts w:ascii="Arial" w:cs="Arial" w:eastAsia="Arial" w:hAnsi="Arial"/>
                <w:sz w:val="14"/>
                <w:szCs w:val="14"/>
                <w:b w:val="1"/>
                <w:bCs w:val="1"/>
                <w:color w:val="auto"/>
              </w:rPr>
              <w:t>Notice of Internet</w:t>
            </w:r>
          </w:p>
        </w:tc>
        <w:tc>
          <w:tcPr>
            <w:tcW w:w="0" w:type="dxa"/>
            <w:vAlign w:val="bottom"/>
          </w:tcPr>
          <w:p>
            <w:pPr>
              <w:spacing w:after="0"/>
              <w:rPr>
                <w:sz w:val="1"/>
                <w:szCs w:val="1"/>
                <w:color w:val="auto"/>
              </w:rPr>
            </w:pPr>
          </w:p>
        </w:tc>
      </w:tr>
      <w:tr>
        <w:trPr>
          <w:trHeight w:val="196"/>
        </w:trPr>
        <w:tc>
          <w:tcPr>
            <w:tcW w:w="3280" w:type="dxa"/>
            <w:vAlign w:val="bottom"/>
            <w:tcBorders>
              <w:left w:val="single" w:sz="8" w:color="636466"/>
            </w:tcBorders>
          </w:tcPr>
          <w:p>
            <w:pPr>
              <w:spacing w:after="0"/>
              <w:rPr>
                <w:sz w:val="17"/>
                <w:szCs w:val="17"/>
                <w:color w:val="auto"/>
              </w:rPr>
            </w:pPr>
          </w:p>
        </w:tc>
        <w:tc>
          <w:tcPr>
            <w:tcW w:w="380" w:type="dxa"/>
            <w:vAlign w:val="bottom"/>
            <w:tcBorders>
              <w:right w:val="single" w:sz="8" w:color="C60C35"/>
            </w:tcBorders>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60" w:type="dxa"/>
            <w:vAlign w:val="bottom"/>
            <w:tcBorders>
              <w:right w:val="single" w:sz="8" w:color="C60C35"/>
            </w:tcBorders>
          </w:tcPr>
          <w:p>
            <w:pPr>
              <w:spacing w:after="0"/>
              <w:rPr>
                <w:sz w:val="17"/>
                <w:szCs w:val="17"/>
                <w:color w:val="auto"/>
              </w:rPr>
            </w:pPr>
          </w:p>
        </w:tc>
        <w:tc>
          <w:tcPr>
            <w:tcW w:w="340" w:type="dxa"/>
            <w:vAlign w:val="bottom"/>
          </w:tcPr>
          <w:p>
            <w:pPr>
              <w:spacing w:after="0"/>
              <w:rPr>
                <w:sz w:val="17"/>
                <w:szCs w:val="17"/>
                <w:color w:val="auto"/>
              </w:rPr>
            </w:pPr>
          </w:p>
        </w:tc>
        <w:tc>
          <w:tcPr>
            <w:tcW w:w="3300" w:type="dxa"/>
            <w:vAlign w:val="bottom"/>
            <w:tcBorders>
              <w:right w:val="single" w:sz="8" w:color="636466"/>
            </w:tcBorders>
          </w:tcPr>
          <w:p>
            <w:pPr>
              <w:jc w:val="center"/>
              <w:spacing w:after="0"/>
              <w:rPr>
                <w:sz w:val="20"/>
                <w:szCs w:val="20"/>
                <w:color w:val="auto"/>
              </w:rPr>
            </w:pPr>
            <w:r>
              <w:rPr>
                <w:rFonts w:ascii="Arial" w:cs="Arial" w:eastAsia="Arial" w:hAnsi="Arial"/>
                <w:sz w:val="14"/>
                <w:szCs w:val="14"/>
                <w:b w:val="1"/>
                <w:bCs w:val="1"/>
                <w:color w:val="auto"/>
              </w:rPr>
              <w:t>Availability</w:t>
            </w:r>
          </w:p>
        </w:tc>
        <w:tc>
          <w:tcPr>
            <w:tcW w:w="0" w:type="dxa"/>
            <w:vAlign w:val="bottom"/>
          </w:tcPr>
          <w:p>
            <w:pPr>
              <w:spacing w:after="0"/>
              <w:rPr>
                <w:sz w:val="1"/>
                <w:szCs w:val="1"/>
                <w:color w:val="auto"/>
              </w:rPr>
            </w:pPr>
          </w:p>
        </w:tc>
      </w:tr>
      <w:tr>
        <w:trPr>
          <w:trHeight w:val="239"/>
        </w:trPr>
        <w:tc>
          <w:tcPr>
            <w:tcW w:w="3280" w:type="dxa"/>
            <w:vAlign w:val="bottom"/>
            <w:tcBorders>
              <w:left w:val="single" w:sz="8" w:color="636466"/>
              <w:bottom w:val="single" w:sz="8" w:color="636466"/>
            </w:tcBorders>
          </w:tcPr>
          <w:p>
            <w:pPr>
              <w:spacing w:after="0"/>
              <w:rPr>
                <w:sz w:val="20"/>
                <w:szCs w:val="20"/>
                <w:color w:val="auto"/>
              </w:rPr>
            </w:pPr>
          </w:p>
        </w:tc>
        <w:tc>
          <w:tcPr>
            <w:tcW w:w="380" w:type="dxa"/>
            <w:vAlign w:val="bottom"/>
            <w:tcBorders>
              <w:bottom w:val="single" w:sz="8" w:color="636466"/>
              <w:right w:val="single" w:sz="8" w:color="C60C35"/>
            </w:tcBorders>
          </w:tcPr>
          <w:p>
            <w:pPr>
              <w:spacing w:after="0"/>
              <w:rPr>
                <w:sz w:val="20"/>
                <w:szCs w:val="20"/>
                <w:color w:val="auto"/>
              </w:rPr>
            </w:pPr>
          </w:p>
        </w:tc>
        <w:tc>
          <w:tcPr>
            <w:tcW w:w="340" w:type="dxa"/>
            <w:vAlign w:val="bottom"/>
            <w:tcBorders>
              <w:bottom w:val="single" w:sz="8" w:color="C60C35"/>
            </w:tcBorders>
          </w:tcPr>
          <w:p>
            <w:pPr>
              <w:spacing w:after="0"/>
              <w:rPr>
                <w:sz w:val="20"/>
                <w:szCs w:val="20"/>
                <w:color w:val="auto"/>
              </w:rPr>
            </w:pPr>
          </w:p>
        </w:tc>
        <w:tc>
          <w:tcPr>
            <w:tcW w:w="3240" w:type="dxa"/>
            <w:vAlign w:val="bottom"/>
            <w:tcBorders>
              <w:bottom w:val="single" w:sz="8" w:color="C60C35"/>
            </w:tcBorders>
          </w:tcPr>
          <w:p>
            <w:pPr>
              <w:spacing w:after="0"/>
              <w:rPr>
                <w:sz w:val="20"/>
                <w:szCs w:val="20"/>
                <w:color w:val="auto"/>
              </w:rPr>
            </w:pPr>
          </w:p>
        </w:tc>
        <w:tc>
          <w:tcPr>
            <w:tcW w:w="360" w:type="dxa"/>
            <w:vAlign w:val="bottom"/>
            <w:tcBorders>
              <w:bottom w:val="single" w:sz="8" w:color="C60C35"/>
              <w:right w:val="single" w:sz="8" w:color="C60C35"/>
            </w:tcBorders>
          </w:tcPr>
          <w:p>
            <w:pPr>
              <w:spacing w:after="0"/>
              <w:rPr>
                <w:sz w:val="20"/>
                <w:szCs w:val="20"/>
                <w:color w:val="auto"/>
              </w:rPr>
            </w:pPr>
          </w:p>
        </w:tc>
        <w:tc>
          <w:tcPr>
            <w:tcW w:w="340" w:type="dxa"/>
            <w:vAlign w:val="bottom"/>
            <w:tcBorders>
              <w:bottom w:val="single" w:sz="8" w:color="636466"/>
            </w:tcBorders>
          </w:tcPr>
          <w:p>
            <w:pPr>
              <w:spacing w:after="0"/>
              <w:rPr>
                <w:sz w:val="20"/>
                <w:szCs w:val="20"/>
                <w:color w:val="auto"/>
              </w:rPr>
            </w:pPr>
          </w:p>
        </w:tc>
        <w:tc>
          <w:tcPr>
            <w:tcW w:w="3300" w:type="dxa"/>
            <w:vAlign w:val="bottom"/>
            <w:tcBorders>
              <w:bottom w:val="single" w:sz="8" w:color="636466"/>
              <w:right w:val="single" w:sz="8" w:color="63646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38735</wp:posOffset>
            </wp:positionV>
            <wp:extent cx="4894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8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At the Annual Meeting, you will be asked to vote on three proposals. Our Board recommends you vote “for” each of the director nominees in Proposal 1 and “for” Proposals 2 and 3. The proposals to be voted on at the Annual Meeting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210820</wp:posOffset>
            </wp:positionV>
            <wp:extent cx="6823710" cy="142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3710" cy="1423035"/>
                    </a:xfrm>
                    <a:prstGeom prst="rect">
                      <a:avLst/>
                    </a:prstGeom>
                    <a:noFill/>
                  </pic:spPr>
                </pic:pic>
              </a:graphicData>
            </a:graphic>
          </wp:anchor>
        </w:drawing>
      </w:r>
    </w:p>
    <w:p>
      <w:pPr>
        <w:spacing w:after="0" w:line="292" w:lineRule="exact"/>
        <w:rPr>
          <w:sz w:val="20"/>
          <w:szCs w:val="20"/>
          <w:color w:val="auto"/>
        </w:rPr>
      </w:pPr>
    </w:p>
    <w:tbl>
      <w:tblPr>
        <w:tblLayout w:type="fixed"/>
        <w:tblInd w:w="980" w:type="dxa"/>
        <w:tblCellMar>
          <w:top w:w="0" w:type="dxa"/>
          <w:left w:w="0" w:type="dxa"/>
          <w:bottom w:w="0" w:type="dxa"/>
          <w:right w:w="0" w:type="dxa"/>
        </w:tblCellMar>
      </w:tblPr>
      <w:tr>
        <w:trPr>
          <w:trHeight w:val="364"/>
        </w:trPr>
        <w:tc>
          <w:tcPr>
            <w:tcW w:w="3360" w:type="dxa"/>
            <w:vAlign w:val="bottom"/>
            <w:tcBorders>
              <w:right w:val="single" w:sz="8" w:color="A3CF62"/>
            </w:tcBorders>
          </w:tcPr>
          <w:p>
            <w:pPr>
              <w:spacing w:after="0"/>
              <w:rPr>
                <w:sz w:val="20"/>
                <w:szCs w:val="20"/>
                <w:color w:val="auto"/>
              </w:rPr>
            </w:pPr>
            <w:r>
              <w:rPr>
                <w:rFonts w:ascii="Arial" w:cs="Arial" w:eastAsia="Arial" w:hAnsi="Arial"/>
                <w:sz w:val="25"/>
                <w:szCs w:val="25"/>
                <w:b w:val="1"/>
                <w:bCs w:val="1"/>
                <w:color w:val="1D98BA"/>
              </w:rPr>
              <w:t>PROPOSAL</w:t>
            </w:r>
          </w:p>
        </w:tc>
        <w:tc>
          <w:tcPr>
            <w:tcW w:w="3020" w:type="dxa"/>
            <w:vAlign w:val="bottom"/>
            <w:tcBorders>
              <w:top w:val="single" w:sz="8" w:color="A3CF62"/>
            </w:tcBorders>
          </w:tcPr>
          <w:p>
            <w:pPr>
              <w:ind w:left="480"/>
              <w:spacing w:after="0"/>
              <w:rPr>
                <w:sz w:val="20"/>
                <w:szCs w:val="20"/>
                <w:color w:val="auto"/>
              </w:rPr>
            </w:pPr>
            <w:r>
              <w:rPr>
                <w:rFonts w:ascii="Arial" w:cs="Arial" w:eastAsia="Arial" w:hAnsi="Arial"/>
                <w:sz w:val="25"/>
                <w:szCs w:val="25"/>
                <w:b w:val="1"/>
                <w:bCs w:val="1"/>
                <w:color w:val="A3CF62"/>
              </w:rPr>
              <w:t>PROPOSAL</w:t>
            </w:r>
          </w:p>
        </w:tc>
        <w:tc>
          <w:tcPr>
            <w:tcW w:w="840" w:type="dxa"/>
            <w:vAlign w:val="bottom"/>
            <w:tcBorders>
              <w:right w:val="single" w:sz="8" w:color="16508F"/>
            </w:tcBorders>
          </w:tcPr>
          <w:p>
            <w:pPr>
              <w:spacing w:after="0"/>
              <w:rPr>
                <w:sz w:val="24"/>
                <w:szCs w:val="24"/>
                <w:color w:val="auto"/>
              </w:rPr>
            </w:pPr>
          </w:p>
        </w:tc>
        <w:tc>
          <w:tcPr>
            <w:tcW w:w="3040" w:type="dxa"/>
            <w:vAlign w:val="bottom"/>
            <w:tcBorders>
              <w:top w:val="single" w:sz="8" w:color="16508F"/>
            </w:tcBorders>
          </w:tcPr>
          <w:p>
            <w:pPr>
              <w:ind w:left="460"/>
              <w:spacing w:after="0"/>
              <w:rPr>
                <w:sz w:val="20"/>
                <w:szCs w:val="20"/>
                <w:color w:val="auto"/>
              </w:rPr>
            </w:pPr>
            <w:r>
              <w:rPr>
                <w:rFonts w:ascii="Arial" w:cs="Arial" w:eastAsia="Arial" w:hAnsi="Arial"/>
                <w:sz w:val="25"/>
                <w:szCs w:val="25"/>
                <w:b w:val="1"/>
                <w:bCs w:val="1"/>
                <w:color w:val="16508F"/>
              </w:rPr>
              <w:t>PROPOSAL</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500"/>
        </w:trPr>
        <w:tc>
          <w:tcPr>
            <w:tcW w:w="840" w:type="dxa"/>
            <w:vAlign w:val="bottom"/>
          </w:tcPr>
          <w:p>
            <w:pPr>
              <w:jc w:val="right"/>
              <w:spacing w:after="0" w:line="498" w:lineRule="exact"/>
              <w:rPr>
                <w:sz w:val="20"/>
                <w:szCs w:val="20"/>
                <w:color w:val="auto"/>
              </w:rPr>
            </w:pPr>
            <w:r>
              <w:rPr>
                <w:rFonts w:ascii="Arial" w:cs="Arial" w:eastAsia="Arial" w:hAnsi="Arial"/>
                <w:sz w:val="57"/>
                <w:szCs w:val="57"/>
                <w:b w:val="1"/>
                <w:bCs w:val="1"/>
                <w:color w:val="1D98BA"/>
              </w:rPr>
              <w:t>1</w:t>
            </w:r>
          </w:p>
        </w:tc>
        <w:tc>
          <w:tcPr>
            <w:tcW w:w="2680" w:type="dxa"/>
            <w:vAlign w:val="bottom"/>
          </w:tcPr>
          <w:p>
            <w:pPr>
              <w:spacing w:after="0"/>
              <w:rPr>
                <w:sz w:val="24"/>
                <w:szCs w:val="24"/>
                <w:color w:val="auto"/>
              </w:rPr>
            </w:pPr>
          </w:p>
        </w:tc>
        <w:tc>
          <w:tcPr>
            <w:tcW w:w="1140" w:type="dxa"/>
            <w:vAlign w:val="bottom"/>
          </w:tcPr>
          <w:p>
            <w:pPr>
              <w:jc w:val="right"/>
              <w:spacing w:after="0" w:line="498" w:lineRule="exact"/>
              <w:rPr>
                <w:sz w:val="20"/>
                <w:szCs w:val="20"/>
                <w:color w:val="auto"/>
              </w:rPr>
            </w:pPr>
            <w:r>
              <w:rPr>
                <w:rFonts w:ascii="Arial" w:cs="Arial" w:eastAsia="Arial" w:hAnsi="Arial"/>
                <w:sz w:val="57"/>
                <w:szCs w:val="57"/>
                <w:b w:val="1"/>
                <w:bCs w:val="1"/>
                <w:color w:val="A3CF62"/>
              </w:rPr>
              <w:t>2</w:t>
            </w:r>
          </w:p>
        </w:tc>
        <w:tc>
          <w:tcPr>
            <w:tcW w:w="2860" w:type="dxa"/>
            <w:vAlign w:val="bottom"/>
            <w:vMerge w:val="restart"/>
          </w:tcPr>
          <w:p>
            <w:pPr>
              <w:ind w:left="120"/>
              <w:spacing w:after="0"/>
              <w:rPr>
                <w:sz w:val="20"/>
                <w:szCs w:val="20"/>
                <w:color w:val="auto"/>
              </w:rPr>
            </w:pPr>
            <w:r>
              <w:rPr>
                <w:rFonts w:ascii="Arial" w:cs="Arial" w:eastAsia="Arial" w:hAnsi="Arial"/>
                <w:sz w:val="14"/>
                <w:szCs w:val="14"/>
                <w:color w:val="auto"/>
              </w:rPr>
              <w:t>To conduct an advisory vote to approve</w:t>
            </w:r>
          </w:p>
        </w:tc>
        <w:tc>
          <w:tcPr>
            <w:tcW w:w="1040" w:type="dxa"/>
            <w:vAlign w:val="bottom"/>
          </w:tcPr>
          <w:p>
            <w:pPr>
              <w:jc w:val="right"/>
              <w:spacing w:after="0" w:line="498" w:lineRule="exact"/>
              <w:rPr>
                <w:sz w:val="20"/>
                <w:szCs w:val="20"/>
                <w:color w:val="auto"/>
              </w:rPr>
            </w:pPr>
            <w:r>
              <w:rPr>
                <w:rFonts w:ascii="Arial" w:cs="Arial" w:eastAsia="Arial" w:hAnsi="Arial"/>
                <w:sz w:val="57"/>
                <w:szCs w:val="57"/>
                <w:b w:val="1"/>
                <w:bCs w:val="1"/>
                <w:color w:val="16508F"/>
              </w:rPr>
              <w:t>3</w:t>
            </w: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To ratify the appointment of Ernst &amp;</w:t>
            </w: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2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840" w:type="dxa"/>
            <w:vAlign w:val="bottom"/>
          </w:tcPr>
          <w:p>
            <w:pPr>
              <w:spacing w:after="0"/>
              <w:rPr>
                <w:sz w:val="8"/>
                <w:szCs w:val="8"/>
                <w:color w:val="auto"/>
              </w:rPr>
            </w:pPr>
          </w:p>
        </w:tc>
        <w:tc>
          <w:tcPr>
            <w:tcW w:w="2680" w:type="dxa"/>
            <w:vAlign w:val="bottom"/>
            <w:vMerge w:val="restart"/>
          </w:tcPr>
          <w:p>
            <w:pPr>
              <w:ind w:left="100"/>
              <w:spacing w:after="0"/>
              <w:rPr>
                <w:sz w:val="20"/>
                <w:szCs w:val="20"/>
                <w:color w:val="auto"/>
              </w:rPr>
            </w:pPr>
            <w:r>
              <w:rPr>
                <w:rFonts w:ascii="Arial" w:cs="Arial" w:eastAsia="Arial" w:hAnsi="Arial"/>
                <w:sz w:val="14"/>
                <w:szCs w:val="14"/>
                <w:color w:val="auto"/>
              </w:rPr>
              <w:t>To elect two Class III directors for a</w:t>
            </w:r>
          </w:p>
        </w:tc>
        <w:tc>
          <w:tcPr>
            <w:tcW w:w="1140" w:type="dxa"/>
            <w:vAlign w:val="bottom"/>
          </w:tcPr>
          <w:p>
            <w:pPr>
              <w:spacing w:after="0"/>
              <w:rPr>
                <w:sz w:val="8"/>
                <w:szCs w:val="8"/>
                <w:color w:val="auto"/>
              </w:rPr>
            </w:pPr>
          </w:p>
        </w:tc>
        <w:tc>
          <w:tcPr>
            <w:tcW w:w="2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Young LLP as our independent</w:t>
            </w: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2860" w:type="dxa"/>
            <w:vAlign w:val="bottom"/>
            <w:vMerge w:val="restart"/>
          </w:tcPr>
          <w:p>
            <w:pPr>
              <w:ind w:left="120"/>
              <w:spacing w:after="0" w:line="145" w:lineRule="exact"/>
              <w:rPr>
                <w:sz w:val="20"/>
                <w:szCs w:val="20"/>
                <w:color w:val="auto"/>
              </w:rPr>
            </w:pPr>
            <w:r>
              <w:rPr>
                <w:rFonts w:ascii="Arial" w:cs="Arial" w:eastAsia="Arial" w:hAnsi="Arial"/>
                <w:sz w:val="14"/>
                <w:szCs w:val="14"/>
                <w:color w:val="auto"/>
              </w:rPr>
              <w:t>the compensation of our named</w:t>
            </w:r>
          </w:p>
        </w:tc>
        <w:tc>
          <w:tcPr>
            <w:tcW w:w="104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840" w:type="dxa"/>
            <w:vAlign w:val="bottom"/>
          </w:tcPr>
          <w:p>
            <w:pPr>
              <w:spacing w:after="0"/>
              <w:rPr>
                <w:sz w:val="5"/>
                <w:szCs w:val="5"/>
                <w:color w:val="auto"/>
              </w:rPr>
            </w:pPr>
          </w:p>
        </w:tc>
        <w:tc>
          <w:tcPr>
            <w:tcW w:w="2680" w:type="dxa"/>
            <w:vAlign w:val="bottom"/>
            <w:vMerge w:val="restart"/>
          </w:tcPr>
          <w:p>
            <w:pPr>
              <w:ind w:left="100"/>
              <w:spacing w:after="0"/>
              <w:rPr>
                <w:sz w:val="20"/>
                <w:szCs w:val="20"/>
                <w:color w:val="auto"/>
              </w:rPr>
            </w:pPr>
            <w:r>
              <w:rPr>
                <w:rFonts w:ascii="Arial" w:cs="Arial" w:eastAsia="Arial" w:hAnsi="Arial"/>
                <w:sz w:val="14"/>
                <w:szCs w:val="14"/>
                <w:color w:val="auto"/>
              </w:rPr>
              <w:t>three-year term expiring at the 2028</w:t>
            </w:r>
          </w:p>
        </w:tc>
        <w:tc>
          <w:tcPr>
            <w:tcW w:w="114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registered public accounting firm for the</w:t>
            </w:r>
          </w:p>
        </w:tc>
        <w:tc>
          <w:tcPr>
            <w:tcW w:w="0" w:type="dxa"/>
            <w:vAlign w:val="bottom"/>
          </w:tcPr>
          <w:p>
            <w:pPr>
              <w:spacing w:after="0"/>
              <w:rPr>
                <w:sz w:val="1"/>
                <w:szCs w:val="1"/>
                <w:color w:val="auto"/>
              </w:rPr>
            </w:pPr>
          </w:p>
        </w:tc>
      </w:tr>
      <w:tr>
        <w:trPr>
          <w:trHeight w:val="112"/>
        </w:trPr>
        <w:tc>
          <w:tcPr>
            <w:tcW w:w="84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2860" w:type="dxa"/>
            <w:vAlign w:val="bottom"/>
            <w:vMerge w:val="restart"/>
          </w:tcPr>
          <w:p>
            <w:pPr>
              <w:ind w:left="120"/>
              <w:spacing w:after="0"/>
              <w:rPr>
                <w:sz w:val="20"/>
                <w:szCs w:val="20"/>
                <w:color w:val="auto"/>
              </w:rPr>
            </w:pPr>
            <w:r>
              <w:rPr>
                <w:rFonts w:ascii="Arial" w:cs="Arial" w:eastAsia="Arial" w:hAnsi="Arial"/>
                <w:sz w:val="14"/>
                <w:szCs w:val="14"/>
                <w:color w:val="auto"/>
              </w:rPr>
              <w:t>executive oﬃcers (“NEOs”) as</w:t>
            </w:r>
          </w:p>
        </w:tc>
        <w:tc>
          <w:tcPr>
            <w:tcW w:w="104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2680" w:type="dxa"/>
            <w:vAlign w:val="bottom"/>
            <w:vMerge w:val="restart"/>
          </w:tcPr>
          <w:p>
            <w:pPr>
              <w:ind w:left="100"/>
              <w:spacing w:after="0"/>
              <w:rPr>
                <w:sz w:val="20"/>
                <w:szCs w:val="20"/>
                <w:color w:val="auto"/>
              </w:rPr>
            </w:pPr>
            <w:r>
              <w:rPr>
                <w:rFonts w:ascii="Arial" w:cs="Arial" w:eastAsia="Arial" w:hAnsi="Arial"/>
                <w:sz w:val="14"/>
                <w:szCs w:val="14"/>
                <w:color w:val="auto"/>
              </w:rPr>
              <w:t>Annual Meeting of Stockholders;</w:t>
            </w:r>
          </w:p>
        </w:tc>
        <w:tc>
          <w:tcPr>
            <w:tcW w:w="1140" w:type="dxa"/>
            <w:vAlign w:val="bottom"/>
          </w:tcPr>
          <w:p>
            <w:pPr>
              <w:spacing w:after="0"/>
              <w:rPr>
                <w:sz w:val="8"/>
                <w:szCs w:val="8"/>
                <w:color w:val="auto"/>
              </w:rPr>
            </w:pPr>
          </w:p>
        </w:tc>
        <w:tc>
          <w:tcPr>
            <w:tcW w:w="2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2860" w:type="dxa"/>
            <w:vAlign w:val="bottom"/>
            <w:vMerge w:val="restart"/>
          </w:tcPr>
          <w:p>
            <w:pPr>
              <w:ind w:left="120"/>
              <w:spacing w:after="0"/>
              <w:rPr>
                <w:sz w:val="20"/>
                <w:szCs w:val="20"/>
                <w:color w:val="auto"/>
              </w:rPr>
            </w:pPr>
            <w:r>
              <w:rPr>
                <w:rFonts w:ascii="Arial" w:cs="Arial" w:eastAsia="Arial" w:hAnsi="Arial"/>
                <w:sz w:val="14"/>
                <w:szCs w:val="14"/>
                <w:color w:val="auto"/>
              </w:rPr>
              <w:t>disclosed in this Proxy Statement; and</w:t>
            </w:r>
          </w:p>
        </w:tc>
        <w:tc>
          <w:tcPr>
            <w:tcW w:w="104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8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fiscal year.</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5" w:name="page6"/>
    <w:bookmarkEnd w:id="5"/>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About Lennox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38735</wp:posOffset>
            </wp:positionV>
            <wp:extent cx="5743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Lennox (NYSE: LII) is a leader in energy-efficient climate-control solutions. Dedicated to sustainability and creating comfortable and healthier environments for our residential and commercial customers, we lead the field in innovation with our cooling, heating, indoor air quality, and refrigeration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96520</wp:posOffset>
            </wp:positionV>
            <wp:extent cx="5966460" cy="2477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93B"/>
        </w:rPr>
        <w:t>2024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38735</wp:posOffset>
            </wp:positionV>
            <wp:extent cx="6360795" cy="3282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6079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appendix for reconciliation to GAAP performance.</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21" w:right="779" w:bottom="1440" w:gutter="0" w:footer="0" w:header="0"/>
        </w:sectPr>
      </w:pPr>
    </w:p>
    <w:bookmarkStart w:id="6" w:name="page7"/>
    <w:bookmarkEnd w:id="6"/>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38735</wp:posOffset>
            </wp:positionV>
            <wp:extent cx="5323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360" w:lineRule="exact"/>
        <w:rPr>
          <w:sz w:val="20"/>
          <w:szCs w:val="20"/>
          <w:color w:val="auto"/>
        </w:rPr>
      </w:pPr>
    </w:p>
    <w:p>
      <w:pPr>
        <w:ind w:left="6240" w:right="540"/>
        <w:spacing w:after="0" w:line="318" w:lineRule="auto"/>
        <w:rPr>
          <w:sz w:val="20"/>
          <w:szCs w:val="20"/>
          <w:color w:val="auto"/>
        </w:rPr>
      </w:pPr>
      <w:r>
        <w:rPr>
          <w:rFonts w:ascii="Arial" w:cs="Arial" w:eastAsia="Arial" w:hAnsi="Arial"/>
          <w:sz w:val="17"/>
          <w:szCs w:val="17"/>
          <w:b w:val="1"/>
          <w:bCs w:val="1"/>
          <w:color w:val="C60C35"/>
        </w:rPr>
        <w:t>G</w:t>
      </w:r>
      <w:r>
        <w:rPr>
          <w:rFonts w:ascii="Arial" w:cs="Arial" w:eastAsia="Arial" w:hAnsi="Arial"/>
          <w:sz w:val="17"/>
          <w:szCs w:val="17"/>
          <w:b w:val="1"/>
          <w:bCs w:val="1"/>
          <w:color w:val="000000"/>
        </w:rPr>
        <w:t>rowth Acceleration</w:t>
      </w:r>
      <w:r>
        <w:rPr>
          <w:rFonts w:ascii="Arial" w:cs="Arial" w:eastAsia="Arial" w:hAnsi="Arial"/>
          <w:sz w:val="17"/>
          <w:szCs w:val="17"/>
          <w:b w:val="1"/>
          <w:bCs w:val="1"/>
          <w:color w:val="C60C35"/>
        </w:rPr>
        <w:t xml:space="preserve"> </w:t>
      </w:r>
      <w:r>
        <w:rPr>
          <w:rFonts w:ascii="Arial" w:cs="Arial" w:eastAsia="Arial" w:hAnsi="Arial"/>
          <w:sz w:val="17"/>
          <w:szCs w:val="17"/>
          <w:color w:val="636466"/>
        </w:rPr>
        <w:t>with customer experience,</w:t>
      </w:r>
      <w:r>
        <w:rPr>
          <w:rFonts w:ascii="Arial" w:cs="Arial" w:eastAsia="Arial" w:hAnsi="Arial"/>
          <w:sz w:val="17"/>
          <w:szCs w:val="17"/>
          <w:b w:val="1"/>
          <w:bCs w:val="1"/>
          <w:color w:val="C60C35"/>
        </w:rPr>
        <w:t xml:space="preserve"> </w:t>
      </w:r>
      <w:r>
        <w:rPr>
          <w:rFonts w:ascii="Arial" w:cs="Arial" w:eastAsia="Arial" w:hAnsi="Arial"/>
          <w:sz w:val="17"/>
          <w:szCs w:val="17"/>
          <w:color w:val="636466"/>
        </w:rPr>
        <w:t>higher attachment rate, and SOW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-281940</wp:posOffset>
            </wp:positionV>
            <wp:extent cx="5254625" cy="1637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54625" cy="1637030"/>
                    </a:xfrm>
                    <a:prstGeom prst="rect">
                      <a:avLst/>
                    </a:prstGeom>
                    <a:noFill/>
                  </pic:spPr>
                </pic:pic>
              </a:graphicData>
            </a:graphic>
          </wp:anchor>
        </w:drawing>
      </w:r>
    </w:p>
    <w:p>
      <w:pPr>
        <w:spacing w:after="0" w:line="110" w:lineRule="exact"/>
        <w:rPr>
          <w:sz w:val="20"/>
          <w:szCs w:val="20"/>
          <w:color w:val="auto"/>
        </w:rPr>
      </w:pPr>
    </w:p>
    <w:p>
      <w:pPr>
        <w:ind w:left="6240" w:right="1140"/>
        <w:spacing w:after="0" w:line="287" w:lineRule="auto"/>
        <w:rPr>
          <w:sz w:val="20"/>
          <w:szCs w:val="20"/>
          <w:color w:val="auto"/>
        </w:rPr>
      </w:pPr>
      <w:r>
        <w:rPr>
          <w:rFonts w:ascii="Arial" w:cs="Arial" w:eastAsia="Arial" w:hAnsi="Arial"/>
          <w:sz w:val="18"/>
          <w:szCs w:val="18"/>
          <w:b w:val="1"/>
          <w:bCs w:val="1"/>
          <w:color w:val="C60C35"/>
        </w:rPr>
        <w:t>R</w:t>
      </w:r>
      <w:r>
        <w:rPr>
          <w:rFonts w:ascii="Arial" w:cs="Arial" w:eastAsia="Arial" w:hAnsi="Arial"/>
          <w:sz w:val="18"/>
          <w:szCs w:val="18"/>
          <w:b w:val="1"/>
          <w:bCs w:val="1"/>
          <w:color w:val="000000"/>
        </w:rPr>
        <w:t>esilient Margins</w:t>
      </w:r>
      <w:r>
        <w:rPr>
          <w:rFonts w:ascii="Arial" w:cs="Arial" w:eastAsia="Arial" w:hAnsi="Arial"/>
          <w:sz w:val="18"/>
          <w:szCs w:val="18"/>
          <w:b w:val="1"/>
          <w:bCs w:val="1"/>
          <w:color w:val="C60C35"/>
        </w:rPr>
        <w:t xml:space="preserve"> </w:t>
      </w:r>
      <w:r>
        <w:rPr>
          <w:rFonts w:ascii="Arial" w:cs="Arial" w:eastAsia="Arial" w:hAnsi="Arial"/>
          <w:sz w:val="18"/>
          <w:szCs w:val="18"/>
          <w:color w:val="636466"/>
        </w:rPr>
        <w:t>through efficiency and</w:t>
      </w:r>
      <w:r>
        <w:rPr>
          <w:rFonts w:ascii="Arial" w:cs="Arial" w:eastAsia="Arial" w:hAnsi="Arial"/>
          <w:sz w:val="18"/>
          <w:szCs w:val="18"/>
          <w:b w:val="1"/>
          <w:bCs w:val="1"/>
          <w:color w:val="C60C35"/>
        </w:rPr>
        <w:t xml:space="preserve"> </w:t>
      </w:r>
      <w:r>
        <w:rPr>
          <w:rFonts w:ascii="Arial" w:cs="Arial" w:eastAsia="Arial" w:hAnsi="Arial"/>
          <w:sz w:val="18"/>
          <w:szCs w:val="18"/>
          <w:color w:val="636466"/>
        </w:rPr>
        <w:t>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83185</wp:posOffset>
            </wp:positionV>
            <wp:extent cx="26060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-293370</wp:posOffset>
            </wp:positionV>
            <wp:extent cx="24003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000000"/>
                        </a:clrFrom>
                        <a:clrTo>
                          <a:srgbClr val="000000">
                            <a:alpha val="0"/>
                          </a:srgbClr>
                        </a:clrTo>
                      </a:clrChange>
                      <a:extLst>
                        <a:ext uri="{28A0092B-C50C-407E-A947-70E740481C1C}"/>
                      </a:extLst>
                    </a:blip>
                    <a:srcRect/>
                    <a:stretch>
                      <a:fillRect/>
                    </a:stretch>
                  </pic:blipFill>
                  <pic:spPr bwMode="auto">
                    <a:xfrm>
                      <a:off x="0" y="0"/>
                      <a:ext cx="240030" cy="27432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-293370</wp:posOffset>
            </wp:positionV>
            <wp:extent cx="24003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74320"/>
                    </a:xfrm>
                    <a:prstGeom prst="rect">
                      <a:avLst/>
                    </a:prstGeom>
                    <a:noFill/>
                  </pic:spPr>
                </pic:pic>
              </a:graphicData>
            </a:graphic>
          </wp:anchor>
        </w:drawing>
      </w:r>
    </w:p>
    <w:p>
      <w:pPr>
        <w:spacing w:after="0" w:line="133"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C60C35"/>
        </w:rPr>
        <w:t>E</w:t>
      </w:r>
      <w:r>
        <w:rPr>
          <w:rFonts w:ascii="Arial" w:cs="Arial" w:eastAsia="Arial" w:hAnsi="Arial"/>
          <w:sz w:val="18"/>
          <w:szCs w:val="18"/>
          <w:b w:val="1"/>
          <w:bCs w:val="1"/>
          <w:color w:val="000000"/>
        </w:rPr>
        <w:t>xecution Consistency</w:t>
      </w:r>
      <w:r>
        <w:rPr>
          <w:rFonts w:ascii="Arial" w:cs="Arial" w:eastAsia="Arial" w:hAnsi="Arial"/>
          <w:sz w:val="18"/>
          <w:szCs w:val="18"/>
          <w:b w:val="1"/>
          <w:bCs w:val="1"/>
          <w:color w:val="C60C35"/>
        </w:rPr>
        <w:t xml:space="preserve"> </w:t>
      </w:r>
      <w:r>
        <w:rPr>
          <w:rFonts w:ascii="Arial" w:cs="Arial" w:eastAsia="Arial" w:hAnsi="Arial"/>
          <w:sz w:val="18"/>
          <w:szCs w:val="18"/>
          <w:color w:val="636466"/>
        </w:rPr>
        <w:t>with Lennox Unified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-84455</wp:posOffset>
            </wp:positionV>
            <wp:extent cx="240030"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000000"/>
                        </a:clrFrom>
                        <a:clrTo>
                          <a:srgbClr val="000000">
                            <a:alpha val="0"/>
                          </a:srgbClr>
                        </a:clrTo>
                      </a:clrChange>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-84455</wp:posOffset>
            </wp:positionV>
            <wp:extent cx="240030"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color w:val="636466"/>
        </w:rPr>
        <w:t>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117475</wp:posOffset>
            </wp:positionV>
            <wp:extent cx="2606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8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C60C35"/>
        </w:rPr>
        <w:t>A</w:t>
      </w:r>
      <w:r>
        <w:rPr>
          <w:rFonts w:ascii="Arial" w:cs="Arial" w:eastAsia="Arial" w:hAnsi="Arial"/>
          <w:sz w:val="18"/>
          <w:szCs w:val="18"/>
          <w:b w:val="1"/>
          <w:bCs w:val="1"/>
          <w:color w:val="000000"/>
        </w:rPr>
        <w:t>dvanced Technology</w:t>
      </w:r>
      <w:r>
        <w:rPr>
          <w:rFonts w:ascii="Arial" w:cs="Arial" w:eastAsia="Arial" w:hAnsi="Arial"/>
          <w:sz w:val="18"/>
          <w:szCs w:val="18"/>
          <w:b w:val="1"/>
          <w:bCs w:val="1"/>
          <w:color w:val="C60C35"/>
        </w:rPr>
        <w:t xml:space="preserve"> </w:t>
      </w:r>
      <w:r>
        <w:rPr>
          <w:rFonts w:ascii="Arial" w:cs="Arial" w:eastAsia="Arial" w:hAnsi="Arial"/>
          <w:sz w:val="18"/>
          <w:szCs w:val="18"/>
          <w:color w:val="636466"/>
        </w:rPr>
        <w:t>Portfolio to win heat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-76200</wp:posOffset>
            </wp:positionV>
            <wp:extent cx="24003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000000"/>
                        </a:clrFrom>
                        <a:clrTo>
                          <a:srgbClr val="000000">
                            <a:alpha val="0"/>
                          </a:srgbClr>
                        </a:clrTo>
                      </a:clrChange>
                      <a:extLst>
                        <a:ext uri="{28A0092B-C50C-407E-A947-70E740481C1C}"/>
                      </a:extLst>
                    </a:blip>
                    <a:srcRect/>
                    <a:stretch>
                      <a:fillRect/>
                    </a:stretch>
                  </pic:blipFill>
                  <pic:spPr bwMode="auto">
                    <a:xfrm>
                      <a:off x="0" y="0"/>
                      <a:ext cx="240030" cy="20574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-76200</wp:posOffset>
            </wp:positionV>
            <wp:extent cx="24003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color w:val="636466"/>
        </w:rPr>
        <w:t>pumps, while exploring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117475</wp:posOffset>
            </wp:positionV>
            <wp:extent cx="26060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8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C60C35"/>
        </w:rPr>
        <w:t>T</w:t>
      </w:r>
      <w:r>
        <w:rPr>
          <w:rFonts w:ascii="Arial" w:cs="Arial" w:eastAsia="Arial" w:hAnsi="Arial"/>
          <w:sz w:val="18"/>
          <w:szCs w:val="18"/>
          <w:b w:val="1"/>
          <w:bCs w:val="1"/>
          <w:color w:val="000000"/>
        </w:rPr>
        <w:t>alent &amp; Culture</w:t>
      </w:r>
      <w:r>
        <w:rPr>
          <w:rFonts w:ascii="Arial" w:cs="Arial" w:eastAsia="Arial" w:hAnsi="Arial"/>
          <w:sz w:val="18"/>
          <w:szCs w:val="18"/>
          <w:color w:val="000000"/>
        </w:rPr>
        <w:t>,</w:t>
      </w:r>
      <w:r>
        <w:rPr>
          <w:rFonts w:ascii="Arial" w:cs="Arial" w:eastAsia="Arial" w:hAnsi="Arial"/>
          <w:sz w:val="18"/>
          <w:szCs w:val="18"/>
          <w:b w:val="1"/>
          <w:bCs w:val="1"/>
          <w:color w:val="C60C35"/>
        </w:rPr>
        <w:t xml:space="preserve"> </w:t>
      </w:r>
      <w:r>
        <w:rPr>
          <w:rFonts w:ascii="Arial" w:cs="Arial" w:eastAsia="Arial" w:hAnsi="Arial"/>
          <w:sz w:val="18"/>
          <w:szCs w:val="18"/>
          <w:color w:val="636466"/>
        </w:rPr>
        <w:t>driven by Core Values/Guiding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-93345</wp:posOffset>
            </wp:positionV>
            <wp:extent cx="24003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color w:val="636466"/>
        </w:rPr>
        <w:t>Behaviors &amp; Pay-for-performance philosophy</w:t>
      </w:r>
    </w:p>
    <w:p>
      <w:pPr>
        <w:spacing w:after="0" w:line="369"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Lennox Value Creation Framework leverages the GREAT focused strategy to drive stakeholder results paired with our Lennox Unified Management System to help deliver consistent execution and alignment with strategic goals.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Key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38735</wp:posOffset>
            </wp:positionV>
            <wp:extent cx="5897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636466"/>
        </w:rPr>
        <w:t>Home Comfort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-73025</wp:posOffset>
            </wp:positionV>
            <wp:extent cx="4251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51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600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132080</wp:posOffset>
            </wp:positionV>
            <wp:extent cx="2219960" cy="1517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19960" cy="1517650"/>
                    </a:xfrm>
                    <a:prstGeom prst="rect">
                      <a:avLst/>
                    </a:prstGeom>
                    <a:noFill/>
                  </pic:spPr>
                </pic:pic>
              </a:graphicData>
            </a:graphic>
          </wp:anchor>
        </w:drawing>
      </w:r>
    </w:p>
    <w:p>
      <w:pPr>
        <w:spacing w:after="0" w:line="290" w:lineRule="exact"/>
        <w:rPr>
          <w:sz w:val="20"/>
          <w:szCs w:val="20"/>
          <w:color w:val="auto"/>
        </w:rPr>
      </w:pPr>
    </w:p>
    <w:p>
      <w:pPr>
        <w:ind w:left="960" w:right="4120"/>
        <w:spacing w:after="0" w:line="252" w:lineRule="auto"/>
        <w:rPr>
          <w:sz w:val="20"/>
          <w:szCs w:val="20"/>
          <w:color w:val="auto"/>
        </w:rPr>
      </w:pPr>
      <w:r>
        <w:rPr>
          <w:rFonts w:ascii="Arial" w:cs="Arial" w:eastAsia="Arial" w:hAnsi="Arial"/>
          <w:sz w:val="18"/>
          <w:szCs w:val="18"/>
          <w:color w:val="636466"/>
        </w:rPr>
        <w:t>Heating and cooling systems provide top-tier comfort and efficiency for homeowners in the U.S. and Canada. Products include air conditioners, furnaces, heat pumps, thermostats, and air quality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308610</wp:posOffset>
            </wp:positionV>
            <wp:extent cx="3540125" cy="351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01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636466"/>
        </w:rPr>
        <w:t>Building Climate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-73025</wp:posOffset>
            </wp:positionV>
            <wp:extent cx="6261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6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42087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331" w:lineRule="exact"/>
        <w:rPr>
          <w:sz w:val="20"/>
          <w:szCs w:val="20"/>
          <w:color w:val="auto"/>
        </w:rPr>
      </w:pPr>
    </w:p>
    <w:p>
      <w:pPr>
        <w:ind w:left="4840" w:right="400"/>
        <w:spacing w:after="0" w:line="252" w:lineRule="auto"/>
        <w:rPr>
          <w:sz w:val="20"/>
          <w:szCs w:val="20"/>
          <w:color w:val="auto"/>
        </w:rPr>
      </w:pPr>
      <w:r>
        <w:rPr>
          <w:rFonts w:ascii="Arial" w:cs="Arial" w:eastAsia="Arial" w:hAnsi="Arial"/>
          <w:sz w:val="18"/>
          <w:szCs w:val="18"/>
          <w:color w:val="636466"/>
        </w:rPr>
        <w:t>HVAC and refrigeration solutions create comfortable environments in offices, schools, restaurants, and retail spaces. With rooftop units, chillers, commercial controls, and refrigeration systems, we help businesses maintain optimal climate conditions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-521970</wp:posOffset>
            </wp:positionV>
            <wp:extent cx="5657850" cy="1645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96" w:right="899" w:bottom="1440" w:gutter="0" w:footer="0" w:header="0"/>
        </w:sectPr>
      </w:pPr>
    </w:p>
    <w:bookmarkStart w:id="7" w:name="page8"/>
    <w:bookmarkEnd w:id="7"/>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Differentiations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38735</wp:posOffset>
            </wp:positionV>
            <wp:extent cx="5589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227330</wp:posOffset>
            </wp:positionV>
            <wp:extent cx="1440180" cy="805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0180" cy="8058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227330</wp:posOffset>
            </wp:positionV>
            <wp:extent cx="1440180" cy="805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180" cy="805815"/>
                    </a:xfrm>
                    <a:prstGeom prst="rect">
                      <a:avLst/>
                    </a:prstGeom>
                    <a:noFill/>
                  </pic:spPr>
                </pic:pic>
              </a:graphicData>
            </a:graphic>
          </wp:anchor>
        </w:drawing>
      </w:r>
    </w:p>
    <w:p>
      <w:pPr>
        <w:spacing w:after="0" w:line="338" w:lineRule="exact"/>
        <w:rPr>
          <w:sz w:val="20"/>
          <w:szCs w:val="20"/>
          <w:color w:val="auto"/>
        </w:rPr>
      </w:pPr>
    </w:p>
    <w:tbl>
      <w:tblPr>
        <w:tblLayout w:type="fixed"/>
        <w:tblInd w:w="880" w:type="dxa"/>
        <w:tblCellMar>
          <w:top w:w="0" w:type="dxa"/>
          <w:left w:w="0" w:type="dxa"/>
          <w:bottom w:w="0" w:type="dxa"/>
          <w:right w:w="0" w:type="dxa"/>
        </w:tblCellMar>
      </w:tblPr>
      <w:tr>
        <w:trPr>
          <w:trHeight w:val="665"/>
        </w:trPr>
        <w:tc>
          <w:tcPr>
            <w:tcW w:w="2320" w:type="dxa"/>
            <w:vAlign w:val="bottom"/>
            <w:vMerge w:val="restart"/>
            <w:shd w:val="clear" w:color="auto" w:fill="000000"/>
          </w:tcPr>
          <w:p>
            <w:pPr>
              <w:ind w:left="480"/>
              <w:spacing w:after="0"/>
              <w:rPr>
                <w:sz w:val="20"/>
                <w:szCs w:val="20"/>
                <w:color w:val="auto"/>
              </w:rPr>
            </w:pPr>
            <w:r>
              <w:rPr>
                <w:rFonts w:ascii="Arial" w:cs="Arial" w:eastAsia="Arial" w:hAnsi="Arial"/>
                <w:sz w:val="20"/>
                <w:szCs w:val="20"/>
                <w:b w:val="1"/>
                <w:bCs w:val="1"/>
                <w:color w:val="FFFFFF"/>
              </w:rPr>
              <w:t>Direct network</w:t>
            </w:r>
          </w:p>
        </w:tc>
        <w:tc>
          <w:tcPr>
            <w:tcW w:w="2460" w:type="dxa"/>
            <w:vAlign w:val="bottom"/>
          </w:tcPr>
          <w:p>
            <w:pPr>
              <w:spacing w:after="0"/>
              <w:rPr>
                <w:sz w:val="24"/>
                <w:szCs w:val="24"/>
                <w:color w:val="auto"/>
              </w:rPr>
            </w:pPr>
          </w:p>
        </w:tc>
        <w:tc>
          <w:tcPr>
            <w:tcW w:w="2320" w:type="dxa"/>
            <w:vAlign w:val="bottom"/>
            <w:shd w:val="clear" w:color="auto" w:fill="000000"/>
          </w:tcPr>
          <w:p>
            <w:pPr>
              <w:jc w:val="center"/>
              <w:spacing w:after="0"/>
              <w:rPr>
                <w:sz w:val="20"/>
                <w:szCs w:val="20"/>
                <w:color w:val="auto"/>
              </w:rPr>
            </w:pPr>
            <w:r>
              <w:rPr>
                <w:rFonts w:ascii="Arial" w:cs="Arial" w:eastAsia="Arial" w:hAnsi="Arial"/>
                <w:sz w:val="20"/>
                <w:szCs w:val="20"/>
                <w:b w:val="1"/>
                <w:bCs w:val="1"/>
                <w:color w:val="FFFFFF"/>
                <w:w w:val="99"/>
              </w:rPr>
              <w:t>Deep customer</w:t>
            </w:r>
          </w:p>
        </w:tc>
        <w:tc>
          <w:tcPr>
            <w:tcW w:w="0" w:type="dxa"/>
            <w:vAlign w:val="bottom"/>
          </w:tcPr>
          <w:p>
            <w:pPr>
              <w:spacing w:after="0"/>
              <w:rPr>
                <w:sz w:val="1"/>
                <w:szCs w:val="1"/>
                <w:color w:val="auto"/>
              </w:rPr>
            </w:pPr>
          </w:p>
        </w:tc>
      </w:tr>
      <w:tr>
        <w:trPr>
          <w:trHeight w:val="138"/>
        </w:trPr>
        <w:tc>
          <w:tcPr>
            <w:tcW w:w="2320" w:type="dxa"/>
            <w:vAlign w:val="bottom"/>
            <w:vMerge w:val="continue"/>
            <w:shd w:val="clear" w:color="auto" w:fill="000000"/>
          </w:tcPr>
          <w:p>
            <w:pPr>
              <w:spacing w:after="0"/>
              <w:rPr>
                <w:sz w:val="12"/>
                <w:szCs w:val="12"/>
                <w:color w:val="auto"/>
              </w:rPr>
            </w:pPr>
          </w:p>
        </w:tc>
        <w:tc>
          <w:tcPr>
            <w:tcW w:w="2460" w:type="dxa"/>
            <w:vAlign w:val="bottom"/>
          </w:tcPr>
          <w:p>
            <w:pPr>
              <w:spacing w:after="0"/>
              <w:rPr>
                <w:sz w:val="12"/>
                <w:szCs w:val="12"/>
                <w:color w:val="auto"/>
              </w:rPr>
            </w:pPr>
          </w:p>
        </w:tc>
        <w:tc>
          <w:tcPr>
            <w:tcW w:w="2320" w:type="dxa"/>
            <w:vAlign w:val="bottom"/>
            <w:vMerge w:val="restart"/>
            <w:shd w:val="clear" w:color="auto" w:fill="000000"/>
          </w:tcPr>
          <w:p>
            <w:pPr>
              <w:jc w:val="center"/>
              <w:spacing w:after="0"/>
              <w:rPr>
                <w:sz w:val="20"/>
                <w:szCs w:val="20"/>
                <w:color w:val="auto"/>
              </w:rPr>
            </w:pPr>
            <w:r>
              <w:rPr>
                <w:rFonts w:ascii="Arial" w:cs="Arial" w:eastAsia="Arial" w:hAnsi="Arial"/>
                <w:sz w:val="20"/>
                <w:szCs w:val="20"/>
                <w:b w:val="1"/>
                <w:bCs w:val="1"/>
                <w:color w:val="FFFFFF"/>
                <w:w w:val="99"/>
              </w:rPr>
              <w:t>relationships</w:t>
            </w:r>
          </w:p>
        </w:tc>
        <w:tc>
          <w:tcPr>
            <w:tcW w:w="0" w:type="dxa"/>
            <w:vAlign w:val="bottom"/>
          </w:tcPr>
          <w:p>
            <w:pPr>
              <w:spacing w:after="0"/>
              <w:rPr>
                <w:sz w:val="1"/>
                <w:szCs w:val="1"/>
                <w:color w:val="auto"/>
              </w:rPr>
            </w:pPr>
          </w:p>
        </w:tc>
      </w:tr>
      <w:tr>
        <w:trPr>
          <w:trHeight w:val="135"/>
        </w:trPr>
        <w:tc>
          <w:tcPr>
            <w:tcW w:w="2320" w:type="dxa"/>
            <w:vAlign w:val="bottom"/>
            <w:shd w:val="clear" w:color="auto" w:fill="000000"/>
          </w:tcPr>
          <w:p>
            <w:pPr>
              <w:spacing w:after="0"/>
              <w:rPr>
                <w:sz w:val="11"/>
                <w:szCs w:val="11"/>
                <w:color w:val="auto"/>
              </w:rPr>
            </w:pPr>
          </w:p>
        </w:tc>
        <w:tc>
          <w:tcPr>
            <w:tcW w:w="2460" w:type="dxa"/>
            <w:vAlign w:val="bottom"/>
          </w:tcPr>
          <w:p>
            <w:pPr>
              <w:spacing w:after="0"/>
              <w:rPr>
                <w:sz w:val="11"/>
                <w:szCs w:val="11"/>
                <w:color w:val="auto"/>
              </w:rPr>
            </w:pPr>
          </w:p>
        </w:tc>
        <w:tc>
          <w:tcPr>
            <w:tcW w:w="232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2320" w:type="dxa"/>
            <w:vAlign w:val="bottom"/>
            <w:shd w:val="clear" w:color="auto" w:fill="000000"/>
          </w:tcPr>
          <w:p>
            <w:pPr>
              <w:spacing w:after="0"/>
              <w:rPr>
                <w:sz w:val="24"/>
                <w:szCs w:val="24"/>
                <w:color w:val="auto"/>
              </w:rPr>
            </w:pPr>
          </w:p>
        </w:tc>
        <w:tc>
          <w:tcPr>
            <w:tcW w:w="2460" w:type="dxa"/>
            <w:vAlign w:val="bottom"/>
          </w:tcPr>
          <w:p>
            <w:pPr>
              <w:spacing w:after="0"/>
              <w:rPr>
                <w:sz w:val="24"/>
                <w:szCs w:val="24"/>
                <w:color w:val="auto"/>
              </w:rPr>
            </w:pPr>
          </w:p>
        </w:tc>
        <w:tc>
          <w:tcPr>
            <w:tcW w:w="23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93980</wp:posOffset>
            </wp:positionV>
            <wp:extent cx="1440180" cy="805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180" cy="8058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93980</wp:posOffset>
            </wp:positionV>
            <wp:extent cx="1440180" cy="805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0180" cy="805815"/>
                    </a:xfrm>
                    <a:prstGeom prst="rect">
                      <a:avLst/>
                    </a:prstGeom>
                    <a:noFill/>
                  </pic:spPr>
                </pic:pic>
              </a:graphicData>
            </a:graphic>
          </wp:anchor>
        </w:drawing>
      </w:r>
    </w:p>
    <w:p>
      <w:pPr>
        <w:spacing w:after="0" w:line="128" w:lineRule="exact"/>
        <w:rPr>
          <w:sz w:val="20"/>
          <w:szCs w:val="20"/>
          <w:color w:val="auto"/>
        </w:rPr>
      </w:pPr>
    </w:p>
    <w:tbl>
      <w:tblPr>
        <w:tblLayout w:type="fixed"/>
        <w:tblInd w:w="3280" w:type="dxa"/>
        <w:tblCellMar>
          <w:top w:w="0" w:type="dxa"/>
          <w:left w:w="0" w:type="dxa"/>
          <w:bottom w:w="0" w:type="dxa"/>
          <w:right w:w="0" w:type="dxa"/>
        </w:tblCellMar>
      </w:tblPr>
      <w:tr>
        <w:trPr>
          <w:trHeight w:val="665"/>
        </w:trPr>
        <w:tc>
          <w:tcPr>
            <w:tcW w:w="2300" w:type="dxa"/>
            <w:vAlign w:val="bottom"/>
            <w:shd w:val="clear" w:color="auto" w:fill="C60C35"/>
          </w:tcPr>
          <w:p>
            <w:pPr>
              <w:ind w:left="500"/>
              <w:spacing w:after="0"/>
              <w:rPr>
                <w:sz w:val="20"/>
                <w:szCs w:val="20"/>
                <w:color w:val="auto"/>
              </w:rPr>
            </w:pPr>
            <w:r>
              <w:rPr>
                <w:rFonts w:ascii="Arial" w:cs="Arial" w:eastAsia="Arial" w:hAnsi="Arial"/>
                <w:sz w:val="20"/>
                <w:szCs w:val="20"/>
                <w:b w:val="1"/>
                <w:bCs w:val="1"/>
                <w:color w:val="FFFFFF"/>
              </w:rPr>
              <w:t>Best-in-class</w:t>
            </w:r>
          </w:p>
        </w:tc>
        <w:tc>
          <w:tcPr>
            <w:tcW w:w="2480" w:type="dxa"/>
            <w:vAlign w:val="bottom"/>
          </w:tcPr>
          <w:p>
            <w:pPr>
              <w:spacing w:after="0"/>
              <w:rPr>
                <w:sz w:val="24"/>
                <w:szCs w:val="24"/>
                <w:color w:val="auto"/>
              </w:rPr>
            </w:pPr>
          </w:p>
        </w:tc>
        <w:tc>
          <w:tcPr>
            <w:tcW w:w="2300" w:type="dxa"/>
            <w:vAlign w:val="bottom"/>
            <w:vMerge w:val="restart"/>
            <w:shd w:val="clear" w:color="auto" w:fill="C60C35"/>
          </w:tcPr>
          <w:p>
            <w:pPr>
              <w:ind w:left="320"/>
              <w:spacing w:after="0"/>
              <w:rPr>
                <w:sz w:val="20"/>
                <w:szCs w:val="20"/>
                <w:color w:val="auto"/>
              </w:rPr>
            </w:pPr>
            <w:r>
              <w:rPr>
                <w:rFonts w:ascii="Arial" w:cs="Arial" w:eastAsia="Arial" w:hAnsi="Arial"/>
                <w:sz w:val="20"/>
                <w:szCs w:val="20"/>
                <w:b w:val="1"/>
                <w:bCs w:val="1"/>
                <w:color w:val="FFFFFF"/>
              </w:rPr>
              <w:t>Digital leadership</w:t>
            </w:r>
          </w:p>
        </w:tc>
        <w:tc>
          <w:tcPr>
            <w:tcW w:w="0" w:type="dxa"/>
            <w:vAlign w:val="bottom"/>
          </w:tcPr>
          <w:p>
            <w:pPr>
              <w:spacing w:after="0"/>
              <w:rPr>
                <w:sz w:val="1"/>
                <w:szCs w:val="1"/>
                <w:color w:val="auto"/>
              </w:rPr>
            </w:pPr>
          </w:p>
        </w:tc>
      </w:tr>
      <w:tr>
        <w:trPr>
          <w:trHeight w:val="138"/>
        </w:trPr>
        <w:tc>
          <w:tcPr>
            <w:tcW w:w="2300" w:type="dxa"/>
            <w:vAlign w:val="bottom"/>
            <w:vMerge w:val="restart"/>
            <w:shd w:val="clear" w:color="auto" w:fill="C60C35"/>
          </w:tcPr>
          <w:p>
            <w:pPr>
              <w:ind w:left="720"/>
              <w:spacing w:after="0"/>
              <w:rPr>
                <w:sz w:val="20"/>
                <w:szCs w:val="20"/>
                <w:color w:val="auto"/>
              </w:rPr>
            </w:pPr>
            <w:r>
              <w:rPr>
                <w:rFonts w:ascii="Arial" w:cs="Arial" w:eastAsia="Arial" w:hAnsi="Arial"/>
                <w:sz w:val="20"/>
                <w:szCs w:val="20"/>
                <w:b w:val="1"/>
                <w:bCs w:val="1"/>
                <w:color w:val="FFFFFF"/>
              </w:rPr>
              <w:t>products</w:t>
            </w:r>
          </w:p>
        </w:tc>
        <w:tc>
          <w:tcPr>
            <w:tcW w:w="2480" w:type="dxa"/>
            <w:vAlign w:val="bottom"/>
          </w:tcPr>
          <w:p>
            <w:pPr>
              <w:spacing w:after="0"/>
              <w:rPr>
                <w:sz w:val="12"/>
                <w:szCs w:val="12"/>
                <w:color w:val="auto"/>
              </w:rPr>
            </w:pPr>
          </w:p>
        </w:tc>
        <w:tc>
          <w:tcPr>
            <w:tcW w:w="2300" w:type="dxa"/>
            <w:vAlign w:val="bottom"/>
            <w:vMerge w:val="continue"/>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vMerge w:val="continue"/>
            <w:shd w:val="clear" w:color="auto" w:fill="C60C35"/>
          </w:tcPr>
          <w:p>
            <w:pPr>
              <w:spacing w:after="0"/>
              <w:rPr>
                <w:sz w:val="11"/>
                <w:szCs w:val="11"/>
                <w:color w:val="auto"/>
              </w:rPr>
            </w:pPr>
          </w:p>
        </w:tc>
        <w:tc>
          <w:tcPr>
            <w:tcW w:w="2480" w:type="dxa"/>
            <w:vAlign w:val="bottom"/>
          </w:tcPr>
          <w:p>
            <w:pPr>
              <w:spacing w:after="0"/>
              <w:rPr>
                <w:sz w:val="11"/>
                <w:szCs w:val="11"/>
                <w:color w:val="auto"/>
              </w:rPr>
            </w:pPr>
          </w:p>
        </w:tc>
        <w:tc>
          <w:tcPr>
            <w:tcW w:w="2300" w:type="dxa"/>
            <w:vAlign w:val="bottom"/>
            <w:shd w:val="clear" w:color="auto" w:fill="C60C35"/>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2300" w:type="dxa"/>
            <w:vAlign w:val="bottom"/>
            <w:shd w:val="clear" w:color="auto" w:fill="C60C35"/>
          </w:tcPr>
          <w:p>
            <w:pPr>
              <w:spacing w:after="0"/>
              <w:rPr>
                <w:sz w:val="24"/>
                <w:szCs w:val="24"/>
                <w:color w:val="auto"/>
              </w:rPr>
            </w:pPr>
          </w:p>
        </w:tc>
        <w:tc>
          <w:tcPr>
            <w:tcW w:w="2480" w:type="dxa"/>
            <w:vAlign w:val="bottom"/>
          </w:tcPr>
          <w:p>
            <w:pPr>
              <w:spacing w:after="0"/>
              <w:rPr>
                <w:sz w:val="24"/>
                <w:szCs w:val="24"/>
                <w:color w:val="auto"/>
              </w:rPr>
            </w:pPr>
          </w:p>
        </w:tc>
        <w:tc>
          <w:tcPr>
            <w:tcW w:w="2300" w:type="dxa"/>
            <w:vAlign w:val="bottom"/>
            <w:shd w:val="clear" w:color="auto" w:fill="C60C35"/>
          </w:tcPr>
          <w:p>
            <w:pPr>
              <w:spacing w:after="0"/>
              <w:rPr>
                <w:sz w:val="24"/>
                <w:szCs w:val="24"/>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38735</wp:posOffset>
            </wp:positionV>
            <wp:extent cx="6549390" cy="360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939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More Information @ www.lennox.com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38735</wp:posOffset>
            </wp:positionV>
            <wp:extent cx="3608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2840" w:type="dxa"/>
            <w:vAlign w:val="bottom"/>
            <w:tcBorders>
              <w:right w:val="single" w:sz="8" w:color="636466"/>
            </w:tcBorders>
          </w:tcPr>
          <w:p>
            <w:pPr>
              <w:jc w:val="center"/>
              <w:ind w:right="848"/>
              <w:spacing w:after="0"/>
              <w:rPr>
                <w:sz w:val="20"/>
                <w:szCs w:val="20"/>
                <w:color w:val="auto"/>
              </w:rPr>
            </w:pPr>
            <w:r>
              <w:rPr>
                <w:rFonts w:ascii="Arial" w:cs="Arial" w:eastAsia="Arial" w:hAnsi="Arial"/>
                <w:sz w:val="14"/>
                <w:szCs w:val="14"/>
                <w:b w:val="1"/>
                <w:bCs w:val="1"/>
                <w:color w:val="C60C35"/>
              </w:rPr>
              <w:t xml:space="preserve">SASB Reporting </w:t>
            </w:r>
            <w:r>
              <w:rPr>
                <w:rFonts w:ascii="Arial" w:cs="Arial" w:eastAsia="Arial" w:hAnsi="Arial"/>
                <w:sz w:val="14"/>
                <w:szCs w:val="14"/>
                <w:color w:val="000000"/>
              </w:rPr>
              <w:t>aligned with</w:t>
            </w:r>
          </w:p>
        </w:tc>
        <w:tc>
          <w:tcPr>
            <w:tcW w:w="3740" w:type="dxa"/>
            <w:vAlign w:val="bottom"/>
            <w:tcBorders>
              <w:right w:val="single" w:sz="8" w:color="636466"/>
            </w:tcBorders>
          </w:tcPr>
          <w:p>
            <w:pPr>
              <w:jc w:val="center"/>
              <w:spacing w:after="0"/>
              <w:rPr>
                <w:sz w:val="20"/>
                <w:szCs w:val="20"/>
                <w:color w:val="auto"/>
              </w:rPr>
            </w:pPr>
            <w:r>
              <w:rPr>
                <w:rFonts w:ascii="Arial" w:cs="Arial" w:eastAsia="Arial" w:hAnsi="Arial"/>
                <w:sz w:val="14"/>
                <w:szCs w:val="14"/>
                <w:b w:val="1"/>
                <w:bCs w:val="1"/>
                <w:color w:val="C60C35"/>
              </w:rPr>
              <w:t xml:space="preserve">TCFD Reporting </w:t>
            </w:r>
            <w:r>
              <w:rPr>
                <w:rFonts w:ascii="Arial" w:cs="Arial" w:eastAsia="Arial" w:hAnsi="Arial"/>
                <w:sz w:val="14"/>
                <w:szCs w:val="14"/>
                <w:color w:val="000000"/>
              </w:rPr>
              <w:t>aligned with Task</w:t>
            </w:r>
          </w:p>
        </w:tc>
        <w:tc>
          <w:tcPr>
            <w:tcW w:w="278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C60C35"/>
              </w:rPr>
              <w:t xml:space="preserve">EEO-1 Report </w:t>
            </w:r>
            <w:r>
              <w:rPr>
                <w:rFonts w:ascii="Arial" w:cs="Arial" w:eastAsia="Arial" w:hAnsi="Arial"/>
                <w:sz w:val="14"/>
                <w:szCs w:val="14"/>
                <w:color w:val="000000"/>
              </w:rPr>
              <w:t>demographic</w:t>
            </w:r>
          </w:p>
        </w:tc>
        <w:tc>
          <w:tcPr>
            <w:tcW w:w="0" w:type="dxa"/>
            <w:vAlign w:val="bottom"/>
          </w:tcPr>
          <w:p>
            <w:pPr>
              <w:spacing w:after="0"/>
              <w:rPr>
                <w:sz w:val="1"/>
                <w:szCs w:val="1"/>
                <w:color w:val="auto"/>
              </w:rPr>
            </w:pPr>
          </w:p>
        </w:tc>
      </w:tr>
      <w:tr>
        <w:trPr>
          <w:trHeight w:val="94"/>
        </w:trPr>
        <w:tc>
          <w:tcPr>
            <w:tcW w:w="2840" w:type="dxa"/>
            <w:vAlign w:val="bottom"/>
            <w:tcBorders>
              <w:right w:val="single" w:sz="8" w:color="636466"/>
            </w:tcBorders>
            <w:vMerge w:val="restart"/>
          </w:tcPr>
          <w:p>
            <w:pPr>
              <w:jc w:val="center"/>
              <w:ind w:right="848"/>
              <w:spacing w:after="0"/>
              <w:rPr>
                <w:sz w:val="20"/>
                <w:szCs w:val="20"/>
                <w:color w:val="auto"/>
              </w:rPr>
            </w:pPr>
            <w:r>
              <w:rPr>
                <w:rFonts w:ascii="Arial" w:cs="Arial" w:eastAsia="Arial" w:hAnsi="Arial"/>
                <w:sz w:val="14"/>
                <w:szCs w:val="14"/>
                <w:color w:val="auto"/>
              </w:rPr>
              <w:t>Sustainability Accounting</w:t>
            </w:r>
          </w:p>
        </w:tc>
        <w:tc>
          <w:tcPr>
            <w:tcW w:w="3740" w:type="dxa"/>
            <w:vAlign w:val="bottom"/>
            <w:tcBorders>
              <w:right w:val="single" w:sz="8" w:color="636466"/>
            </w:tcBorders>
            <w:vMerge w:val="restart"/>
          </w:tcPr>
          <w:p>
            <w:pPr>
              <w:jc w:val="center"/>
              <w:spacing w:after="0"/>
              <w:rPr>
                <w:sz w:val="20"/>
                <w:szCs w:val="20"/>
                <w:color w:val="auto"/>
              </w:rPr>
            </w:pPr>
            <w:r>
              <w:rPr>
                <w:rFonts w:ascii="Arial" w:cs="Arial" w:eastAsia="Arial" w:hAnsi="Arial"/>
                <w:sz w:val="14"/>
                <w:szCs w:val="14"/>
                <w:color w:val="auto"/>
              </w:rPr>
              <w:t>Force on Climate-related Financial</w:t>
            </w: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40" w:type="dxa"/>
            <w:vAlign w:val="bottom"/>
            <w:tcBorders>
              <w:right w:val="single" w:sz="8" w:color="636466"/>
            </w:tcBorders>
            <w:vMerge w:val="continue"/>
          </w:tcPr>
          <w:p>
            <w:pPr>
              <w:spacing w:after="0"/>
              <w:rPr>
                <w:sz w:val="5"/>
                <w:szCs w:val="5"/>
                <w:color w:val="auto"/>
              </w:rPr>
            </w:pPr>
          </w:p>
        </w:tc>
        <w:tc>
          <w:tcPr>
            <w:tcW w:w="3740" w:type="dxa"/>
            <w:vAlign w:val="bottom"/>
            <w:tcBorders>
              <w:right w:val="single" w:sz="8" w:color="636466"/>
            </w:tcBorders>
            <w:vMerge w:val="continue"/>
          </w:tcPr>
          <w:p>
            <w:pPr>
              <w:spacing w:after="0"/>
              <w:rPr>
                <w:sz w:val="5"/>
                <w:szCs w:val="5"/>
                <w:color w:val="auto"/>
              </w:rPr>
            </w:pPr>
          </w:p>
        </w:tc>
        <w:tc>
          <w:tcPr>
            <w:tcW w:w="2780" w:type="dxa"/>
            <w:vAlign w:val="bottom"/>
            <w:vMerge w:val="restart"/>
          </w:tcPr>
          <w:p>
            <w:pPr>
              <w:jc w:val="center"/>
              <w:ind w:left="888"/>
              <w:spacing w:after="0"/>
              <w:rPr>
                <w:sz w:val="20"/>
                <w:szCs w:val="20"/>
                <w:color w:val="auto"/>
              </w:rPr>
            </w:pPr>
            <w:r>
              <w:rPr>
                <w:rFonts w:ascii="Arial" w:cs="Arial" w:eastAsia="Arial" w:hAnsi="Arial"/>
                <w:sz w:val="14"/>
                <w:szCs w:val="14"/>
                <w:color w:val="auto"/>
              </w:rPr>
              <w:t>breakdown of workforce</w:t>
            </w:r>
          </w:p>
        </w:tc>
        <w:tc>
          <w:tcPr>
            <w:tcW w:w="0" w:type="dxa"/>
            <w:vAlign w:val="bottom"/>
          </w:tcPr>
          <w:p>
            <w:pPr>
              <w:spacing w:after="0"/>
              <w:rPr>
                <w:sz w:val="1"/>
                <w:szCs w:val="1"/>
                <w:color w:val="auto"/>
              </w:rPr>
            </w:pPr>
          </w:p>
        </w:tc>
      </w:tr>
      <w:tr>
        <w:trPr>
          <w:trHeight w:val="123"/>
        </w:trPr>
        <w:tc>
          <w:tcPr>
            <w:tcW w:w="2840" w:type="dxa"/>
            <w:vAlign w:val="bottom"/>
            <w:tcBorders>
              <w:right w:val="single" w:sz="8" w:color="636466"/>
            </w:tcBorders>
            <w:vMerge w:val="restart"/>
          </w:tcPr>
          <w:p>
            <w:pPr>
              <w:jc w:val="center"/>
              <w:ind w:right="848"/>
              <w:spacing w:after="0"/>
              <w:rPr>
                <w:sz w:val="20"/>
                <w:szCs w:val="20"/>
                <w:color w:val="auto"/>
              </w:rPr>
            </w:pPr>
            <w:r>
              <w:rPr>
                <w:rFonts w:ascii="Arial" w:cs="Arial" w:eastAsia="Arial" w:hAnsi="Arial"/>
                <w:sz w:val="14"/>
                <w:szCs w:val="14"/>
                <w:color w:val="auto"/>
              </w:rPr>
              <w:t>Standards Board</w:t>
            </w:r>
          </w:p>
        </w:tc>
        <w:tc>
          <w:tcPr>
            <w:tcW w:w="3740" w:type="dxa"/>
            <w:vAlign w:val="bottom"/>
            <w:tcBorders>
              <w:right w:val="single" w:sz="8" w:color="636466"/>
            </w:tcBorders>
            <w:vMerge w:val="restart"/>
          </w:tcPr>
          <w:p>
            <w:pPr>
              <w:jc w:val="center"/>
              <w:spacing w:after="0"/>
              <w:rPr>
                <w:sz w:val="20"/>
                <w:szCs w:val="20"/>
                <w:color w:val="auto"/>
              </w:rPr>
            </w:pPr>
            <w:r>
              <w:rPr>
                <w:rFonts w:ascii="Arial" w:cs="Arial" w:eastAsia="Arial" w:hAnsi="Arial"/>
                <w:sz w:val="14"/>
                <w:szCs w:val="14"/>
                <w:color w:val="auto"/>
              </w:rPr>
              <w:t>Disclosures</w:t>
            </w: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40" w:type="dxa"/>
            <w:vAlign w:val="bottom"/>
            <w:tcBorders>
              <w:right w:val="single" w:sz="8" w:color="636466"/>
            </w:tcBorders>
            <w:vMerge w:val="continue"/>
          </w:tcPr>
          <w:p>
            <w:pPr>
              <w:spacing w:after="0"/>
              <w:rPr>
                <w:sz w:val="8"/>
                <w:szCs w:val="8"/>
                <w:color w:val="auto"/>
              </w:rPr>
            </w:pPr>
          </w:p>
        </w:tc>
        <w:tc>
          <w:tcPr>
            <w:tcW w:w="3740" w:type="dxa"/>
            <w:vAlign w:val="bottom"/>
            <w:tcBorders>
              <w:right w:val="single" w:sz="8" w:color="636466"/>
            </w:tcBorders>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636466"/>
        </w:rPr>
        <w:t>The information on our website is not, and will not be deemed to be, a part of this Proxy Statement or incorporated into any of our other filings with the SEC.</w:t>
      </w: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996" w:right="1219" w:bottom="1440" w:gutter="0" w:footer="0" w:header="0"/>
        </w:sectPr>
      </w:pPr>
    </w:p>
    <w:bookmarkStart w:id="8" w:name="page9"/>
    <w:bookmarkEnd w:id="8"/>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C35"/>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38735</wp:posOffset>
            </wp:positionV>
            <wp:extent cx="5083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940" w:type="dxa"/>
            <w:vAlign w:val="bottom"/>
            <w:tcBorders>
              <w:left w:val="single" w:sz="8" w:color="636466"/>
              <w:right w:val="single" w:sz="8" w:color="636466"/>
            </w:tcBorders>
            <w:shd w:val="clear" w:color="auto" w:fill="636466"/>
          </w:tcPr>
          <w:p>
            <w:pPr>
              <w:spacing w:after="0"/>
              <w:rPr>
                <w:sz w:val="18"/>
                <w:szCs w:val="18"/>
                <w:color w:val="auto"/>
              </w:rPr>
            </w:pPr>
          </w:p>
        </w:tc>
        <w:tc>
          <w:tcPr>
            <w:tcW w:w="640" w:type="dxa"/>
            <w:vAlign w:val="bottom"/>
            <w:tcBorders>
              <w:right w:val="single" w:sz="8" w:color="636466"/>
            </w:tcBorders>
            <w:shd w:val="clear" w:color="auto" w:fill="636466"/>
          </w:tcPr>
          <w:p>
            <w:pPr>
              <w:spacing w:after="0"/>
              <w:rPr>
                <w:sz w:val="18"/>
                <w:szCs w:val="18"/>
                <w:color w:val="auto"/>
              </w:rPr>
            </w:pPr>
          </w:p>
        </w:tc>
        <w:tc>
          <w:tcPr>
            <w:tcW w:w="760" w:type="dxa"/>
            <w:vAlign w:val="bottom"/>
            <w:tcBorders>
              <w:right w:val="single" w:sz="8" w:color="636466"/>
            </w:tcBorders>
            <w:shd w:val="clear" w:color="auto" w:fill="636466"/>
          </w:tcPr>
          <w:p>
            <w:pPr>
              <w:spacing w:after="0"/>
              <w:rPr>
                <w:sz w:val="18"/>
                <w:szCs w:val="18"/>
                <w:color w:val="auto"/>
              </w:rPr>
            </w:pPr>
          </w:p>
        </w:tc>
        <w:tc>
          <w:tcPr>
            <w:tcW w:w="2900" w:type="dxa"/>
            <w:vAlign w:val="bottom"/>
            <w:tcBorders>
              <w:right w:val="single" w:sz="8" w:color="636466"/>
            </w:tcBorders>
            <w:shd w:val="clear" w:color="auto" w:fill="636466"/>
          </w:tcPr>
          <w:p>
            <w:pPr>
              <w:spacing w:after="0"/>
              <w:rPr>
                <w:sz w:val="18"/>
                <w:szCs w:val="18"/>
                <w:color w:val="auto"/>
              </w:rPr>
            </w:pPr>
          </w:p>
        </w:tc>
        <w:tc>
          <w:tcPr>
            <w:tcW w:w="660" w:type="dxa"/>
            <w:vAlign w:val="bottom"/>
            <w:tcBorders>
              <w:right w:val="single" w:sz="8" w:color="636466"/>
            </w:tcBorders>
            <w:shd w:val="clear" w:color="auto" w:fill="636466"/>
          </w:tcPr>
          <w:p>
            <w:pPr>
              <w:spacing w:after="0"/>
              <w:rPr>
                <w:sz w:val="18"/>
                <w:szCs w:val="18"/>
                <w:color w:val="auto"/>
              </w:rPr>
            </w:pPr>
          </w:p>
        </w:tc>
        <w:tc>
          <w:tcPr>
            <w:tcW w:w="760" w:type="dxa"/>
            <w:vAlign w:val="bottom"/>
            <w:tcBorders>
              <w:right w:val="single" w:sz="8" w:color="636466"/>
            </w:tcBorders>
            <w:shd w:val="clear" w:color="auto" w:fill="636466"/>
          </w:tcPr>
          <w:p>
            <w:pPr>
              <w:spacing w:after="0"/>
              <w:rPr>
                <w:sz w:val="18"/>
                <w:szCs w:val="18"/>
                <w:color w:val="auto"/>
              </w:rPr>
            </w:pPr>
          </w:p>
        </w:tc>
        <w:tc>
          <w:tcPr>
            <w:tcW w:w="120" w:type="dxa"/>
            <w:vAlign w:val="bottom"/>
            <w:shd w:val="clear" w:color="auto" w:fill="636466"/>
          </w:tcPr>
          <w:p>
            <w:pPr>
              <w:spacing w:after="0"/>
              <w:rPr>
                <w:sz w:val="18"/>
                <w:szCs w:val="18"/>
                <w:color w:val="auto"/>
              </w:rPr>
            </w:pPr>
          </w:p>
        </w:tc>
        <w:tc>
          <w:tcPr>
            <w:tcW w:w="1420" w:type="dxa"/>
            <w:vAlign w:val="bottom"/>
            <w:tcBorders>
              <w:right w:val="single" w:sz="8" w:color="636466"/>
            </w:tcBorders>
            <w:gridSpan w:val="2"/>
            <w:shd w:val="clear" w:color="auto" w:fill="636466"/>
          </w:tcPr>
          <w:p>
            <w:pPr>
              <w:jc w:val="center"/>
              <w:ind w:right="41"/>
              <w:spacing w:after="0"/>
              <w:rPr>
                <w:sz w:val="20"/>
                <w:szCs w:val="20"/>
                <w:color w:val="auto"/>
              </w:rPr>
            </w:pPr>
            <w:r>
              <w:rPr>
                <w:rFonts w:ascii="Arial" w:cs="Arial" w:eastAsia="Arial" w:hAnsi="Arial"/>
                <w:sz w:val="14"/>
                <w:szCs w:val="14"/>
                <w:b w:val="1"/>
                <w:bCs w:val="1"/>
                <w:color w:val="FFFFFF"/>
              </w:rPr>
              <w:t>Committee</w:t>
            </w:r>
          </w:p>
        </w:tc>
        <w:tc>
          <w:tcPr>
            <w:tcW w:w="780" w:type="dxa"/>
            <w:vAlign w:val="bottom"/>
            <w:tcBorders>
              <w:right w:val="single" w:sz="8" w:color="636466"/>
            </w:tcBorders>
            <w:shd w:val="clear" w:color="auto" w:fill="636466"/>
          </w:tcPr>
          <w:p>
            <w:pPr>
              <w:spacing w:after="0"/>
              <w:rPr>
                <w:sz w:val="18"/>
                <w:szCs w:val="18"/>
                <w:color w:val="auto"/>
              </w:rPr>
            </w:pPr>
          </w:p>
        </w:tc>
        <w:tc>
          <w:tcPr>
            <w:tcW w:w="128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93"/>
        </w:trPr>
        <w:tc>
          <w:tcPr>
            <w:tcW w:w="1940" w:type="dxa"/>
            <w:vAlign w:val="bottom"/>
            <w:tcBorders>
              <w:left w:val="single" w:sz="8" w:color="636466"/>
              <w:right w:val="single" w:sz="8" w:color="636466"/>
            </w:tcBorders>
            <w:shd w:val="clear" w:color="auto" w:fill="636466"/>
          </w:tcPr>
          <w:p>
            <w:pPr>
              <w:spacing w:after="0"/>
              <w:rPr>
                <w:sz w:val="16"/>
                <w:szCs w:val="16"/>
                <w:color w:val="auto"/>
              </w:rPr>
            </w:pPr>
          </w:p>
        </w:tc>
        <w:tc>
          <w:tcPr>
            <w:tcW w:w="640" w:type="dxa"/>
            <w:vAlign w:val="bottom"/>
            <w:tcBorders>
              <w:right w:val="single" w:sz="8" w:color="636466"/>
            </w:tcBorders>
            <w:shd w:val="clear" w:color="auto" w:fill="636466"/>
          </w:tcPr>
          <w:p>
            <w:pPr>
              <w:spacing w:after="0"/>
              <w:rPr>
                <w:sz w:val="16"/>
                <w:szCs w:val="16"/>
                <w:color w:val="auto"/>
              </w:rPr>
            </w:pPr>
          </w:p>
        </w:tc>
        <w:tc>
          <w:tcPr>
            <w:tcW w:w="760" w:type="dxa"/>
            <w:vAlign w:val="bottom"/>
            <w:tcBorders>
              <w:right w:val="single" w:sz="8" w:color="636466"/>
            </w:tcBorders>
            <w:shd w:val="clear" w:color="auto" w:fill="636466"/>
          </w:tcPr>
          <w:p>
            <w:pPr>
              <w:spacing w:after="0"/>
              <w:rPr>
                <w:sz w:val="16"/>
                <w:szCs w:val="16"/>
                <w:color w:val="auto"/>
              </w:rPr>
            </w:pPr>
          </w:p>
        </w:tc>
        <w:tc>
          <w:tcPr>
            <w:tcW w:w="2900" w:type="dxa"/>
            <w:vAlign w:val="bottom"/>
            <w:tcBorders>
              <w:right w:val="single" w:sz="8" w:color="636466"/>
            </w:tcBorders>
            <w:shd w:val="clear" w:color="auto" w:fill="636466"/>
          </w:tcPr>
          <w:p>
            <w:pPr>
              <w:spacing w:after="0"/>
              <w:rPr>
                <w:sz w:val="16"/>
                <w:szCs w:val="16"/>
                <w:color w:val="auto"/>
              </w:rPr>
            </w:pPr>
          </w:p>
        </w:tc>
        <w:tc>
          <w:tcPr>
            <w:tcW w:w="660" w:type="dxa"/>
            <w:vAlign w:val="bottom"/>
            <w:tcBorders>
              <w:right w:val="single" w:sz="8" w:color="636466"/>
            </w:tcBorders>
            <w:shd w:val="clear" w:color="auto" w:fill="636466"/>
          </w:tcPr>
          <w:p>
            <w:pPr>
              <w:spacing w:after="0"/>
              <w:rPr>
                <w:sz w:val="16"/>
                <w:szCs w:val="16"/>
                <w:color w:val="auto"/>
              </w:rPr>
            </w:pPr>
          </w:p>
        </w:tc>
        <w:tc>
          <w:tcPr>
            <w:tcW w:w="760" w:type="dxa"/>
            <w:vAlign w:val="bottom"/>
            <w:tcBorders>
              <w:right w:val="single" w:sz="8" w:color="636466"/>
            </w:tcBorders>
            <w:shd w:val="clear" w:color="auto" w:fill="636466"/>
          </w:tcPr>
          <w:p>
            <w:pPr>
              <w:spacing w:after="0"/>
              <w:rPr>
                <w:sz w:val="16"/>
                <w:szCs w:val="16"/>
                <w:color w:val="auto"/>
              </w:rPr>
            </w:pPr>
          </w:p>
        </w:tc>
        <w:tc>
          <w:tcPr>
            <w:tcW w:w="120" w:type="dxa"/>
            <w:vAlign w:val="bottom"/>
            <w:shd w:val="clear" w:color="auto" w:fill="636466"/>
          </w:tcPr>
          <w:p>
            <w:pPr>
              <w:spacing w:after="0"/>
              <w:rPr>
                <w:sz w:val="16"/>
                <w:szCs w:val="16"/>
                <w:color w:val="auto"/>
              </w:rPr>
            </w:pPr>
          </w:p>
        </w:tc>
        <w:tc>
          <w:tcPr>
            <w:tcW w:w="1420" w:type="dxa"/>
            <w:vAlign w:val="bottom"/>
            <w:tcBorders>
              <w:right w:val="single" w:sz="8" w:color="636466"/>
            </w:tcBorders>
            <w:gridSpan w:val="2"/>
            <w:shd w:val="clear" w:color="auto" w:fill="636466"/>
          </w:tcPr>
          <w:p>
            <w:pPr>
              <w:jc w:val="center"/>
              <w:ind w:right="41"/>
              <w:spacing w:after="0"/>
              <w:rPr>
                <w:sz w:val="20"/>
                <w:szCs w:val="20"/>
                <w:color w:val="auto"/>
              </w:rPr>
            </w:pPr>
            <w:r>
              <w:rPr>
                <w:rFonts w:ascii="Arial" w:cs="Arial" w:eastAsia="Arial" w:hAnsi="Arial"/>
                <w:sz w:val="14"/>
                <w:szCs w:val="14"/>
                <w:b w:val="1"/>
                <w:bCs w:val="1"/>
                <w:color w:val="FFFFFF"/>
              </w:rPr>
              <w:t>Memberships</w:t>
            </w:r>
          </w:p>
        </w:tc>
        <w:tc>
          <w:tcPr>
            <w:tcW w:w="780" w:type="dxa"/>
            <w:vAlign w:val="bottom"/>
            <w:tcBorders>
              <w:right w:val="single" w:sz="8" w:color="636466"/>
            </w:tcBorders>
            <w:shd w:val="clear" w:color="auto" w:fill="636466"/>
          </w:tcPr>
          <w:p>
            <w:pPr>
              <w:spacing w:after="0"/>
              <w:rPr>
                <w:sz w:val="16"/>
                <w:szCs w:val="16"/>
                <w:color w:val="auto"/>
              </w:rPr>
            </w:pPr>
          </w:p>
        </w:tc>
        <w:tc>
          <w:tcPr>
            <w:tcW w:w="128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Public</w:t>
            </w:r>
          </w:p>
        </w:tc>
        <w:tc>
          <w:tcPr>
            <w:tcW w:w="0" w:type="dxa"/>
            <w:vAlign w:val="bottom"/>
          </w:tcPr>
          <w:p>
            <w:pPr>
              <w:spacing w:after="0"/>
              <w:rPr>
                <w:sz w:val="1"/>
                <w:szCs w:val="1"/>
                <w:color w:val="auto"/>
              </w:rPr>
            </w:pPr>
          </w:p>
        </w:tc>
      </w:tr>
      <w:tr>
        <w:trPr>
          <w:trHeight w:val="176"/>
        </w:trPr>
        <w:tc>
          <w:tcPr>
            <w:tcW w:w="1940" w:type="dxa"/>
            <w:vAlign w:val="bottom"/>
            <w:tcBorders>
              <w:left w:val="single" w:sz="8" w:color="636466"/>
              <w:right w:val="single" w:sz="8" w:color="636466"/>
            </w:tcBorders>
            <w:shd w:val="clear" w:color="auto" w:fill="636466"/>
          </w:tcPr>
          <w:p>
            <w:pPr>
              <w:spacing w:after="0"/>
              <w:rPr>
                <w:sz w:val="15"/>
                <w:szCs w:val="15"/>
                <w:color w:val="auto"/>
              </w:rPr>
            </w:pPr>
          </w:p>
        </w:tc>
        <w:tc>
          <w:tcPr>
            <w:tcW w:w="640" w:type="dxa"/>
            <w:vAlign w:val="bottom"/>
            <w:tcBorders>
              <w:right w:val="single" w:sz="8" w:color="636466"/>
            </w:tcBorders>
            <w:shd w:val="clear" w:color="auto" w:fill="636466"/>
          </w:tcPr>
          <w:p>
            <w:pPr>
              <w:spacing w:after="0"/>
              <w:rPr>
                <w:sz w:val="15"/>
                <w:szCs w:val="15"/>
                <w:color w:val="auto"/>
              </w:rPr>
            </w:pPr>
          </w:p>
        </w:tc>
        <w:tc>
          <w:tcPr>
            <w:tcW w:w="760" w:type="dxa"/>
            <w:vAlign w:val="bottom"/>
            <w:tcBorders>
              <w:right w:val="single" w:sz="8" w:color="636466"/>
            </w:tcBorders>
            <w:shd w:val="clear" w:color="auto" w:fill="636466"/>
          </w:tcPr>
          <w:p>
            <w:pPr>
              <w:spacing w:after="0"/>
              <w:rPr>
                <w:sz w:val="15"/>
                <w:szCs w:val="15"/>
                <w:color w:val="auto"/>
              </w:rPr>
            </w:pPr>
          </w:p>
        </w:tc>
        <w:tc>
          <w:tcPr>
            <w:tcW w:w="2900" w:type="dxa"/>
            <w:vAlign w:val="bottom"/>
            <w:tcBorders>
              <w:right w:val="single" w:sz="8" w:color="636466"/>
            </w:tcBorders>
            <w:shd w:val="clear" w:color="auto" w:fill="636466"/>
          </w:tcPr>
          <w:p>
            <w:pPr>
              <w:spacing w:after="0"/>
              <w:rPr>
                <w:sz w:val="15"/>
                <w:szCs w:val="15"/>
                <w:color w:val="auto"/>
              </w:rPr>
            </w:pPr>
          </w:p>
        </w:tc>
        <w:tc>
          <w:tcPr>
            <w:tcW w:w="660" w:type="dxa"/>
            <w:vAlign w:val="bottom"/>
            <w:tcBorders>
              <w:right w:val="single" w:sz="8" w:color="636466"/>
            </w:tcBorders>
            <w:shd w:val="clear" w:color="auto" w:fill="636466"/>
          </w:tcPr>
          <w:p>
            <w:pPr>
              <w:spacing w:after="0"/>
              <w:rPr>
                <w:sz w:val="15"/>
                <w:szCs w:val="15"/>
                <w:color w:val="auto"/>
              </w:rPr>
            </w:pPr>
          </w:p>
        </w:tc>
        <w:tc>
          <w:tcPr>
            <w:tcW w:w="760" w:type="dxa"/>
            <w:vAlign w:val="bottom"/>
            <w:tcBorders>
              <w:right w:val="single" w:sz="8" w:color="636466"/>
            </w:tcBorders>
            <w:shd w:val="clear" w:color="auto" w:fill="636466"/>
          </w:tcPr>
          <w:p>
            <w:pPr>
              <w:spacing w:after="0"/>
              <w:rPr>
                <w:sz w:val="15"/>
                <w:szCs w:val="15"/>
                <w:color w:val="auto"/>
              </w:rPr>
            </w:pPr>
          </w:p>
        </w:tc>
        <w:tc>
          <w:tcPr>
            <w:tcW w:w="120" w:type="dxa"/>
            <w:vAlign w:val="bottom"/>
            <w:shd w:val="clear" w:color="auto" w:fill="636466"/>
          </w:tcPr>
          <w:p>
            <w:pPr>
              <w:spacing w:after="0"/>
              <w:rPr>
                <w:sz w:val="15"/>
                <w:szCs w:val="15"/>
                <w:color w:val="auto"/>
              </w:rPr>
            </w:pPr>
          </w:p>
        </w:tc>
        <w:tc>
          <w:tcPr>
            <w:tcW w:w="660" w:type="dxa"/>
            <w:vAlign w:val="bottom"/>
            <w:tcBorders>
              <w:right w:val="single" w:sz="8" w:color="636466"/>
            </w:tcBorders>
            <w:shd w:val="clear" w:color="auto" w:fill="636466"/>
          </w:tcPr>
          <w:p>
            <w:pPr>
              <w:spacing w:after="0"/>
              <w:rPr>
                <w:sz w:val="15"/>
                <w:szCs w:val="15"/>
                <w:color w:val="auto"/>
              </w:rPr>
            </w:pPr>
          </w:p>
        </w:tc>
        <w:tc>
          <w:tcPr>
            <w:tcW w:w="760" w:type="dxa"/>
            <w:vAlign w:val="bottom"/>
            <w:tcBorders>
              <w:right w:val="single" w:sz="8" w:color="636466"/>
            </w:tcBorders>
            <w:shd w:val="clear" w:color="auto" w:fill="636466"/>
          </w:tcPr>
          <w:p>
            <w:pPr>
              <w:spacing w:after="0"/>
              <w:rPr>
                <w:sz w:val="15"/>
                <w:szCs w:val="15"/>
                <w:color w:val="auto"/>
              </w:rPr>
            </w:pPr>
          </w:p>
        </w:tc>
        <w:tc>
          <w:tcPr>
            <w:tcW w:w="780" w:type="dxa"/>
            <w:vAlign w:val="bottom"/>
            <w:tcBorders>
              <w:right w:val="single" w:sz="8" w:color="636466"/>
            </w:tcBorders>
            <w:shd w:val="clear" w:color="auto" w:fill="636466"/>
          </w:tcPr>
          <w:p>
            <w:pPr>
              <w:spacing w:after="0"/>
              <w:rPr>
                <w:sz w:val="15"/>
                <w:szCs w:val="15"/>
                <w:color w:val="auto"/>
              </w:rPr>
            </w:pPr>
          </w:p>
        </w:tc>
        <w:tc>
          <w:tcPr>
            <w:tcW w:w="128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Company</w:t>
            </w:r>
          </w:p>
        </w:tc>
        <w:tc>
          <w:tcPr>
            <w:tcW w:w="0" w:type="dxa"/>
            <w:vAlign w:val="bottom"/>
          </w:tcPr>
          <w:p>
            <w:pPr>
              <w:spacing w:after="0"/>
              <w:rPr>
                <w:sz w:val="1"/>
                <w:szCs w:val="1"/>
                <w:color w:val="auto"/>
              </w:rPr>
            </w:pPr>
          </w:p>
        </w:tc>
      </w:tr>
      <w:tr>
        <w:trPr>
          <w:trHeight w:val="196"/>
        </w:trPr>
        <w:tc>
          <w:tcPr>
            <w:tcW w:w="1940" w:type="dxa"/>
            <w:vAlign w:val="bottom"/>
            <w:tcBorders>
              <w:left w:val="single" w:sz="8" w:color="636466"/>
              <w:right w:val="single" w:sz="8" w:color="636466"/>
            </w:tcBorders>
            <w:shd w:val="clear" w:color="auto" w:fill="636466"/>
          </w:tcPr>
          <w:p>
            <w:pPr>
              <w:ind w:left="100"/>
              <w:spacing w:after="0"/>
              <w:rPr>
                <w:sz w:val="20"/>
                <w:szCs w:val="20"/>
                <w:color w:val="auto"/>
              </w:rPr>
            </w:pPr>
            <w:r>
              <w:rPr>
                <w:rFonts w:ascii="Arial" w:cs="Arial" w:eastAsia="Arial" w:hAnsi="Arial"/>
                <w:sz w:val="14"/>
                <w:szCs w:val="14"/>
                <w:b w:val="1"/>
                <w:bCs w:val="1"/>
                <w:color w:val="FFFFFF"/>
              </w:rPr>
              <w:t>Name</w:t>
            </w:r>
          </w:p>
        </w:tc>
        <w:tc>
          <w:tcPr>
            <w:tcW w:w="64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Age</w:t>
            </w:r>
          </w:p>
        </w:tc>
        <w:tc>
          <w:tcPr>
            <w:tcW w:w="76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Start Date</w:t>
            </w:r>
          </w:p>
        </w:tc>
        <w:tc>
          <w:tcPr>
            <w:tcW w:w="2900" w:type="dxa"/>
            <w:vAlign w:val="bottom"/>
            <w:tcBorders>
              <w:right w:val="single" w:sz="8" w:color="636466"/>
            </w:tcBorders>
            <w:shd w:val="clear" w:color="auto" w:fill="636466"/>
          </w:tcPr>
          <w:p>
            <w:pPr>
              <w:ind w:left="1020"/>
              <w:spacing w:after="0"/>
              <w:rPr>
                <w:sz w:val="20"/>
                <w:szCs w:val="20"/>
                <w:color w:val="auto"/>
              </w:rPr>
            </w:pPr>
            <w:r>
              <w:rPr>
                <w:rFonts w:ascii="Arial" w:cs="Arial" w:eastAsia="Arial" w:hAnsi="Arial"/>
                <w:sz w:val="14"/>
                <w:szCs w:val="14"/>
                <w:b w:val="1"/>
                <w:bCs w:val="1"/>
                <w:color w:val="FFFFFF"/>
              </w:rPr>
              <w:t>Background</w:t>
            </w:r>
          </w:p>
        </w:tc>
        <w:tc>
          <w:tcPr>
            <w:tcW w:w="66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Indep.</w:t>
            </w:r>
          </w:p>
        </w:tc>
        <w:tc>
          <w:tcPr>
            <w:tcW w:w="76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w w:val="98"/>
              </w:rPr>
              <w:t>AC</w:t>
            </w:r>
          </w:p>
        </w:tc>
        <w:tc>
          <w:tcPr>
            <w:tcW w:w="120" w:type="dxa"/>
            <w:vAlign w:val="bottom"/>
            <w:shd w:val="clear" w:color="auto" w:fill="636466"/>
          </w:tcPr>
          <w:p>
            <w:pPr>
              <w:spacing w:after="0"/>
              <w:rPr>
                <w:sz w:val="17"/>
                <w:szCs w:val="17"/>
                <w:color w:val="auto"/>
              </w:rPr>
            </w:pPr>
          </w:p>
        </w:tc>
        <w:tc>
          <w:tcPr>
            <w:tcW w:w="660" w:type="dxa"/>
            <w:vAlign w:val="bottom"/>
            <w:tcBorders>
              <w:right w:val="single" w:sz="8" w:color="636466"/>
            </w:tcBorders>
            <w:shd w:val="clear" w:color="auto" w:fill="636466"/>
          </w:tcPr>
          <w:p>
            <w:pPr>
              <w:jc w:val="center"/>
              <w:ind w:right="50"/>
              <w:spacing w:after="0"/>
              <w:rPr>
                <w:sz w:val="20"/>
                <w:szCs w:val="20"/>
                <w:color w:val="auto"/>
              </w:rPr>
            </w:pPr>
            <w:r>
              <w:rPr>
                <w:rFonts w:ascii="Arial" w:cs="Arial" w:eastAsia="Arial" w:hAnsi="Arial"/>
                <w:sz w:val="14"/>
                <w:szCs w:val="14"/>
                <w:b w:val="1"/>
                <w:bCs w:val="1"/>
                <w:color w:val="FFFFFF"/>
              </w:rPr>
              <w:t>BGC</w:t>
            </w:r>
          </w:p>
        </w:tc>
        <w:tc>
          <w:tcPr>
            <w:tcW w:w="76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CHRC</w:t>
            </w:r>
          </w:p>
        </w:tc>
        <w:tc>
          <w:tcPr>
            <w:tcW w:w="78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EC</w:t>
            </w:r>
          </w:p>
        </w:tc>
        <w:tc>
          <w:tcPr>
            <w:tcW w:w="128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w w:val="99"/>
              </w:rPr>
              <w:t>Boards</w:t>
            </w:r>
          </w:p>
        </w:tc>
        <w:tc>
          <w:tcPr>
            <w:tcW w:w="0" w:type="dxa"/>
            <w:vAlign w:val="bottom"/>
          </w:tcPr>
          <w:p>
            <w:pPr>
              <w:spacing w:after="0"/>
              <w:rPr>
                <w:sz w:val="1"/>
                <w:szCs w:val="1"/>
                <w:color w:val="auto"/>
              </w:rPr>
            </w:pPr>
          </w:p>
        </w:tc>
      </w:tr>
      <w:tr>
        <w:trPr>
          <w:trHeight w:val="110"/>
        </w:trPr>
        <w:tc>
          <w:tcPr>
            <w:tcW w:w="1940" w:type="dxa"/>
            <w:vAlign w:val="bottom"/>
            <w:tcBorders>
              <w:left w:val="single" w:sz="8" w:color="636466"/>
              <w:right w:val="single" w:sz="8" w:color="636466"/>
            </w:tcBorders>
            <w:shd w:val="clear" w:color="auto" w:fill="636466"/>
          </w:tcPr>
          <w:p>
            <w:pPr>
              <w:spacing w:after="0"/>
              <w:rPr>
                <w:sz w:val="9"/>
                <w:szCs w:val="9"/>
                <w:color w:val="auto"/>
              </w:rPr>
            </w:pPr>
          </w:p>
        </w:tc>
        <w:tc>
          <w:tcPr>
            <w:tcW w:w="640" w:type="dxa"/>
            <w:vAlign w:val="bottom"/>
            <w:tcBorders>
              <w:right w:val="single" w:sz="8" w:color="636466"/>
            </w:tcBorders>
            <w:shd w:val="clear" w:color="auto" w:fill="636466"/>
          </w:tcPr>
          <w:p>
            <w:pPr>
              <w:spacing w:after="0"/>
              <w:rPr>
                <w:sz w:val="9"/>
                <w:szCs w:val="9"/>
                <w:color w:val="auto"/>
              </w:rPr>
            </w:pPr>
          </w:p>
        </w:tc>
        <w:tc>
          <w:tcPr>
            <w:tcW w:w="760" w:type="dxa"/>
            <w:vAlign w:val="bottom"/>
            <w:tcBorders>
              <w:right w:val="single" w:sz="8" w:color="636466"/>
            </w:tcBorders>
            <w:shd w:val="clear" w:color="auto" w:fill="636466"/>
          </w:tcPr>
          <w:p>
            <w:pPr>
              <w:spacing w:after="0"/>
              <w:rPr>
                <w:sz w:val="9"/>
                <w:szCs w:val="9"/>
                <w:color w:val="auto"/>
              </w:rPr>
            </w:pPr>
          </w:p>
        </w:tc>
        <w:tc>
          <w:tcPr>
            <w:tcW w:w="2900" w:type="dxa"/>
            <w:vAlign w:val="bottom"/>
            <w:tcBorders>
              <w:right w:val="single" w:sz="8" w:color="636466"/>
            </w:tcBorders>
            <w:shd w:val="clear" w:color="auto" w:fill="636466"/>
          </w:tcPr>
          <w:p>
            <w:pPr>
              <w:spacing w:after="0"/>
              <w:rPr>
                <w:sz w:val="9"/>
                <w:szCs w:val="9"/>
                <w:color w:val="auto"/>
              </w:rPr>
            </w:pPr>
          </w:p>
        </w:tc>
        <w:tc>
          <w:tcPr>
            <w:tcW w:w="660" w:type="dxa"/>
            <w:vAlign w:val="bottom"/>
            <w:tcBorders>
              <w:right w:val="single" w:sz="8" w:color="636466"/>
            </w:tcBorders>
            <w:shd w:val="clear" w:color="auto" w:fill="636466"/>
          </w:tcPr>
          <w:p>
            <w:pPr>
              <w:spacing w:after="0"/>
              <w:rPr>
                <w:sz w:val="9"/>
                <w:szCs w:val="9"/>
                <w:color w:val="auto"/>
              </w:rPr>
            </w:pPr>
          </w:p>
        </w:tc>
        <w:tc>
          <w:tcPr>
            <w:tcW w:w="760" w:type="dxa"/>
            <w:vAlign w:val="bottom"/>
            <w:tcBorders>
              <w:right w:val="single" w:sz="8" w:color="636466"/>
            </w:tcBorders>
            <w:shd w:val="clear" w:color="auto" w:fill="636466"/>
          </w:tcPr>
          <w:p>
            <w:pPr>
              <w:spacing w:after="0"/>
              <w:rPr>
                <w:sz w:val="9"/>
                <w:szCs w:val="9"/>
                <w:color w:val="auto"/>
              </w:rPr>
            </w:pPr>
          </w:p>
        </w:tc>
        <w:tc>
          <w:tcPr>
            <w:tcW w:w="120" w:type="dxa"/>
            <w:vAlign w:val="bottom"/>
            <w:shd w:val="clear" w:color="auto" w:fill="636466"/>
          </w:tcPr>
          <w:p>
            <w:pPr>
              <w:spacing w:after="0"/>
              <w:rPr>
                <w:sz w:val="9"/>
                <w:szCs w:val="9"/>
                <w:color w:val="auto"/>
              </w:rPr>
            </w:pPr>
          </w:p>
        </w:tc>
        <w:tc>
          <w:tcPr>
            <w:tcW w:w="660" w:type="dxa"/>
            <w:vAlign w:val="bottom"/>
            <w:tcBorders>
              <w:right w:val="single" w:sz="8" w:color="636466"/>
            </w:tcBorders>
            <w:shd w:val="clear" w:color="auto" w:fill="636466"/>
          </w:tcPr>
          <w:p>
            <w:pPr>
              <w:spacing w:after="0"/>
              <w:rPr>
                <w:sz w:val="9"/>
                <w:szCs w:val="9"/>
                <w:color w:val="auto"/>
              </w:rPr>
            </w:pPr>
          </w:p>
        </w:tc>
        <w:tc>
          <w:tcPr>
            <w:tcW w:w="760" w:type="dxa"/>
            <w:vAlign w:val="bottom"/>
            <w:tcBorders>
              <w:right w:val="single" w:sz="8" w:color="636466"/>
            </w:tcBorders>
            <w:shd w:val="clear" w:color="auto" w:fill="636466"/>
          </w:tcPr>
          <w:p>
            <w:pPr>
              <w:spacing w:after="0"/>
              <w:rPr>
                <w:sz w:val="9"/>
                <w:szCs w:val="9"/>
                <w:color w:val="auto"/>
              </w:rPr>
            </w:pPr>
          </w:p>
        </w:tc>
        <w:tc>
          <w:tcPr>
            <w:tcW w:w="780" w:type="dxa"/>
            <w:vAlign w:val="bottom"/>
            <w:tcBorders>
              <w:right w:val="single" w:sz="8" w:color="636466"/>
            </w:tcBorders>
            <w:shd w:val="clear" w:color="auto" w:fill="636466"/>
          </w:tcPr>
          <w:p>
            <w:pPr>
              <w:spacing w:after="0"/>
              <w:rPr>
                <w:sz w:val="9"/>
                <w:szCs w:val="9"/>
                <w:color w:val="auto"/>
              </w:rPr>
            </w:pPr>
          </w:p>
        </w:tc>
        <w:tc>
          <w:tcPr>
            <w:tcW w:w="1280" w:type="dxa"/>
            <w:vAlign w:val="bottom"/>
            <w:tcBorders>
              <w:right w:val="single" w:sz="8" w:color="636466"/>
            </w:tcBorders>
            <w:shd w:val="clear" w:color="auto" w:fill="636466"/>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00" w:type="dxa"/>
            <w:vAlign w:val="bottom"/>
          </w:tcPr>
          <w:p>
            <w:pPr>
              <w:jc w:val="center"/>
              <w:ind w:left="1586"/>
              <w:spacing w:after="0"/>
              <w:rPr>
                <w:sz w:val="20"/>
                <w:szCs w:val="20"/>
                <w:color w:val="auto"/>
              </w:rPr>
            </w:pPr>
            <w:r>
              <w:rPr>
                <w:rFonts w:ascii="Arial" w:cs="Arial" w:eastAsia="Arial" w:hAnsi="Arial"/>
                <w:sz w:val="18"/>
                <w:szCs w:val="18"/>
                <w:b w:val="1"/>
                <w:bCs w:val="1"/>
                <w:color w:val="C6093B"/>
                <w:w w:val="99"/>
              </w:rPr>
              <w:t>Class III</w:t>
            </w: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Alok Maskara</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54</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2022</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Chief Executive Officer,</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CEO</w:t>
            </w: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Franklin Electric</w:t>
            </w:r>
          </w:p>
        </w:tc>
        <w:tc>
          <w:tcPr>
            <w:tcW w:w="0" w:type="dxa"/>
            <w:vAlign w:val="bottom"/>
          </w:tcPr>
          <w:p>
            <w:pPr>
              <w:spacing w:after="0"/>
              <w:rPr>
                <w:sz w:val="1"/>
                <w:szCs w:val="1"/>
                <w:color w:val="auto"/>
              </w:rPr>
            </w:pPr>
          </w:p>
        </w:tc>
      </w:tr>
      <w:tr>
        <w:trPr>
          <w:trHeight w:val="190"/>
        </w:trPr>
        <w:tc>
          <w:tcPr>
            <w:tcW w:w="1940" w:type="dxa"/>
            <w:vAlign w:val="bottom"/>
            <w:tcBorders>
              <w:left w:val="single" w:sz="8" w:color="auto"/>
              <w:right w:val="single" w:sz="8" w:color="auto"/>
            </w:tcBorders>
            <w:vMerge w:val="continue"/>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Lennox International Inc.</w:t>
            </w:r>
          </w:p>
        </w:tc>
        <w:tc>
          <w:tcPr>
            <w:tcW w:w="66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 Inc.</w:t>
            </w:r>
          </w:p>
        </w:tc>
        <w:tc>
          <w:tcPr>
            <w:tcW w:w="0" w:type="dxa"/>
            <w:vAlign w:val="bottom"/>
          </w:tcPr>
          <w:p>
            <w:pPr>
              <w:spacing w:after="0"/>
              <w:rPr>
                <w:sz w:val="1"/>
                <w:szCs w:val="1"/>
                <w:color w:val="auto"/>
              </w:rPr>
            </w:pPr>
          </w:p>
        </w:tc>
      </w:tr>
      <w:tr>
        <w:trPr>
          <w:trHeight w:val="35"/>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Sivasankaran ("Soma")</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59</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and CEO,</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20" w:type="dxa"/>
            <w:vAlign w:val="bottom"/>
          </w:tcPr>
          <w:p>
            <w:pPr>
              <w:spacing w:after="0"/>
              <w:rPr>
                <w:sz w:val="15"/>
                <w:szCs w:val="15"/>
                <w:color w:val="auto"/>
              </w:rPr>
            </w:pPr>
          </w:p>
        </w:tc>
        <w:tc>
          <w:tcPr>
            <w:tcW w:w="660" w:type="dxa"/>
            <w:vAlign w:val="bottom"/>
            <w:tcBorders>
              <w:right w:val="single" w:sz="8" w:color="auto"/>
            </w:tcBorders>
            <w:vMerge w:val="restart"/>
          </w:tcPr>
          <w:p>
            <w:pPr>
              <w:jc w:val="center"/>
              <w:ind w:right="50"/>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ChampionX</w:t>
            </w:r>
          </w:p>
        </w:tc>
        <w:tc>
          <w:tcPr>
            <w:tcW w:w="0" w:type="dxa"/>
            <w:vAlign w:val="bottom"/>
          </w:tcPr>
          <w:p>
            <w:pPr>
              <w:spacing w:after="0"/>
              <w:rPr>
                <w:sz w:val="1"/>
                <w:szCs w:val="1"/>
                <w:color w:val="auto"/>
              </w:rPr>
            </w:pPr>
          </w:p>
        </w:tc>
      </w:tr>
      <w:tr>
        <w:trPr>
          <w:trHeight w:val="190"/>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Somasundaram</w:t>
            </w:r>
          </w:p>
        </w:tc>
        <w:tc>
          <w:tcPr>
            <w:tcW w:w="64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ChampionX</w:t>
            </w:r>
          </w:p>
        </w:tc>
        <w:tc>
          <w:tcPr>
            <w:tcW w:w="66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1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jc w:val="center"/>
              <w:ind w:left="1606"/>
              <w:spacing w:after="0"/>
              <w:rPr>
                <w:sz w:val="20"/>
                <w:szCs w:val="20"/>
                <w:color w:val="auto"/>
              </w:rPr>
            </w:pPr>
            <w:r>
              <w:rPr>
                <w:rFonts w:ascii="Arial" w:cs="Arial" w:eastAsia="Arial" w:hAnsi="Arial"/>
                <w:sz w:val="18"/>
                <w:szCs w:val="18"/>
                <w:b w:val="1"/>
                <w:bCs w:val="1"/>
                <w:color w:val="C60C35"/>
                <w:w w:val="99"/>
              </w:rPr>
              <w:t>Class I</w:t>
            </w:r>
          </w:p>
        </w:tc>
        <w:tc>
          <w:tcPr>
            <w:tcW w:w="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John W. Norris, III</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2001</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Chairman, Environmental Funders Network</w:t>
            </w:r>
          </w:p>
        </w:tc>
        <w:tc>
          <w:tcPr>
            <w:tcW w:w="660" w:type="dxa"/>
            <w:vAlign w:val="bottom"/>
            <w:tcBorders>
              <w:right w:val="single" w:sz="8" w:color="auto"/>
            </w:tcBorders>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right w:val="single" w:sz="8" w:color="auto"/>
            </w:tcBorders>
          </w:tcPr>
          <w:p>
            <w:pPr>
              <w:jc w:val="center"/>
              <w:ind w:right="50"/>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auto"/>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Former EVP and Chief</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Karen H. Quintos</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Customer Officer, Dell</w:t>
            </w:r>
          </w:p>
        </w:tc>
        <w:tc>
          <w:tcPr>
            <w:tcW w:w="66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C</w:t>
            </w: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Cummins Inc.</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Technologies Inc.</w:t>
            </w:r>
          </w:p>
        </w:tc>
        <w:tc>
          <w:tcPr>
            <w:tcW w:w="66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Former Chief Technology</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Shane D. Wall</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Officer and Global Head,</w:t>
            </w:r>
          </w:p>
        </w:tc>
        <w:tc>
          <w:tcPr>
            <w:tcW w:w="66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78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HP Labs of HP Inc.</w:t>
            </w:r>
          </w:p>
        </w:tc>
        <w:tc>
          <w:tcPr>
            <w:tcW w:w="66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00" w:type="dxa"/>
            <w:vAlign w:val="bottom"/>
          </w:tcPr>
          <w:p>
            <w:pPr>
              <w:jc w:val="center"/>
              <w:ind w:left="1586"/>
              <w:spacing w:after="0"/>
              <w:rPr>
                <w:sz w:val="20"/>
                <w:szCs w:val="20"/>
                <w:color w:val="auto"/>
              </w:rPr>
            </w:pPr>
            <w:r>
              <w:rPr>
                <w:rFonts w:ascii="Arial" w:cs="Arial" w:eastAsia="Arial" w:hAnsi="Arial"/>
                <w:sz w:val="18"/>
                <w:szCs w:val="18"/>
                <w:b w:val="1"/>
                <w:bCs w:val="1"/>
                <w:color w:val="C60C35"/>
              </w:rPr>
              <w:t>Class II</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1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Sherry L. Buck</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61</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2019</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CFO, W.L. Gore &amp;</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C, F</w:t>
            </w: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tcBorders>
              <w:left w:val="single" w:sz="8" w:color="auto"/>
              <w:right w:val="single" w:sz="8" w:color="auto"/>
            </w:tcBorders>
            <w:vMerge w:val="continue"/>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Associates</w:t>
            </w:r>
          </w:p>
        </w:tc>
        <w:tc>
          <w:tcPr>
            <w:tcW w:w="66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Independent Chair of the Board</w:t>
            </w:r>
          </w:p>
        </w:tc>
        <w:tc>
          <w:tcPr>
            <w:tcW w:w="6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Todd J. Teske</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2011</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Former Chair, President</w:t>
            </w:r>
          </w:p>
        </w:tc>
        <w:tc>
          <w:tcPr>
            <w:tcW w:w="660" w:type="dxa"/>
            <w:vAlign w:val="bottom"/>
            <w:tcBorders>
              <w:right w:val="single" w:sz="8" w:color="auto"/>
            </w:tcBorders>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940" w:type="dxa"/>
            <w:vAlign w:val="bottom"/>
            <w:tcBorders>
              <w:left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 CEO, Briggs &amp; Stratton</w:t>
            </w: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40" w:type="dxa"/>
            <w:vAlign w:val="bottom"/>
            <w:tcBorders>
              <w:left w:val="single" w:sz="8" w:color="auto"/>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Jon Vander Ark</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49</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2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President and CEO, Republic Services, Inc.</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w:t>
            </w: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Republic Services,</w:t>
            </w:r>
          </w:p>
        </w:tc>
        <w:tc>
          <w:tcPr>
            <w:tcW w:w="0" w:type="dxa"/>
            <w:vAlign w:val="bottom"/>
          </w:tcPr>
          <w:p>
            <w:pPr>
              <w:spacing w:after="0"/>
              <w:rPr>
                <w:sz w:val="1"/>
                <w:szCs w:val="1"/>
                <w:color w:val="auto"/>
              </w:rPr>
            </w:pPr>
          </w:p>
        </w:tc>
      </w:tr>
      <w:tr>
        <w:trPr>
          <w:trHeight w:val="190"/>
        </w:trPr>
        <w:tc>
          <w:tcPr>
            <w:tcW w:w="1940" w:type="dxa"/>
            <w:vAlign w:val="bottom"/>
            <w:tcBorders>
              <w:left w:val="single" w:sz="8" w:color="auto"/>
              <w:right w:val="single" w:sz="8" w:color="auto"/>
            </w:tcBorders>
            <w:vMerge w:val="continue"/>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2900" w:type="dxa"/>
            <w:vAlign w:val="bottom"/>
            <w:tcBorders>
              <w:right w:val="single" w:sz="8" w:color="auto"/>
            </w:tcBorders>
            <w:vMerge w:val="continue"/>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Inc.</w:t>
            </w:r>
          </w:p>
        </w:tc>
        <w:tc>
          <w:tcPr>
            <w:tcW w:w="0" w:type="dxa"/>
            <w:vAlign w:val="bottom"/>
          </w:tcPr>
          <w:p>
            <w:pPr>
              <w:spacing w:after="0"/>
              <w:rPr>
                <w:sz w:val="1"/>
                <w:szCs w:val="1"/>
                <w:color w:val="auto"/>
              </w:rPr>
            </w:pPr>
          </w:p>
        </w:tc>
      </w:tr>
      <w:tr>
        <w:trPr>
          <w:trHeight w:val="35"/>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7780" w:type="dxa"/>
            <w:vAlign w:val="bottom"/>
            <w:gridSpan w:val="7"/>
          </w:tcPr>
          <w:p>
            <w:pPr>
              <w:spacing w:after="0"/>
              <w:rPr>
                <w:sz w:val="20"/>
                <w:szCs w:val="20"/>
                <w:color w:val="auto"/>
              </w:rPr>
            </w:pPr>
            <w:r>
              <w:rPr>
                <w:rFonts w:ascii="Arial" w:cs="Arial" w:eastAsia="Arial" w:hAnsi="Arial"/>
                <w:sz w:val="14"/>
                <w:szCs w:val="14"/>
                <w:b w:val="1"/>
                <w:bCs w:val="1"/>
                <w:color w:val="C60C35"/>
              </w:rPr>
              <w:t xml:space="preserve">AC </w:t>
            </w:r>
            <w:r>
              <w:rPr>
                <w:rFonts w:ascii="Arial" w:cs="Arial" w:eastAsia="Arial" w:hAnsi="Arial"/>
                <w:sz w:val="14"/>
                <w:szCs w:val="14"/>
                <w:color w:val="000000"/>
              </w:rPr>
              <w:t>– Audit Committee;</w:t>
            </w:r>
            <w:r>
              <w:rPr>
                <w:rFonts w:ascii="Arial" w:cs="Arial" w:eastAsia="Arial" w:hAnsi="Arial"/>
                <w:sz w:val="14"/>
                <w:szCs w:val="14"/>
                <w:b w:val="1"/>
                <w:bCs w:val="1"/>
                <w:color w:val="C60C35"/>
              </w:rPr>
              <w:t xml:space="preserve"> BGC </w:t>
            </w:r>
            <w:r>
              <w:rPr>
                <w:rFonts w:ascii="Arial" w:cs="Arial" w:eastAsia="Arial" w:hAnsi="Arial"/>
                <w:sz w:val="14"/>
                <w:szCs w:val="14"/>
                <w:color w:val="000000"/>
              </w:rPr>
              <w:t>– Board Governance Committee;</w:t>
            </w:r>
            <w:r>
              <w:rPr>
                <w:rFonts w:ascii="Arial" w:cs="Arial" w:eastAsia="Arial" w:hAnsi="Arial"/>
                <w:sz w:val="14"/>
                <w:szCs w:val="14"/>
                <w:b w:val="1"/>
                <w:bCs w:val="1"/>
                <w:color w:val="C60C35"/>
              </w:rPr>
              <w:t xml:space="preserve"> CHRC </w:t>
            </w:r>
            <w:r>
              <w:rPr>
                <w:rFonts w:ascii="Arial" w:cs="Arial" w:eastAsia="Arial" w:hAnsi="Arial"/>
                <w:sz w:val="14"/>
                <w:szCs w:val="14"/>
                <w:color w:val="000000"/>
              </w:rPr>
              <w:t>– Compensation &amp; Human Resources Committee;</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40" w:type="dxa"/>
            <w:vAlign w:val="bottom"/>
            <w:gridSpan w:val="4"/>
          </w:tcPr>
          <w:p>
            <w:pPr>
              <w:spacing w:after="0"/>
              <w:rPr>
                <w:sz w:val="20"/>
                <w:szCs w:val="20"/>
                <w:color w:val="auto"/>
              </w:rPr>
            </w:pPr>
            <w:r>
              <w:rPr>
                <w:rFonts w:ascii="Arial" w:cs="Arial" w:eastAsia="Arial" w:hAnsi="Arial"/>
                <w:sz w:val="14"/>
                <w:szCs w:val="14"/>
                <w:b w:val="1"/>
                <w:bCs w:val="1"/>
                <w:color w:val="C60C35"/>
              </w:rPr>
              <w:t xml:space="preserve">EC </w:t>
            </w:r>
            <w:r>
              <w:rPr>
                <w:rFonts w:ascii="Arial" w:cs="Arial" w:eastAsia="Arial" w:hAnsi="Arial"/>
                <w:sz w:val="14"/>
                <w:szCs w:val="14"/>
                <w:color w:val="000000"/>
              </w:rPr>
              <w:t>– Executive Committee;</w:t>
            </w:r>
            <w:r>
              <w:rPr>
                <w:rFonts w:ascii="Arial" w:cs="Arial" w:eastAsia="Arial" w:hAnsi="Arial"/>
                <w:sz w:val="14"/>
                <w:szCs w:val="14"/>
                <w:b w:val="1"/>
                <w:bCs w:val="1"/>
                <w:color w:val="C60C35"/>
              </w:rPr>
              <w:t xml:space="preserve"> C </w:t>
            </w:r>
            <w:r>
              <w:rPr>
                <w:rFonts w:ascii="Arial" w:cs="Arial" w:eastAsia="Arial" w:hAnsi="Arial"/>
                <w:sz w:val="14"/>
                <w:szCs w:val="14"/>
                <w:color w:val="000000"/>
              </w:rPr>
              <w:t>– Chair;</w:t>
            </w:r>
            <w:r>
              <w:rPr>
                <w:rFonts w:ascii="Arial" w:cs="Arial" w:eastAsia="Arial" w:hAnsi="Arial"/>
                <w:sz w:val="14"/>
                <w:szCs w:val="14"/>
                <w:b w:val="1"/>
                <w:bCs w:val="1"/>
                <w:color w:val="C60C35"/>
              </w:rPr>
              <w:t xml:space="preserve"> F </w:t>
            </w:r>
            <w:r>
              <w:rPr>
                <w:rFonts w:ascii="Arial" w:cs="Arial" w:eastAsia="Arial" w:hAnsi="Arial"/>
                <w:sz w:val="14"/>
                <w:szCs w:val="14"/>
                <w:color w:val="000000"/>
              </w:rPr>
              <w:t>– Financial expert</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1940" w:type="dxa"/>
            <w:vAlign w:val="bottom"/>
          </w:tcPr>
          <w:p>
            <w:pPr>
              <w:ind w:left="1260"/>
              <w:spacing w:after="0"/>
              <w:rPr>
                <w:sz w:val="20"/>
                <w:szCs w:val="20"/>
                <w:color w:val="auto"/>
              </w:rPr>
            </w:pPr>
            <w:r>
              <w:rPr>
                <w:rFonts w:ascii="Arial" w:cs="Arial" w:eastAsia="Arial" w:hAnsi="Arial"/>
                <w:sz w:val="14"/>
                <w:szCs w:val="14"/>
                <w:b w:val="1"/>
                <w:bCs w:val="1"/>
                <w:color w:val="auto"/>
              </w:rPr>
              <w:t>TENURE</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ind w:left="560"/>
              <w:spacing w:after="0"/>
              <w:rPr>
                <w:sz w:val="20"/>
                <w:szCs w:val="20"/>
                <w:color w:val="auto"/>
              </w:rPr>
            </w:pPr>
            <w:r>
              <w:rPr>
                <w:rFonts w:ascii="Arial" w:cs="Arial" w:eastAsia="Arial" w:hAnsi="Arial"/>
                <w:sz w:val="14"/>
                <w:szCs w:val="14"/>
                <w:b w:val="1"/>
                <w:bCs w:val="1"/>
                <w:color w:val="auto"/>
              </w:rPr>
              <w:t>BOARD COMPOSITION</w:t>
            </w:r>
          </w:p>
        </w:tc>
        <w:tc>
          <w:tcPr>
            <w:tcW w:w="660" w:type="dxa"/>
            <w:vAlign w:val="bottom"/>
          </w:tcPr>
          <w:p>
            <w:pPr>
              <w:spacing w:after="0"/>
              <w:rPr>
                <w:sz w:val="24"/>
                <w:szCs w:val="24"/>
                <w:color w:val="auto"/>
              </w:rPr>
            </w:pPr>
          </w:p>
        </w:tc>
        <w:tc>
          <w:tcPr>
            <w:tcW w:w="1540" w:type="dxa"/>
            <w:vAlign w:val="bottom"/>
            <w:gridSpan w:val="3"/>
          </w:tcPr>
          <w:p>
            <w:pPr>
              <w:ind w:left="360"/>
              <w:spacing w:after="0"/>
              <w:rPr>
                <w:sz w:val="20"/>
                <w:szCs w:val="20"/>
                <w:color w:val="auto"/>
              </w:rPr>
            </w:pPr>
            <w:r>
              <w:rPr>
                <w:rFonts w:ascii="Arial" w:cs="Arial" w:eastAsia="Arial" w:hAnsi="Arial"/>
                <w:sz w:val="14"/>
                <w:szCs w:val="14"/>
                <w:b w:val="1"/>
                <w:bCs w:val="1"/>
                <w:color w:val="auto"/>
              </w:rPr>
              <w:t>INDEPENDENCE</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-4224020</wp:posOffset>
            </wp:positionV>
            <wp:extent cx="1954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5915025" cy="1560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9" w:name="page10"/>
    <w:bookmarkEnd w:id="9"/>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2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t>EXECUTIVE SUMMARY</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C60C35"/>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38735</wp:posOffset>
            </wp:positionV>
            <wp:extent cx="51866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86680" cy="8255"/>
                    </a:xfrm>
                    <a:prstGeom prst="rect">
                      <a:avLst/>
                    </a:prstGeom>
                    <a:noFill/>
                  </pic:spPr>
                </pic:pic>
              </a:graphicData>
            </a:graphic>
          </wp:anchor>
        </w:drawing>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directors bring a well-rounded variety of experience and skills and represent a mix of deep knowledge of the Company and fresh perspectives. The experience and skills that the Board considers in evaluating its membership, and which inform Board succession planning and our director nomination processes, are highlighted in the following table. The table also identifies which continuing directors have particularly strong experience and skills in the areas described below.</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728"/>
        </w:trPr>
        <w:tc>
          <w:tcPr>
            <w:tcW w:w="6960" w:type="dxa"/>
            <w:vAlign w:val="bottom"/>
            <w:tcBorders>
              <w:top w:val="single" w:sz="8" w:color="auto"/>
              <w:left w:val="single" w:sz="8" w:color="auto"/>
              <w:right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  </w:t>
            </w:r>
          </w:p>
        </w:tc>
        <w:tc>
          <w:tcPr>
            <w:tcW w:w="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 </w:t>
            </w:r>
          </w:p>
        </w:tc>
        <w:tc>
          <w:tcPr>
            <w:tcW w:w="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w:t>
            </w:r>
          </w:p>
        </w:tc>
        <w:tc>
          <w:tcPr>
            <w:tcW w:w="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  </w:t>
            </w:r>
          </w:p>
        </w:tc>
        <w:tc>
          <w:tcPr>
            <w:tcW w:w="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311"/>
        </w:trPr>
        <w:tc>
          <w:tcPr>
            <w:tcW w:w="6960" w:type="dxa"/>
            <w:vAlign w:val="bottom"/>
            <w:tcBorders>
              <w:left w:val="single" w:sz="8" w:color="auto"/>
              <w:right w:val="single" w:sz="8" w:color="636466"/>
            </w:tcBorders>
            <w:shd w:val="clear" w:color="auto" w:fill="636466"/>
          </w:tcPr>
          <w:p>
            <w:pPr>
              <w:ind w:left="40"/>
              <w:spacing w:after="0"/>
              <w:rPr>
                <w:sz w:val="20"/>
                <w:szCs w:val="20"/>
                <w:color w:val="auto"/>
              </w:rPr>
            </w:pPr>
            <w:r>
              <w:rPr>
                <w:rFonts w:ascii="Arial" w:cs="Arial" w:eastAsia="Arial" w:hAnsi="Arial"/>
                <w:sz w:val="22"/>
                <w:szCs w:val="22"/>
                <w:b w:val="1"/>
                <w:bCs w:val="1"/>
                <w:color w:val="FFFFFF"/>
              </w:rPr>
              <w:t>Director Skills and Experience*</w:t>
            </w:r>
          </w:p>
        </w:tc>
        <w:tc>
          <w:tcPr>
            <w:tcW w:w="500" w:type="dxa"/>
            <w:vAlign w:val="bottom"/>
            <w:tcBorders>
              <w:right w:val="single" w:sz="8" w:color="636466"/>
            </w:tcBorders>
            <w:shd w:val="clear" w:color="auto" w:fill="636466"/>
          </w:tcPr>
          <w:p>
            <w:pPr>
              <w:spacing w:after="0"/>
              <w:rPr>
                <w:sz w:val="24"/>
                <w:szCs w:val="24"/>
                <w:color w:val="auto"/>
              </w:rPr>
            </w:pPr>
          </w:p>
        </w:tc>
        <w:tc>
          <w:tcPr>
            <w:tcW w:w="520" w:type="dxa"/>
            <w:vAlign w:val="bottom"/>
            <w:tcBorders>
              <w:right w:val="single" w:sz="8" w:color="636466"/>
            </w:tcBorders>
            <w:shd w:val="clear" w:color="auto" w:fill="636466"/>
          </w:tcPr>
          <w:p>
            <w:pPr>
              <w:spacing w:after="0"/>
              <w:rPr>
                <w:sz w:val="24"/>
                <w:szCs w:val="24"/>
                <w:color w:val="auto"/>
              </w:rPr>
            </w:pPr>
          </w:p>
        </w:tc>
        <w:tc>
          <w:tcPr>
            <w:tcW w:w="520" w:type="dxa"/>
            <w:vAlign w:val="bottom"/>
            <w:tcBorders>
              <w:right w:val="single" w:sz="8" w:color="636466"/>
            </w:tcBorders>
            <w:shd w:val="clear" w:color="auto" w:fill="636466"/>
          </w:tcPr>
          <w:p>
            <w:pPr>
              <w:spacing w:after="0"/>
              <w:rPr>
                <w:sz w:val="24"/>
                <w:szCs w:val="24"/>
                <w:color w:val="auto"/>
              </w:rPr>
            </w:pPr>
          </w:p>
        </w:tc>
        <w:tc>
          <w:tcPr>
            <w:tcW w:w="500" w:type="dxa"/>
            <w:vAlign w:val="bottom"/>
            <w:tcBorders>
              <w:right w:val="single" w:sz="8" w:color="636466"/>
            </w:tcBorders>
            <w:shd w:val="clear" w:color="auto" w:fill="636466"/>
          </w:tcPr>
          <w:p>
            <w:pPr>
              <w:spacing w:after="0"/>
              <w:rPr>
                <w:sz w:val="24"/>
                <w:szCs w:val="24"/>
                <w:color w:val="auto"/>
              </w:rPr>
            </w:pPr>
          </w:p>
        </w:tc>
        <w:tc>
          <w:tcPr>
            <w:tcW w:w="520" w:type="dxa"/>
            <w:vAlign w:val="bottom"/>
            <w:tcBorders>
              <w:right w:val="single" w:sz="8" w:color="636466"/>
            </w:tcBorders>
            <w:shd w:val="clear" w:color="auto" w:fill="636466"/>
          </w:tcPr>
          <w:p>
            <w:pPr>
              <w:spacing w:after="0"/>
              <w:rPr>
                <w:sz w:val="24"/>
                <w:szCs w:val="24"/>
                <w:color w:val="auto"/>
              </w:rPr>
            </w:pPr>
          </w:p>
        </w:tc>
        <w:tc>
          <w:tcPr>
            <w:tcW w:w="520" w:type="dxa"/>
            <w:vAlign w:val="bottom"/>
            <w:tcBorders>
              <w:right w:val="single" w:sz="8" w:color="636466"/>
            </w:tcBorders>
            <w:shd w:val="clear" w:color="auto" w:fill="636466"/>
          </w:tcPr>
          <w:p>
            <w:pPr>
              <w:spacing w:after="0"/>
              <w:rPr>
                <w:sz w:val="24"/>
                <w:szCs w:val="24"/>
                <w:color w:val="auto"/>
              </w:rPr>
            </w:pPr>
          </w:p>
        </w:tc>
        <w:tc>
          <w:tcPr>
            <w:tcW w:w="500" w:type="dxa"/>
            <w:vAlign w:val="bottom"/>
            <w:tcBorders>
              <w:right w:val="single" w:sz="8" w:color="636466"/>
            </w:tcBorders>
            <w:shd w:val="clear" w:color="auto" w:fill="636466"/>
          </w:tcPr>
          <w:p>
            <w:pPr>
              <w:spacing w:after="0"/>
              <w:rPr>
                <w:sz w:val="24"/>
                <w:szCs w:val="24"/>
                <w:color w:val="auto"/>
              </w:rPr>
            </w:pPr>
          </w:p>
        </w:tc>
        <w:tc>
          <w:tcPr>
            <w:tcW w:w="520" w:type="dxa"/>
            <w:vAlign w:val="bottom"/>
            <w:tcBorders>
              <w:right w:val="single" w:sz="8" w:color="auto"/>
            </w:tcBorders>
            <w:shd w:val="clear" w:color="auto" w:fill="636466"/>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Financial/Accounting</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75"/>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Finance &amp; financial accounting expertise, including experience as a financial officer, accounting officer,</w:t>
            </w:r>
          </w:p>
        </w:tc>
        <w:tc>
          <w:tcPr>
            <w:tcW w:w="50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controller, accountant, or auditor</w:t>
            </w: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Executive Leadership</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6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as a C-Suite executive of a public company</w:t>
            </w: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696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Manufacturing/Distribution</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6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managing large scale manufacturing or distribution operations</w:t>
            </w: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696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Environmental Sustainability/Climate-Related Risks</w:t>
            </w: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6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in environmental sustainability/climate-related risks</w:t>
            </w:r>
          </w:p>
        </w:tc>
        <w:tc>
          <w:tcPr>
            <w:tcW w:w="5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96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ERM</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6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in enterprise risk management, including identifying, assessing &amp; managing significant risks</w:t>
            </w: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96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Human Capital Management</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75"/>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Experience establishing and leading compensation and benefit programs, career development programs &amp;</w:t>
            </w:r>
          </w:p>
        </w:tc>
        <w:tc>
          <w:tcPr>
            <w:tcW w:w="50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inclusion &amp; belonging efforts</w:t>
            </w: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Marketing/Sales</w:t>
            </w: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6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growing market share and revenue through a variety of go-to-market channels</w:t>
            </w:r>
          </w:p>
        </w:tc>
        <w:tc>
          <w:tcPr>
            <w:tcW w:w="5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96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Cybersecurity</w:t>
            </w: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6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Work experience or a certification in cybersecurity or experience in security architecture</w:t>
            </w:r>
          </w:p>
        </w:tc>
        <w:tc>
          <w:tcPr>
            <w:tcW w:w="5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96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Innovation/Technology</w:t>
            </w: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6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in engineering, design &amp; technology innovation</w:t>
            </w:r>
          </w:p>
        </w:tc>
        <w:tc>
          <w:tcPr>
            <w:tcW w:w="5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96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C60C35"/>
              </w:rPr>
              <w:t>Strategic Planning/Oversight</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6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0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520" w:type="dxa"/>
            <w:vAlign w:val="bottom"/>
            <w:tcBorders>
              <w:right w:val="single" w:sz="8" w:color="auto"/>
            </w:tcBorders>
            <w:vMerge w:val="restart"/>
          </w:tcPr>
          <w:p>
            <w:pPr>
              <w:ind w:left="14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75"/>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Experience in strategic planning, developing business strategies &amp; mergers &amp; acquisitions in large</w:t>
            </w:r>
          </w:p>
        </w:tc>
        <w:tc>
          <w:tcPr>
            <w:tcW w:w="50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organizations operating in multiple geographies</w:t>
            </w: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-4148455</wp:posOffset>
            </wp:positionV>
            <wp:extent cx="163195" cy="316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3195" cy="31686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-3977005</wp:posOffset>
            </wp:positionV>
            <wp:extent cx="162560" cy="540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560" cy="54038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-3830955</wp:posOffset>
            </wp:positionV>
            <wp:extent cx="162560"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560" cy="39433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-3933825</wp:posOffset>
            </wp:positionV>
            <wp:extent cx="163195" cy="497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195" cy="4972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-4431030</wp:posOffset>
            </wp:positionV>
            <wp:extent cx="163195" cy="9944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3195" cy="99441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-3822700</wp:posOffset>
            </wp:positionV>
            <wp:extent cx="16256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560" cy="3771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-3719830</wp:posOffset>
            </wp:positionV>
            <wp:extent cx="16256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560" cy="27432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-4139565</wp:posOffset>
            </wp:positionV>
            <wp:extent cx="163195" cy="702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3195" cy="702945"/>
                    </a:xfrm>
                    <a:prstGeom prst="rect">
                      <a:avLst/>
                    </a:prstGeom>
                    <a:noFill/>
                  </pic:spPr>
                </pic:pic>
              </a:graphicData>
            </a:graphic>
          </wp:anchor>
        </w:drawing>
      </w:r>
    </w:p>
    <w:p>
      <w:pPr>
        <w:spacing w:after="0" w:line="218" w:lineRule="exact"/>
        <w:rPr>
          <w:sz w:val="20"/>
          <w:szCs w:val="20"/>
          <w:color w:val="auto"/>
        </w:rPr>
      </w:pPr>
    </w:p>
    <w:p>
      <w:pPr>
        <w:ind w:left="340" w:hanging="332"/>
        <w:spacing w:after="0" w:line="271" w:lineRule="auto"/>
        <w:tabs>
          <w:tab w:leader="none" w:pos="3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information about Janet K. Cooper and Gregory T. Swienton, who will be retiring immediately after the Annual Meeting. Further information about each individual director is set forth in the director biographies in this Proxy Statement.</w:t>
      </w:r>
    </w:p>
    <w:p>
      <w:pPr>
        <w:spacing w:after="0" w:line="38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21" w:right="439" w:bottom="1440" w:gutter="0" w:footer="0" w:header="0"/>
        </w:sectPr>
      </w:pPr>
    </w:p>
    <w:bookmarkStart w:id="10" w:name="page11"/>
    <w:bookmarkEnd w:id="10"/>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3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C6093B"/>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38735</wp:posOffset>
            </wp:positionV>
            <wp:extent cx="4963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29"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6"/>
          <w:szCs w:val="16"/>
          <w:color w:val="auto"/>
        </w:rPr>
        <w:t>Our management team and the Board are focused on serving the long-term interests of Lennox’s stockholders. The Board’s primary responsibility is the oversight of the Company’s management team, and the Board has a number of measures in place to continually enhance Board composition, efficiency, and effectiveness, demonstrated through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Independent Board Chair</w:t>
            </w:r>
          </w:p>
        </w:tc>
        <w:tc>
          <w:tcPr>
            <w:tcW w:w="340" w:type="dxa"/>
            <w:vAlign w:val="bottom"/>
          </w:tcPr>
          <w:p>
            <w:pPr>
              <w:spacing w:after="0"/>
              <w:rPr>
                <w:sz w:val="17"/>
                <w:szCs w:val="17"/>
                <w:color w:val="auto"/>
              </w:rPr>
            </w:pPr>
          </w:p>
        </w:tc>
        <w:tc>
          <w:tcPr>
            <w:tcW w:w="546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Mandatory Board Retirement age: 75</w:t>
            </w:r>
          </w:p>
        </w:tc>
        <w:tc>
          <w:tcPr>
            <w:tcW w:w="0" w:type="dxa"/>
            <w:vAlign w:val="bottom"/>
          </w:tcPr>
          <w:p>
            <w:pPr>
              <w:spacing w:after="0"/>
              <w:rPr>
                <w:sz w:val="1"/>
                <w:szCs w:val="1"/>
                <w:color w:val="auto"/>
              </w:rPr>
            </w:pPr>
          </w:p>
        </w:tc>
      </w:tr>
      <w:tr>
        <w:trPr>
          <w:trHeight w:val="215"/>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C60C35"/>
              </w:rPr>
              <w:t xml:space="preserve">Majority Voting </w:t>
            </w:r>
            <w:r>
              <w:rPr>
                <w:rFonts w:ascii="Arial" w:cs="Arial" w:eastAsia="Arial" w:hAnsi="Arial"/>
                <w:sz w:val="13"/>
                <w:szCs w:val="13"/>
                <w:b w:val="1"/>
                <w:bCs w:val="1"/>
                <w:color w:val="000000"/>
              </w:rPr>
              <w:t>(with carve-out in case of contested elections)</w:t>
            </w:r>
          </w:p>
        </w:tc>
        <w:tc>
          <w:tcPr>
            <w:tcW w:w="340" w:type="dxa"/>
            <w:vAlign w:val="bottom"/>
            <w:vMerge w:val="restart"/>
          </w:tcPr>
          <w:p>
            <w:pPr>
              <w:ind w:left="20"/>
              <w:spacing w:after="0"/>
              <w:rPr>
                <w:sz w:val="20"/>
                <w:szCs w:val="20"/>
                <w:color w:val="auto"/>
              </w:rPr>
            </w:pPr>
            <w:r>
              <w:rPr>
                <w:rFonts w:ascii="Arial" w:cs="Arial" w:eastAsia="Arial" w:hAnsi="Arial"/>
                <w:sz w:val="13"/>
                <w:szCs w:val="13"/>
                <w:b w:val="1"/>
                <w:bCs w:val="1"/>
                <w:color w:val="C60C35"/>
              </w:rPr>
              <w:t> </w:t>
            </w:r>
          </w:p>
        </w:tc>
        <w:tc>
          <w:tcPr>
            <w:tcW w:w="5460" w:type="dxa"/>
            <w:vAlign w:val="bottom"/>
          </w:tcPr>
          <w:p>
            <w:pPr>
              <w:ind w:left="20"/>
              <w:spacing w:after="0"/>
              <w:rPr>
                <w:sz w:val="20"/>
                <w:szCs w:val="20"/>
                <w:color w:val="auto"/>
              </w:rPr>
            </w:pPr>
            <w:r>
              <w:rPr>
                <w:rFonts w:ascii="Arial" w:cs="Arial" w:eastAsia="Arial" w:hAnsi="Arial"/>
                <w:sz w:val="13"/>
                <w:szCs w:val="13"/>
                <w:b w:val="1"/>
                <w:bCs w:val="1"/>
                <w:color w:val="C60C35"/>
              </w:rPr>
              <w:t xml:space="preserve">Key Committees 100% independent </w:t>
            </w:r>
            <w:r>
              <w:rPr>
                <w:rFonts w:ascii="Arial" w:cs="Arial" w:eastAsia="Arial" w:hAnsi="Arial"/>
                <w:sz w:val="13"/>
                <w:szCs w:val="13"/>
                <w:b w:val="1"/>
                <w:bCs w:val="1"/>
                <w:color w:val="000000"/>
              </w:rPr>
              <w:t>(Audit, Compensation, and Governance</w:t>
            </w:r>
          </w:p>
        </w:tc>
        <w:tc>
          <w:tcPr>
            <w:tcW w:w="0" w:type="dxa"/>
            <w:vAlign w:val="bottom"/>
          </w:tcPr>
          <w:p>
            <w:pPr>
              <w:spacing w:after="0"/>
              <w:rPr>
                <w:sz w:val="1"/>
                <w:szCs w:val="1"/>
                <w:color w:val="auto"/>
              </w:rPr>
            </w:pPr>
          </w:p>
        </w:tc>
      </w:tr>
      <w:tr>
        <w:trPr>
          <w:trHeight w:val="105"/>
        </w:trPr>
        <w:tc>
          <w:tcPr>
            <w:tcW w:w="5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(nominating) Committees)</w:t>
            </w:r>
          </w:p>
        </w:tc>
        <w:tc>
          <w:tcPr>
            <w:tcW w:w="0" w:type="dxa"/>
            <w:vAlign w:val="bottom"/>
          </w:tcPr>
          <w:p>
            <w:pPr>
              <w:spacing w:after="0"/>
              <w:rPr>
                <w:sz w:val="1"/>
                <w:szCs w:val="1"/>
                <w:color w:val="auto"/>
              </w:rPr>
            </w:pPr>
          </w:p>
        </w:tc>
      </w:tr>
      <w:tr>
        <w:trPr>
          <w:trHeight w:val="92"/>
        </w:trPr>
        <w:tc>
          <w:tcPr>
            <w:tcW w:w="5440" w:type="dxa"/>
            <w:vAlign w:val="bottom"/>
            <w:tcBorders>
              <w:bottom w:val="single" w:sz="8" w:color="636466"/>
            </w:tcBorders>
          </w:tcPr>
          <w:p>
            <w:pPr>
              <w:spacing w:after="0"/>
              <w:rPr>
                <w:sz w:val="8"/>
                <w:szCs w:val="8"/>
                <w:color w:val="auto"/>
              </w:rPr>
            </w:pPr>
          </w:p>
        </w:tc>
        <w:tc>
          <w:tcPr>
            <w:tcW w:w="340" w:type="dxa"/>
            <w:vAlign w:val="bottom"/>
          </w:tcPr>
          <w:p>
            <w:pPr>
              <w:spacing w:after="0"/>
              <w:rPr>
                <w:sz w:val="8"/>
                <w:szCs w:val="8"/>
                <w:color w:val="auto"/>
              </w:rPr>
            </w:pPr>
          </w:p>
        </w:tc>
        <w:tc>
          <w:tcPr>
            <w:tcW w:w="5460" w:type="dxa"/>
            <w:vAlign w:val="bottom"/>
            <w:tcBorders>
              <w:bottom w:val="single" w:sz="8" w:color="63646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No Directors Attended Less than 75% of Meetings</w:t>
            </w:r>
          </w:p>
        </w:tc>
        <w:tc>
          <w:tcPr>
            <w:tcW w:w="340" w:type="dxa"/>
            <w:vAlign w:val="bottom"/>
          </w:tcPr>
          <w:p>
            <w:pPr>
              <w:spacing w:after="0"/>
              <w:rPr>
                <w:sz w:val="21"/>
                <w:szCs w:val="21"/>
                <w:color w:val="auto"/>
              </w:rPr>
            </w:pPr>
          </w:p>
        </w:tc>
        <w:tc>
          <w:tcPr>
            <w:tcW w:w="546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Anti-Hedging and Pledging Policies</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auto"/>
              </w:rPr>
              <w:t xml:space="preserve">Board is </w:t>
            </w:r>
            <w:r>
              <w:rPr>
                <w:rFonts w:ascii="Arial" w:cs="Arial" w:eastAsia="Arial" w:hAnsi="Arial"/>
                <w:sz w:val="13"/>
                <w:szCs w:val="13"/>
                <w:b w:val="1"/>
                <w:bCs w:val="1"/>
                <w:color w:val="C60C35"/>
              </w:rPr>
              <w:t>88% independent</w:t>
            </w:r>
            <w:r>
              <w:rPr>
                <w:rFonts w:ascii="Arial" w:cs="Arial" w:eastAsia="Arial" w:hAnsi="Arial"/>
                <w:sz w:val="13"/>
                <w:szCs w:val="13"/>
                <w:b w:val="1"/>
                <w:bCs w:val="1"/>
                <w:color w:val="auto"/>
              </w:rPr>
              <w:t xml:space="preserve"> (7 out of 8 continuing directors)</w:t>
            </w:r>
          </w:p>
        </w:tc>
        <w:tc>
          <w:tcPr>
            <w:tcW w:w="340" w:type="dxa"/>
            <w:vAlign w:val="bottom"/>
          </w:tcPr>
          <w:p>
            <w:pPr>
              <w:spacing w:after="0"/>
              <w:rPr>
                <w:sz w:val="21"/>
                <w:szCs w:val="21"/>
                <w:color w:val="auto"/>
              </w:rPr>
            </w:pPr>
          </w:p>
        </w:tc>
        <w:tc>
          <w:tcPr>
            <w:tcW w:w="546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No Material Related-Party Transactions</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 xml:space="preserve">Regularly Scheduled Executive Sessions </w:t>
            </w:r>
            <w:r>
              <w:rPr>
                <w:rFonts w:ascii="Arial" w:cs="Arial" w:eastAsia="Arial" w:hAnsi="Arial"/>
                <w:sz w:val="13"/>
                <w:szCs w:val="13"/>
                <w:b w:val="1"/>
                <w:bCs w:val="1"/>
                <w:color w:val="000000"/>
              </w:rPr>
              <w:t>of non-management directors</w:t>
            </w:r>
          </w:p>
        </w:tc>
        <w:tc>
          <w:tcPr>
            <w:tcW w:w="340" w:type="dxa"/>
            <w:vAlign w:val="bottom"/>
          </w:tcPr>
          <w:p>
            <w:pPr>
              <w:spacing w:after="0"/>
              <w:rPr>
                <w:sz w:val="21"/>
                <w:szCs w:val="21"/>
                <w:color w:val="auto"/>
              </w:rPr>
            </w:pPr>
          </w:p>
        </w:tc>
        <w:tc>
          <w:tcPr>
            <w:tcW w:w="546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 xml:space="preserve">3 Independent Board Members </w:t>
            </w:r>
            <w:r>
              <w:rPr>
                <w:rFonts w:ascii="Arial" w:cs="Arial" w:eastAsia="Arial" w:hAnsi="Arial"/>
                <w:sz w:val="13"/>
                <w:szCs w:val="13"/>
                <w:b w:val="1"/>
                <w:bCs w:val="1"/>
                <w:color w:val="000000"/>
              </w:rPr>
              <w:t>added in the last 5 yrs</w:t>
            </w:r>
          </w:p>
        </w:tc>
        <w:tc>
          <w:tcPr>
            <w:tcW w:w="0" w:type="dxa"/>
            <w:vAlign w:val="bottom"/>
          </w:tcPr>
          <w:p>
            <w:pPr>
              <w:spacing w:after="0"/>
              <w:rPr>
                <w:sz w:val="1"/>
                <w:szCs w:val="1"/>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3"/>
                <w:szCs w:val="13"/>
                <w:b w:val="1"/>
                <w:bCs w:val="1"/>
                <w:color w:val="C60C35"/>
              </w:rPr>
              <w:t xml:space="preserve">Women hold Board leadership positions </w:t>
            </w:r>
            <w:r>
              <w:rPr>
                <w:rFonts w:ascii="Arial" w:cs="Arial" w:eastAsia="Arial" w:hAnsi="Arial"/>
                <w:sz w:val="13"/>
                <w:szCs w:val="13"/>
                <w:b w:val="1"/>
                <w:bCs w:val="1"/>
                <w:color w:val="000000"/>
              </w:rPr>
              <w:t>(Governance (nominating) Committee &amp;</w:t>
            </w:r>
          </w:p>
        </w:tc>
        <w:tc>
          <w:tcPr>
            <w:tcW w:w="340" w:type="dxa"/>
            <w:vAlign w:val="bottom"/>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3"/>
                <w:szCs w:val="13"/>
                <w:b w:val="1"/>
                <w:bCs w:val="1"/>
                <w:color w:val="C60C35"/>
              </w:rPr>
              <w:t xml:space="preserve">Succession Planning </w:t>
            </w:r>
            <w:r>
              <w:rPr>
                <w:rFonts w:ascii="Arial" w:cs="Arial" w:eastAsia="Arial" w:hAnsi="Arial"/>
                <w:sz w:val="13"/>
                <w:szCs w:val="13"/>
                <w:b w:val="1"/>
                <w:bCs w:val="1"/>
                <w:color w:val="000000"/>
              </w:rPr>
              <w:t>annually for key executives; robust</w:t>
            </w:r>
            <w:r>
              <w:rPr>
                <w:rFonts w:ascii="Arial" w:cs="Arial" w:eastAsia="Arial" w:hAnsi="Arial"/>
                <w:sz w:val="13"/>
                <w:szCs w:val="13"/>
                <w:b w:val="1"/>
                <w:bCs w:val="1"/>
                <w:color w:val="C60C35"/>
              </w:rPr>
              <w:t xml:space="preserve"> CEO Succession Plan</w:t>
            </w:r>
          </w:p>
        </w:tc>
        <w:tc>
          <w:tcPr>
            <w:tcW w:w="0" w:type="dxa"/>
            <w:vAlign w:val="bottom"/>
          </w:tcPr>
          <w:p>
            <w:pPr>
              <w:spacing w:after="0"/>
              <w:rPr>
                <w:sz w:val="1"/>
                <w:szCs w:val="1"/>
                <w:color w:val="auto"/>
              </w:rPr>
            </w:pPr>
          </w:p>
        </w:tc>
      </w:tr>
      <w:tr>
        <w:trPr>
          <w:trHeight w:val="105"/>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Audit Committee chairs)</w:t>
            </w:r>
          </w:p>
        </w:tc>
        <w:tc>
          <w:tcPr>
            <w:tcW w:w="340" w:type="dxa"/>
            <w:vAlign w:val="bottom"/>
          </w:tcPr>
          <w:p>
            <w:pPr>
              <w:spacing w:after="0"/>
              <w:rPr>
                <w:sz w:val="9"/>
                <w:szCs w:val="9"/>
                <w:color w:val="auto"/>
              </w:rPr>
            </w:pPr>
          </w:p>
        </w:tc>
        <w:tc>
          <w:tcPr>
            <w:tcW w:w="5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440" w:type="dxa"/>
            <w:vAlign w:val="bottom"/>
            <w:tcBorders>
              <w:bottom w:val="single" w:sz="8" w:color="636466"/>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5460" w:type="dxa"/>
            <w:vAlign w:val="bottom"/>
            <w:tcBorders>
              <w:bottom w:val="single" w:sz="8" w:color="636466"/>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3"/>
                <w:szCs w:val="13"/>
                <w:b w:val="1"/>
                <w:bCs w:val="1"/>
                <w:color w:val="C60C35"/>
              </w:rPr>
              <w:t xml:space="preserve">No Overboarding </w:t>
            </w:r>
            <w:r>
              <w:rPr>
                <w:rFonts w:ascii="Arial" w:cs="Arial" w:eastAsia="Arial" w:hAnsi="Arial"/>
                <w:sz w:val="13"/>
                <w:szCs w:val="13"/>
                <w:b w:val="1"/>
                <w:bCs w:val="1"/>
                <w:color w:val="000000"/>
              </w:rPr>
              <w:t>(directors not permitted to serve on more than four other public</w:t>
            </w:r>
          </w:p>
        </w:tc>
        <w:tc>
          <w:tcPr>
            <w:tcW w:w="3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3"/>
                <w:szCs w:val="13"/>
                <w:b w:val="1"/>
                <w:bCs w:val="1"/>
                <w:color w:val="C60C35"/>
              </w:rPr>
              <w:t xml:space="preserve">Robust Stock Ownership Guidelines </w:t>
            </w:r>
            <w:r>
              <w:rPr>
                <w:rFonts w:ascii="Arial" w:cs="Arial" w:eastAsia="Arial" w:hAnsi="Arial"/>
                <w:sz w:val="13"/>
                <w:szCs w:val="13"/>
                <w:b w:val="1"/>
                <w:bCs w:val="1"/>
                <w:color w:val="000000"/>
              </w:rPr>
              <w:t>(5x retainer for Directors; 6x annual base</w:t>
            </w:r>
          </w:p>
        </w:tc>
        <w:tc>
          <w:tcPr>
            <w:tcW w:w="0" w:type="dxa"/>
            <w:vAlign w:val="bottom"/>
          </w:tcPr>
          <w:p>
            <w:pPr>
              <w:spacing w:after="0"/>
              <w:rPr>
                <w:sz w:val="1"/>
                <w:szCs w:val="1"/>
                <w:color w:val="auto"/>
              </w:rPr>
            </w:pPr>
          </w:p>
        </w:tc>
      </w:tr>
      <w:tr>
        <w:trPr>
          <w:trHeight w:val="197"/>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auto"/>
              </w:rPr>
              <w:t>company boards)</w:t>
            </w:r>
          </w:p>
        </w:tc>
        <w:tc>
          <w:tcPr>
            <w:tcW w:w="340" w:type="dxa"/>
            <w:vAlign w:val="bottom"/>
          </w:tcPr>
          <w:p>
            <w:pPr>
              <w:spacing w:after="0"/>
              <w:rPr>
                <w:sz w:val="17"/>
                <w:szCs w:val="17"/>
                <w:color w:val="auto"/>
              </w:rPr>
            </w:pPr>
          </w:p>
        </w:tc>
        <w:tc>
          <w:tcPr>
            <w:tcW w:w="546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auto"/>
              </w:rPr>
              <w:t>salary for CEO; and 3x annual base salary for executive vice presidents)</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 xml:space="preserve">Annual Self-Evaluation </w:t>
            </w:r>
            <w:r>
              <w:rPr>
                <w:rFonts w:ascii="Arial" w:cs="Arial" w:eastAsia="Arial" w:hAnsi="Arial"/>
                <w:sz w:val="13"/>
                <w:szCs w:val="13"/>
                <w:b w:val="1"/>
                <w:bCs w:val="1"/>
                <w:color w:val="000000"/>
              </w:rPr>
              <w:t>by the Board and its committees</w:t>
            </w:r>
          </w:p>
        </w:tc>
        <w:tc>
          <w:tcPr>
            <w:tcW w:w="340" w:type="dxa"/>
            <w:vAlign w:val="bottom"/>
          </w:tcPr>
          <w:p>
            <w:pPr>
              <w:spacing w:after="0"/>
              <w:rPr>
                <w:sz w:val="21"/>
                <w:szCs w:val="21"/>
                <w:color w:val="auto"/>
              </w:rPr>
            </w:pPr>
          </w:p>
        </w:tc>
        <w:tc>
          <w:tcPr>
            <w:tcW w:w="5460" w:type="dxa"/>
            <w:vAlign w:val="bottom"/>
            <w:tcBorders>
              <w:bottom w:val="single" w:sz="8" w:color="636466"/>
            </w:tcBorders>
          </w:tcPr>
          <w:p>
            <w:pPr>
              <w:ind w:left="20"/>
              <w:spacing w:after="0"/>
              <w:rPr>
                <w:sz w:val="20"/>
                <w:szCs w:val="20"/>
                <w:color w:val="auto"/>
              </w:rPr>
            </w:pPr>
            <w:r>
              <w:rPr>
                <w:rFonts w:ascii="Arial" w:cs="Arial" w:eastAsia="Arial" w:hAnsi="Arial"/>
                <w:sz w:val="13"/>
                <w:szCs w:val="13"/>
                <w:b w:val="1"/>
                <w:bCs w:val="1"/>
                <w:color w:val="C60C35"/>
              </w:rPr>
              <w:t>One Class of Voting Stock</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Arial" w:cs="Arial" w:eastAsia="Arial" w:hAnsi="Arial"/>
                <w:sz w:val="13"/>
                <w:szCs w:val="13"/>
                <w:b w:val="1"/>
                <w:bCs w:val="1"/>
                <w:color w:val="C60C35"/>
              </w:rPr>
              <w:t xml:space="preserve">Individual evaluation </w:t>
            </w:r>
            <w:r>
              <w:rPr>
                <w:rFonts w:ascii="Arial" w:cs="Arial" w:eastAsia="Arial" w:hAnsi="Arial"/>
                <w:sz w:val="13"/>
                <w:szCs w:val="13"/>
                <w:b w:val="1"/>
                <w:bCs w:val="1"/>
                <w:color w:val="000000"/>
              </w:rPr>
              <w:t>for director nominees</w:t>
            </w:r>
          </w:p>
        </w:tc>
        <w:tc>
          <w:tcPr>
            <w:tcW w:w="3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3"/>
                <w:szCs w:val="13"/>
                <w:b w:val="1"/>
                <w:bCs w:val="1"/>
                <w:color w:val="C60C35"/>
              </w:rPr>
              <w:t>No Poison Pill</w:t>
            </w:r>
          </w:p>
        </w:tc>
        <w:tc>
          <w:tcPr>
            <w:tcW w:w="0" w:type="dxa"/>
            <w:vAlign w:val="bottom"/>
          </w:tcPr>
          <w:p>
            <w:pPr>
              <w:spacing w:after="0"/>
              <w:rPr>
                <w:sz w:val="1"/>
                <w:szCs w:val="1"/>
                <w:color w:val="auto"/>
              </w:rPr>
            </w:pPr>
          </w:p>
        </w:tc>
      </w:tr>
      <w:tr>
        <w:trPr>
          <w:trHeight w:val="72"/>
        </w:trPr>
        <w:tc>
          <w:tcPr>
            <w:tcW w:w="5440" w:type="dxa"/>
            <w:vAlign w:val="bottom"/>
            <w:tcBorders>
              <w:bottom w:val="single" w:sz="8" w:color="636466"/>
            </w:tcBorders>
          </w:tcPr>
          <w:p>
            <w:pPr>
              <w:spacing w:after="0"/>
              <w:rPr>
                <w:sz w:val="6"/>
                <w:szCs w:val="6"/>
                <w:color w:val="auto"/>
              </w:rPr>
            </w:pPr>
          </w:p>
        </w:tc>
        <w:tc>
          <w:tcPr>
            <w:tcW w:w="340" w:type="dxa"/>
            <w:vAlign w:val="bottom"/>
          </w:tcPr>
          <w:p>
            <w:pPr>
              <w:spacing w:after="0"/>
              <w:rPr>
                <w:sz w:val="6"/>
                <w:szCs w:val="6"/>
                <w:color w:val="auto"/>
              </w:rPr>
            </w:pPr>
          </w:p>
        </w:tc>
        <w:tc>
          <w:tcPr>
            <w:tcW w:w="5460" w:type="dxa"/>
            <w:vAlign w:val="bottom"/>
            <w:tcBorders>
              <w:bottom w:val="single" w:sz="8" w:color="63646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C6093B"/>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38735</wp:posOffset>
            </wp:positionV>
            <wp:extent cx="5520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9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Board and its committees have oversight of important topics, as shown below, and are highly engaged in working through issues and discussing plans in both formal and informal meetings.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Full Board of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40"/>
              <w:spacing w:after="0"/>
              <w:rPr>
                <w:sz w:val="20"/>
                <w:szCs w:val="20"/>
                <w:color w:val="auto"/>
              </w:rPr>
            </w:pPr>
            <w:r>
              <w:rPr>
                <w:rFonts w:ascii="Arial" w:cs="Arial" w:eastAsia="Arial" w:hAnsi="Arial"/>
                <w:sz w:val="13"/>
                <w:szCs w:val="13"/>
                <w:color w:val="auto"/>
              </w:rPr>
              <w:t>Culture &amp; Values</w:t>
            </w:r>
          </w:p>
        </w:tc>
        <w:tc>
          <w:tcPr>
            <w:tcW w:w="376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Front-end Digital Customer Experience</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CEO Succession Planning &amp; Compensation</w:t>
            </w:r>
          </w:p>
        </w:tc>
        <w:tc>
          <w:tcPr>
            <w:tcW w:w="0" w:type="dxa"/>
            <w:vAlign w:val="bottom"/>
          </w:tcPr>
          <w:p>
            <w:pPr>
              <w:spacing w:after="0"/>
              <w:rPr>
                <w:sz w:val="1"/>
                <w:szCs w:val="1"/>
                <w:color w:val="auto"/>
              </w:rPr>
            </w:pPr>
          </w:p>
        </w:tc>
      </w:tr>
      <w:tr>
        <w:trPr>
          <w:trHeight w:val="216"/>
        </w:trPr>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40"/>
              <w:spacing w:after="0"/>
              <w:rPr>
                <w:sz w:val="20"/>
                <w:szCs w:val="20"/>
                <w:color w:val="auto"/>
              </w:rPr>
            </w:pPr>
            <w:r>
              <w:rPr>
                <w:rFonts w:ascii="Arial" w:cs="Arial" w:eastAsia="Arial" w:hAnsi="Arial"/>
                <w:sz w:val="13"/>
                <w:szCs w:val="13"/>
                <w:color w:val="auto"/>
              </w:rPr>
              <w:t>Financial Performance</w:t>
            </w:r>
          </w:p>
        </w:tc>
        <w:tc>
          <w:tcPr>
            <w:tcW w:w="376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Advanced Technology &amp; Artificial Intelligence</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Employee Engagement Survey</w:t>
            </w:r>
          </w:p>
        </w:tc>
        <w:tc>
          <w:tcPr>
            <w:tcW w:w="0" w:type="dxa"/>
            <w:vAlign w:val="bottom"/>
          </w:tcPr>
          <w:p>
            <w:pPr>
              <w:spacing w:after="0"/>
              <w:rPr>
                <w:sz w:val="1"/>
                <w:szCs w:val="1"/>
                <w:color w:val="auto"/>
              </w:rPr>
            </w:pPr>
          </w:p>
        </w:tc>
      </w:tr>
      <w:tr>
        <w:trPr>
          <w:trHeight w:val="193"/>
        </w:trPr>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40"/>
              <w:spacing w:after="0"/>
              <w:rPr>
                <w:sz w:val="20"/>
                <w:szCs w:val="20"/>
                <w:color w:val="auto"/>
              </w:rPr>
            </w:pPr>
            <w:r>
              <w:rPr>
                <w:rFonts w:ascii="Arial" w:cs="Arial" w:eastAsia="Arial" w:hAnsi="Arial"/>
                <w:sz w:val="13"/>
                <w:szCs w:val="13"/>
                <w:color w:val="auto"/>
              </w:rPr>
              <w:t>Stockholder Value Creation</w:t>
            </w:r>
          </w:p>
        </w:tc>
        <w:tc>
          <w:tcPr>
            <w:tcW w:w="376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Sustainable Product Development &amp; Innovation (including</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Energy, Waste, Water &amp; Refrigerant Management</w:t>
            </w:r>
          </w:p>
        </w:tc>
        <w:tc>
          <w:tcPr>
            <w:tcW w:w="0" w:type="dxa"/>
            <w:vAlign w:val="bottom"/>
          </w:tcPr>
          <w:p>
            <w:pPr>
              <w:spacing w:after="0"/>
              <w:rPr>
                <w:sz w:val="1"/>
                <w:szCs w:val="1"/>
                <w:color w:val="auto"/>
              </w:rPr>
            </w:pPr>
          </w:p>
        </w:tc>
      </w:tr>
      <w:tr>
        <w:trPr>
          <w:trHeight w:val="166"/>
        </w:trPr>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40"/>
              <w:spacing w:after="0"/>
              <w:rPr>
                <w:sz w:val="20"/>
                <w:szCs w:val="20"/>
                <w:color w:val="auto"/>
              </w:rPr>
            </w:pPr>
            <w:r>
              <w:rPr>
                <w:rFonts w:ascii="Arial" w:cs="Arial" w:eastAsia="Arial" w:hAnsi="Arial"/>
                <w:sz w:val="13"/>
                <w:szCs w:val="13"/>
                <w:color w:val="auto"/>
              </w:rPr>
              <w:t>M&amp;A/Strategy</w:t>
            </w:r>
          </w:p>
        </w:tc>
        <w:tc>
          <w:tcPr>
            <w:tcW w:w="220" w:type="dxa"/>
            <w:vAlign w:val="bottom"/>
          </w:tcPr>
          <w:p>
            <w:pPr>
              <w:spacing w:after="0"/>
              <w:rPr>
                <w:sz w:val="14"/>
                <w:szCs w:val="14"/>
                <w:color w:val="auto"/>
              </w:rPr>
            </w:pPr>
          </w:p>
        </w:tc>
        <w:tc>
          <w:tcPr>
            <w:tcW w:w="3540" w:type="dxa"/>
            <w:vAlign w:val="bottom"/>
            <w:gridSpan w:val="2"/>
          </w:tcPr>
          <w:p>
            <w:pPr>
              <w:ind w:left="40"/>
              <w:spacing w:after="0"/>
              <w:rPr>
                <w:sz w:val="20"/>
                <w:szCs w:val="20"/>
                <w:color w:val="auto"/>
              </w:rPr>
            </w:pPr>
            <w:r>
              <w:rPr>
                <w:rFonts w:ascii="Arial" w:cs="Arial" w:eastAsia="Arial" w:hAnsi="Arial"/>
                <w:sz w:val="13"/>
                <w:szCs w:val="13"/>
                <w:color w:val="auto"/>
              </w:rPr>
              <w:t>Product Safety)</w:t>
            </w: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Community Involvement &amp; Charitable Giving</w:t>
            </w:r>
          </w:p>
        </w:tc>
        <w:tc>
          <w:tcPr>
            <w:tcW w:w="0" w:type="dxa"/>
            <w:vAlign w:val="bottom"/>
          </w:tcPr>
          <w:p>
            <w:pPr>
              <w:spacing w:after="0"/>
              <w:rPr>
                <w:sz w:val="1"/>
                <w:szCs w:val="1"/>
                <w:color w:val="auto"/>
              </w:rPr>
            </w:pPr>
          </w:p>
        </w:tc>
      </w:tr>
      <w:tr>
        <w:trPr>
          <w:trHeight w:val="73"/>
        </w:trPr>
        <w:tc>
          <w:tcPr>
            <w:tcW w:w="220" w:type="dxa"/>
            <w:vAlign w:val="bottom"/>
            <w:vMerge w:val="continue"/>
          </w:tcPr>
          <w:p>
            <w:pPr>
              <w:spacing w:after="0"/>
              <w:rPr>
                <w:sz w:val="6"/>
                <w:szCs w:val="6"/>
                <w:color w:val="auto"/>
              </w:rPr>
            </w:pPr>
          </w:p>
        </w:tc>
        <w:tc>
          <w:tcPr>
            <w:tcW w:w="3520" w:type="dxa"/>
            <w:vAlign w:val="bottom"/>
            <w:gridSpan w:val="2"/>
            <w:vMerge w:val="continue"/>
          </w:tcPr>
          <w:p>
            <w:pPr>
              <w:spacing w:after="0"/>
              <w:rPr>
                <w:sz w:val="6"/>
                <w:szCs w:val="6"/>
                <w:color w:val="auto"/>
              </w:rPr>
            </w:pPr>
          </w:p>
        </w:tc>
        <w:tc>
          <w:tcPr>
            <w:tcW w:w="3760" w:type="dxa"/>
            <w:vAlign w:val="bottom"/>
            <w:gridSpan w:val="3"/>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Technology Infrastructure &amp; Cybersecurity</w:t>
            </w: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40"/>
              <w:spacing w:after="0"/>
              <w:rPr>
                <w:sz w:val="20"/>
                <w:szCs w:val="20"/>
                <w:color w:val="auto"/>
              </w:rPr>
            </w:pPr>
            <w:r>
              <w:rPr>
                <w:rFonts w:ascii="Arial" w:cs="Arial" w:eastAsia="Arial" w:hAnsi="Arial"/>
                <w:sz w:val="13"/>
                <w:szCs w:val="13"/>
                <w:color w:val="auto"/>
              </w:rPr>
              <w:t>Key Strategic Initiatives</w:t>
            </w:r>
          </w:p>
        </w:tc>
        <w:tc>
          <w:tcPr>
            <w:tcW w:w="3760" w:type="dxa"/>
            <w:vAlign w:val="bottom"/>
            <w:gridSpan w:val="3"/>
            <w:vMerge w:val="continue"/>
          </w:tcPr>
          <w:p>
            <w:pPr>
              <w:spacing w:after="0"/>
              <w:rPr>
                <w:sz w:val="12"/>
                <w:szCs w:val="12"/>
                <w:color w:val="auto"/>
              </w:rPr>
            </w:pP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Government Relations &amp; Regulations</w:t>
            </w:r>
          </w:p>
        </w:tc>
        <w:tc>
          <w:tcPr>
            <w:tcW w:w="0" w:type="dxa"/>
            <w:vAlign w:val="bottom"/>
          </w:tcPr>
          <w:p>
            <w:pPr>
              <w:spacing w:after="0"/>
              <w:rPr>
                <w:sz w:val="1"/>
                <w:szCs w:val="1"/>
                <w:color w:val="auto"/>
              </w:rPr>
            </w:pPr>
          </w:p>
        </w:tc>
      </w:tr>
      <w:tr>
        <w:trPr>
          <w:trHeight w:val="68"/>
        </w:trPr>
        <w:tc>
          <w:tcPr>
            <w:tcW w:w="220" w:type="dxa"/>
            <w:vAlign w:val="bottom"/>
            <w:vMerge w:val="continue"/>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3760" w:type="dxa"/>
            <w:vAlign w:val="bottom"/>
            <w:gridSpan w:val="3"/>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Supply Chain &amp; Logistics</w:t>
            </w: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40"/>
              <w:spacing w:after="0"/>
              <w:rPr>
                <w:sz w:val="20"/>
                <w:szCs w:val="20"/>
                <w:color w:val="auto"/>
              </w:rPr>
            </w:pPr>
            <w:r>
              <w:rPr>
                <w:rFonts w:ascii="Arial" w:cs="Arial" w:eastAsia="Arial" w:hAnsi="Arial"/>
                <w:sz w:val="13"/>
                <w:szCs w:val="13"/>
                <w:color w:val="auto"/>
              </w:rPr>
              <w:t>Stockholder Rights</w:t>
            </w:r>
          </w:p>
        </w:tc>
        <w:tc>
          <w:tcPr>
            <w:tcW w:w="3760" w:type="dxa"/>
            <w:vAlign w:val="bottom"/>
            <w:gridSpan w:val="3"/>
            <w:vMerge w:val="continue"/>
          </w:tcPr>
          <w:p>
            <w:pPr>
              <w:spacing w:after="0"/>
              <w:rPr>
                <w:sz w:val="12"/>
                <w:szCs w:val="12"/>
                <w:color w:val="auto"/>
              </w:rPr>
            </w:pP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ERM Oversight</w:t>
            </w:r>
          </w:p>
        </w:tc>
        <w:tc>
          <w:tcPr>
            <w:tcW w:w="0" w:type="dxa"/>
            <w:vAlign w:val="bottom"/>
          </w:tcPr>
          <w:p>
            <w:pPr>
              <w:spacing w:after="0"/>
              <w:rPr>
                <w:sz w:val="1"/>
                <w:szCs w:val="1"/>
                <w:color w:val="auto"/>
              </w:rPr>
            </w:pPr>
          </w:p>
        </w:tc>
      </w:tr>
      <w:tr>
        <w:trPr>
          <w:trHeight w:val="68"/>
        </w:trPr>
        <w:tc>
          <w:tcPr>
            <w:tcW w:w="220" w:type="dxa"/>
            <w:vAlign w:val="bottom"/>
            <w:vMerge w:val="continue"/>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20" w:type="dxa"/>
            <w:vAlign w:val="bottom"/>
            <w:tcBorders>
              <w:bottom w:val="single" w:sz="8" w:color="C60C35"/>
            </w:tcBorders>
          </w:tcPr>
          <w:p>
            <w:pPr>
              <w:spacing w:after="0"/>
              <w:rPr>
                <w:sz w:val="4"/>
                <w:szCs w:val="4"/>
                <w:color w:val="auto"/>
              </w:rPr>
            </w:pPr>
          </w:p>
        </w:tc>
        <w:tc>
          <w:tcPr>
            <w:tcW w:w="3380" w:type="dxa"/>
            <w:vAlign w:val="bottom"/>
            <w:tcBorders>
              <w:bottom w:val="single" w:sz="8" w:color="C60C35"/>
            </w:tcBorders>
          </w:tcPr>
          <w:p>
            <w:pPr>
              <w:spacing w:after="0"/>
              <w:rPr>
                <w:sz w:val="4"/>
                <w:szCs w:val="4"/>
                <w:color w:val="auto"/>
              </w:rPr>
            </w:pPr>
          </w:p>
        </w:tc>
        <w:tc>
          <w:tcPr>
            <w:tcW w:w="140" w:type="dxa"/>
            <w:vAlign w:val="bottom"/>
            <w:tcBorders>
              <w:bottom w:val="single" w:sz="8" w:color="C60C35"/>
            </w:tcBorders>
          </w:tcPr>
          <w:p>
            <w:pPr>
              <w:spacing w:after="0"/>
              <w:rPr>
                <w:sz w:val="4"/>
                <w:szCs w:val="4"/>
                <w:color w:val="auto"/>
              </w:rPr>
            </w:pPr>
          </w:p>
        </w:tc>
        <w:tc>
          <w:tcPr>
            <w:tcW w:w="220" w:type="dxa"/>
            <w:vAlign w:val="bottom"/>
            <w:tcBorders>
              <w:bottom w:val="single" w:sz="8" w:color="C60C35"/>
            </w:tcBorders>
          </w:tcPr>
          <w:p>
            <w:pPr>
              <w:spacing w:after="0"/>
              <w:rPr>
                <w:sz w:val="4"/>
                <w:szCs w:val="4"/>
                <w:color w:val="auto"/>
              </w:rPr>
            </w:pPr>
          </w:p>
        </w:tc>
        <w:tc>
          <w:tcPr>
            <w:tcW w:w="3540" w:type="dxa"/>
            <w:vAlign w:val="bottom"/>
            <w:tcBorders>
              <w:bottom w:val="single" w:sz="8" w:color="C60C35"/>
            </w:tcBorders>
            <w:gridSpan w:val="2"/>
          </w:tcPr>
          <w:p>
            <w:pPr>
              <w:spacing w:after="0"/>
              <w:rPr>
                <w:sz w:val="4"/>
                <w:szCs w:val="4"/>
                <w:color w:val="auto"/>
              </w:rPr>
            </w:pPr>
          </w:p>
        </w:tc>
        <w:tc>
          <w:tcPr>
            <w:tcW w:w="3740" w:type="dxa"/>
            <w:vAlign w:val="bottom"/>
            <w:tcBorders>
              <w:bottom w:val="single" w:sz="8" w:color="C60C35"/>
            </w:tcBorders>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2"/>
          </w:tcPr>
          <w:p>
            <w:pPr>
              <w:ind w:left="1600"/>
              <w:spacing w:after="0"/>
              <w:rPr>
                <w:sz w:val="20"/>
                <w:szCs w:val="20"/>
                <w:color w:val="auto"/>
              </w:rPr>
            </w:pPr>
            <w:r>
              <w:rPr>
                <w:rFonts w:ascii="Arial" w:cs="Arial" w:eastAsia="Arial" w:hAnsi="Arial"/>
                <w:sz w:val="29"/>
                <w:szCs w:val="29"/>
                <w:b w:val="1"/>
                <w:bCs w:val="1"/>
                <w:color w:val="auto"/>
              </w:rPr>
              <w: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600" w:type="dxa"/>
            <w:vAlign w:val="bottom"/>
            <w:tcBorders>
              <w:bottom w:val="single" w:sz="8" w:color="C6093B"/>
            </w:tcBorders>
            <w:gridSpan w:val="2"/>
          </w:tcPr>
          <w:p>
            <w:pPr>
              <w:spacing w:after="0"/>
              <w:rPr>
                <w:sz w:val="5"/>
                <w:szCs w:val="5"/>
                <w:color w:val="auto"/>
              </w:rPr>
            </w:pPr>
          </w:p>
        </w:tc>
        <w:tc>
          <w:tcPr>
            <w:tcW w:w="140" w:type="dxa"/>
            <w:vAlign w:val="bottom"/>
            <w:tcBorders>
              <w:bottom w:val="single" w:sz="8" w:color="C60C35"/>
            </w:tcBorders>
          </w:tcPr>
          <w:p>
            <w:pPr>
              <w:spacing w:after="0"/>
              <w:rPr>
                <w:sz w:val="5"/>
                <w:szCs w:val="5"/>
                <w:color w:val="auto"/>
              </w:rPr>
            </w:pPr>
          </w:p>
        </w:tc>
        <w:tc>
          <w:tcPr>
            <w:tcW w:w="220" w:type="dxa"/>
            <w:vAlign w:val="bottom"/>
            <w:tcBorders>
              <w:bottom w:val="single" w:sz="8" w:color="C60C35"/>
            </w:tcBorders>
          </w:tcPr>
          <w:p>
            <w:pPr>
              <w:spacing w:after="0"/>
              <w:rPr>
                <w:sz w:val="5"/>
                <w:szCs w:val="5"/>
                <w:color w:val="auto"/>
              </w:rPr>
            </w:pPr>
          </w:p>
        </w:tc>
        <w:tc>
          <w:tcPr>
            <w:tcW w:w="3400" w:type="dxa"/>
            <w:vAlign w:val="bottom"/>
            <w:tcBorders>
              <w:bottom w:val="single" w:sz="8" w:color="C60C35"/>
            </w:tcBorders>
          </w:tcPr>
          <w:p>
            <w:pPr>
              <w:spacing w:after="0"/>
              <w:rPr>
                <w:sz w:val="5"/>
                <w:szCs w:val="5"/>
                <w:color w:val="auto"/>
              </w:rPr>
            </w:pPr>
          </w:p>
        </w:tc>
        <w:tc>
          <w:tcPr>
            <w:tcW w:w="140" w:type="dxa"/>
            <w:vAlign w:val="bottom"/>
            <w:tcBorders>
              <w:bottom w:val="single" w:sz="8" w:color="C60C35"/>
            </w:tcBorders>
          </w:tcPr>
          <w:p>
            <w:pPr>
              <w:spacing w:after="0"/>
              <w:rPr>
                <w:sz w:val="5"/>
                <w:szCs w:val="5"/>
                <w:color w:val="auto"/>
              </w:rPr>
            </w:pPr>
          </w:p>
        </w:tc>
        <w:tc>
          <w:tcPr>
            <w:tcW w:w="3740" w:type="dxa"/>
            <w:vAlign w:val="bottom"/>
            <w:tcBorders>
              <w:bottom w:val="single" w:sz="8" w:color="C60C35"/>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740" w:type="dxa"/>
            <w:vAlign w:val="bottom"/>
            <w:gridSpan w:val="3"/>
            <w:shd w:val="clear" w:color="auto" w:fill="F2F2F2"/>
          </w:tcPr>
          <w:p>
            <w:pPr>
              <w:ind w:left="100"/>
              <w:spacing w:after="0"/>
              <w:rPr>
                <w:sz w:val="20"/>
                <w:szCs w:val="20"/>
                <w:color w:val="auto"/>
              </w:rPr>
            </w:pPr>
            <w:r>
              <w:rPr>
                <w:rFonts w:ascii="Arial" w:cs="Arial" w:eastAsia="Arial" w:hAnsi="Arial"/>
                <w:sz w:val="14"/>
                <w:szCs w:val="14"/>
                <w:b w:val="1"/>
                <w:bCs w:val="1"/>
                <w:color w:val="auto"/>
              </w:rPr>
              <w:t>Board-level Committees</w:t>
            </w:r>
          </w:p>
        </w:tc>
        <w:tc>
          <w:tcPr>
            <w:tcW w:w="220" w:type="dxa"/>
            <w:vAlign w:val="bottom"/>
            <w:shd w:val="clear" w:color="auto" w:fill="F2F2F2"/>
          </w:tcPr>
          <w:p>
            <w:pPr>
              <w:spacing w:after="0"/>
              <w:rPr>
                <w:sz w:val="19"/>
                <w:szCs w:val="19"/>
                <w:color w:val="auto"/>
              </w:rPr>
            </w:pPr>
          </w:p>
        </w:tc>
        <w:tc>
          <w:tcPr>
            <w:tcW w:w="34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374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100"/>
              <w:spacing w:after="0"/>
              <w:rPr>
                <w:sz w:val="20"/>
                <w:szCs w:val="20"/>
                <w:color w:val="auto"/>
              </w:rPr>
            </w:pPr>
            <w:r>
              <w:rPr>
                <w:rFonts w:ascii="Arial" w:cs="Arial" w:eastAsia="Arial" w:hAnsi="Arial"/>
                <w:sz w:val="14"/>
                <w:szCs w:val="14"/>
                <w:b w:val="1"/>
                <w:bCs w:val="1"/>
                <w:color w:val="auto"/>
              </w:rPr>
              <w:t>Audit Committee</w:t>
            </w:r>
          </w:p>
        </w:tc>
        <w:tc>
          <w:tcPr>
            <w:tcW w:w="3760" w:type="dxa"/>
            <w:vAlign w:val="bottom"/>
            <w:gridSpan w:val="3"/>
          </w:tcPr>
          <w:p>
            <w:pPr>
              <w:ind w:left="100"/>
              <w:spacing w:after="0"/>
              <w:rPr>
                <w:sz w:val="20"/>
                <w:szCs w:val="20"/>
                <w:color w:val="auto"/>
              </w:rPr>
            </w:pPr>
            <w:r>
              <w:rPr>
                <w:rFonts w:ascii="Arial" w:cs="Arial" w:eastAsia="Arial" w:hAnsi="Arial"/>
                <w:sz w:val="14"/>
                <w:szCs w:val="14"/>
                <w:b w:val="1"/>
                <w:bCs w:val="1"/>
                <w:color w:val="auto"/>
              </w:rPr>
              <w:t>Board Governance Committee</w:t>
            </w:r>
          </w:p>
        </w:tc>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Comp &amp; HR Committee</w:t>
            </w:r>
          </w:p>
        </w:tc>
        <w:tc>
          <w:tcPr>
            <w:tcW w:w="0" w:type="dxa"/>
            <w:vAlign w:val="bottom"/>
          </w:tcPr>
          <w:p>
            <w:pPr>
              <w:spacing w:after="0"/>
              <w:rPr>
                <w:sz w:val="1"/>
                <w:szCs w:val="1"/>
                <w:color w:val="auto"/>
              </w:rPr>
            </w:pPr>
          </w:p>
        </w:tc>
      </w:tr>
      <w:tr>
        <w:trPr>
          <w:trHeight w:val="69"/>
        </w:trPr>
        <w:tc>
          <w:tcPr>
            <w:tcW w:w="3600" w:type="dxa"/>
            <w:vAlign w:val="bottom"/>
            <w:tcBorders>
              <w:bottom w:val="single" w:sz="8" w:color="C60C35"/>
            </w:tcBorders>
            <w:gridSpan w:val="2"/>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C60C35"/>
            </w:tcBorders>
          </w:tcPr>
          <w:p>
            <w:pPr>
              <w:spacing w:after="0"/>
              <w:rPr>
                <w:sz w:val="6"/>
                <w:szCs w:val="6"/>
                <w:color w:val="auto"/>
              </w:rPr>
            </w:pPr>
          </w:p>
        </w:tc>
        <w:tc>
          <w:tcPr>
            <w:tcW w:w="3400" w:type="dxa"/>
            <w:vAlign w:val="bottom"/>
            <w:tcBorders>
              <w:bottom w:val="single" w:sz="8" w:color="C60C35"/>
            </w:tcBorders>
          </w:tcPr>
          <w:p>
            <w:pPr>
              <w:spacing w:after="0"/>
              <w:rPr>
                <w:sz w:val="6"/>
                <w:szCs w:val="6"/>
                <w:color w:val="auto"/>
              </w:rPr>
            </w:pPr>
          </w:p>
        </w:tc>
        <w:tc>
          <w:tcPr>
            <w:tcW w:w="140" w:type="dxa"/>
            <w:vAlign w:val="bottom"/>
          </w:tcPr>
          <w:p>
            <w:pPr>
              <w:spacing w:after="0"/>
              <w:rPr>
                <w:sz w:val="6"/>
                <w:szCs w:val="6"/>
                <w:color w:val="auto"/>
              </w:rPr>
            </w:pPr>
          </w:p>
        </w:tc>
        <w:tc>
          <w:tcPr>
            <w:tcW w:w="3740" w:type="dxa"/>
            <w:vAlign w:val="bottom"/>
            <w:tcBorders>
              <w:bottom w:val="single" w:sz="8" w:color="C60C35"/>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Climate Change Regulation &amp; SEC Disclosure</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40"/>
              <w:spacing w:after="0"/>
              <w:rPr>
                <w:sz w:val="20"/>
                <w:szCs w:val="20"/>
                <w:color w:val="auto"/>
              </w:rPr>
            </w:pPr>
            <w:r>
              <w:rPr>
                <w:rFonts w:ascii="Arial" w:cs="Arial" w:eastAsia="Arial" w:hAnsi="Arial"/>
                <w:sz w:val="13"/>
                <w:szCs w:val="13"/>
                <w:color w:val="auto"/>
              </w:rPr>
              <w:t>Stockholder Rights</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CEO Succession Planning &amp; Compensation</w:t>
            </w:r>
          </w:p>
        </w:tc>
        <w:tc>
          <w:tcPr>
            <w:tcW w:w="0" w:type="dxa"/>
            <w:vAlign w:val="bottom"/>
          </w:tcPr>
          <w:p>
            <w:pPr>
              <w:spacing w:after="0"/>
              <w:rPr>
                <w:sz w:val="1"/>
                <w:szCs w:val="1"/>
                <w:color w:val="auto"/>
              </w:rPr>
            </w:pP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Business Ethics, Compliance &amp; Anti-Corruption</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40"/>
              <w:spacing w:after="0"/>
              <w:rPr>
                <w:sz w:val="20"/>
                <w:szCs w:val="20"/>
                <w:color w:val="auto"/>
              </w:rPr>
            </w:pPr>
            <w:r>
              <w:rPr>
                <w:rFonts w:ascii="Arial" w:cs="Arial" w:eastAsia="Arial" w:hAnsi="Arial"/>
                <w:sz w:val="13"/>
                <w:szCs w:val="13"/>
                <w:color w:val="auto"/>
              </w:rPr>
              <w:t>Board Composition</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Executive Compensation</w:t>
            </w:r>
          </w:p>
        </w:tc>
        <w:tc>
          <w:tcPr>
            <w:tcW w:w="0" w:type="dxa"/>
            <w:vAlign w:val="bottom"/>
          </w:tcPr>
          <w:p>
            <w:pPr>
              <w:spacing w:after="0"/>
              <w:rPr>
                <w:sz w:val="1"/>
                <w:szCs w:val="1"/>
                <w:color w:val="auto"/>
              </w:rPr>
            </w:pP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Accounting &amp; Tax Transparency</w:t>
            </w:r>
          </w:p>
        </w:tc>
        <w:tc>
          <w:tcPr>
            <w:tcW w:w="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Employee Health &amp; Safety</w:t>
            </w:r>
          </w:p>
        </w:tc>
        <w:tc>
          <w:tcPr>
            <w:tcW w:w="0" w:type="dxa"/>
            <w:vAlign w:val="bottom"/>
          </w:tcPr>
          <w:p>
            <w:pPr>
              <w:spacing w:after="0"/>
              <w:rPr>
                <w:sz w:val="1"/>
                <w:szCs w:val="1"/>
                <w:color w:val="auto"/>
              </w:rPr>
            </w:pPr>
          </w:p>
        </w:tc>
      </w:tr>
      <w:tr>
        <w:trPr>
          <w:trHeight w:val="193"/>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ERM Processes &amp; Policies</w:t>
            </w:r>
          </w:p>
        </w:tc>
        <w:tc>
          <w:tcPr>
            <w:tcW w:w="2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Employee Engagement, Experience, Training &amp; Development</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ind w:left="260"/>
              <w:spacing w:after="0"/>
              <w:rPr>
                <w:sz w:val="20"/>
                <w:szCs w:val="20"/>
                <w:color w:val="auto"/>
              </w:rPr>
            </w:pPr>
            <w:r>
              <w:rPr>
                <w:rFonts w:ascii="Arial" w:cs="Arial" w:eastAsia="Arial" w:hAnsi="Arial"/>
                <w:sz w:val="13"/>
                <w:szCs w:val="13"/>
                <w:color w:val="auto"/>
              </w:rPr>
              <w:t>(including Leadership Development)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Pay Equity, Benefits &amp;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1" w:name="page12"/>
    <w:bookmarkEnd w:id="11"/>
    <w:p>
      <w:pPr>
        <w:ind w:left="3500"/>
        <w:spacing w:after="0"/>
        <w:rPr>
          <w:sz w:val="20"/>
          <w:szCs w:val="20"/>
          <w:color w:val="auto"/>
        </w:rPr>
      </w:pPr>
      <w:r>
        <w:rPr>
          <w:rFonts w:ascii="Arial" w:cs="Arial" w:eastAsia="Arial" w:hAnsi="Arial"/>
          <w:sz w:val="29"/>
          <w:szCs w:val="29"/>
          <w:b w:val="1"/>
          <w:bCs w:val="1"/>
          <w:color w:val="C60C35"/>
        </w:rPr>
        <w:drawing>
          <wp:anchor simplePos="0" relativeHeight="251657728" behindDoc="1" locked="0" layoutInCell="0" allowOverlap="1">
            <wp:simplePos x="0" y="0"/>
            <wp:positionH relativeFrom="page">
              <wp:posOffset>208280</wp:posOffset>
            </wp:positionH>
            <wp:positionV relativeFrom="page">
              <wp:posOffset>517525</wp:posOffset>
            </wp:positionV>
            <wp:extent cx="7115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890"/>
                    </a:xfrm>
                    <a:prstGeom prst="rect">
                      <a:avLst/>
                    </a:prstGeom>
                    <a:noFill/>
                  </pic:spPr>
                </pic:pic>
              </a:graphicData>
            </a:graphic>
          </wp:anchor>
        </w:drawing>
        <w:t>Proposals Requiring Your Vote</w:t>
      </w:r>
    </w:p>
    <w:p>
      <w:pPr>
        <w:spacing w:after="0" w:line="193"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C60C35"/>
        </w:rPr>
        <w:t>Proposal 1</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C60C3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31115</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Bylaws provide that our Board may be composed of no less than three and no more than 15 members. The size of our Board is currently fixed at ten members, divided into three classes, with each class serving a three-year term. The size of the Board will be reduced by two members, effective upon Janet K. Cooper's and Gregory T. Swienton's retirements immediately following the Annual Meeting.</w:t>
      </w:r>
    </w:p>
    <w:p>
      <w:pPr>
        <w:spacing w:after="0" w:line="108"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Upon the recommendation of the Board Governance Committee, the Board has nominated two Class III directors for re-election of a three-year term expiring at the 2028 Annual Meeting of Stockholders. The Board has nominated the directors using the process and criteria described in the “Corporate Governance—Board of Directors— Board Refreshment and Nomination Process” section of this Proxy Statement.</w:t>
      </w:r>
    </w:p>
    <w:p>
      <w:pPr>
        <w:spacing w:after="0" w:line="13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For each director and director nominee, we have included a biographical description below that includes the specific experience, attributes, and skills that led to the Board’s conclusion that such person should serve as a director of the Company at this time in light of our business and structure.</w:t>
      </w:r>
    </w:p>
    <w:p>
      <w:pPr>
        <w:spacing w:after="0" w:line="12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If you do not wish to vote your shares for any particular nominee, you may withhold your vote. If any director nominee becomes unavailable to serve, the persons named in the accompanying Proxy Card may vote for any alternate designated by the incumbent Board, or the number of directors constituting the Board may be reduced.</w:t>
      </w: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The Board has nominated the following directors for re-election as Class III directors for a three-year term expiring at the 2028</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126365</wp:posOffset>
            </wp:positionV>
            <wp:extent cx="5974715" cy="5477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74715" cy="5477510"/>
                    </a:xfrm>
                    <a:prstGeom prst="rect">
                      <a:avLst/>
                    </a:prstGeom>
                    <a:noFill/>
                  </pic:spPr>
                </pic:pic>
              </a:graphicData>
            </a:graphic>
          </wp:anchor>
        </w:drawing>
      </w:r>
    </w:p>
    <w:p>
      <w:pPr>
        <w:sectPr>
          <w:pgSz w:w="11900" w:h="16838" w:orient="portrait"/>
          <w:cols w:equalWidth="0" w:num="1">
            <w:col w:w="10780"/>
          </w:cols>
          <w:pgMar w:left="320" w:top="769" w:right="7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C60C35"/>
        </w:rPr>
        <w:t>Alok Maskara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Class III</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Director</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Executive</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ind w:left="1100" w:right="200"/>
        <w:spacing w:after="0" w:line="261" w:lineRule="auto"/>
        <w:rPr>
          <w:sz w:val="20"/>
          <w:szCs w:val="20"/>
          <w:color w:val="auto"/>
        </w:rPr>
      </w:pPr>
      <w:r>
        <w:rPr>
          <w:rFonts w:ascii="Arial" w:cs="Arial" w:eastAsia="Arial" w:hAnsi="Arial"/>
          <w:sz w:val="17"/>
          <w:szCs w:val="17"/>
          <w:color w:val="auto"/>
        </w:rPr>
        <w:t>Executive Leadership Manufacturing/Distribution ERM</w:t>
      </w:r>
    </w:p>
    <w:p>
      <w:pPr>
        <w:spacing w:after="0" w:line="1" w:lineRule="exact"/>
        <w:rPr>
          <w:sz w:val="20"/>
          <w:szCs w:val="20"/>
          <w:color w:val="auto"/>
        </w:rPr>
      </w:pPr>
    </w:p>
    <w:p>
      <w:pPr>
        <w:ind w:left="1100"/>
        <w:spacing w:after="0" w:line="254" w:lineRule="auto"/>
        <w:rPr>
          <w:sz w:val="20"/>
          <w:szCs w:val="20"/>
          <w:color w:val="auto"/>
        </w:rPr>
      </w:pPr>
      <w:r>
        <w:rPr>
          <w:rFonts w:ascii="Arial" w:cs="Arial" w:eastAsia="Arial" w:hAnsi="Arial"/>
          <w:sz w:val="17"/>
          <w:szCs w:val="17"/>
          <w:color w:val="auto"/>
        </w:rPr>
        <w:t>Human Capital Management Marketing/Sales Cybersecurity</w:t>
      </w:r>
    </w:p>
    <w:p>
      <w:pPr>
        <w:ind w:left="1100"/>
        <w:spacing w:after="0" w:line="279" w:lineRule="auto"/>
        <w:rPr>
          <w:sz w:val="20"/>
          <w:szCs w:val="20"/>
          <w:color w:val="auto"/>
        </w:rPr>
      </w:pPr>
      <w:r>
        <w:rPr>
          <w:rFonts w:ascii="Arial" w:cs="Arial" w:eastAsia="Arial" w:hAnsi="Arial"/>
          <w:sz w:val="17"/>
          <w:szCs w:val="17"/>
          <w:color w:val="auto"/>
        </w:rPr>
        <w:t>Innovation/Technology Strategic Planning/Oversight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156"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8"/>
          <w:szCs w:val="18"/>
          <w:color w:val="auto"/>
        </w:rPr>
        <w:t>President and Chief Executive Officer (2022 – present)</w:t>
      </w:r>
    </w:p>
    <w:p>
      <w:pPr>
        <w:spacing w:after="0" w:line="13" w:lineRule="exact"/>
        <w:rPr>
          <w:rFonts w:ascii="Arial" w:cs="Arial" w:eastAsia="Arial" w:hAnsi="Arial"/>
          <w:sz w:val="14"/>
          <w:szCs w:val="14"/>
          <w:color w:val="auto"/>
        </w:rPr>
      </w:pPr>
    </w:p>
    <w:p>
      <w:pPr>
        <w:ind w:left="640" w:right="700" w:hanging="315"/>
        <w:spacing w:after="0" w:line="241" w:lineRule="auto"/>
        <w:tabs>
          <w:tab w:leader="none" w:pos="636" w:val="left"/>
        </w:tabs>
        <w:numPr>
          <w:ilvl w:val="0"/>
          <w:numId w:val="7"/>
        </w:numPr>
        <w:rPr>
          <w:rFonts w:ascii="Arial" w:cs="Arial" w:eastAsia="Arial" w:hAnsi="Arial"/>
          <w:sz w:val="14"/>
          <w:szCs w:val="14"/>
          <w:color w:val="auto"/>
        </w:rPr>
      </w:pPr>
      <w:r>
        <w:rPr>
          <w:rFonts w:ascii="Arial" w:cs="Arial" w:eastAsia="Arial" w:hAnsi="Arial"/>
          <w:sz w:val="18"/>
          <w:szCs w:val="18"/>
          <w:color w:val="auto"/>
        </w:rPr>
        <w:t>Chief Executive Officer and Director, Luxfer Holdings PLC, a publicly traded international industrial company focused on advanced materials (2017 – 2022). He spearheaded the company’s transformation, led value-enhancing acquisitions and partnerships, and drove growth in profitability</w:t>
      </w:r>
    </w:p>
    <w:p>
      <w:pPr>
        <w:ind w:left="640" w:right="740" w:hanging="315"/>
        <w:spacing w:after="0" w:line="238" w:lineRule="auto"/>
        <w:tabs>
          <w:tab w:leader="none" w:pos="636" w:val="left"/>
        </w:tabs>
        <w:numPr>
          <w:ilvl w:val="0"/>
          <w:numId w:val="7"/>
        </w:numPr>
        <w:rPr>
          <w:rFonts w:ascii="Arial" w:cs="Arial" w:eastAsia="Arial" w:hAnsi="Arial"/>
          <w:sz w:val="14"/>
          <w:szCs w:val="14"/>
          <w:color w:val="auto"/>
        </w:rPr>
      </w:pPr>
      <w:r>
        <w:rPr>
          <w:rFonts w:ascii="Arial" w:cs="Arial" w:eastAsia="Arial" w:hAnsi="Arial"/>
          <w:sz w:val="18"/>
          <w:szCs w:val="18"/>
          <w:color w:val="auto"/>
        </w:rPr>
        <w:t>President, Global Business Units, Pentair PLC, a leading provider of water treatment and sustainable applications, including its former Technical Solutions segment with over $2 billion in revenue (2008 – 2017)</w:t>
      </w:r>
    </w:p>
    <w:p>
      <w:pPr>
        <w:spacing w:after="0" w:line="2" w:lineRule="exact"/>
        <w:rPr>
          <w:rFonts w:ascii="Arial" w:cs="Arial" w:eastAsia="Arial" w:hAnsi="Arial"/>
          <w:sz w:val="14"/>
          <w:szCs w:val="14"/>
          <w:color w:val="auto"/>
        </w:rPr>
      </w:pPr>
    </w:p>
    <w:p>
      <w:pPr>
        <w:ind w:left="640" w:right="660" w:hanging="315"/>
        <w:spacing w:after="0"/>
        <w:tabs>
          <w:tab w:leader="none" w:pos="636" w:val="left"/>
        </w:tabs>
        <w:numPr>
          <w:ilvl w:val="0"/>
          <w:numId w:val="7"/>
        </w:numPr>
        <w:rPr>
          <w:rFonts w:ascii="Arial" w:cs="Arial" w:eastAsia="Arial" w:hAnsi="Arial"/>
          <w:sz w:val="14"/>
          <w:szCs w:val="14"/>
          <w:color w:val="auto"/>
        </w:rPr>
      </w:pPr>
      <w:r>
        <w:rPr>
          <w:rFonts w:ascii="Arial" w:cs="Arial" w:eastAsia="Arial" w:hAnsi="Arial"/>
          <w:sz w:val="18"/>
          <w:szCs w:val="18"/>
          <w:color w:val="auto"/>
        </w:rPr>
        <w:t>General Manager, Residential &amp; Commercial Water, General Electric, a high-tech industrial company (2004 – 2008), which included significant experience in Lean Manufacturing</w:t>
      </w:r>
    </w:p>
    <w:p>
      <w:pPr>
        <w:ind w:left="640" w:right="760" w:hanging="315"/>
        <w:spacing w:after="0" w:line="245" w:lineRule="auto"/>
        <w:tabs>
          <w:tab w:leader="none" w:pos="636" w:val="left"/>
        </w:tabs>
        <w:numPr>
          <w:ilvl w:val="0"/>
          <w:numId w:val="7"/>
        </w:numPr>
        <w:rPr>
          <w:rFonts w:ascii="Arial" w:cs="Arial" w:eastAsia="Arial" w:hAnsi="Arial"/>
          <w:sz w:val="14"/>
          <w:szCs w:val="14"/>
          <w:color w:val="auto"/>
        </w:rPr>
      </w:pPr>
      <w:r>
        <w:rPr>
          <w:rFonts w:ascii="Arial" w:cs="Arial" w:eastAsia="Arial" w:hAnsi="Arial"/>
          <w:sz w:val="18"/>
          <w:szCs w:val="18"/>
          <w:color w:val="auto"/>
        </w:rPr>
        <w:t>Engagement Manager, McKinsey and Company, a global management consulting firm (2000 – 2004), advising businesses on industrial turnarounds and driving growth through customer insights and segmentation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48" w:lineRule="exact"/>
        <w:rPr>
          <w:sz w:val="20"/>
          <w:szCs w:val="20"/>
          <w:color w:val="auto"/>
        </w:rPr>
      </w:pPr>
    </w:p>
    <w:p>
      <w:pPr>
        <w:ind w:left="640" w:right="1180" w:hanging="315"/>
        <w:spacing w:after="0" w:line="261" w:lineRule="auto"/>
        <w:tabs>
          <w:tab w:leader="none" w:pos="636" w:val="left"/>
        </w:tabs>
        <w:numPr>
          <w:ilvl w:val="0"/>
          <w:numId w:val="8"/>
        </w:numPr>
        <w:rPr>
          <w:rFonts w:ascii="Arial" w:cs="Arial" w:eastAsia="Arial" w:hAnsi="Arial"/>
          <w:sz w:val="14"/>
          <w:szCs w:val="14"/>
          <w:color w:val="auto"/>
        </w:rPr>
      </w:pPr>
      <w:r>
        <w:rPr>
          <w:rFonts w:ascii="Arial" w:cs="Arial" w:eastAsia="Arial" w:hAnsi="Arial"/>
          <w:sz w:val="18"/>
          <w:szCs w:val="18"/>
          <w:color w:val="auto"/>
        </w:rPr>
        <w:t>Franklin Electric Co., Inc., a publicly traded global leader in the production and marketing of systems and components for the movement of water and automotive fuels (2021 – present)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40" w:hanging="315"/>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8"/>
          <w:szCs w:val="18"/>
          <w:color w:val="auto"/>
        </w:rPr>
        <w:t>B.Tech in Chemical Engineering, Indian Institute of Technology</w:t>
      </w:r>
    </w:p>
    <w:p>
      <w:pPr>
        <w:spacing w:after="0" w:line="27" w:lineRule="exact"/>
        <w:rPr>
          <w:rFonts w:ascii="Arial" w:cs="Arial" w:eastAsia="Arial" w:hAnsi="Arial"/>
          <w:sz w:val="14"/>
          <w:szCs w:val="14"/>
          <w:color w:val="auto"/>
        </w:rPr>
      </w:pPr>
    </w:p>
    <w:p>
      <w:pPr>
        <w:ind w:left="640" w:hanging="315"/>
        <w:spacing w:after="0" w:line="234"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8"/>
          <w:szCs w:val="18"/>
          <w:color w:val="auto"/>
        </w:rPr>
        <w:t>M.S. in Chemical Engineering, University of New Mexico</w:t>
      </w:r>
    </w:p>
    <w:p>
      <w:pPr>
        <w:ind w:left="640" w:hanging="315"/>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8"/>
          <w:szCs w:val="18"/>
          <w:color w:val="auto"/>
        </w:rPr>
        <w:t>M.B.A., Northwestern University Kellogg School of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61" w:lineRule="exact"/>
        <w:rPr>
          <w:sz w:val="20"/>
          <w:szCs w:val="20"/>
          <w:color w:val="auto"/>
        </w:rPr>
      </w:pPr>
    </w:p>
    <w:p>
      <w:pPr>
        <w:ind w:right="660"/>
        <w:spacing w:after="0" w:line="243" w:lineRule="auto"/>
        <w:rPr>
          <w:sz w:val="20"/>
          <w:szCs w:val="20"/>
          <w:color w:val="auto"/>
        </w:rPr>
      </w:pPr>
      <w:r>
        <w:rPr>
          <w:rFonts w:ascii="Arial" w:cs="Arial" w:eastAsia="Arial" w:hAnsi="Arial"/>
          <w:sz w:val="18"/>
          <w:szCs w:val="18"/>
          <w:color w:val="auto"/>
        </w:rPr>
        <w:t>Mr. Maskara has extensive experience in the areas of management, finance, accounting, manufacturing, and corporate governance. As CEO, he has a deep understanding of Lennox’s core businesses and end market dynamics. He successfully guided the company through the “Recover and Invest” phase of our Self-Help Transformation Plan and set the foundation for growth and expansion in the next phases. With his guidance, the team executed the turnaround of the commercial segment, increased margins through strategic pricing initiatives, and refreshed the company’s culture with a focus on accountability.</w:t>
      </w:r>
    </w:p>
    <w:p>
      <w:pPr>
        <w:spacing w:after="0" w:line="200" w:lineRule="exact"/>
        <w:rPr>
          <w:sz w:val="20"/>
          <w:szCs w:val="20"/>
          <w:color w:val="auto"/>
        </w:rPr>
      </w:pPr>
    </w:p>
    <w:p>
      <w:pPr>
        <w:sectPr>
          <w:pgSz w:w="11900" w:h="16838" w:orient="portrait"/>
          <w:cols w:equalWidth="0" w:num="2">
            <w:col w:w="3380" w:space="600"/>
            <w:col w:w="6800"/>
          </w:cols>
          <w:pgMar w:left="320" w:top="769" w:right="79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769" w:right="799" w:bottom="1440" w:gutter="0" w:footer="0" w:header="0"/>
          <w:type w:val="continuous"/>
        </w:sectPr>
      </w:pPr>
    </w:p>
    <w:bookmarkStart w:id="13" w:name="page14"/>
    <w:bookmarkEnd w:id="13"/>
    <w:p>
      <w:pPr>
        <w:spacing w:after="0" w:line="110" w:lineRule="exact"/>
        <w:rPr>
          <w:sz w:val="20"/>
          <w:szCs w:val="20"/>
          <w:color w:val="auto"/>
        </w:rPr>
      </w:pPr>
    </w:p>
    <w:p>
      <w:pPr>
        <w:spacing w:after="0" w:line="310" w:lineRule="auto"/>
        <w:rPr>
          <w:sz w:val="20"/>
          <w:szCs w:val="20"/>
          <w:color w:val="auto"/>
        </w:rPr>
      </w:pPr>
      <w:r>
        <w:rPr>
          <w:rFonts w:ascii="Arial" w:cs="Arial" w:eastAsia="Arial" w:hAnsi="Arial"/>
          <w:sz w:val="21"/>
          <w:szCs w:val="21"/>
          <w:b w:val="1"/>
          <w:bCs w:val="1"/>
          <w:color w:val="C60C35"/>
        </w:rPr>
        <w:t>Sivasankaran (“Soma”) Somasundaram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Governance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Executive Leadership Manufacturing/Distribution Sustainability</w:t>
      </w:r>
    </w:p>
    <w:p>
      <w:pPr>
        <w:spacing w:after="0" w:line="236" w:lineRule="auto"/>
        <w:rPr>
          <w:sz w:val="20"/>
          <w:szCs w:val="20"/>
          <w:color w:val="auto"/>
        </w:rPr>
      </w:pPr>
      <w:r>
        <w:rPr>
          <w:rFonts w:ascii="Arial" w:cs="Arial" w:eastAsia="Arial" w:hAnsi="Arial"/>
          <w:sz w:val="18"/>
          <w:szCs w:val="18"/>
          <w:color w:val="auto"/>
        </w:rPr>
        <w:t>ERM</w:t>
      </w:r>
    </w:p>
    <w:p>
      <w:pPr>
        <w:spacing w:after="0" w:line="235" w:lineRule="auto"/>
        <w:rPr>
          <w:sz w:val="20"/>
          <w:szCs w:val="20"/>
          <w:color w:val="auto"/>
        </w:rPr>
      </w:pPr>
      <w:r>
        <w:rPr>
          <w:rFonts w:ascii="Arial" w:cs="Arial" w:eastAsia="Arial" w:hAnsi="Arial"/>
          <w:sz w:val="18"/>
          <w:szCs w:val="18"/>
          <w:color w:val="auto"/>
        </w:rPr>
        <w:t>Human Capital Management</w:t>
      </w:r>
    </w:p>
    <w:p>
      <w:pPr>
        <w:spacing w:after="0"/>
        <w:rPr>
          <w:sz w:val="20"/>
          <w:szCs w:val="20"/>
          <w:color w:val="auto"/>
        </w:rPr>
      </w:pPr>
      <w:r>
        <w:rPr>
          <w:rFonts w:ascii="Arial" w:cs="Arial" w:eastAsia="Arial" w:hAnsi="Arial"/>
          <w:sz w:val="18"/>
          <w:szCs w:val="18"/>
          <w:color w:val="auto"/>
        </w:rPr>
        <w:t>Innovation/Technology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-197485</wp:posOffset>
            </wp:positionV>
            <wp:extent cx="5974715" cy="6317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74715" cy="6317615"/>
                    </a:xfrm>
                    <a:prstGeom prst="rect">
                      <a:avLst/>
                    </a:prstGeom>
                    <a:noFill/>
                  </pic:spPr>
                </pic:pic>
              </a:graphicData>
            </a:graphic>
          </wp:anchor>
        </w:drawing>
      </w:r>
    </w:p>
    <w:p>
      <w:pPr>
        <w:spacing w:after="0" w:line="122" w:lineRule="exact"/>
        <w:rPr>
          <w:sz w:val="20"/>
          <w:szCs w:val="20"/>
          <w:color w:val="auto"/>
        </w:rPr>
      </w:pPr>
    </w:p>
    <w:p>
      <w:pPr>
        <w:ind w:left="660" w:right="959" w:hanging="333"/>
        <w:spacing w:after="0" w:line="254" w:lineRule="auto"/>
        <w:tabs>
          <w:tab w:leader="none" w:pos="656" w:val="left"/>
        </w:tabs>
        <w:numPr>
          <w:ilvl w:val="0"/>
          <w:numId w:val="10"/>
        </w:numPr>
        <w:rPr>
          <w:rFonts w:ascii="Arial" w:cs="Arial" w:eastAsia="Arial" w:hAnsi="Arial"/>
          <w:sz w:val="13"/>
          <w:szCs w:val="13"/>
          <w:color w:val="auto"/>
        </w:rPr>
      </w:pPr>
      <w:r>
        <w:rPr>
          <w:rFonts w:ascii="Arial" w:cs="Arial" w:eastAsia="Arial" w:hAnsi="Arial"/>
          <w:sz w:val="17"/>
          <w:szCs w:val="17"/>
          <w:color w:val="auto"/>
        </w:rPr>
        <w:t>Director, President &amp; Chief Executive Officer, ChampionX (previously Apegy Corporation), a publicly traded global leader in chemistry solutions, artificial lift systems, and highly engineered equipment and technologies, and a spin-off of Dover Corporation (2018 – present)</w:t>
      </w:r>
    </w:p>
    <w:p>
      <w:pPr>
        <w:ind w:left="660" w:right="1119" w:hanging="333"/>
        <w:spacing w:after="0" w:line="234"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8"/>
          <w:szCs w:val="18"/>
          <w:color w:val="auto"/>
        </w:rPr>
        <w:t>President and Chief Executive Officer, Energy Segment (2013 – 2018); Executive Vice President, Energy Segment (2012 – 2013); Executive Vice President, Dover Fluid Management (2010 – 2011); President, Fluid Solutions Platform (2008 – 2010); and other executive leadership roles (2004 - 2008), Dover Corporation, an American conglomerate manufacturer of industrial products</w:t>
      </w:r>
    </w:p>
    <w:p>
      <w:pPr>
        <w:spacing w:after="0" w:line="4" w:lineRule="exact"/>
        <w:rPr>
          <w:rFonts w:ascii="Arial" w:cs="Arial" w:eastAsia="Arial" w:hAnsi="Arial"/>
          <w:sz w:val="14"/>
          <w:szCs w:val="14"/>
          <w:color w:val="auto"/>
        </w:rPr>
      </w:pPr>
    </w:p>
    <w:p>
      <w:pPr>
        <w:ind w:left="660" w:right="1379" w:hanging="333"/>
        <w:spacing w:after="0" w:line="229"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8"/>
          <w:szCs w:val="18"/>
          <w:color w:val="auto"/>
        </w:rPr>
        <w:t>Various global leadership roles at GL&amp;V Inc., a global mining, industrial, pulp and paper technology solutions supplier (2002 – 2004)</w:t>
      </w:r>
    </w:p>
    <w:p>
      <w:pPr>
        <w:spacing w:after="0" w:line="1" w:lineRule="exact"/>
        <w:rPr>
          <w:rFonts w:ascii="Arial" w:cs="Arial" w:eastAsia="Arial" w:hAnsi="Arial"/>
          <w:sz w:val="14"/>
          <w:szCs w:val="14"/>
          <w:color w:val="auto"/>
        </w:rPr>
      </w:pPr>
    </w:p>
    <w:p>
      <w:pPr>
        <w:ind w:left="660" w:right="1359" w:hanging="333"/>
        <w:spacing w:after="0" w:line="250"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8"/>
          <w:szCs w:val="18"/>
          <w:color w:val="auto"/>
        </w:rPr>
        <w:t>Various global leadership roles at Baker Hughes Inc., an energy products &amp; technology company (1996 – 2002)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38" w:lineRule="exact"/>
        <w:rPr>
          <w:sz w:val="20"/>
          <w:szCs w:val="20"/>
          <w:color w:val="auto"/>
        </w:rPr>
      </w:pPr>
    </w:p>
    <w:p>
      <w:pPr>
        <w:ind w:left="640" w:hanging="31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8"/>
          <w:szCs w:val="18"/>
          <w:color w:val="auto"/>
        </w:rPr>
        <w:t>2024 ALLY Energy GRIT Lifetime Achievement Award recipient</w:t>
      </w:r>
    </w:p>
    <w:p>
      <w:pPr>
        <w:spacing w:after="0" w:line="9" w:lineRule="exact"/>
        <w:rPr>
          <w:rFonts w:ascii="Arial" w:cs="Arial" w:eastAsia="Arial" w:hAnsi="Arial"/>
          <w:sz w:val="14"/>
          <w:szCs w:val="14"/>
          <w:color w:val="auto"/>
        </w:rPr>
      </w:pPr>
    </w:p>
    <w:p>
      <w:pPr>
        <w:ind w:left="660" w:right="1039" w:hanging="333"/>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National Petroleum Council, a federally chartered advisory committee (2023 – 2024)</w:t>
      </w:r>
    </w:p>
    <w:p>
      <w:pPr>
        <w:spacing w:after="0" w:line="1" w:lineRule="exact"/>
        <w:rPr>
          <w:rFonts w:ascii="Arial" w:cs="Arial" w:eastAsia="Arial" w:hAnsi="Arial"/>
          <w:sz w:val="18"/>
          <w:szCs w:val="18"/>
          <w:color w:val="auto"/>
        </w:rPr>
      </w:pPr>
    </w:p>
    <w:p>
      <w:pPr>
        <w:ind w:left="660" w:right="999" w:hanging="333"/>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Magellan Midstream Partners, L.P. a publicly traded energy pipeline operator (2022 – 2023)</w:t>
      </w:r>
    </w:p>
    <w:p>
      <w:pPr>
        <w:spacing w:after="0" w:line="1" w:lineRule="exact"/>
        <w:rPr>
          <w:rFonts w:ascii="Arial" w:cs="Arial" w:eastAsia="Arial" w:hAnsi="Arial"/>
          <w:sz w:val="18"/>
          <w:szCs w:val="18"/>
          <w:color w:val="auto"/>
        </w:rPr>
      </w:pPr>
    </w:p>
    <w:p>
      <w:pPr>
        <w:ind w:left="660" w:right="1499" w:hanging="333"/>
        <w:spacing w:after="0" w:line="234" w:lineRule="auto"/>
        <w:tabs>
          <w:tab w:leader="none" w:pos="656" w:val="left"/>
        </w:tabs>
        <w:numPr>
          <w:ilvl w:val="0"/>
          <w:numId w:val="11"/>
        </w:numPr>
        <w:rPr>
          <w:rFonts w:ascii="Arial" w:cs="Arial" w:eastAsia="Arial" w:hAnsi="Arial"/>
          <w:sz w:val="14"/>
          <w:szCs w:val="14"/>
          <w:color w:val="auto"/>
        </w:rPr>
      </w:pPr>
      <w:r>
        <w:rPr>
          <w:rFonts w:ascii="Arial" w:cs="Arial" w:eastAsia="Arial" w:hAnsi="Arial"/>
          <w:sz w:val="18"/>
          <w:szCs w:val="18"/>
          <w:color w:val="auto"/>
        </w:rPr>
        <w:t>Named a “2022 Most Admired CEO” by the Houston Business Journal</w:t>
      </w:r>
    </w:p>
    <w:p>
      <w:pPr>
        <w:spacing w:after="0" w:line="1" w:lineRule="exact"/>
        <w:rPr>
          <w:rFonts w:ascii="Arial" w:cs="Arial" w:eastAsia="Arial" w:hAnsi="Arial"/>
          <w:sz w:val="14"/>
          <w:szCs w:val="14"/>
          <w:color w:val="auto"/>
        </w:rPr>
      </w:pPr>
    </w:p>
    <w:p>
      <w:pPr>
        <w:ind w:left="660" w:right="1639" w:hanging="333"/>
        <w:spacing w:after="0" w:line="250" w:lineRule="auto"/>
        <w:tabs>
          <w:tab w:leader="none" w:pos="656" w:val="left"/>
        </w:tabs>
        <w:numPr>
          <w:ilvl w:val="0"/>
          <w:numId w:val="11"/>
        </w:numPr>
        <w:rPr>
          <w:rFonts w:ascii="Arial" w:cs="Arial" w:eastAsia="Arial" w:hAnsi="Arial"/>
          <w:sz w:val="14"/>
          <w:szCs w:val="14"/>
          <w:color w:val="auto"/>
        </w:rPr>
      </w:pPr>
      <w:r>
        <w:rPr>
          <w:rFonts w:ascii="Arial" w:cs="Arial" w:eastAsia="Arial" w:hAnsi="Arial"/>
          <w:sz w:val="18"/>
          <w:szCs w:val="18"/>
          <w:color w:val="auto"/>
        </w:rPr>
        <w:t>2022 recipient, Energy Workforce &amp; Technology Council DEI Champion Award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38" w:lineRule="exact"/>
        <w:rPr>
          <w:sz w:val="20"/>
          <w:szCs w:val="20"/>
          <w:color w:val="auto"/>
        </w:rPr>
      </w:pPr>
    </w:p>
    <w:p>
      <w:pPr>
        <w:ind w:left="640" w:hanging="313"/>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8"/>
          <w:szCs w:val="18"/>
          <w:color w:val="auto"/>
        </w:rPr>
        <w:t>B.S., Mechanical Engineering, Anna University</w:t>
      </w:r>
    </w:p>
    <w:p>
      <w:pPr>
        <w:spacing w:after="0" w:line="9" w:lineRule="exact"/>
        <w:rPr>
          <w:rFonts w:ascii="Arial" w:cs="Arial" w:eastAsia="Arial" w:hAnsi="Arial"/>
          <w:sz w:val="14"/>
          <w:szCs w:val="14"/>
          <w:color w:val="auto"/>
        </w:rPr>
      </w:pPr>
    </w:p>
    <w:p>
      <w:pPr>
        <w:ind w:left="640" w:hanging="313"/>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8"/>
          <w:szCs w:val="18"/>
          <w:color w:val="auto"/>
        </w:rPr>
        <w:t>M.S., Industrial Engineering, University of Oklahoma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38" w:lineRule="exact"/>
        <w:rPr>
          <w:sz w:val="20"/>
          <w:szCs w:val="20"/>
          <w:color w:val="auto"/>
        </w:rPr>
      </w:pPr>
    </w:p>
    <w:p>
      <w:pPr>
        <w:ind w:right="979"/>
        <w:spacing w:after="0" w:line="234" w:lineRule="auto"/>
        <w:rPr>
          <w:sz w:val="20"/>
          <w:szCs w:val="20"/>
          <w:color w:val="auto"/>
        </w:rPr>
      </w:pPr>
      <w:r>
        <w:rPr>
          <w:rFonts w:ascii="Arial" w:cs="Arial" w:eastAsia="Arial" w:hAnsi="Arial"/>
          <w:sz w:val="18"/>
          <w:szCs w:val="18"/>
          <w:color w:val="auto"/>
        </w:rPr>
        <w:t>Mr. Somasundaram brings a depth of business, executive leadership, transformative growth strategies, operational, talent development, mergers &amp; acquisitions, and strategic development experience to the Board, including his service as President and Chief Executive Officer of Apegy Corporation starting in 2018 and through its transformational merger in 2020 when the company changed its name to ChampionX Corporation and four years as President and Chief Executive Officer of Dover Energy, a segment of Dover Corporation, a public company. With his strong executive leadership and his technical experience and degrees in both Industrial and Mechanical Engineering, he is uniquely positioned to assist the Board in assessing and managing the types of risks and opportunities faced by the Company. Mr.</w:t>
      </w:r>
    </w:p>
    <w:p>
      <w:pPr>
        <w:spacing w:after="0" w:line="8" w:lineRule="exact"/>
        <w:rPr>
          <w:sz w:val="20"/>
          <w:szCs w:val="20"/>
          <w:color w:val="auto"/>
        </w:rPr>
      </w:pPr>
    </w:p>
    <w:p>
      <w:pPr>
        <w:ind w:right="1499"/>
        <w:spacing w:after="0" w:line="242" w:lineRule="auto"/>
        <w:rPr>
          <w:sz w:val="20"/>
          <w:szCs w:val="20"/>
          <w:color w:val="auto"/>
        </w:rPr>
      </w:pPr>
      <w:r>
        <w:rPr>
          <w:rFonts w:ascii="Arial" w:cs="Arial" w:eastAsia="Arial" w:hAnsi="Arial"/>
          <w:sz w:val="18"/>
          <w:szCs w:val="18"/>
          <w:color w:val="auto"/>
        </w:rPr>
        <w:t>Somasundaram’s international experience also adds a valuable global perspective to the Board, having lived and worked in India, Germany, Singapore, and Australia.</w:t>
      </w:r>
    </w:p>
    <w:p>
      <w:pPr>
        <w:spacing w:after="0" w:line="200" w:lineRule="exact"/>
        <w:rPr>
          <w:sz w:val="20"/>
          <w:szCs w:val="20"/>
          <w:color w:val="auto"/>
        </w:rPr>
      </w:pPr>
    </w:p>
    <w:p>
      <w:pPr>
        <w:sectPr>
          <w:pgSz w:w="11900" w:h="16838" w:orient="portrait"/>
          <w:cols w:equalWidth="0" w:num="2">
            <w:col w:w="2400" w:space="480"/>
            <w:col w:w="7079"/>
          </w:cols>
          <w:pgMar w:left="500" w:top="919" w:right="1440" w:bottom="1440" w:gutter="0" w:footer="0" w:header="0"/>
        </w:sectPr>
      </w:pPr>
    </w:p>
    <w:p>
      <w:pPr>
        <w:spacing w:after="0" w:line="261" w:lineRule="exact"/>
        <w:rPr>
          <w:sz w:val="20"/>
          <w:szCs w:val="20"/>
          <w:color w:val="auto"/>
        </w:rPr>
      </w:pPr>
    </w:p>
    <w:p>
      <w:pPr>
        <w:jc w:val="center"/>
        <w:ind w:right="-940"/>
        <w:spacing w:after="0"/>
        <w:rPr>
          <w:sz w:val="20"/>
          <w:szCs w:val="20"/>
          <w:color w:val="auto"/>
        </w:rPr>
      </w:pPr>
      <w:r>
        <w:rPr>
          <w:rFonts w:ascii="Arial" w:cs="Arial" w:eastAsia="Arial" w:hAnsi="Arial"/>
          <w:sz w:val="29"/>
          <w:szCs w:val="29"/>
          <w:b w:val="1"/>
          <w:bCs w:val="1"/>
          <w:color w:val="C60C35"/>
        </w:rPr>
        <w:t>THE BOARD RECOMMENDS A VOTE “FOR”</w:t>
      </w:r>
    </w:p>
    <w:p>
      <w:pPr>
        <w:spacing w:after="0" w:line="21" w:lineRule="exact"/>
        <w:rPr>
          <w:sz w:val="20"/>
          <w:szCs w:val="20"/>
          <w:color w:val="auto"/>
        </w:rPr>
      </w:pPr>
    </w:p>
    <w:p>
      <w:pPr>
        <w:jc w:val="center"/>
        <w:ind w:right="-940"/>
        <w:spacing w:after="0"/>
        <w:rPr>
          <w:sz w:val="20"/>
          <w:szCs w:val="20"/>
          <w:color w:val="auto"/>
        </w:rPr>
      </w:pPr>
      <w:r>
        <w:rPr>
          <w:rFonts w:ascii="Arial" w:cs="Arial" w:eastAsia="Arial" w:hAnsi="Arial"/>
          <w:sz w:val="28"/>
          <w:szCs w:val="28"/>
          <w:b w:val="1"/>
          <w:bCs w:val="1"/>
          <w:color w:val="C60C35"/>
        </w:rPr>
        <w:t>THE ELECTION OF EACH OF THE ABOVE NOMINEES.</w:t>
      </w:r>
    </w:p>
    <w:p>
      <w:pPr>
        <w:spacing w:after="0" w:line="28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176530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919"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The following Class I directors’ terms will continue until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974715" cy="5915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74715" cy="591502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C6093B"/>
        </w:rPr>
        <w:t>John W. Norris,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Class I</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2001</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Committees</w:t>
      </w:r>
    </w:p>
    <w:p>
      <w:pPr>
        <w:spacing w:after="0" w:line="65" w:lineRule="exact"/>
        <w:rPr>
          <w:sz w:val="20"/>
          <w:szCs w:val="20"/>
          <w:color w:val="auto"/>
        </w:rPr>
      </w:pPr>
    </w:p>
    <w:p>
      <w:pPr>
        <w:ind w:left="180" w:right="140"/>
        <w:spacing w:after="0" w:line="252" w:lineRule="auto"/>
        <w:rPr>
          <w:sz w:val="20"/>
          <w:szCs w:val="20"/>
          <w:color w:val="auto"/>
        </w:rPr>
      </w:pPr>
      <w:r>
        <w:rPr>
          <w:rFonts w:ascii="Arial" w:cs="Arial" w:eastAsia="Arial" w:hAnsi="Arial"/>
          <w:sz w:val="18"/>
          <w:szCs w:val="18"/>
          <w:i w:val="1"/>
          <w:iCs w:val="1"/>
          <w:color w:val="auto"/>
        </w:rPr>
        <w:t>Board Governance Compensation and Human Resources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Sustainability</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156" w:lineRule="exact"/>
        <w:rPr>
          <w:sz w:val="20"/>
          <w:szCs w:val="20"/>
          <w:color w:val="auto"/>
        </w:rPr>
      </w:pPr>
    </w:p>
    <w:p>
      <w:pPr>
        <w:ind w:left="660" w:right="1159" w:hanging="333"/>
        <w:spacing w:after="0" w:line="235" w:lineRule="auto"/>
        <w:tabs>
          <w:tab w:leader="none" w:pos="656" w:val="left"/>
        </w:tabs>
        <w:numPr>
          <w:ilvl w:val="0"/>
          <w:numId w:val="13"/>
        </w:numPr>
        <w:rPr>
          <w:rFonts w:ascii="Arial" w:cs="Arial" w:eastAsia="Arial" w:hAnsi="Arial"/>
          <w:sz w:val="14"/>
          <w:szCs w:val="14"/>
          <w:color w:val="auto"/>
        </w:rPr>
      </w:pPr>
      <w:r>
        <w:rPr>
          <w:rFonts w:ascii="Arial" w:cs="Arial" w:eastAsia="Arial" w:hAnsi="Arial"/>
          <w:sz w:val="18"/>
          <w:szCs w:val="18"/>
          <w:color w:val="auto"/>
        </w:rPr>
        <w:t>Founding Chairman of two philanthropic collaboratives, the Environmental Funders Network and Climate Change Funders Forum, both focused on strategically aligning resources to address climate adaptation and mitigation strategies in Maine (2005 – present)</w:t>
      </w:r>
    </w:p>
    <w:p>
      <w:pPr>
        <w:spacing w:after="0" w:line="3" w:lineRule="exact"/>
        <w:rPr>
          <w:rFonts w:ascii="Arial" w:cs="Arial" w:eastAsia="Arial" w:hAnsi="Arial"/>
          <w:sz w:val="14"/>
          <w:szCs w:val="14"/>
          <w:color w:val="auto"/>
        </w:rPr>
      </w:pPr>
    </w:p>
    <w:p>
      <w:pPr>
        <w:ind w:left="660" w:right="1179" w:hanging="333"/>
        <w:spacing w:after="0" w:line="248" w:lineRule="auto"/>
        <w:tabs>
          <w:tab w:leader="none" w:pos="656" w:val="left"/>
        </w:tabs>
        <w:numPr>
          <w:ilvl w:val="0"/>
          <w:numId w:val="13"/>
        </w:numPr>
        <w:rPr>
          <w:rFonts w:ascii="Arial" w:cs="Arial" w:eastAsia="Arial" w:hAnsi="Arial"/>
          <w:sz w:val="13"/>
          <w:szCs w:val="13"/>
          <w:color w:val="auto"/>
        </w:rPr>
      </w:pPr>
      <w:r>
        <w:rPr>
          <w:rFonts w:ascii="Arial" w:cs="Arial" w:eastAsia="Arial" w:hAnsi="Arial"/>
          <w:sz w:val="17"/>
          <w:szCs w:val="17"/>
          <w:color w:val="auto"/>
        </w:rPr>
        <w:t>Co-founder of Maine Network Partners, an organization supporting grassroots leaders and non-profit organizations in developing collaborative solutions to achieve greater impact (2007 – 2021)</w:t>
      </w:r>
    </w:p>
    <w:p>
      <w:pPr>
        <w:spacing w:after="0" w:line="1" w:lineRule="exact"/>
        <w:rPr>
          <w:rFonts w:ascii="Arial" w:cs="Arial" w:eastAsia="Arial" w:hAnsi="Arial"/>
          <w:sz w:val="13"/>
          <w:szCs w:val="13"/>
          <w:color w:val="auto"/>
        </w:rPr>
      </w:pPr>
    </w:p>
    <w:p>
      <w:pPr>
        <w:ind w:left="660" w:right="1459" w:hanging="333"/>
        <w:spacing w:after="0" w:line="234" w:lineRule="auto"/>
        <w:tabs>
          <w:tab w:leader="none" w:pos="656" w:val="left"/>
        </w:tabs>
        <w:numPr>
          <w:ilvl w:val="0"/>
          <w:numId w:val="13"/>
        </w:numPr>
        <w:rPr>
          <w:rFonts w:ascii="Arial" w:cs="Arial" w:eastAsia="Arial" w:hAnsi="Arial"/>
          <w:sz w:val="14"/>
          <w:szCs w:val="14"/>
          <w:color w:val="auto"/>
        </w:rPr>
      </w:pPr>
      <w:r>
        <w:rPr>
          <w:rFonts w:ascii="Arial" w:cs="Arial" w:eastAsia="Arial" w:hAnsi="Arial"/>
          <w:sz w:val="18"/>
          <w:szCs w:val="18"/>
          <w:color w:val="auto"/>
        </w:rPr>
        <w:t>Program Officer - Rural Tourism Development, Northern Forest Center (2006 – 2007)</w:t>
      </w:r>
    </w:p>
    <w:p>
      <w:pPr>
        <w:spacing w:after="0" w:line="1" w:lineRule="exact"/>
        <w:rPr>
          <w:rFonts w:ascii="Arial" w:cs="Arial" w:eastAsia="Arial" w:hAnsi="Arial"/>
          <w:sz w:val="14"/>
          <w:szCs w:val="14"/>
          <w:color w:val="auto"/>
        </w:rPr>
      </w:pPr>
    </w:p>
    <w:p>
      <w:pPr>
        <w:ind w:left="660" w:right="1339" w:hanging="333"/>
        <w:spacing w:after="0" w:line="234" w:lineRule="auto"/>
        <w:tabs>
          <w:tab w:leader="none" w:pos="656" w:val="left"/>
        </w:tabs>
        <w:numPr>
          <w:ilvl w:val="0"/>
          <w:numId w:val="13"/>
        </w:numPr>
        <w:rPr>
          <w:rFonts w:ascii="Arial" w:cs="Arial" w:eastAsia="Arial" w:hAnsi="Arial"/>
          <w:sz w:val="14"/>
          <w:szCs w:val="14"/>
          <w:color w:val="auto"/>
        </w:rPr>
      </w:pPr>
      <w:r>
        <w:rPr>
          <w:rFonts w:ascii="Arial" w:cs="Arial" w:eastAsia="Arial" w:hAnsi="Arial"/>
          <w:sz w:val="18"/>
          <w:szCs w:val="18"/>
          <w:color w:val="auto"/>
        </w:rPr>
        <w:t>Associate Director of Philanthropy, Maine Chapter of The Nature Conservancy (2001 – 2005)</w:t>
      </w:r>
    </w:p>
    <w:p>
      <w:pPr>
        <w:spacing w:after="0" w:line="1" w:lineRule="exact"/>
        <w:rPr>
          <w:rFonts w:ascii="Arial" w:cs="Arial" w:eastAsia="Arial" w:hAnsi="Arial"/>
          <w:sz w:val="14"/>
          <w:szCs w:val="14"/>
          <w:color w:val="auto"/>
        </w:rPr>
      </w:pPr>
    </w:p>
    <w:p>
      <w:pPr>
        <w:ind w:left="660" w:right="1359" w:hanging="333"/>
        <w:spacing w:after="0" w:line="234" w:lineRule="auto"/>
        <w:tabs>
          <w:tab w:leader="none" w:pos="656" w:val="left"/>
        </w:tabs>
        <w:numPr>
          <w:ilvl w:val="0"/>
          <w:numId w:val="13"/>
        </w:numPr>
        <w:rPr>
          <w:rFonts w:ascii="Arial" w:cs="Arial" w:eastAsia="Arial" w:hAnsi="Arial"/>
          <w:sz w:val="14"/>
          <w:szCs w:val="14"/>
          <w:color w:val="auto"/>
        </w:rPr>
      </w:pPr>
      <w:r>
        <w:rPr>
          <w:rFonts w:ascii="Arial" w:cs="Arial" w:eastAsia="Arial" w:hAnsi="Arial"/>
          <w:sz w:val="18"/>
          <w:szCs w:val="18"/>
          <w:color w:val="auto"/>
        </w:rPr>
        <w:t>Co-Founder and President of Borealis, Inc., an outdoor products manufacturer (1988 – 2000)</w:t>
      </w:r>
    </w:p>
    <w:p>
      <w:pPr>
        <w:spacing w:after="0" w:line="1" w:lineRule="exact"/>
        <w:rPr>
          <w:rFonts w:ascii="Arial" w:cs="Arial" w:eastAsia="Arial" w:hAnsi="Arial"/>
          <w:sz w:val="14"/>
          <w:szCs w:val="14"/>
          <w:color w:val="auto"/>
        </w:rPr>
      </w:pPr>
    </w:p>
    <w:p>
      <w:pPr>
        <w:ind w:left="640" w:hanging="313"/>
        <w:spacing w:after="0" w:line="232" w:lineRule="auto"/>
        <w:tabs>
          <w:tab w:leader="none" w:pos="640" w:val="left"/>
        </w:tabs>
        <w:numPr>
          <w:ilvl w:val="0"/>
          <w:numId w:val="13"/>
        </w:numPr>
        <w:rPr>
          <w:rFonts w:ascii="Arial" w:cs="Arial" w:eastAsia="Arial" w:hAnsi="Arial"/>
          <w:sz w:val="13"/>
          <w:szCs w:val="13"/>
          <w:color w:val="auto"/>
        </w:rPr>
      </w:pPr>
      <w:r>
        <w:rPr>
          <w:rFonts w:ascii="Arial" w:cs="Arial" w:eastAsia="Arial" w:hAnsi="Arial"/>
          <w:sz w:val="17"/>
          <w:szCs w:val="17"/>
          <w:color w:val="auto"/>
        </w:rPr>
        <w:t>Peace Corps in Jamaica, small business development (1985 – 1987)</w:t>
      </w:r>
    </w:p>
    <w:p>
      <w:pPr>
        <w:ind w:left="660" w:right="1179" w:hanging="333"/>
        <w:spacing w:after="0" w:line="234" w:lineRule="auto"/>
        <w:tabs>
          <w:tab w:leader="none" w:pos="656" w:val="left"/>
        </w:tabs>
        <w:numPr>
          <w:ilvl w:val="0"/>
          <w:numId w:val="13"/>
        </w:numPr>
        <w:rPr>
          <w:rFonts w:ascii="Arial" w:cs="Arial" w:eastAsia="Arial" w:hAnsi="Arial"/>
          <w:sz w:val="14"/>
          <w:szCs w:val="14"/>
          <w:color w:val="auto"/>
        </w:rPr>
      </w:pPr>
      <w:r>
        <w:rPr>
          <w:rFonts w:ascii="Arial" w:cs="Arial" w:eastAsia="Arial" w:hAnsi="Arial"/>
          <w:sz w:val="18"/>
          <w:szCs w:val="18"/>
          <w:color w:val="auto"/>
        </w:rPr>
        <w:t>Graduate School Intern, Lennox Industries Inc. (a subsidiary of the Company) (1983)</w:t>
      </w:r>
    </w:p>
    <w:p>
      <w:pPr>
        <w:spacing w:after="0" w:line="1" w:lineRule="exact"/>
        <w:rPr>
          <w:rFonts w:ascii="Arial" w:cs="Arial" w:eastAsia="Arial" w:hAnsi="Arial"/>
          <w:sz w:val="14"/>
          <w:szCs w:val="14"/>
          <w:color w:val="auto"/>
        </w:rPr>
      </w:pPr>
    </w:p>
    <w:p>
      <w:pPr>
        <w:ind w:left="640" w:hanging="313"/>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Senior Credit Analyst, Fort Worth National Bank (1980 – 1982)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60" w:right="1699" w:hanging="333"/>
        <w:spacing w:after="0" w:line="237" w:lineRule="auto"/>
        <w:tabs>
          <w:tab w:leader="none" w:pos="656" w:val="left"/>
        </w:tabs>
        <w:numPr>
          <w:ilvl w:val="0"/>
          <w:numId w:val="14"/>
        </w:numPr>
        <w:rPr>
          <w:rFonts w:ascii="Arial" w:cs="Arial" w:eastAsia="Arial" w:hAnsi="Arial"/>
          <w:sz w:val="14"/>
          <w:szCs w:val="14"/>
          <w:color w:val="auto"/>
        </w:rPr>
      </w:pPr>
      <w:r>
        <w:rPr>
          <w:rFonts w:ascii="Arial" w:cs="Arial" w:eastAsia="Arial" w:hAnsi="Arial"/>
          <w:sz w:val="18"/>
          <w:szCs w:val="18"/>
          <w:color w:val="auto"/>
        </w:rPr>
        <w:t>Director (2019 – present) and Chair (2020 – present), Camp Chippewa for Boys</w:t>
      </w:r>
    </w:p>
    <w:p>
      <w:pPr>
        <w:ind w:left="660" w:right="1219" w:hanging="333"/>
        <w:spacing w:after="0" w:line="234" w:lineRule="auto"/>
        <w:tabs>
          <w:tab w:leader="none" w:pos="656" w:val="left"/>
        </w:tabs>
        <w:numPr>
          <w:ilvl w:val="0"/>
          <w:numId w:val="14"/>
        </w:numPr>
        <w:rPr>
          <w:rFonts w:ascii="Arial" w:cs="Arial" w:eastAsia="Arial" w:hAnsi="Arial"/>
          <w:sz w:val="14"/>
          <w:szCs w:val="14"/>
          <w:color w:val="auto"/>
        </w:rPr>
      </w:pPr>
      <w:r>
        <w:rPr>
          <w:rFonts w:ascii="Arial" w:cs="Arial" w:eastAsia="Arial" w:hAnsi="Arial"/>
          <w:sz w:val="18"/>
          <w:szCs w:val="18"/>
          <w:color w:val="auto"/>
        </w:rPr>
        <w:t>Trustee (2008 – 2018) and Chair (2016 – 2018), Maine Chapter of the Nature Conservancy</w:t>
      </w:r>
    </w:p>
    <w:p>
      <w:pPr>
        <w:spacing w:after="0" w:line="1" w:lineRule="exact"/>
        <w:rPr>
          <w:rFonts w:ascii="Arial" w:cs="Arial" w:eastAsia="Arial" w:hAnsi="Arial"/>
          <w:sz w:val="14"/>
          <w:szCs w:val="14"/>
          <w:color w:val="auto"/>
        </w:rPr>
      </w:pPr>
    </w:p>
    <w:p>
      <w:pPr>
        <w:ind w:left="640" w:hanging="313"/>
        <w:spacing w:after="0" w:line="234"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8"/>
          <w:szCs w:val="18"/>
          <w:color w:val="auto"/>
        </w:rPr>
        <w:t>Director, Northern Forest Canoe Trail (2013 – 2016)</w:t>
      </w:r>
    </w:p>
    <w:p>
      <w:pPr>
        <w:ind w:left="640" w:hanging="313"/>
        <w:spacing w:after="0" w:line="234"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8"/>
          <w:szCs w:val="18"/>
          <w:color w:val="auto"/>
        </w:rPr>
        <w:t>Director, Maine Philanthropy Center (2005 – 2011)</w:t>
      </w:r>
    </w:p>
    <w:p>
      <w:pPr>
        <w:ind w:left="640" w:hanging="313"/>
        <w:spacing w:after="0" w:line="234"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8"/>
          <w:szCs w:val="18"/>
          <w:color w:val="auto"/>
        </w:rPr>
        <w:t>Director, Maine Wilderness Guides Organization (2005 – 2011)</w:t>
      </w:r>
    </w:p>
    <w:p>
      <w:pPr>
        <w:ind w:left="640" w:hanging="313"/>
        <w:spacing w:after="0" w:line="234"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8"/>
          <w:szCs w:val="18"/>
          <w:color w:val="auto"/>
        </w:rPr>
        <w:t>Director, Cape Elizabeth Education Foundation (2006 – 2009)</w:t>
      </w:r>
    </w:p>
    <w:p>
      <w:pPr>
        <w:ind w:left="640" w:hanging="313"/>
        <w:spacing w:after="0" w:line="234"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8"/>
          <w:szCs w:val="18"/>
          <w:color w:val="auto"/>
        </w:rPr>
        <w:t>Director, Center for Cultural Exchange (2004 – 2005)</w:t>
      </w:r>
    </w:p>
    <w:p>
      <w:pPr>
        <w:ind w:left="660" w:right="1359" w:hanging="333"/>
        <w:spacing w:after="0" w:line="250" w:lineRule="auto"/>
        <w:tabs>
          <w:tab w:leader="none" w:pos="656" w:val="left"/>
        </w:tabs>
        <w:numPr>
          <w:ilvl w:val="0"/>
          <w:numId w:val="14"/>
        </w:numPr>
        <w:rPr>
          <w:rFonts w:ascii="Arial" w:cs="Arial" w:eastAsia="Arial" w:hAnsi="Arial"/>
          <w:sz w:val="14"/>
          <w:szCs w:val="14"/>
          <w:color w:val="auto"/>
        </w:rPr>
      </w:pPr>
      <w:r>
        <w:rPr>
          <w:rFonts w:ascii="Arial" w:cs="Arial" w:eastAsia="Arial" w:hAnsi="Arial"/>
          <w:sz w:val="18"/>
          <w:szCs w:val="18"/>
          <w:color w:val="auto"/>
        </w:rPr>
        <w:t>Completed Economist course on Climate Change and Business: Sustainability, Risk and the Push for Net Zero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38" w:lineRule="exact"/>
        <w:rPr>
          <w:sz w:val="20"/>
          <w:szCs w:val="20"/>
          <w:color w:val="auto"/>
        </w:rPr>
      </w:pPr>
    </w:p>
    <w:p>
      <w:pPr>
        <w:ind w:left="640" w:hanging="313"/>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8"/>
          <w:szCs w:val="18"/>
          <w:color w:val="auto"/>
        </w:rPr>
        <w:t>B.B.A. in Finance and Economics, Texas Christian University</w:t>
      </w:r>
    </w:p>
    <w:p>
      <w:pPr>
        <w:spacing w:after="0" w:line="9" w:lineRule="exact"/>
        <w:rPr>
          <w:rFonts w:ascii="Arial" w:cs="Arial" w:eastAsia="Arial" w:hAnsi="Arial"/>
          <w:sz w:val="14"/>
          <w:szCs w:val="14"/>
          <w:color w:val="auto"/>
        </w:rPr>
      </w:pPr>
    </w:p>
    <w:p>
      <w:pPr>
        <w:ind w:left="660" w:right="1619" w:hanging="333"/>
        <w:spacing w:after="0" w:line="250" w:lineRule="auto"/>
        <w:tabs>
          <w:tab w:leader="none" w:pos="656" w:val="left"/>
        </w:tabs>
        <w:numPr>
          <w:ilvl w:val="0"/>
          <w:numId w:val="15"/>
        </w:numPr>
        <w:rPr>
          <w:rFonts w:ascii="Arial" w:cs="Arial" w:eastAsia="Arial" w:hAnsi="Arial"/>
          <w:sz w:val="14"/>
          <w:szCs w:val="14"/>
          <w:color w:val="auto"/>
        </w:rPr>
      </w:pPr>
      <w:r>
        <w:rPr>
          <w:rFonts w:ascii="Arial" w:cs="Arial" w:eastAsia="Arial" w:hAnsi="Arial"/>
          <w:sz w:val="18"/>
          <w:szCs w:val="18"/>
          <w:color w:val="auto"/>
        </w:rPr>
        <w:t>M.B.A. in Organizational Behavior and Strategy, University of Michigan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38" w:lineRule="exact"/>
        <w:rPr>
          <w:sz w:val="20"/>
          <w:szCs w:val="20"/>
          <w:color w:val="auto"/>
        </w:rPr>
      </w:pPr>
    </w:p>
    <w:p>
      <w:pPr>
        <w:ind w:right="1099"/>
        <w:spacing w:after="0" w:line="245" w:lineRule="auto"/>
        <w:rPr>
          <w:sz w:val="20"/>
          <w:szCs w:val="20"/>
          <w:color w:val="auto"/>
        </w:rPr>
      </w:pPr>
      <w:r>
        <w:rPr>
          <w:rFonts w:ascii="Arial" w:cs="Arial" w:eastAsia="Arial" w:hAnsi="Arial"/>
          <w:sz w:val="18"/>
          <w:szCs w:val="18"/>
          <w:color w:val="auto"/>
        </w:rPr>
        <w:t>Mr. Norris contributes substantial experience and knowledge on climate risk and environmental issues, benefitting the Company in its sustainability journey. Mr. Norris also provides organizational development insights from founding both non-profit and for-profit companies.</w:t>
      </w:r>
    </w:p>
    <w:p>
      <w:pPr>
        <w:spacing w:after="0" w:line="200" w:lineRule="exact"/>
        <w:rPr>
          <w:sz w:val="20"/>
          <w:szCs w:val="20"/>
          <w:color w:val="auto"/>
        </w:rPr>
      </w:pPr>
    </w:p>
    <w:p>
      <w:pPr>
        <w:sectPr>
          <w:pgSz w:w="11900" w:h="16838" w:orient="portrait"/>
          <w:cols w:equalWidth="0" w:num="2">
            <w:col w:w="2460" w:space="560"/>
            <w:col w:w="7119"/>
          </w:cols>
          <w:pgMar w:left="320" w:top="769" w:right="1440"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15" w:name="page16"/>
    <w:bookmarkEnd w:id="15"/>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Karen H. Quintos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Governance (Chair)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w:t>
      </w:r>
    </w:p>
    <w:p>
      <w:pPr>
        <w:spacing w:after="0" w:line="27" w:lineRule="exact"/>
        <w:rPr>
          <w:sz w:val="20"/>
          <w:szCs w:val="20"/>
          <w:color w:val="auto"/>
        </w:rPr>
      </w:pPr>
    </w:p>
    <w:p>
      <w:pPr>
        <w:ind w:right="200"/>
        <w:spacing w:after="0" w:line="381" w:lineRule="auto"/>
        <w:rPr>
          <w:sz w:val="20"/>
          <w:szCs w:val="20"/>
          <w:color w:val="auto"/>
        </w:rPr>
      </w:pPr>
      <w:r>
        <w:rPr>
          <w:rFonts w:ascii="Arial" w:cs="Arial" w:eastAsia="Arial" w:hAnsi="Arial"/>
          <w:sz w:val="17"/>
          <w:szCs w:val="17"/>
          <w:color w:val="auto"/>
        </w:rPr>
        <w:t>Manufacturing/Distribution Sustainability ERM</w:t>
      </w:r>
    </w:p>
    <w:p>
      <w:pPr>
        <w:spacing w:after="0" w:line="235" w:lineRule="auto"/>
        <w:rPr>
          <w:sz w:val="20"/>
          <w:szCs w:val="20"/>
          <w:color w:val="auto"/>
        </w:rPr>
      </w:pPr>
      <w:r>
        <w:rPr>
          <w:rFonts w:ascii="Arial" w:cs="Arial" w:eastAsia="Arial" w:hAnsi="Arial"/>
          <w:sz w:val="18"/>
          <w:szCs w:val="18"/>
          <w:color w:val="auto"/>
        </w:rPr>
        <w:t>Marketing/Sales</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-197485</wp:posOffset>
            </wp:positionV>
            <wp:extent cx="5974715" cy="5349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74715" cy="5349240"/>
                    </a:xfrm>
                    <a:prstGeom prst="rect">
                      <a:avLst/>
                    </a:prstGeom>
                    <a:noFill/>
                  </pic:spPr>
                </pic:pic>
              </a:graphicData>
            </a:graphic>
          </wp:anchor>
        </w:drawing>
      </w:r>
    </w:p>
    <w:p>
      <w:pPr>
        <w:spacing w:after="0" w:line="122" w:lineRule="exact"/>
        <w:rPr>
          <w:sz w:val="20"/>
          <w:szCs w:val="20"/>
          <w:color w:val="auto"/>
        </w:rPr>
      </w:pPr>
    </w:p>
    <w:p>
      <w:pPr>
        <w:ind w:left="660" w:right="959" w:hanging="333"/>
        <w:spacing w:after="0" w:line="237" w:lineRule="auto"/>
        <w:tabs>
          <w:tab w:leader="none" w:pos="656" w:val="left"/>
        </w:tabs>
        <w:numPr>
          <w:ilvl w:val="0"/>
          <w:numId w:val="16"/>
        </w:numPr>
        <w:rPr>
          <w:rFonts w:ascii="Arial" w:cs="Arial" w:eastAsia="Arial" w:hAnsi="Arial"/>
          <w:sz w:val="14"/>
          <w:szCs w:val="14"/>
          <w:color w:val="auto"/>
        </w:rPr>
      </w:pPr>
      <w:r>
        <w:rPr>
          <w:rFonts w:ascii="Arial" w:cs="Arial" w:eastAsia="Arial" w:hAnsi="Arial"/>
          <w:sz w:val="18"/>
          <w:szCs w:val="18"/>
          <w:color w:val="auto"/>
        </w:rPr>
        <w:t>Retired; Executive Vice President and Chief Customer Officer, including responsibility for ESG and Diversity (2016 – 2020); Senior Vice President and Chief Marketing Officer (2010 – 2016); Vice President of Public Sector Marketing and North America Commercial (2008 – 2010); and other executive roles in services, support, and supply chain management (2000 – 2008), Dell Technologies Inc., a technology leader that provides essential infrastructure for organizations to build their digital future, transform IT, and protect their most important information</w:t>
      </w:r>
    </w:p>
    <w:p>
      <w:pPr>
        <w:ind w:left="660" w:right="1159" w:hanging="333"/>
        <w:spacing w:after="0" w:line="226" w:lineRule="auto"/>
        <w:tabs>
          <w:tab w:leader="none" w:pos="656" w:val="left"/>
        </w:tabs>
        <w:numPr>
          <w:ilvl w:val="0"/>
          <w:numId w:val="16"/>
        </w:numPr>
        <w:rPr>
          <w:rFonts w:ascii="Arial" w:cs="Arial" w:eastAsia="Arial" w:hAnsi="Arial"/>
          <w:sz w:val="14"/>
          <w:szCs w:val="14"/>
          <w:color w:val="auto"/>
        </w:rPr>
      </w:pPr>
      <w:r>
        <w:rPr>
          <w:rFonts w:ascii="Arial" w:cs="Arial" w:eastAsia="Arial" w:hAnsi="Arial"/>
          <w:sz w:val="18"/>
          <w:szCs w:val="18"/>
          <w:color w:val="auto"/>
        </w:rPr>
        <w:t>Vice President, Operations &amp; Technology, Citigroup North America Inc., a financial services corporation (1997 – 2000)</w:t>
      </w:r>
    </w:p>
    <w:p>
      <w:pPr>
        <w:spacing w:after="0" w:line="1" w:lineRule="exact"/>
        <w:rPr>
          <w:rFonts w:ascii="Arial" w:cs="Arial" w:eastAsia="Arial" w:hAnsi="Arial"/>
          <w:sz w:val="14"/>
          <w:szCs w:val="14"/>
          <w:color w:val="auto"/>
        </w:rPr>
      </w:pPr>
    </w:p>
    <w:p>
      <w:pPr>
        <w:jc w:val="both"/>
        <w:ind w:left="660" w:right="1119" w:hanging="333"/>
        <w:spacing w:after="0" w:line="242" w:lineRule="auto"/>
        <w:tabs>
          <w:tab w:leader="none" w:pos="656" w:val="left"/>
        </w:tabs>
        <w:numPr>
          <w:ilvl w:val="0"/>
          <w:numId w:val="16"/>
        </w:numPr>
        <w:rPr>
          <w:rFonts w:ascii="Arial" w:cs="Arial" w:eastAsia="Arial" w:hAnsi="Arial"/>
          <w:sz w:val="14"/>
          <w:szCs w:val="14"/>
          <w:color w:val="auto"/>
        </w:rPr>
      </w:pPr>
      <w:r>
        <w:rPr>
          <w:rFonts w:ascii="Arial" w:cs="Arial" w:eastAsia="Arial" w:hAnsi="Arial"/>
          <w:sz w:val="18"/>
          <w:szCs w:val="18"/>
          <w:color w:val="auto"/>
        </w:rPr>
        <w:t>Director of Packaging (1996 – 1997) and Director of Global Supply Chain Management (1993 – 1996), Merck &amp; Co., a pharmaceutical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48" w:lineRule="exact"/>
        <w:rPr>
          <w:sz w:val="20"/>
          <w:szCs w:val="20"/>
          <w:color w:val="auto"/>
        </w:rPr>
      </w:pPr>
    </w:p>
    <w:p>
      <w:pPr>
        <w:ind w:left="660" w:right="1379" w:hanging="333"/>
        <w:spacing w:after="0" w:line="245" w:lineRule="auto"/>
        <w:tabs>
          <w:tab w:leader="none" w:pos="656" w:val="left"/>
        </w:tabs>
        <w:numPr>
          <w:ilvl w:val="0"/>
          <w:numId w:val="17"/>
        </w:numPr>
        <w:rPr>
          <w:rFonts w:ascii="Arial" w:cs="Arial" w:eastAsia="Arial" w:hAnsi="Arial"/>
          <w:sz w:val="14"/>
          <w:szCs w:val="14"/>
          <w:color w:val="auto"/>
        </w:rPr>
      </w:pPr>
      <w:r>
        <w:rPr>
          <w:rFonts w:ascii="Arial" w:cs="Arial" w:eastAsia="Arial" w:hAnsi="Arial"/>
          <w:sz w:val="18"/>
          <w:szCs w:val="18"/>
          <w:color w:val="auto"/>
        </w:rPr>
        <w:t>Cummins Inc., a global power technology leader that designs, engineers, manufactures, distributes, and services engines and related technologies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156" w:lineRule="exact"/>
        <w:rPr>
          <w:sz w:val="20"/>
          <w:szCs w:val="20"/>
          <w:color w:val="auto"/>
        </w:rPr>
      </w:pPr>
    </w:p>
    <w:p>
      <w:pPr>
        <w:ind w:left="640" w:hanging="31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8"/>
          <w:szCs w:val="18"/>
          <w:color w:val="auto"/>
        </w:rPr>
        <w:t>Board of Trustees, Pennsylvania State University</w:t>
      </w:r>
    </w:p>
    <w:p>
      <w:pPr>
        <w:spacing w:after="0" w:line="13" w:lineRule="exact"/>
        <w:rPr>
          <w:rFonts w:ascii="Arial" w:cs="Arial" w:eastAsia="Arial" w:hAnsi="Arial"/>
          <w:sz w:val="14"/>
          <w:szCs w:val="14"/>
          <w:color w:val="auto"/>
        </w:rPr>
      </w:pPr>
    </w:p>
    <w:p>
      <w:pPr>
        <w:ind w:left="660" w:right="1019" w:hanging="333"/>
        <w:spacing w:after="0" w:line="230" w:lineRule="auto"/>
        <w:tabs>
          <w:tab w:leader="none" w:pos="656" w:val="left"/>
        </w:tabs>
        <w:numPr>
          <w:ilvl w:val="0"/>
          <w:numId w:val="18"/>
        </w:numPr>
        <w:rPr>
          <w:rFonts w:ascii="Arial" w:cs="Arial" w:eastAsia="Arial" w:hAnsi="Arial"/>
          <w:sz w:val="14"/>
          <w:szCs w:val="14"/>
          <w:color w:val="auto"/>
        </w:rPr>
      </w:pPr>
      <w:r>
        <w:rPr>
          <w:rFonts w:ascii="Arial" w:cs="Arial" w:eastAsia="Arial" w:hAnsi="Arial"/>
          <w:sz w:val="18"/>
          <w:szCs w:val="18"/>
          <w:color w:val="auto"/>
        </w:rPr>
        <w:t>Chair of the Board of Visitors of Pennsylvania State University Smeal’s College of Business, where she was a 2014 recipient of the Smeal College of Business’ highest honor, the Distinguished Alumni Award</w:t>
      </w:r>
    </w:p>
    <w:p>
      <w:pPr>
        <w:spacing w:after="0" w:line="3" w:lineRule="exact"/>
        <w:rPr>
          <w:rFonts w:ascii="Arial" w:cs="Arial" w:eastAsia="Arial" w:hAnsi="Arial"/>
          <w:sz w:val="14"/>
          <w:szCs w:val="14"/>
          <w:color w:val="auto"/>
        </w:rPr>
      </w:pPr>
    </w:p>
    <w:p>
      <w:pPr>
        <w:ind w:left="640" w:hanging="313"/>
        <w:spacing w:after="0" w:line="234"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8"/>
          <w:szCs w:val="18"/>
          <w:color w:val="auto"/>
        </w:rPr>
        <w:t>Director, the National Center for Missing and Exploited Children</w:t>
      </w:r>
    </w:p>
    <w:p>
      <w:pPr>
        <w:ind w:left="640" w:hanging="31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8"/>
          <w:szCs w:val="18"/>
          <w:color w:val="auto"/>
        </w:rPr>
        <w:t>Director, TGEN (Translational Genomics Research Institute)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38" w:lineRule="exact"/>
        <w:rPr>
          <w:sz w:val="20"/>
          <w:szCs w:val="20"/>
          <w:color w:val="auto"/>
        </w:rPr>
      </w:pPr>
    </w:p>
    <w:p>
      <w:pPr>
        <w:ind w:left="640" w:hanging="31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8"/>
          <w:szCs w:val="18"/>
          <w:color w:val="auto"/>
        </w:rPr>
        <w:t>B.S. in Supply Chain Management, Pennsylvania State University</w:t>
      </w:r>
    </w:p>
    <w:p>
      <w:pPr>
        <w:spacing w:after="0" w:line="9" w:lineRule="exact"/>
        <w:rPr>
          <w:rFonts w:ascii="Arial" w:cs="Arial" w:eastAsia="Arial" w:hAnsi="Arial"/>
          <w:sz w:val="14"/>
          <w:szCs w:val="14"/>
          <w:color w:val="auto"/>
        </w:rPr>
      </w:pPr>
    </w:p>
    <w:p>
      <w:pPr>
        <w:ind w:left="640" w:hanging="31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8"/>
          <w:szCs w:val="18"/>
          <w:color w:val="auto"/>
        </w:rPr>
        <w:t>M.B.A. in Marketing and International Business, New York University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Ms. Quintos’ supervisory experience in the areas of marketing, branding,</w:t>
      </w:r>
    </w:p>
    <w:p>
      <w:pPr>
        <w:spacing w:after="0" w:line="14" w:lineRule="exact"/>
        <w:rPr>
          <w:sz w:val="20"/>
          <w:szCs w:val="20"/>
          <w:color w:val="auto"/>
        </w:rPr>
      </w:pPr>
    </w:p>
    <w:p>
      <w:pPr>
        <w:ind w:right="1159"/>
        <w:spacing w:after="0" w:line="237" w:lineRule="auto"/>
        <w:rPr>
          <w:sz w:val="20"/>
          <w:szCs w:val="20"/>
          <w:color w:val="auto"/>
        </w:rPr>
      </w:pPr>
      <w:r>
        <w:rPr>
          <w:rFonts w:ascii="Arial" w:cs="Arial" w:eastAsia="Arial" w:hAnsi="Arial"/>
          <w:sz w:val="18"/>
          <w:szCs w:val="18"/>
          <w:color w:val="auto"/>
        </w:rPr>
        <w:t>communications, sustainability, operations, and supply chain management brings broad knowledge of these issues to the Board.</w:t>
      </w:r>
    </w:p>
    <w:p>
      <w:pPr>
        <w:spacing w:after="0" w:line="200" w:lineRule="exact"/>
        <w:rPr>
          <w:sz w:val="20"/>
          <w:szCs w:val="20"/>
          <w:color w:val="auto"/>
        </w:rPr>
      </w:pPr>
    </w:p>
    <w:p>
      <w:pPr>
        <w:sectPr>
          <w:pgSz w:w="11900" w:h="16838" w:orient="portrait"/>
          <w:cols w:equalWidth="0" w:num="2">
            <w:col w:w="2280" w:space="600"/>
            <w:col w:w="7079"/>
          </w:cols>
          <w:pgMar w:left="50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183515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919" w:right="1440" w:bottom="1440" w:gutter="0" w:footer="0" w:header="0"/>
          <w:type w:val="continuous"/>
        </w:sectPr>
      </w:pPr>
    </w:p>
    <w:bookmarkStart w:id="16" w:name="page17"/>
    <w:bookmarkEnd w:id="16"/>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Shane D.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Human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Resources (Chair)</w:t>
      </w:r>
    </w:p>
    <w:p>
      <w:pPr>
        <w:spacing w:after="0"/>
        <w:rPr>
          <w:sz w:val="20"/>
          <w:szCs w:val="20"/>
          <w:color w:val="auto"/>
        </w:rPr>
      </w:pPr>
      <w:r>
        <w:rPr>
          <w:rFonts w:ascii="Arial" w:cs="Arial" w:eastAsia="Arial" w:hAnsi="Arial"/>
          <w:sz w:val="18"/>
          <w:szCs w:val="18"/>
          <w:i w:val="1"/>
          <w:iCs w:val="1"/>
          <w:color w:val="auto"/>
        </w:rPr>
        <w:t>Executive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Executive Leadership Manufacturing/Distribution ERM</w:t>
      </w:r>
    </w:p>
    <w:p>
      <w:pPr>
        <w:spacing w:after="0" w:line="1" w:lineRule="exact"/>
        <w:rPr>
          <w:sz w:val="20"/>
          <w:szCs w:val="20"/>
          <w:color w:val="auto"/>
        </w:rPr>
      </w:pPr>
    </w:p>
    <w:p>
      <w:pPr>
        <w:ind w:right="500"/>
        <w:spacing w:after="0" w:line="254" w:lineRule="auto"/>
        <w:rPr>
          <w:sz w:val="20"/>
          <w:szCs w:val="20"/>
          <w:color w:val="auto"/>
        </w:rPr>
      </w:pPr>
      <w:r>
        <w:rPr>
          <w:rFonts w:ascii="Arial" w:cs="Arial" w:eastAsia="Arial" w:hAnsi="Arial"/>
          <w:sz w:val="17"/>
          <w:szCs w:val="17"/>
          <w:color w:val="auto"/>
        </w:rPr>
        <w:t>Marketing/Sales Cybersecurity Innovation/Technology</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-197485</wp:posOffset>
            </wp:positionV>
            <wp:extent cx="5974715" cy="4131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74715" cy="4131945"/>
                    </a:xfrm>
                    <a:prstGeom prst="rect">
                      <a:avLst/>
                    </a:prstGeom>
                    <a:noFill/>
                  </pic:spPr>
                </pic:pic>
              </a:graphicData>
            </a:graphic>
          </wp:anchor>
        </w:drawing>
      </w:r>
    </w:p>
    <w:p>
      <w:pPr>
        <w:spacing w:after="0" w:line="28" w:lineRule="exact"/>
        <w:rPr>
          <w:sz w:val="20"/>
          <w:szCs w:val="20"/>
          <w:color w:val="auto"/>
        </w:rPr>
      </w:pPr>
    </w:p>
    <w:p>
      <w:pPr>
        <w:ind w:left="660" w:right="1119" w:hanging="333"/>
        <w:spacing w:after="0" w:line="246" w:lineRule="auto"/>
        <w:tabs>
          <w:tab w:leader="none" w:pos="656" w:val="left"/>
        </w:tabs>
        <w:numPr>
          <w:ilvl w:val="0"/>
          <w:numId w:val="20"/>
        </w:numPr>
        <w:rPr>
          <w:rFonts w:ascii="Arial" w:cs="Arial" w:eastAsia="Arial" w:hAnsi="Arial"/>
          <w:sz w:val="14"/>
          <w:szCs w:val="14"/>
          <w:color w:val="auto"/>
        </w:rPr>
      </w:pPr>
      <w:r>
        <w:rPr>
          <w:rFonts w:ascii="Arial" w:cs="Arial" w:eastAsia="Arial" w:hAnsi="Arial"/>
          <w:sz w:val="18"/>
          <w:szCs w:val="18"/>
          <w:color w:val="auto"/>
        </w:rPr>
        <w:t>Retired; Special Advisor to Chief Executive Officer (2020 – 2023); Chief Technology Officer and Global Head (2015 – 2020), HP Labs of HP Inc., a global information technology company</w:t>
      </w:r>
    </w:p>
    <w:p>
      <w:pPr>
        <w:spacing w:after="0" w:line="2" w:lineRule="exact"/>
        <w:rPr>
          <w:rFonts w:ascii="Arial" w:cs="Arial" w:eastAsia="Arial" w:hAnsi="Arial"/>
          <w:sz w:val="14"/>
          <w:szCs w:val="14"/>
          <w:color w:val="auto"/>
        </w:rPr>
      </w:pPr>
    </w:p>
    <w:p>
      <w:pPr>
        <w:ind w:left="660" w:right="1019" w:hanging="333"/>
        <w:spacing w:after="0"/>
        <w:tabs>
          <w:tab w:leader="none" w:pos="656" w:val="left"/>
        </w:tabs>
        <w:numPr>
          <w:ilvl w:val="0"/>
          <w:numId w:val="20"/>
        </w:numPr>
        <w:rPr>
          <w:rFonts w:ascii="Arial" w:cs="Arial" w:eastAsia="Arial" w:hAnsi="Arial"/>
          <w:sz w:val="14"/>
          <w:szCs w:val="14"/>
          <w:color w:val="auto"/>
        </w:rPr>
      </w:pPr>
      <w:r>
        <w:rPr>
          <w:rFonts w:ascii="Arial" w:cs="Arial" w:eastAsia="Arial" w:hAnsi="Arial"/>
          <w:sz w:val="18"/>
          <w:szCs w:val="18"/>
          <w:color w:val="auto"/>
        </w:rPr>
        <w:t>Chief Technology Officer and Senior Vice President of Printing and Personal Systems, Hewlett-Packard Company, a predecessor of HP Inc. (2012 – 2015)</w:t>
      </w:r>
    </w:p>
    <w:p>
      <w:pPr>
        <w:ind w:left="660" w:right="1059" w:hanging="333"/>
        <w:spacing w:after="0" w:line="242" w:lineRule="auto"/>
        <w:tabs>
          <w:tab w:leader="none" w:pos="656" w:val="left"/>
        </w:tabs>
        <w:numPr>
          <w:ilvl w:val="0"/>
          <w:numId w:val="20"/>
        </w:numPr>
        <w:rPr>
          <w:rFonts w:ascii="Arial" w:cs="Arial" w:eastAsia="Arial" w:hAnsi="Arial"/>
          <w:sz w:val="14"/>
          <w:szCs w:val="14"/>
          <w:color w:val="auto"/>
        </w:rPr>
      </w:pPr>
      <w:r>
        <w:rPr>
          <w:rFonts w:ascii="Arial" w:cs="Arial" w:eastAsia="Arial" w:hAnsi="Arial"/>
          <w:sz w:val="18"/>
          <w:szCs w:val="18"/>
          <w:color w:val="auto"/>
        </w:rPr>
        <w:t>Several senior technology and general management positions, Intel Corporation, a technology company (1998 – 2012)</w:t>
      </w:r>
    </w:p>
    <w:p>
      <w:pPr>
        <w:spacing w:after="0" w:line="1" w:lineRule="exact"/>
        <w:rPr>
          <w:rFonts w:ascii="Arial" w:cs="Arial" w:eastAsia="Arial" w:hAnsi="Arial"/>
          <w:sz w:val="14"/>
          <w:szCs w:val="14"/>
          <w:color w:val="auto"/>
        </w:rPr>
      </w:pPr>
    </w:p>
    <w:p>
      <w:pPr>
        <w:ind w:left="660" w:right="999" w:hanging="333"/>
        <w:spacing w:after="0" w:line="242" w:lineRule="auto"/>
        <w:tabs>
          <w:tab w:leader="none" w:pos="656" w:val="left"/>
        </w:tabs>
        <w:numPr>
          <w:ilvl w:val="0"/>
          <w:numId w:val="20"/>
        </w:numPr>
        <w:rPr>
          <w:rFonts w:ascii="Arial" w:cs="Arial" w:eastAsia="Arial" w:hAnsi="Arial"/>
          <w:sz w:val="14"/>
          <w:szCs w:val="14"/>
          <w:color w:val="auto"/>
        </w:rPr>
      </w:pPr>
      <w:r>
        <w:rPr>
          <w:rFonts w:ascii="Arial" w:cs="Arial" w:eastAsia="Arial" w:hAnsi="Arial"/>
          <w:sz w:val="18"/>
          <w:szCs w:val="18"/>
          <w:color w:val="auto"/>
        </w:rPr>
        <w:t>Co-Founder and Chief Technology Officer of PrintPaks, a spin-out of Hewlett-Packard Company (1995 – 1998)</w:t>
      </w:r>
    </w:p>
    <w:p>
      <w:pPr>
        <w:spacing w:after="0" w:line="1" w:lineRule="exact"/>
        <w:rPr>
          <w:rFonts w:ascii="Arial" w:cs="Arial" w:eastAsia="Arial" w:hAnsi="Arial"/>
          <w:sz w:val="14"/>
          <w:szCs w:val="14"/>
          <w:color w:val="auto"/>
        </w:rPr>
      </w:pPr>
    </w:p>
    <w:p>
      <w:pPr>
        <w:ind w:left="660" w:right="1539" w:hanging="333"/>
        <w:spacing w:after="0" w:line="250" w:lineRule="auto"/>
        <w:tabs>
          <w:tab w:leader="none" w:pos="656" w:val="left"/>
        </w:tabs>
        <w:numPr>
          <w:ilvl w:val="0"/>
          <w:numId w:val="20"/>
        </w:numPr>
        <w:rPr>
          <w:rFonts w:ascii="Arial" w:cs="Arial" w:eastAsia="Arial" w:hAnsi="Arial"/>
          <w:sz w:val="14"/>
          <w:szCs w:val="14"/>
          <w:color w:val="auto"/>
        </w:rPr>
      </w:pPr>
      <w:r>
        <w:rPr>
          <w:rFonts w:ascii="Arial" w:cs="Arial" w:eastAsia="Arial" w:hAnsi="Arial"/>
          <w:sz w:val="18"/>
          <w:szCs w:val="18"/>
          <w:color w:val="auto"/>
        </w:rPr>
        <w:t>Various engineering and management roles, Hewlett-Packard Company (1986 – 1995)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61" w:lineRule="exact"/>
        <w:rPr>
          <w:sz w:val="20"/>
          <w:szCs w:val="20"/>
          <w:color w:val="auto"/>
        </w:rPr>
      </w:pPr>
    </w:p>
    <w:p>
      <w:pPr>
        <w:ind w:left="660" w:right="1019" w:hanging="333"/>
        <w:spacing w:after="0" w:line="245"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8"/>
          <w:szCs w:val="18"/>
          <w:color w:val="auto"/>
        </w:rPr>
        <w:t>Partner, Fusion Fund, an early stage venture capital firm focused on industrial, enterprise, and healthcare technologies</w:t>
      </w:r>
    </w:p>
    <w:p>
      <w:pPr>
        <w:ind w:left="660" w:right="1179" w:hanging="333"/>
        <w:spacing w:after="0" w:line="250"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8"/>
          <w:szCs w:val="18"/>
          <w:color w:val="auto"/>
        </w:rPr>
        <w:t>Senior Advisor and Board Member, Arsenal Capital Partners, a specialized private equity firm focused on specialty industrials and healthcare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61" w:lineRule="exact"/>
        <w:rPr>
          <w:sz w:val="20"/>
          <w:szCs w:val="20"/>
          <w:color w:val="auto"/>
        </w:rPr>
      </w:pPr>
    </w:p>
    <w:p>
      <w:pPr>
        <w:ind w:left="640" w:hanging="31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8"/>
          <w:szCs w:val="18"/>
          <w:color w:val="auto"/>
        </w:rPr>
        <w:t>B.S. in Computer Engineering, Oregon State University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979"/>
        <w:spacing w:after="0" w:line="252" w:lineRule="auto"/>
        <w:rPr>
          <w:sz w:val="20"/>
          <w:szCs w:val="20"/>
          <w:color w:val="auto"/>
        </w:rPr>
      </w:pPr>
      <w:r>
        <w:rPr>
          <w:rFonts w:ascii="Arial" w:cs="Arial" w:eastAsia="Arial" w:hAnsi="Arial"/>
          <w:sz w:val="18"/>
          <w:szCs w:val="18"/>
          <w:color w:val="auto"/>
        </w:rPr>
        <w:t>An experienced former Chief Technology Officer, Mr. Wall contributes extensive technology and cybersecurity experience, as well as meaningful experience in executive leadership and diverse business development within large global companies.</w:t>
      </w:r>
    </w:p>
    <w:p>
      <w:pPr>
        <w:spacing w:after="0" w:line="200" w:lineRule="exact"/>
        <w:rPr>
          <w:sz w:val="20"/>
          <w:szCs w:val="20"/>
          <w:color w:val="auto"/>
        </w:rPr>
      </w:pPr>
    </w:p>
    <w:p>
      <w:pPr>
        <w:sectPr>
          <w:pgSz w:w="11900" w:h="16838" w:orient="portrait"/>
          <w:cols w:equalWidth="0" w:num="2">
            <w:col w:w="2280" w:space="600"/>
            <w:col w:w="7079"/>
          </w:cols>
          <w:pgMar w:left="50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183515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919"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following Class II directors’ terms will continue until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974715" cy="3891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74715" cy="389191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C60C35"/>
        </w:rPr>
        <w:t>Sherry L. Buck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Class II</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Independent Director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Committees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Audit – Financial Expert &amp;</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Chair</w:t>
      </w:r>
    </w:p>
    <w:p>
      <w:pPr>
        <w:ind w:left="180"/>
        <w:spacing w:after="0"/>
        <w:rPr>
          <w:sz w:val="20"/>
          <w:szCs w:val="20"/>
          <w:color w:val="auto"/>
        </w:rPr>
      </w:pPr>
      <w:r>
        <w:rPr>
          <w:rFonts w:ascii="Arial" w:cs="Arial" w:eastAsia="Arial" w:hAnsi="Arial"/>
          <w:sz w:val="18"/>
          <w:szCs w:val="18"/>
          <w:i w:val="1"/>
          <w:iCs w:val="1"/>
          <w:color w:val="auto"/>
        </w:rPr>
        <w:t>Executive</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Financial Accounting</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Leadership</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Manufacturing/Distribution</w:t>
      </w:r>
    </w:p>
    <w:p>
      <w:pPr>
        <w:ind w:left="180"/>
        <w:spacing w:after="0" w:line="234" w:lineRule="auto"/>
        <w:rPr>
          <w:sz w:val="20"/>
          <w:szCs w:val="20"/>
          <w:color w:val="auto"/>
        </w:rPr>
      </w:pPr>
      <w:r>
        <w:rPr>
          <w:rFonts w:ascii="Arial" w:cs="Arial" w:eastAsia="Arial" w:hAnsi="Arial"/>
          <w:sz w:val="18"/>
          <w:szCs w:val="18"/>
          <w:color w:val="auto"/>
        </w:rPr>
        <w:t>ERM</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Human Capital Management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61" w:lineRule="exact"/>
        <w:rPr>
          <w:sz w:val="20"/>
          <w:szCs w:val="20"/>
          <w:color w:val="auto"/>
        </w:rPr>
      </w:pPr>
    </w:p>
    <w:p>
      <w:pPr>
        <w:ind w:left="640" w:right="1019" w:hanging="326"/>
        <w:spacing w:after="0" w:line="258" w:lineRule="auto"/>
        <w:tabs>
          <w:tab w:leader="none" w:pos="636" w:val="left"/>
        </w:tabs>
        <w:numPr>
          <w:ilvl w:val="0"/>
          <w:numId w:val="23"/>
        </w:numPr>
        <w:rPr>
          <w:rFonts w:ascii="Arial" w:cs="Arial" w:eastAsia="Arial" w:hAnsi="Arial"/>
          <w:sz w:val="13"/>
          <w:szCs w:val="13"/>
          <w:color w:val="auto"/>
        </w:rPr>
      </w:pPr>
      <w:r>
        <w:rPr>
          <w:rFonts w:ascii="Arial" w:cs="Arial" w:eastAsia="Arial" w:hAnsi="Arial"/>
          <w:sz w:val="17"/>
          <w:szCs w:val="17"/>
          <w:color w:val="auto"/>
        </w:rPr>
        <w:t>Chief Financial Officer, W.L. Gore &amp; Associates Inc., a multinational advanced materials company providing solutions for medical device, fabric laminates, aerospace, pharmaceuticals, mobile electronics, and other applications across diverse industries (2021 – present)</w:t>
      </w:r>
    </w:p>
    <w:p>
      <w:pPr>
        <w:ind w:left="640" w:right="1359" w:hanging="326"/>
        <w:spacing w:after="0"/>
        <w:tabs>
          <w:tab w:leader="none" w:pos="636" w:val="left"/>
        </w:tabs>
        <w:numPr>
          <w:ilvl w:val="0"/>
          <w:numId w:val="23"/>
        </w:numPr>
        <w:rPr>
          <w:rFonts w:ascii="Arial" w:cs="Arial" w:eastAsia="Arial" w:hAnsi="Arial"/>
          <w:sz w:val="14"/>
          <w:szCs w:val="14"/>
          <w:color w:val="auto"/>
        </w:rPr>
      </w:pPr>
      <w:r>
        <w:rPr>
          <w:rFonts w:ascii="Arial" w:cs="Arial" w:eastAsia="Arial" w:hAnsi="Arial"/>
          <w:sz w:val="18"/>
          <w:szCs w:val="18"/>
          <w:color w:val="auto"/>
        </w:rPr>
        <w:t>Senior Vice President and Chief Financial Officer, Waters Corporation, a specialty measurement company serving the life, materials, and food sciences industries (2017 – 2020)</w:t>
      </w:r>
    </w:p>
    <w:p>
      <w:pPr>
        <w:ind w:left="640" w:right="1379" w:hanging="326"/>
        <w:spacing w:after="0"/>
        <w:tabs>
          <w:tab w:leader="none" w:pos="636" w:val="left"/>
        </w:tabs>
        <w:numPr>
          <w:ilvl w:val="0"/>
          <w:numId w:val="23"/>
        </w:numPr>
        <w:rPr>
          <w:rFonts w:ascii="Arial" w:cs="Arial" w:eastAsia="Arial" w:hAnsi="Arial"/>
          <w:sz w:val="14"/>
          <w:szCs w:val="14"/>
          <w:color w:val="auto"/>
        </w:rPr>
      </w:pPr>
      <w:r>
        <w:rPr>
          <w:rFonts w:ascii="Arial" w:cs="Arial" w:eastAsia="Arial" w:hAnsi="Arial"/>
          <w:sz w:val="18"/>
          <w:szCs w:val="18"/>
          <w:color w:val="auto"/>
        </w:rPr>
        <w:t>Vice President, Chief Financial Officer, Libbey Inc., a global manufacturer and marketer of glass tableware products (2012 – 2016)</w:t>
      </w:r>
    </w:p>
    <w:p>
      <w:pPr>
        <w:ind w:left="640" w:right="939" w:hanging="326"/>
        <w:spacing w:after="0" w:line="242" w:lineRule="auto"/>
        <w:tabs>
          <w:tab w:leader="none" w:pos="636" w:val="left"/>
        </w:tabs>
        <w:numPr>
          <w:ilvl w:val="0"/>
          <w:numId w:val="23"/>
        </w:numPr>
        <w:rPr>
          <w:rFonts w:ascii="Arial" w:cs="Arial" w:eastAsia="Arial" w:hAnsi="Arial"/>
          <w:sz w:val="14"/>
          <w:szCs w:val="14"/>
          <w:color w:val="auto"/>
        </w:rPr>
      </w:pPr>
      <w:r>
        <w:rPr>
          <w:rFonts w:ascii="Arial" w:cs="Arial" w:eastAsia="Arial" w:hAnsi="Arial"/>
          <w:sz w:val="18"/>
          <w:szCs w:val="18"/>
          <w:color w:val="auto"/>
        </w:rPr>
        <w:t>Senior finance and operating leadership roles, Whirlpool Corporation, a leading global appliance manufacturer (1993 – 2012)</w:t>
      </w:r>
    </w:p>
    <w:p>
      <w:pPr>
        <w:spacing w:after="0" w:line="1" w:lineRule="exact"/>
        <w:rPr>
          <w:rFonts w:ascii="Arial" w:cs="Arial" w:eastAsia="Arial" w:hAnsi="Arial"/>
          <w:sz w:val="14"/>
          <w:szCs w:val="14"/>
          <w:color w:val="auto"/>
        </w:rPr>
      </w:pPr>
    </w:p>
    <w:p>
      <w:pPr>
        <w:ind w:left="640" w:right="1759" w:hanging="326"/>
        <w:spacing w:after="0" w:line="248" w:lineRule="auto"/>
        <w:tabs>
          <w:tab w:leader="none" w:pos="636" w:val="left"/>
        </w:tabs>
        <w:numPr>
          <w:ilvl w:val="0"/>
          <w:numId w:val="23"/>
        </w:numPr>
        <w:rPr>
          <w:rFonts w:ascii="Arial" w:cs="Arial" w:eastAsia="Arial" w:hAnsi="Arial"/>
          <w:sz w:val="13"/>
          <w:szCs w:val="13"/>
          <w:color w:val="auto"/>
        </w:rPr>
      </w:pPr>
      <w:r>
        <w:rPr>
          <w:rFonts w:ascii="Arial" w:cs="Arial" w:eastAsia="Arial" w:hAnsi="Arial"/>
          <w:sz w:val="17"/>
          <w:szCs w:val="17"/>
          <w:color w:val="auto"/>
        </w:rPr>
        <w:t>Director, Overseas Accounting and Internal Audit Manager, TransWorld Airlines, a major airline (1988 – 1992)</w:t>
      </w:r>
    </w:p>
    <w:p>
      <w:pPr>
        <w:spacing w:after="0" w:line="1" w:lineRule="exact"/>
        <w:rPr>
          <w:rFonts w:ascii="Arial" w:cs="Arial" w:eastAsia="Arial" w:hAnsi="Arial"/>
          <w:sz w:val="13"/>
          <w:szCs w:val="13"/>
          <w:color w:val="auto"/>
        </w:rPr>
      </w:pPr>
    </w:p>
    <w:p>
      <w:pPr>
        <w:ind w:left="640" w:right="1139" w:hanging="326"/>
        <w:spacing w:after="0" w:line="266" w:lineRule="auto"/>
        <w:tabs>
          <w:tab w:leader="none" w:pos="636" w:val="left"/>
        </w:tabs>
        <w:numPr>
          <w:ilvl w:val="0"/>
          <w:numId w:val="23"/>
        </w:numPr>
        <w:rPr>
          <w:rFonts w:ascii="Arial" w:cs="Arial" w:eastAsia="Arial" w:hAnsi="Arial"/>
          <w:sz w:val="14"/>
          <w:szCs w:val="14"/>
          <w:color w:val="auto"/>
        </w:rPr>
      </w:pPr>
      <w:r>
        <w:rPr>
          <w:rFonts w:ascii="Arial" w:cs="Arial" w:eastAsia="Arial" w:hAnsi="Arial"/>
          <w:sz w:val="18"/>
          <w:szCs w:val="18"/>
          <w:color w:val="auto"/>
        </w:rPr>
        <w:t>Senior Auditor, Price Waterhouse, a public accounting firm (1985 – 1988)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40" w:hanging="326"/>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8"/>
          <w:szCs w:val="18"/>
          <w:color w:val="auto"/>
        </w:rPr>
        <w:t>B.S. in Accounting, University of Missouri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1139"/>
        <w:spacing w:after="0" w:line="261" w:lineRule="auto"/>
        <w:rPr>
          <w:sz w:val="20"/>
          <w:szCs w:val="20"/>
          <w:color w:val="auto"/>
        </w:rPr>
      </w:pPr>
      <w:r>
        <w:rPr>
          <w:rFonts w:ascii="Arial" w:cs="Arial" w:eastAsia="Arial" w:hAnsi="Arial"/>
          <w:sz w:val="18"/>
          <w:szCs w:val="18"/>
          <w:color w:val="auto"/>
        </w:rPr>
        <w:t>Ms. Buck contributes extensive financial and leadership experience gained from her long tenure as a CFO. She adds industry expertise through her positions in large global manufacturing companies.</w:t>
      </w:r>
    </w:p>
    <w:p>
      <w:pPr>
        <w:spacing w:after="0" w:line="777" w:lineRule="exact"/>
        <w:rPr>
          <w:sz w:val="20"/>
          <w:szCs w:val="20"/>
          <w:color w:val="auto"/>
        </w:rPr>
      </w:pPr>
    </w:p>
    <w:p>
      <w:pPr>
        <w:sectPr>
          <w:pgSz w:w="11900" w:h="16838" w:orient="portrait"/>
          <w:cols w:equalWidth="0" w:num="2">
            <w:col w:w="2460" w:space="600"/>
            <w:col w:w="7079"/>
          </w:cols>
          <w:pgMar w:left="320" w:top="769" w:right="1440" w:bottom="1440" w:gutter="0" w:footer="0" w:header="0"/>
          <w:type w:val="continuous"/>
        </w:sect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18" w:name="page19"/>
    <w:bookmarkEnd w:id="18"/>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Todd J. Teske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Chair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ind w:right="380"/>
        <w:spacing w:after="0" w:line="316" w:lineRule="auto"/>
        <w:rPr>
          <w:sz w:val="20"/>
          <w:szCs w:val="20"/>
          <w:color w:val="auto"/>
        </w:rPr>
      </w:pPr>
      <w:r>
        <w:rPr>
          <w:rFonts w:ascii="Arial" w:cs="Arial" w:eastAsia="Arial" w:hAnsi="Arial"/>
          <w:sz w:val="17"/>
          <w:szCs w:val="17"/>
          <w:i w:val="1"/>
          <w:iCs w:val="1"/>
          <w:color w:val="auto"/>
        </w:rPr>
        <w:t>Audit – Financial Expert Executive (Chair)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Financial/Accounting</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Executive Leadership Manufacturing/Distribution Sustainability</w:t>
      </w:r>
    </w:p>
    <w:p>
      <w:pPr>
        <w:spacing w:after="0" w:line="235" w:lineRule="auto"/>
        <w:rPr>
          <w:sz w:val="20"/>
          <w:szCs w:val="20"/>
          <w:color w:val="auto"/>
        </w:rPr>
      </w:pPr>
      <w:r>
        <w:rPr>
          <w:rFonts w:ascii="Arial" w:cs="Arial" w:eastAsia="Arial" w:hAnsi="Arial"/>
          <w:sz w:val="18"/>
          <w:szCs w:val="18"/>
          <w:color w:val="auto"/>
        </w:rPr>
        <w:t>ERM</w:t>
      </w:r>
    </w:p>
    <w:p>
      <w:pPr>
        <w:spacing w:after="0"/>
        <w:rPr>
          <w:sz w:val="20"/>
          <w:szCs w:val="20"/>
          <w:color w:val="auto"/>
        </w:rPr>
      </w:pPr>
      <w:r>
        <w:rPr>
          <w:rFonts w:ascii="Arial" w:cs="Arial" w:eastAsia="Arial" w:hAnsi="Arial"/>
          <w:sz w:val="17"/>
          <w:szCs w:val="17"/>
          <w:color w:val="auto"/>
        </w:rPr>
        <w:t>Human Capital Management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Marketing/Sales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Cybersecurity</w:t>
      </w:r>
    </w:p>
    <w:p>
      <w:pPr>
        <w:spacing w:after="0" w:line="234" w:lineRule="auto"/>
        <w:rPr>
          <w:sz w:val="20"/>
          <w:szCs w:val="20"/>
          <w:color w:val="auto"/>
        </w:rPr>
      </w:pPr>
      <w:r>
        <w:rPr>
          <w:rFonts w:ascii="Arial" w:cs="Arial" w:eastAsia="Arial" w:hAnsi="Arial"/>
          <w:sz w:val="18"/>
          <w:szCs w:val="18"/>
          <w:color w:val="auto"/>
        </w:rPr>
        <w:t>Innovation/Technology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-197485</wp:posOffset>
            </wp:positionV>
            <wp:extent cx="5974715" cy="45262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74715" cy="4526280"/>
                    </a:xfrm>
                    <a:prstGeom prst="rect">
                      <a:avLst/>
                    </a:prstGeom>
                    <a:noFill/>
                  </pic:spPr>
                </pic:pic>
              </a:graphicData>
            </a:graphic>
          </wp:anchor>
        </w:drawing>
      </w:r>
    </w:p>
    <w:p>
      <w:pPr>
        <w:spacing w:after="0" w:line="28" w:lineRule="exact"/>
        <w:rPr>
          <w:sz w:val="20"/>
          <w:szCs w:val="20"/>
          <w:color w:val="auto"/>
        </w:rPr>
      </w:pPr>
    </w:p>
    <w:p>
      <w:pPr>
        <w:ind w:left="640" w:hanging="31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8"/>
          <w:szCs w:val="18"/>
          <w:color w:val="auto"/>
        </w:rPr>
        <w:t>Independent Board Chair (2022 – present)</w:t>
      </w:r>
    </w:p>
    <w:p>
      <w:pPr>
        <w:spacing w:after="0" w:line="27" w:lineRule="exact"/>
        <w:rPr>
          <w:rFonts w:ascii="Arial" w:cs="Arial" w:eastAsia="Arial" w:hAnsi="Arial"/>
          <w:sz w:val="14"/>
          <w:szCs w:val="14"/>
          <w:color w:val="auto"/>
        </w:rPr>
      </w:pPr>
    </w:p>
    <w:p>
      <w:pPr>
        <w:ind w:left="640" w:hanging="313"/>
        <w:spacing w:after="0" w:line="234"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8"/>
          <w:szCs w:val="18"/>
          <w:color w:val="auto"/>
        </w:rPr>
        <w:t>Interim CEO (March 23, 2022 – May 9, 2022)</w:t>
      </w:r>
    </w:p>
    <w:p>
      <w:pPr>
        <w:ind w:left="640" w:hanging="313"/>
        <w:spacing w:after="0" w:line="234"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8"/>
          <w:szCs w:val="18"/>
          <w:color w:val="auto"/>
        </w:rPr>
        <w:t>Lead Independent Director (2015 – 2022)</w:t>
      </w:r>
    </w:p>
    <w:p>
      <w:pPr>
        <w:ind w:left="660" w:right="959" w:hanging="333"/>
        <w:spacing w:after="0"/>
        <w:tabs>
          <w:tab w:leader="none" w:pos="656" w:val="left"/>
        </w:tabs>
        <w:numPr>
          <w:ilvl w:val="0"/>
          <w:numId w:val="25"/>
        </w:numPr>
        <w:rPr>
          <w:rFonts w:ascii="Arial" w:cs="Arial" w:eastAsia="Arial" w:hAnsi="Arial"/>
          <w:sz w:val="14"/>
          <w:szCs w:val="14"/>
          <w:color w:val="auto"/>
        </w:rPr>
      </w:pPr>
      <w:r>
        <w:rPr>
          <w:rFonts w:ascii="Arial" w:cs="Arial" w:eastAsia="Arial" w:hAnsi="Arial"/>
          <w:sz w:val="18"/>
          <w:szCs w:val="18"/>
          <w:color w:val="auto"/>
        </w:rPr>
        <w:t>Chair, President, and Chief Executive Officer (2010 – 2020); President and Chief Operating Officer (2008 – 2009); Executive Vice President and Chief Operating Officer (2005 – 2008); and other senior-level positions including President of its power products business, head of corporate development and Controller (1999 – 2005), Briggs &amp; Stratton Corporation, a manufacturer of gasoline engines for outdoor power equipment, portable generators, and lawn and garden powered equipment and related accessories</w:t>
      </w:r>
    </w:p>
    <w:p>
      <w:pPr>
        <w:spacing w:after="0" w:line="4" w:lineRule="exact"/>
        <w:rPr>
          <w:rFonts w:ascii="Arial" w:cs="Arial" w:eastAsia="Arial" w:hAnsi="Arial"/>
          <w:sz w:val="14"/>
          <w:szCs w:val="14"/>
          <w:color w:val="auto"/>
        </w:rPr>
      </w:pPr>
    </w:p>
    <w:p>
      <w:pPr>
        <w:ind w:left="660" w:right="1039" w:hanging="333"/>
        <w:spacing w:after="0" w:line="272" w:lineRule="auto"/>
        <w:tabs>
          <w:tab w:leader="none" w:pos="656" w:val="left"/>
        </w:tabs>
        <w:numPr>
          <w:ilvl w:val="0"/>
          <w:numId w:val="25"/>
        </w:numPr>
        <w:rPr>
          <w:rFonts w:ascii="Arial" w:cs="Arial" w:eastAsia="Arial" w:hAnsi="Arial"/>
          <w:sz w:val="13"/>
          <w:szCs w:val="13"/>
          <w:color w:val="auto"/>
        </w:rPr>
      </w:pPr>
      <w:r>
        <w:rPr>
          <w:rFonts w:ascii="Arial" w:cs="Arial" w:eastAsia="Arial" w:hAnsi="Arial"/>
          <w:sz w:val="17"/>
          <w:szCs w:val="17"/>
          <w:color w:val="auto"/>
        </w:rPr>
        <w:t>Briggs &amp; Stratton filed a voluntary petition for bankruptcy under Chapter 11 of the U.S. Bankruptcy Code in July 2020. In September 2020, Briggs &amp; Stratton was acquired and exited bankruptcy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60" w:right="1379" w:hanging="333"/>
        <w:spacing w:after="0" w:line="246"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8"/>
          <w:szCs w:val="18"/>
          <w:color w:val="auto"/>
        </w:rPr>
        <w:t>Director, Badger Meter, Inc., a publicly traded leading innovator, manufacturer and marketer of flow measurement and control products (2009 – 2020)</w:t>
      </w:r>
    </w:p>
    <w:p>
      <w:pPr>
        <w:spacing w:after="0" w:line="2" w:lineRule="exact"/>
        <w:rPr>
          <w:rFonts w:ascii="Arial" w:cs="Arial" w:eastAsia="Arial" w:hAnsi="Arial"/>
          <w:sz w:val="14"/>
          <w:szCs w:val="14"/>
          <w:color w:val="auto"/>
        </w:rPr>
      </w:pPr>
    </w:p>
    <w:p>
      <w:pPr>
        <w:ind w:left="640" w:hanging="31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8"/>
          <w:szCs w:val="18"/>
          <w:color w:val="auto"/>
        </w:rPr>
        <w:t>Licensed CPA (inactive)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40" w:hanging="313"/>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8"/>
          <w:szCs w:val="18"/>
          <w:color w:val="auto"/>
        </w:rPr>
        <w:t>B.S. in Accounting, University of Wisconsin Oshkosh</w:t>
      </w:r>
    </w:p>
    <w:p>
      <w:pPr>
        <w:spacing w:after="0" w:line="13" w:lineRule="exact"/>
        <w:rPr>
          <w:rFonts w:ascii="Arial" w:cs="Arial" w:eastAsia="Arial" w:hAnsi="Arial"/>
          <w:sz w:val="14"/>
          <w:szCs w:val="14"/>
          <w:color w:val="auto"/>
        </w:rPr>
      </w:pPr>
    </w:p>
    <w:p>
      <w:pPr>
        <w:ind w:left="660" w:right="1039" w:hanging="333"/>
        <w:spacing w:after="0" w:line="266" w:lineRule="auto"/>
        <w:tabs>
          <w:tab w:leader="none" w:pos="656" w:val="left"/>
        </w:tabs>
        <w:numPr>
          <w:ilvl w:val="0"/>
          <w:numId w:val="27"/>
        </w:numPr>
        <w:rPr>
          <w:rFonts w:ascii="Arial" w:cs="Arial" w:eastAsia="Arial" w:hAnsi="Arial"/>
          <w:sz w:val="14"/>
          <w:szCs w:val="14"/>
          <w:color w:val="auto"/>
        </w:rPr>
      </w:pPr>
      <w:r>
        <w:rPr>
          <w:rFonts w:ascii="Arial" w:cs="Arial" w:eastAsia="Arial" w:hAnsi="Arial"/>
          <w:sz w:val="18"/>
          <w:szCs w:val="18"/>
          <w:color w:val="auto"/>
        </w:rPr>
        <w:t>Masters of Management, Northwestern University Kellogg School of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1019"/>
        <w:spacing w:after="0" w:line="252" w:lineRule="auto"/>
        <w:rPr>
          <w:sz w:val="20"/>
          <w:szCs w:val="20"/>
          <w:color w:val="auto"/>
        </w:rPr>
      </w:pPr>
      <w:r>
        <w:rPr>
          <w:rFonts w:ascii="Arial" w:cs="Arial" w:eastAsia="Arial" w:hAnsi="Arial"/>
          <w:sz w:val="18"/>
          <w:szCs w:val="18"/>
          <w:color w:val="auto"/>
        </w:rPr>
        <w:t>Mr. Teske brings extensive executive leadership, corporate governance, and industry experience as a former manufacturing-company CEO to his service as Chair of the Board. As well, as a former corporate controller, Mr. Teske contributes knowledge in the areas of finance and accounting.</w:t>
      </w:r>
    </w:p>
    <w:p>
      <w:pPr>
        <w:spacing w:after="0" w:line="200" w:lineRule="exact"/>
        <w:rPr>
          <w:sz w:val="20"/>
          <w:szCs w:val="20"/>
          <w:color w:val="auto"/>
        </w:rPr>
      </w:pPr>
    </w:p>
    <w:p>
      <w:pPr>
        <w:sectPr>
          <w:pgSz w:w="11900" w:h="16838" w:orient="portrait"/>
          <w:cols w:equalWidth="0" w:num="2">
            <w:col w:w="2280" w:space="600"/>
            <w:col w:w="7079"/>
          </w:cols>
          <w:pgMar w:left="50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183515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919" w:right="1440" w:bottom="1440" w:gutter="0" w:footer="0" w:header="0"/>
          <w:type w:val="continuous"/>
        </w:sectPr>
      </w:pPr>
    </w:p>
    <w:bookmarkStart w:id="19" w:name="page20"/>
    <w:bookmarkEnd w:id="19"/>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Jon Vander 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 Financial Expert</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Compensation and Human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Financial/Accounting</w:t>
      </w:r>
    </w:p>
    <w:p>
      <w:pPr>
        <w:spacing w:after="0" w:line="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Executive Leadership Manufacturing/Distribution</w:t>
      </w:r>
    </w:p>
    <w:p>
      <w:pPr>
        <w:spacing w:after="0" w:line="236" w:lineRule="auto"/>
        <w:rPr>
          <w:sz w:val="20"/>
          <w:szCs w:val="20"/>
          <w:color w:val="auto"/>
        </w:rPr>
      </w:pPr>
      <w:r>
        <w:rPr>
          <w:rFonts w:ascii="Arial" w:cs="Arial" w:eastAsia="Arial" w:hAnsi="Arial"/>
          <w:sz w:val="18"/>
          <w:szCs w:val="18"/>
          <w:color w:val="auto"/>
        </w:rPr>
        <w:t>Sustainability</w:t>
      </w:r>
    </w:p>
    <w:p>
      <w:pPr>
        <w:spacing w:after="0" w:line="235" w:lineRule="auto"/>
        <w:rPr>
          <w:sz w:val="20"/>
          <w:szCs w:val="20"/>
          <w:color w:val="auto"/>
        </w:rPr>
      </w:pPr>
      <w:r>
        <w:rPr>
          <w:rFonts w:ascii="Arial" w:cs="Arial" w:eastAsia="Arial" w:hAnsi="Arial"/>
          <w:sz w:val="18"/>
          <w:szCs w:val="18"/>
          <w:color w:val="auto"/>
        </w:rPr>
        <w:t>ERM</w:t>
      </w:r>
    </w:p>
    <w:p>
      <w:pPr>
        <w:spacing w:after="0"/>
        <w:rPr>
          <w:sz w:val="20"/>
          <w:szCs w:val="20"/>
          <w:color w:val="auto"/>
        </w:rPr>
      </w:pPr>
      <w:r>
        <w:rPr>
          <w:rFonts w:ascii="Arial" w:cs="Arial" w:eastAsia="Arial" w:hAnsi="Arial"/>
          <w:sz w:val="17"/>
          <w:szCs w:val="17"/>
          <w:color w:val="auto"/>
        </w:rPr>
        <w:t>Human Capital Management</w:t>
      </w:r>
    </w:p>
    <w:p>
      <w:pPr>
        <w:spacing w:after="0" w:line="21" w:lineRule="exact"/>
        <w:rPr>
          <w:sz w:val="20"/>
          <w:szCs w:val="20"/>
          <w:color w:val="auto"/>
        </w:rPr>
      </w:pPr>
    </w:p>
    <w:p>
      <w:pPr>
        <w:ind w:right="500"/>
        <w:spacing w:after="0" w:line="254" w:lineRule="auto"/>
        <w:rPr>
          <w:sz w:val="20"/>
          <w:szCs w:val="20"/>
          <w:color w:val="auto"/>
        </w:rPr>
      </w:pPr>
      <w:r>
        <w:rPr>
          <w:rFonts w:ascii="Arial" w:cs="Arial" w:eastAsia="Arial" w:hAnsi="Arial"/>
          <w:sz w:val="17"/>
          <w:szCs w:val="17"/>
          <w:color w:val="auto"/>
        </w:rPr>
        <w:t>Marketing/Sales Cybersecurity Innovation/Technology</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-197485</wp:posOffset>
            </wp:positionV>
            <wp:extent cx="5974715" cy="43116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74715" cy="4311650"/>
                    </a:xfrm>
                    <a:prstGeom prst="rect">
                      <a:avLst/>
                    </a:prstGeom>
                    <a:noFill/>
                  </pic:spPr>
                </pic:pic>
              </a:graphicData>
            </a:graphic>
          </wp:anchor>
        </w:drawing>
      </w:r>
    </w:p>
    <w:p>
      <w:pPr>
        <w:spacing w:after="0" w:line="28" w:lineRule="exact"/>
        <w:rPr>
          <w:sz w:val="20"/>
          <w:szCs w:val="20"/>
          <w:color w:val="auto"/>
        </w:rPr>
      </w:pPr>
    </w:p>
    <w:p>
      <w:pPr>
        <w:ind w:left="640" w:right="939" w:hanging="407"/>
        <w:spacing w:after="0" w:line="245" w:lineRule="auto"/>
        <w:tabs>
          <w:tab w:leader="none" w:pos="636" w:val="left"/>
        </w:tabs>
        <w:numPr>
          <w:ilvl w:val="0"/>
          <w:numId w:val="28"/>
        </w:numPr>
        <w:rPr>
          <w:rFonts w:ascii="Arial" w:cs="Arial" w:eastAsia="Arial" w:hAnsi="Arial"/>
          <w:sz w:val="14"/>
          <w:szCs w:val="14"/>
          <w:color w:val="auto"/>
        </w:rPr>
      </w:pPr>
      <w:r>
        <w:rPr>
          <w:rFonts w:ascii="Arial" w:cs="Arial" w:eastAsia="Arial" w:hAnsi="Arial"/>
          <w:sz w:val="18"/>
          <w:szCs w:val="18"/>
          <w:color w:val="auto"/>
        </w:rPr>
        <w:t>President and Director (2019 – present) and Chief Executive Officer (2021 – present); Executive Vice President, Chief Operating Officer (2018 – 2019); Executive Vice President, Operations (2016 – 2017); and Executive Vice President, Chief Marketing Officer (2013 – 2016), Republic Services, Inc., an environmental services company</w:t>
      </w:r>
    </w:p>
    <w:p>
      <w:pPr>
        <w:spacing w:after="0" w:line="1" w:lineRule="exact"/>
        <w:rPr>
          <w:rFonts w:ascii="Arial" w:cs="Arial" w:eastAsia="Arial" w:hAnsi="Arial"/>
          <w:sz w:val="14"/>
          <w:szCs w:val="14"/>
          <w:color w:val="auto"/>
        </w:rPr>
      </w:pPr>
    </w:p>
    <w:p>
      <w:pPr>
        <w:ind w:left="640" w:right="979" w:hanging="407"/>
        <w:spacing w:after="0" w:line="250" w:lineRule="auto"/>
        <w:tabs>
          <w:tab w:leader="none" w:pos="636" w:val="left"/>
        </w:tabs>
        <w:numPr>
          <w:ilvl w:val="0"/>
          <w:numId w:val="28"/>
        </w:numPr>
        <w:rPr>
          <w:rFonts w:ascii="Arial" w:cs="Arial" w:eastAsia="Arial" w:hAnsi="Arial"/>
          <w:sz w:val="14"/>
          <w:szCs w:val="14"/>
          <w:color w:val="auto"/>
        </w:rPr>
      </w:pPr>
      <w:r>
        <w:rPr>
          <w:rFonts w:ascii="Arial" w:cs="Arial" w:eastAsia="Arial" w:hAnsi="Arial"/>
          <w:sz w:val="18"/>
          <w:szCs w:val="18"/>
          <w:color w:val="auto"/>
        </w:rPr>
        <w:t>McKinsey &amp; Company, a global management consulting firm (2000 –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40" w:right="939" w:hanging="326"/>
        <w:spacing w:after="0" w:line="271" w:lineRule="auto"/>
        <w:tabs>
          <w:tab w:leader="none" w:pos="4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 Board of Chances for Children, a non-profit supporting children in Haiti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ind w:left="640" w:hanging="32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 in Philosophy and Political Science, Calvin University</w:t>
      </w:r>
    </w:p>
    <w:p>
      <w:pPr>
        <w:spacing w:after="0" w:line="13" w:lineRule="exact"/>
        <w:rPr>
          <w:rFonts w:ascii="Arial" w:cs="Arial" w:eastAsia="Arial" w:hAnsi="Arial"/>
          <w:sz w:val="18"/>
          <w:szCs w:val="18"/>
          <w:color w:val="auto"/>
        </w:rPr>
      </w:pPr>
    </w:p>
    <w:p>
      <w:pPr>
        <w:ind w:left="640" w:hanging="32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J.D., Harvard Law School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939"/>
        <w:spacing w:after="0" w:line="246" w:lineRule="auto"/>
        <w:rPr>
          <w:sz w:val="20"/>
          <w:szCs w:val="20"/>
          <w:color w:val="auto"/>
        </w:rPr>
      </w:pPr>
      <w:r>
        <w:rPr>
          <w:rFonts w:ascii="Arial" w:cs="Arial" w:eastAsia="Arial" w:hAnsi="Arial"/>
          <w:sz w:val="18"/>
          <w:szCs w:val="18"/>
          <w:color w:val="auto"/>
        </w:rPr>
        <w:t>Mr. Vander Ark contributes to our Board extensive strategic growth experience, operational skills, and accomplishments implementing sustainability initiatives from his executive leadership at a large publicly traded company. Prior to joining Republic, Mr. Vander Ark’s role in consulting exposed him to a wide range of industries including automotive, logistics, and consumer durables. He developed deep expertise in marketing and sales serving leading global companies.</w:t>
      </w:r>
    </w:p>
    <w:p>
      <w:pPr>
        <w:spacing w:after="0" w:line="1344" w:lineRule="exact"/>
        <w:rPr>
          <w:sz w:val="20"/>
          <w:szCs w:val="20"/>
          <w:color w:val="auto"/>
        </w:rPr>
      </w:pPr>
    </w:p>
    <w:p>
      <w:pPr>
        <w:sectPr>
          <w:pgSz w:w="11900" w:h="16838" w:orient="portrait"/>
          <w:cols w:equalWidth="0" w:num="2">
            <w:col w:w="2280" w:space="600"/>
            <w:col w:w="7079"/>
          </w:cols>
          <w:pgMar w:left="500" w:top="919" w:right="1440" w:bottom="1440" w:gutter="0" w:footer="0" w:header="0"/>
        </w:sectPr>
      </w:pPr>
    </w:p>
    <w:p>
      <w:pPr>
        <w:spacing w:after="0" w:line="397"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183515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919"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The following directors will retire immediately after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974715" cy="62922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74715" cy="629221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C60C35"/>
        </w:rPr>
        <w:t>Janet K. Cooper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Class III</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Independent Director</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1999</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Committees</w:t>
      </w:r>
    </w:p>
    <w:p>
      <w:pPr>
        <w:spacing w:after="0" w:line="65" w:lineRule="exact"/>
        <w:rPr>
          <w:sz w:val="20"/>
          <w:szCs w:val="20"/>
          <w:color w:val="auto"/>
        </w:rPr>
      </w:pPr>
    </w:p>
    <w:p>
      <w:pPr>
        <w:ind w:left="180" w:right="380"/>
        <w:spacing w:after="0" w:line="299" w:lineRule="auto"/>
        <w:rPr>
          <w:sz w:val="20"/>
          <w:szCs w:val="20"/>
          <w:color w:val="auto"/>
        </w:rPr>
      </w:pPr>
      <w:r>
        <w:rPr>
          <w:rFonts w:ascii="Arial" w:cs="Arial" w:eastAsia="Arial" w:hAnsi="Arial"/>
          <w:sz w:val="17"/>
          <w:szCs w:val="17"/>
          <w:i w:val="1"/>
          <w:iCs w:val="1"/>
          <w:color w:val="auto"/>
        </w:rPr>
        <w:t>Audit – Financial Expert Board Governance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jc w:val="both"/>
        <w:ind w:left="180" w:right="560"/>
        <w:spacing w:after="0" w:line="261" w:lineRule="auto"/>
        <w:rPr>
          <w:sz w:val="20"/>
          <w:szCs w:val="20"/>
          <w:color w:val="auto"/>
        </w:rPr>
      </w:pPr>
      <w:r>
        <w:rPr>
          <w:rFonts w:ascii="Arial" w:cs="Arial" w:eastAsia="Arial" w:hAnsi="Arial"/>
          <w:sz w:val="17"/>
          <w:szCs w:val="17"/>
          <w:color w:val="auto"/>
        </w:rPr>
        <w:t>Financial/Accounting Executive Leadership Sustainability</w:t>
      </w:r>
    </w:p>
    <w:p>
      <w:pPr>
        <w:ind w:left="180"/>
        <w:spacing w:after="0" w:line="236" w:lineRule="auto"/>
        <w:rPr>
          <w:sz w:val="20"/>
          <w:szCs w:val="20"/>
          <w:color w:val="auto"/>
        </w:rPr>
      </w:pPr>
      <w:r>
        <w:rPr>
          <w:rFonts w:ascii="Arial" w:cs="Arial" w:eastAsia="Arial" w:hAnsi="Arial"/>
          <w:sz w:val="18"/>
          <w:szCs w:val="18"/>
          <w:color w:val="auto"/>
        </w:rPr>
        <w:t>ERM</w:t>
      </w:r>
    </w:p>
    <w:p>
      <w:pPr>
        <w:ind w:left="180"/>
        <w:spacing w:after="0" w:line="235" w:lineRule="auto"/>
        <w:rPr>
          <w:sz w:val="20"/>
          <w:szCs w:val="20"/>
          <w:color w:val="auto"/>
        </w:rPr>
      </w:pPr>
      <w:r>
        <w:rPr>
          <w:rFonts w:ascii="Arial" w:cs="Arial" w:eastAsia="Arial" w:hAnsi="Arial"/>
          <w:sz w:val="18"/>
          <w:szCs w:val="18"/>
          <w:color w:val="auto"/>
        </w:rPr>
        <w:t>Cybersecurity</w:t>
      </w:r>
    </w:p>
    <w:p>
      <w:pPr>
        <w:ind w:left="180"/>
        <w:spacing w:after="0"/>
        <w:rPr>
          <w:sz w:val="20"/>
          <w:szCs w:val="20"/>
          <w:color w:val="auto"/>
        </w:rPr>
      </w:pPr>
      <w:r>
        <w:rPr>
          <w:rFonts w:ascii="Arial" w:cs="Arial" w:eastAsia="Arial" w:hAnsi="Arial"/>
          <w:sz w:val="18"/>
          <w:szCs w:val="18"/>
          <w:color w:val="auto"/>
        </w:rPr>
        <w:t>Innovation/Technology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156" w:lineRule="exact"/>
        <w:rPr>
          <w:sz w:val="20"/>
          <w:szCs w:val="20"/>
          <w:color w:val="auto"/>
        </w:rPr>
      </w:pPr>
    </w:p>
    <w:p>
      <w:pPr>
        <w:ind w:left="660" w:right="1099" w:hanging="333"/>
        <w:spacing w:after="0" w:line="236" w:lineRule="auto"/>
        <w:tabs>
          <w:tab w:leader="none" w:pos="656" w:val="left"/>
        </w:tabs>
        <w:numPr>
          <w:ilvl w:val="0"/>
          <w:numId w:val="31"/>
        </w:numPr>
        <w:rPr>
          <w:rFonts w:ascii="Arial" w:cs="Arial" w:eastAsia="Arial" w:hAnsi="Arial"/>
          <w:sz w:val="14"/>
          <w:szCs w:val="14"/>
          <w:color w:val="auto"/>
        </w:rPr>
      </w:pPr>
      <w:r>
        <w:rPr>
          <w:rFonts w:ascii="Arial" w:cs="Arial" w:eastAsia="Arial" w:hAnsi="Arial"/>
          <w:sz w:val="18"/>
          <w:szCs w:val="18"/>
          <w:color w:val="auto"/>
        </w:rPr>
        <w:t>Retired; Senior Vice President and Treasurer, Qwest Communications International Inc. (“Qwest”), a telecommunications carrier (2002 – 2008)</w:t>
      </w:r>
    </w:p>
    <w:p>
      <w:pPr>
        <w:spacing w:after="0" w:line="1" w:lineRule="exact"/>
        <w:rPr>
          <w:rFonts w:ascii="Arial" w:cs="Arial" w:eastAsia="Arial" w:hAnsi="Arial"/>
          <w:sz w:val="14"/>
          <w:szCs w:val="14"/>
          <w:color w:val="auto"/>
        </w:rPr>
      </w:pPr>
    </w:p>
    <w:p>
      <w:pPr>
        <w:ind w:left="660" w:right="1279" w:hanging="333"/>
        <w:spacing w:after="0" w:line="234" w:lineRule="auto"/>
        <w:tabs>
          <w:tab w:leader="none" w:pos="656" w:val="left"/>
        </w:tabs>
        <w:numPr>
          <w:ilvl w:val="0"/>
          <w:numId w:val="31"/>
        </w:numPr>
        <w:rPr>
          <w:rFonts w:ascii="Arial" w:cs="Arial" w:eastAsia="Arial" w:hAnsi="Arial"/>
          <w:sz w:val="14"/>
          <w:szCs w:val="14"/>
          <w:color w:val="auto"/>
        </w:rPr>
      </w:pPr>
      <w:r>
        <w:rPr>
          <w:rFonts w:ascii="Arial" w:cs="Arial" w:eastAsia="Arial" w:hAnsi="Arial"/>
          <w:sz w:val="18"/>
          <w:szCs w:val="18"/>
          <w:color w:val="auto"/>
        </w:rPr>
        <w:t>Chief Financial Officer and Senior Vice President, McDATA Corporation, a global leader in open storage networking solutions (2001 – 2002)</w:t>
      </w:r>
    </w:p>
    <w:p>
      <w:pPr>
        <w:spacing w:after="0" w:line="2" w:lineRule="exact"/>
        <w:rPr>
          <w:rFonts w:ascii="Arial" w:cs="Arial" w:eastAsia="Arial" w:hAnsi="Arial"/>
          <w:sz w:val="14"/>
          <w:szCs w:val="14"/>
          <w:color w:val="auto"/>
        </w:rPr>
      </w:pPr>
    </w:p>
    <w:p>
      <w:pPr>
        <w:ind w:left="640" w:hanging="313"/>
        <w:spacing w:after="0" w:line="234"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8"/>
          <w:szCs w:val="18"/>
          <w:color w:val="auto"/>
        </w:rPr>
        <w:t>Senior Vice President, Finance, Qwest (2000 – 2001)</w:t>
      </w:r>
    </w:p>
    <w:p>
      <w:pPr>
        <w:ind w:left="660" w:right="1079" w:hanging="333"/>
        <w:spacing w:after="0" w:line="234" w:lineRule="auto"/>
        <w:tabs>
          <w:tab w:leader="none" w:pos="656" w:val="left"/>
        </w:tabs>
        <w:numPr>
          <w:ilvl w:val="0"/>
          <w:numId w:val="31"/>
        </w:numPr>
        <w:rPr>
          <w:rFonts w:ascii="Arial" w:cs="Arial" w:eastAsia="Arial" w:hAnsi="Arial"/>
          <w:sz w:val="14"/>
          <w:szCs w:val="14"/>
          <w:color w:val="auto"/>
        </w:rPr>
      </w:pPr>
      <w:r>
        <w:rPr>
          <w:rFonts w:ascii="Arial" w:cs="Arial" w:eastAsia="Arial" w:hAnsi="Arial"/>
          <w:sz w:val="18"/>
          <w:szCs w:val="18"/>
          <w:color w:val="auto"/>
        </w:rPr>
        <w:t>Various senior level finance positions, including Vice President, Finance and Controller, and Vice President and Treasurer, US West Inc., a regional Bell operating company and predecessor of Qwest (1998 – 2000)</w:t>
      </w:r>
    </w:p>
    <w:p>
      <w:pPr>
        <w:spacing w:after="0" w:line="2" w:lineRule="exact"/>
        <w:rPr>
          <w:rFonts w:ascii="Arial" w:cs="Arial" w:eastAsia="Arial" w:hAnsi="Arial"/>
          <w:sz w:val="14"/>
          <w:szCs w:val="14"/>
          <w:color w:val="auto"/>
        </w:rPr>
      </w:pPr>
    </w:p>
    <w:p>
      <w:pPr>
        <w:jc w:val="both"/>
        <w:ind w:left="660" w:right="1099" w:hanging="333"/>
        <w:spacing w:after="0" w:line="242" w:lineRule="auto"/>
        <w:tabs>
          <w:tab w:leader="none" w:pos="656" w:val="left"/>
        </w:tabs>
        <w:numPr>
          <w:ilvl w:val="0"/>
          <w:numId w:val="31"/>
        </w:numPr>
        <w:rPr>
          <w:rFonts w:ascii="Arial" w:cs="Arial" w:eastAsia="Arial" w:hAnsi="Arial"/>
          <w:sz w:val="14"/>
          <w:szCs w:val="14"/>
          <w:color w:val="auto"/>
        </w:rPr>
      </w:pPr>
      <w:r>
        <w:rPr>
          <w:rFonts w:ascii="Arial" w:cs="Arial" w:eastAsia="Arial" w:hAnsi="Arial"/>
          <w:sz w:val="18"/>
          <w:szCs w:val="18"/>
          <w:color w:val="auto"/>
        </w:rPr>
        <w:t>Various capacities, including Vice President, Treasurer and Tax and Vice President, Treasurer, the Quaker Oats Company, an American food conglomerate (1978 – 1998)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38" w:lineRule="exact"/>
        <w:rPr>
          <w:sz w:val="20"/>
          <w:szCs w:val="20"/>
          <w:color w:val="auto"/>
        </w:rPr>
      </w:pPr>
    </w:p>
    <w:p>
      <w:pPr>
        <w:ind w:left="660" w:right="1239" w:hanging="333"/>
        <w:spacing w:after="0" w:line="238"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8"/>
          <w:szCs w:val="18"/>
          <w:color w:val="auto"/>
        </w:rPr>
        <w:t>Director, The Toro Company, a manufacturer of equipment for turf and landscape maintenance, snow and ice management, underground utility construction, rental, and specialty construction (1994 – 2024)</w:t>
      </w:r>
    </w:p>
    <w:p>
      <w:pPr>
        <w:spacing w:after="0" w:line="3" w:lineRule="exact"/>
        <w:rPr>
          <w:rFonts w:ascii="Arial" w:cs="Arial" w:eastAsia="Arial" w:hAnsi="Arial"/>
          <w:sz w:val="14"/>
          <w:szCs w:val="14"/>
          <w:color w:val="auto"/>
        </w:rPr>
      </w:pPr>
    </w:p>
    <w:p>
      <w:pPr>
        <w:ind w:left="660" w:right="1199" w:hanging="333"/>
        <w:spacing w:after="0" w:line="226"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8"/>
          <w:szCs w:val="18"/>
          <w:color w:val="auto"/>
        </w:rPr>
        <w:t>Trustee, Rose-Hulman Institute of Technology, an engineering and technology college (2015 – present)</w:t>
      </w:r>
    </w:p>
    <w:p>
      <w:pPr>
        <w:spacing w:after="0" w:line="1" w:lineRule="exact"/>
        <w:rPr>
          <w:rFonts w:ascii="Arial" w:cs="Arial" w:eastAsia="Arial" w:hAnsi="Arial"/>
          <w:sz w:val="14"/>
          <w:szCs w:val="14"/>
          <w:color w:val="auto"/>
        </w:rPr>
      </w:pPr>
    </w:p>
    <w:p>
      <w:pPr>
        <w:ind w:left="660" w:right="1839" w:hanging="333"/>
        <w:spacing w:after="0" w:line="234"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8"/>
          <w:szCs w:val="18"/>
          <w:color w:val="auto"/>
        </w:rPr>
        <w:t>Director, CPI Aerostructures, Inc., a publicly traded aircraft component manufacturer (2019 – 2020)</w:t>
      </w:r>
    </w:p>
    <w:p>
      <w:pPr>
        <w:spacing w:after="0" w:line="1" w:lineRule="exact"/>
        <w:rPr>
          <w:rFonts w:ascii="Arial" w:cs="Arial" w:eastAsia="Arial" w:hAnsi="Arial"/>
          <w:sz w:val="14"/>
          <w:szCs w:val="14"/>
          <w:color w:val="auto"/>
        </w:rPr>
      </w:pPr>
    </w:p>
    <w:p>
      <w:pPr>
        <w:ind w:left="660" w:right="1139" w:hanging="333"/>
        <w:spacing w:after="0" w:line="234"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8"/>
          <w:szCs w:val="18"/>
          <w:color w:val="auto"/>
        </w:rPr>
        <w:t>Director, Resonant Inc., a publicly traded software, intellectual property, and services platform for filter designs for radio frequency front ends (2014 – 2019)</w:t>
      </w:r>
    </w:p>
    <w:p>
      <w:pPr>
        <w:spacing w:after="0" w:line="2" w:lineRule="exact"/>
        <w:rPr>
          <w:rFonts w:ascii="Arial" w:cs="Arial" w:eastAsia="Arial" w:hAnsi="Arial"/>
          <w:sz w:val="14"/>
          <w:szCs w:val="14"/>
          <w:color w:val="auto"/>
        </w:rPr>
      </w:pPr>
    </w:p>
    <w:p>
      <w:pPr>
        <w:ind w:left="660" w:right="1399" w:hanging="333"/>
        <w:spacing w:after="0" w:line="234"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8"/>
          <w:szCs w:val="18"/>
          <w:color w:val="auto"/>
        </w:rPr>
        <w:t>National Association of Corporate Directors (NACD) Leadership Fellowship</w:t>
      </w:r>
    </w:p>
    <w:p>
      <w:pPr>
        <w:spacing w:after="0" w:line="1" w:lineRule="exact"/>
        <w:rPr>
          <w:rFonts w:ascii="Arial" w:cs="Arial" w:eastAsia="Arial" w:hAnsi="Arial"/>
          <w:sz w:val="14"/>
          <w:szCs w:val="14"/>
          <w:color w:val="auto"/>
        </w:rPr>
      </w:pPr>
    </w:p>
    <w:p>
      <w:pPr>
        <w:ind w:left="640" w:hanging="313"/>
        <w:spacing w:after="0" w:line="234"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8"/>
          <w:szCs w:val="18"/>
          <w:color w:val="auto"/>
        </w:rPr>
        <w:t>Diligent Climate Leadership Certificate program</w:t>
      </w:r>
    </w:p>
    <w:p>
      <w:pPr>
        <w:ind w:left="660" w:right="1259" w:hanging="333"/>
        <w:spacing w:after="0" w:line="250"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8"/>
          <w:szCs w:val="18"/>
          <w:color w:val="auto"/>
        </w:rPr>
        <w:t>Certificate in Cybersecurity Oversight, Carnegie Mellon University Software Engineering Institute.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38" w:lineRule="exact"/>
        <w:rPr>
          <w:sz w:val="20"/>
          <w:szCs w:val="20"/>
          <w:color w:val="auto"/>
        </w:rPr>
      </w:pPr>
    </w:p>
    <w:p>
      <w:pPr>
        <w:ind w:left="660" w:right="1219" w:hanging="333"/>
        <w:spacing w:after="0" w:line="242" w:lineRule="auto"/>
        <w:tabs>
          <w:tab w:leader="none" w:pos="656" w:val="left"/>
        </w:tabs>
        <w:numPr>
          <w:ilvl w:val="0"/>
          <w:numId w:val="33"/>
        </w:numPr>
        <w:rPr>
          <w:rFonts w:ascii="Arial" w:cs="Arial" w:eastAsia="Arial" w:hAnsi="Arial"/>
          <w:sz w:val="14"/>
          <w:szCs w:val="14"/>
          <w:color w:val="auto"/>
        </w:rPr>
      </w:pPr>
      <w:r>
        <w:rPr>
          <w:rFonts w:ascii="Arial" w:cs="Arial" w:eastAsia="Arial" w:hAnsi="Arial"/>
          <w:sz w:val="18"/>
          <w:szCs w:val="18"/>
          <w:color w:val="auto"/>
        </w:rPr>
        <w:t>B.S. in Math/Computer Science &amp; Economics, University of Illinois Urbana-Champaign</w:t>
      </w:r>
    </w:p>
    <w:p>
      <w:pPr>
        <w:spacing w:after="0" w:line="1" w:lineRule="exact"/>
        <w:rPr>
          <w:rFonts w:ascii="Arial" w:cs="Arial" w:eastAsia="Arial" w:hAnsi="Arial"/>
          <w:sz w:val="14"/>
          <w:szCs w:val="14"/>
          <w:color w:val="auto"/>
        </w:rPr>
      </w:pPr>
    </w:p>
    <w:p>
      <w:pPr>
        <w:ind w:left="640" w:hanging="313"/>
        <w:spacing w:after="0" w:line="234"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8"/>
          <w:szCs w:val="18"/>
          <w:color w:val="auto"/>
        </w:rPr>
        <w:t>M.S. in Applied Math, University of Illinois Urbana-Champaign</w:t>
      </w:r>
    </w:p>
    <w:p>
      <w:pPr>
        <w:ind w:left="640" w:hanging="313"/>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8"/>
          <w:szCs w:val="18"/>
          <w:color w:val="auto"/>
        </w:rPr>
        <w:t>M.B.A., University of Chicago Booth School of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38" w:lineRule="exact"/>
        <w:rPr>
          <w:sz w:val="20"/>
          <w:szCs w:val="20"/>
          <w:color w:val="auto"/>
        </w:rPr>
      </w:pPr>
    </w:p>
    <w:p>
      <w:pPr>
        <w:ind w:right="1099"/>
        <w:spacing w:after="0" w:line="242" w:lineRule="auto"/>
        <w:rPr>
          <w:sz w:val="20"/>
          <w:szCs w:val="20"/>
          <w:color w:val="auto"/>
        </w:rPr>
      </w:pPr>
      <w:r>
        <w:rPr>
          <w:rFonts w:ascii="Arial" w:cs="Arial" w:eastAsia="Arial" w:hAnsi="Arial"/>
          <w:sz w:val="18"/>
          <w:szCs w:val="18"/>
          <w:color w:val="auto"/>
        </w:rPr>
        <w:t>Ms. Cooper contributes a substantial financial background and extensive experience in capital markets, tax, accounting matters, and pension plan investments in her service as a director. Her leadership roles on boards and management teams of U.S. public companies allow her to provide valuable insight.</w:t>
      </w:r>
    </w:p>
    <w:p>
      <w:pPr>
        <w:spacing w:after="0" w:line="200" w:lineRule="exact"/>
        <w:rPr>
          <w:sz w:val="20"/>
          <w:szCs w:val="20"/>
          <w:color w:val="auto"/>
        </w:rPr>
      </w:pPr>
    </w:p>
    <w:p>
      <w:pPr>
        <w:sectPr>
          <w:pgSz w:w="11900" w:h="16838" w:orient="portrait"/>
          <w:cols w:equalWidth="0" w:num="2">
            <w:col w:w="2460" w:space="560"/>
            <w:col w:w="7119"/>
          </w:cols>
          <w:pgMar w:left="320" w:top="7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21" w:name="page22"/>
    <w:bookmarkEnd w:id="21"/>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Gregory T. Swienton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 Financial Expert</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Compensation and Human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Financial/Accounting</w:t>
      </w:r>
    </w:p>
    <w:p>
      <w:pPr>
        <w:spacing w:after="0" w:line="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Executive Leadership Manufacturing/Distribution</w:t>
      </w:r>
    </w:p>
    <w:p>
      <w:pPr>
        <w:spacing w:after="0" w:line="236" w:lineRule="auto"/>
        <w:rPr>
          <w:sz w:val="20"/>
          <w:szCs w:val="20"/>
          <w:color w:val="auto"/>
        </w:rPr>
      </w:pPr>
      <w:r>
        <w:rPr>
          <w:rFonts w:ascii="Arial" w:cs="Arial" w:eastAsia="Arial" w:hAnsi="Arial"/>
          <w:sz w:val="18"/>
          <w:szCs w:val="18"/>
          <w:color w:val="auto"/>
        </w:rPr>
        <w:t>Sustainability</w:t>
      </w:r>
    </w:p>
    <w:p>
      <w:pPr>
        <w:spacing w:after="0" w:line="235" w:lineRule="auto"/>
        <w:rPr>
          <w:sz w:val="20"/>
          <w:szCs w:val="20"/>
          <w:color w:val="auto"/>
        </w:rPr>
      </w:pPr>
      <w:r>
        <w:rPr>
          <w:rFonts w:ascii="Arial" w:cs="Arial" w:eastAsia="Arial" w:hAnsi="Arial"/>
          <w:sz w:val="18"/>
          <w:szCs w:val="18"/>
          <w:color w:val="auto"/>
        </w:rPr>
        <w:t>ERM</w:t>
      </w:r>
    </w:p>
    <w:p>
      <w:pPr>
        <w:spacing w:after="0"/>
        <w:rPr>
          <w:sz w:val="20"/>
          <w:szCs w:val="20"/>
          <w:color w:val="auto"/>
        </w:rPr>
      </w:pPr>
      <w:r>
        <w:rPr>
          <w:rFonts w:ascii="Arial" w:cs="Arial" w:eastAsia="Arial" w:hAnsi="Arial"/>
          <w:sz w:val="17"/>
          <w:szCs w:val="17"/>
          <w:color w:val="auto"/>
        </w:rPr>
        <w:t>Human Capital Management</w:t>
      </w:r>
    </w:p>
    <w:p>
      <w:pPr>
        <w:spacing w:after="0" w:line="21" w:lineRule="exact"/>
        <w:rPr>
          <w:sz w:val="20"/>
          <w:szCs w:val="20"/>
          <w:color w:val="auto"/>
        </w:rPr>
      </w:pPr>
    </w:p>
    <w:p>
      <w:pPr>
        <w:ind w:right="500"/>
        <w:spacing w:after="0" w:line="254" w:lineRule="auto"/>
        <w:rPr>
          <w:sz w:val="20"/>
          <w:szCs w:val="20"/>
          <w:color w:val="auto"/>
        </w:rPr>
      </w:pPr>
      <w:r>
        <w:rPr>
          <w:rFonts w:ascii="Arial" w:cs="Arial" w:eastAsia="Arial" w:hAnsi="Arial"/>
          <w:sz w:val="17"/>
          <w:szCs w:val="17"/>
          <w:color w:val="auto"/>
        </w:rPr>
        <w:t>Marketing/Sales Cybersecurity Innovation/Technology</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-197485</wp:posOffset>
            </wp:positionV>
            <wp:extent cx="5974715" cy="55378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74715" cy="5537835"/>
                    </a:xfrm>
                    <a:prstGeom prst="rect">
                      <a:avLst/>
                    </a:prstGeom>
                    <a:noFill/>
                  </pic:spPr>
                </pic:pic>
              </a:graphicData>
            </a:graphic>
          </wp:anchor>
        </w:drawing>
      </w:r>
    </w:p>
    <w:p>
      <w:pPr>
        <w:spacing w:after="0" w:line="28" w:lineRule="exact"/>
        <w:rPr>
          <w:sz w:val="20"/>
          <w:szCs w:val="20"/>
          <w:color w:val="auto"/>
        </w:rPr>
      </w:pPr>
    </w:p>
    <w:p>
      <w:pPr>
        <w:ind w:left="640" w:right="999" w:hanging="326"/>
        <w:spacing w:after="0" w:line="245"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Retired; Adviser (2013 – 2015); Executive Chairman (2013); Chairman (2002 – 2013); Chief Executive Officer (2000 – 2013); and President and Chief Operating Officer (1999 – 2000), Ryder System, Inc., a supplier of transportation, logistics and supply chain management solutions</w:t>
      </w:r>
    </w:p>
    <w:p>
      <w:pPr>
        <w:spacing w:after="0" w:line="1" w:lineRule="exact"/>
        <w:rPr>
          <w:rFonts w:ascii="Arial" w:cs="Arial" w:eastAsia="Arial" w:hAnsi="Arial"/>
          <w:sz w:val="14"/>
          <w:szCs w:val="14"/>
          <w:color w:val="auto"/>
        </w:rPr>
      </w:pPr>
    </w:p>
    <w:p>
      <w:pPr>
        <w:ind w:left="640" w:right="979" w:hanging="326"/>
        <w:spacing w:after="0"/>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Senior Vice President for various business units, Burlington Northern Santa Fe Corporation (BNSF), a freight transportation company (1995 – 1999)</w:t>
      </w:r>
    </w:p>
    <w:p>
      <w:pPr>
        <w:ind w:left="640" w:right="1079" w:hanging="326"/>
        <w:spacing w:after="0" w:line="256" w:lineRule="auto"/>
        <w:tabs>
          <w:tab w:leader="none" w:pos="636" w:val="left"/>
        </w:tabs>
        <w:numPr>
          <w:ilvl w:val="0"/>
          <w:numId w:val="34"/>
        </w:numPr>
        <w:rPr>
          <w:rFonts w:ascii="Arial" w:cs="Arial" w:eastAsia="Arial" w:hAnsi="Arial"/>
          <w:sz w:val="13"/>
          <w:szCs w:val="13"/>
          <w:color w:val="auto"/>
        </w:rPr>
      </w:pPr>
      <w:r>
        <w:rPr>
          <w:rFonts w:ascii="Arial" w:cs="Arial" w:eastAsia="Arial" w:hAnsi="Arial"/>
          <w:sz w:val="17"/>
          <w:szCs w:val="17"/>
          <w:color w:val="auto"/>
        </w:rPr>
        <w:t>Executive Vice President-Intermodal Business Unit, Burlington Northern Railroad Company, a predecessor of BNSF (1994 – 1995)</w:t>
      </w:r>
    </w:p>
    <w:p>
      <w:pPr>
        <w:spacing w:after="0" w:line="1" w:lineRule="exact"/>
        <w:rPr>
          <w:rFonts w:ascii="Arial" w:cs="Arial" w:eastAsia="Arial" w:hAnsi="Arial"/>
          <w:sz w:val="13"/>
          <w:szCs w:val="13"/>
          <w:color w:val="auto"/>
        </w:rPr>
      </w:pPr>
    </w:p>
    <w:p>
      <w:pPr>
        <w:ind w:left="640" w:right="1119" w:hanging="326"/>
        <w:spacing w:after="0" w:line="238"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Executive Director-Europe and Africa (1991 – 1994) and Managing Director—Western and Eastern Europe (1988 – 1990), DHL Worldwide Express, a global logistics and international shipping company (“DHL”)</w:t>
      </w:r>
    </w:p>
    <w:p>
      <w:pPr>
        <w:spacing w:after="0" w:line="2" w:lineRule="exact"/>
        <w:rPr>
          <w:rFonts w:ascii="Arial" w:cs="Arial" w:eastAsia="Arial" w:hAnsi="Arial"/>
          <w:sz w:val="14"/>
          <w:szCs w:val="14"/>
          <w:color w:val="auto"/>
        </w:rPr>
      </w:pPr>
    </w:p>
    <w:p>
      <w:pPr>
        <w:ind w:left="640" w:hanging="326"/>
        <w:spacing w:after="0" w:line="234"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8"/>
          <w:szCs w:val="18"/>
          <w:color w:val="auto"/>
        </w:rPr>
        <w:t>Regional Vice President, DHL Airways, Inc., a division of DHL (1982</w:t>
      </w:r>
    </w:p>
    <w:p>
      <w:pPr>
        <w:ind w:left="640"/>
        <w:spacing w:after="0"/>
        <w:rPr>
          <w:rFonts w:ascii="Arial" w:cs="Arial" w:eastAsia="Arial" w:hAnsi="Arial"/>
          <w:sz w:val="14"/>
          <w:szCs w:val="14"/>
          <w:color w:val="auto"/>
        </w:rPr>
      </w:pPr>
      <w:r>
        <w:rPr>
          <w:rFonts w:ascii="Arial" w:cs="Arial" w:eastAsia="Arial" w:hAnsi="Arial"/>
          <w:sz w:val="18"/>
          <w:szCs w:val="18"/>
          <w:color w:val="auto"/>
        </w:rPr>
        <w:t>– 1988)</w:t>
      </w:r>
    </w:p>
    <w:p>
      <w:pPr>
        <w:spacing w:after="0" w:line="9" w:lineRule="exact"/>
        <w:rPr>
          <w:rFonts w:ascii="Arial" w:cs="Arial" w:eastAsia="Arial" w:hAnsi="Arial"/>
          <w:sz w:val="14"/>
          <w:szCs w:val="14"/>
          <w:color w:val="auto"/>
        </w:rPr>
      </w:pPr>
    </w:p>
    <w:p>
      <w:pPr>
        <w:ind w:left="640" w:right="1079" w:hanging="326"/>
        <w:spacing w:after="0" w:line="242"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Various national account, sales, and marketing positions, AT&amp;T and Illinois Bell Telephone Company, related telecommunications companies (1971 – 1982)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40" w:right="1079" w:hanging="326"/>
        <w:spacing w:after="0" w:line="253" w:lineRule="auto"/>
        <w:tabs>
          <w:tab w:leader="none" w:pos="636" w:val="left"/>
        </w:tabs>
        <w:numPr>
          <w:ilvl w:val="0"/>
          <w:numId w:val="35"/>
        </w:numPr>
        <w:rPr>
          <w:rFonts w:ascii="Arial" w:cs="Arial" w:eastAsia="Arial" w:hAnsi="Arial"/>
          <w:sz w:val="14"/>
          <w:szCs w:val="14"/>
          <w:color w:val="auto"/>
        </w:rPr>
      </w:pPr>
      <w:r>
        <w:rPr>
          <w:rFonts w:ascii="Arial" w:cs="Arial" w:eastAsia="Arial" w:hAnsi="Arial"/>
          <w:sz w:val="18"/>
          <w:szCs w:val="18"/>
          <w:color w:val="auto"/>
        </w:rPr>
        <w:t>Director, CRST/Hillcrest Holding, a privately held transportation and logistics company</w:t>
      </w:r>
    </w:p>
    <w:p>
      <w:pPr>
        <w:ind w:left="640" w:right="1019" w:hanging="326"/>
        <w:spacing w:after="0" w:line="248" w:lineRule="auto"/>
        <w:tabs>
          <w:tab w:leader="none" w:pos="636" w:val="left"/>
        </w:tabs>
        <w:numPr>
          <w:ilvl w:val="0"/>
          <w:numId w:val="35"/>
        </w:numPr>
        <w:rPr>
          <w:rFonts w:ascii="Arial" w:cs="Arial" w:eastAsia="Arial" w:hAnsi="Arial"/>
          <w:sz w:val="13"/>
          <w:szCs w:val="13"/>
          <w:color w:val="auto"/>
        </w:rPr>
      </w:pPr>
      <w:r>
        <w:rPr>
          <w:rFonts w:ascii="Arial" w:cs="Arial" w:eastAsia="Arial" w:hAnsi="Arial"/>
          <w:sz w:val="17"/>
          <w:szCs w:val="17"/>
          <w:color w:val="auto"/>
        </w:rPr>
        <w:t>Director, L3 Harris Technologies, Inc., a publicly traded supplier of communications and information technology products (2000 – 2019)</w:t>
      </w:r>
    </w:p>
    <w:p>
      <w:pPr>
        <w:spacing w:after="0" w:line="1" w:lineRule="exact"/>
        <w:rPr>
          <w:rFonts w:ascii="Arial" w:cs="Arial" w:eastAsia="Arial" w:hAnsi="Arial"/>
          <w:sz w:val="13"/>
          <w:szCs w:val="13"/>
          <w:color w:val="auto"/>
        </w:rPr>
      </w:pPr>
    </w:p>
    <w:p>
      <w:pPr>
        <w:ind w:left="640" w:right="1059" w:hanging="326"/>
        <w:spacing w:after="0" w:line="242" w:lineRule="auto"/>
        <w:tabs>
          <w:tab w:leader="none" w:pos="636" w:val="left"/>
        </w:tabs>
        <w:numPr>
          <w:ilvl w:val="0"/>
          <w:numId w:val="35"/>
        </w:numPr>
        <w:rPr>
          <w:rFonts w:ascii="Arial" w:cs="Arial" w:eastAsia="Arial" w:hAnsi="Arial"/>
          <w:sz w:val="14"/>
          <w:szCs w:val="14"/>
          <w:color w:val="auto"/>
        </w:rPr>
      </w:pPr>
      <w:r>
        <w:rPr>
          <w:rFonts w:ascii="Arial" w:cs="Arial" w:eastAsia="Arial" w:hAnsi="Arial"/>
          <w:sz w:val="18"/>
          <w:szCs w:val="18"/>
          <w:color w:val="auto"/>
        </w:rPr>
        <w:t>Chairman of the Board of Trustees, St. Thomas University, a private university in Miami, Florida (2001 – 2013)</w:t>
      </w:r>
    </w:p>
    <w:p>
      <w:pPr>
        <w:spacing w:after="0" w:line="1" w:lineRule="exact"/>
        <w:rPr>
          <w:rFonts w:ascii="Arial" w:cs="Arial" w:eastAsia="Arial" w:hAnsi="Arial"/>
          <w:sz w:val="14"/>
          <w:szCs w:val="14"/>
          <w:color w:val="auto"/>
        </w:rPr>
      </w:pPr>
    </w:p>
    <w:p>
      <w:pPr>
        <w:jc w:val="both"/>
        <w:ind w:left="640" w:right="1059" w:hanging="326"/>
        <w:spacing w:after="0" w:line="250" w:lineRule="auto"/>
        <w:tabs>
          <w:tab w:leader="none" w:pos="636" w:val="left"/>
        </w:tabs>
        <w:numPr>
          <w:ilvl w:val="0"/>
          <w:numId w:val="35"/>
        </w:numPr>
        <w:rPr>
          <w:rFonts w:ascii="Arial" w:cs="Arial" w:eastAsia="Arial" w:hAnsi="Arial"/>
          <w:sz w:val="14"/>
          <w:szCs w:val="14"/>
          <w:color w:val="auto"/>
        </w:rPr>
      </w:pPr>
      <w:r>
        <w:rPr>
          <w:rFonts w:ascii="Arial" w:cs="Arial" w:eastAsia="Arial" w:hAnsi="Arial"/>
          <w:sz w:val="18"/>
          <w:szCs w:val="18"/>
          <w:color w:val="auto"/>
        </w:rPr>
        <w:t>Past recipient of National Safety Council’s highest honor, the Green Cross for Safety medal, in recognition of career-long commitment to workplace safety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40" w:hanging="326"/>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8"/>
          <w:szCs w:val="18"/>
          <w:color w:val="auto"/>
        </w:rPr>
        <w:t>B.B.A., Loyola University of Chicago</w:t>
      </w:r>
    </w:p>
    <w:p>
      <w:pPr>
        <w:spacing w:after="0" w:line="27" w:lineRule="exact"/>
        <w:rPr>
          <w:rFonts w:ascii="Arial" w:cs="Arial" w:eastAsia="Arial" w:hAnsi="Arial"/>
          <w:sz w:val="14"/>
          <w:szCs w:val="14"/>
          <w:color w:val="auto"/>
        </w:rPr>
      </w:pPr>
    </w:p>
    <w:p>
      <w:pPr>
        <w:ind w:left="640" w:hanging="326"/>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8"/>
          <w:szCs w:val="18"/>
          <w:color w:val="auto"/>
        </w:rPr>
        <w:t>M.B.A., University of Chicago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999"/>
        <w:spacing w:after="0" w:line="283" w:lineRule="auto"/>
        <w:rPr>
          <w:sz w:val="20"/>
          <w:szCs w:val="20"/>
          <w:color w:val="auto"/>
        </w:rPr>
      </w:pPr>
      <w:r>
        <w:rPr>
          <w:rFonts w:ascii="Arial" w:cs="Arial" w:eastAsia="Arial" w:hAnsi="Arial"/>
          <w:sz w:val="17"/>
          <w:szCs w:val="17"/>
          <w:color w:val="auto"/>
        </w:rPr>
        <w:t>Mr. Swienton contributes extensive international business experience, deep expertise in global distribution, experience in growth initiatives, and supply chain innovations from his executive leadership at transportation companies.</w:t>
      </w:r>
    </w:p>
    <w:p>
      <w:pPr>
        <w:spacing w:after="0" w:line="200" w:lineRule="exact"/>
        <w:rPr>
          <w:sz w:val="20"/>
          <w:szCs w:val="20"/>
          <w:color w:val="auto"/>
        </w:rPr>
      </w:pPr>
    </w:p>
    <w:p>
      <w:pPr>
        <w:sectPr>
          <w:pgSz w:w="11900" w:h="16838" w:orient="portrait"/>
          <w:cols w:equalWidth="0" w:num="2">
            <w:col w:w="2280" w:space="600"/>
            <w:col w:w="7079"/>
          </w:cols>
          <w:pgMar w:left="500" w:top="919" w:right="1440" w:bottom="1440" w:gutter="0" w:footer="0" w:header="0"/>
        </w:sectPr>
      </w:pPr>
    </w:p>
    <w:p>
      <w:pPr>
        <w:spacing w:after="0" w:line="391"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183515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919" w:right="1440"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29"/>
          <w:szCs w:val="29"/>
          <w:b w:val="1"/>
          <w:bCs w:val="1"/>
          <w:color w:val="C6093B"/>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9"/>
          <w:szCs w:val="29"/>
          <w:b w:val="1"/>
          <w:bCs w:val="1"/>
          <w:color w:val="C6093B"/>
        </w:rPr>
        <w:t>Advisory Vote to Approve the</w:t>
      </w:r>
    </w:p>
    <w:p>
      <w:pPr>
        <w:jc w:val="center"/>
        <w:ind w:right="-19"/>
        <w:spacing w:after="0"/>
        <w:rPr>
          <w:sz w:val="20"/>
          <w:szCs w:val="20"/>
          <w:color w:val="auto"/>
        </w:rPr>
      </w:pPr>
      <w:r>
        <w:rPr>
          <w:rFonts w:ascii="Arial" w:cs="Arial" w:eastAsia="Arial" w:hAnsi="Arial"/>
          <w:sz w:val="29"/>
          <w:szCs w:val="29"/>
          <w:b w:val="1"/>
          <w:bCs w:val="1"/>
          <w:color w:val="C6093B"/>
        </w:rPr>
        <w:t>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0"/>
          <w:szCs w:val="20"/>
          <w:color w:val="auto"/>
        </w:rPr>
      </w:pPr>
    </w:p>
    <w:p>
      <w:pPr>
        <w:ind w:right="120" w:firstLine="324"/>
        <w:spacing w:after="0" w:line="245" w:lineRule="auto"/>
        <w:rPr>
          <w:sz w:val="20"/>
          <w:szCs w:val="20"/>
          <w:color w:val="auto"/>
        </w:rPr>
      </w:pPr>
      <w:r>
        <w:rPr>
          <w:rFonts w:ascii="Arial" w:cs="Arial" w:eastAsia="Arial" w:hAnsi="Arial"/>
          <w:sz w:val="18"/>
          <w:szCs w:val="18"/>
          <w:color w:val="auto"/>
        </w:rPr>
        <w:t>In accordance with Section 14A of the Securities Exchange Act of 1934 (the “Exchange Act”), we are asking our stockholders to vote to approve the compensation of our Company’s NEOs (the “Say-on-Pay vote”), as disclosed in this Proxy Statement. The Say-on-Pay vote is an advisory vote on the resolution below and is not binding. Although the vote is non-binding, the directors value stockholders’ opinions and will consider the voting results of this proposal when making future compensation decisions. Say-on-Pay advisory votes are currently conducted annually, and our next Say-on-Pay vote is expected to occur at our annual meeting of stockholders in 2026. Our next advisory vote on the frequency of Say-on-Pay votes is expected to take place at our annual meeting of stockholders in 2029.</w:t>
      </w:r>
    </w:p>
    <w:p>
      <w:pPr>
        <w:spacing w:after="0" w:line="13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described more fully in the “Compensation Discussion and Analysis” section of this Proxy Statement, the Company designed its market-competitive NEO compensation program to reward successful execution of its business strategy and achievement of desired business results, with a focus on creating alignment with the interests of our stockholders. The program seeks to achieve these goals on both an annual and long-term basis through an appropriate combination of base pay, annual incentives, and long-term incentives.</w:t>
      </w:r>
    </w:p>
    <w:p>
      <w:pPr>
        <w:spacing w:after="0" w:line="116"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For our NEOs, the majority of compensation in a typical year is both stock-based and contingent on performance. The annual incentive payout is based on Company financial performance metrics of core net income, free cash flow, and core revenue, and for NEOs who are business segment leaders, a combination of Company and business segment performance. Our long-term incentives generally include: (1) performance share units, which are designed to link compensation to the Company’s three-year financial performance as measured by return on invested capital and core net income growth; (2) stock appreciation rights, which are designed to incentivize NEOs to grow our business and deliver increased returns to our stockholders; and (3) restricted stock units, which are designed to support our retention efforts.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also has several governance policies in place to align executive compensation with stockholder interests and mitigate risk. These policies include stock ownership guidelines; a prohibition on hedging and pledging of Company stock; clawback policies; and post-employment restrictive covenants. These policies are discussed in detail in the “Compensation Discussion and Analysis” section of this Proxy Statement.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2024, the Company posted record highs for revenue and earnings per share. Highlights of our 2024 performance include the following:</w:t>
      </w:r>
    </w:p>
    <w:p>
      <w:pPr>
        <w:spacing w:after="0" w:line="18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8"/>
          <w:szCs w:val="18"/>
          <w:color w:val="auto"/>
        </w:rPr>
        <w:t>Revenue up 7% and core revenue up 13% to approximately $5.3 billion;</w:t>
      </w:r>
    </w:p>
    <w:p>
      <w:pPr>
        <w:spacing w:after="0" w:line="157"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8"/>
          <w:szCs w:val="18"/>
          <w:color w:val="auto"/>
        </w:rPr>
        <w:t>Operating profit margin up 350 basis points to 19.4%, while adjusted segment profit margin was up 150 basis points to 19.4%;</w:t>
      </w:r>
    </w:p>
    <w:p>
      <w:pPr>
        <w:spacing w:after="0" w:line="157"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8"/>
          <w:szCs w:val="18"/>
          <w:color w:val="auto"/>
        </w:rPr>
        <w:t>Net income up 37% to $807 million and adjusted net income up 26% to $808 million;</w:t>
      </w:r>
    </w:p>
    <w:p>
      <w:pPr>
        <w:spacing w:after="0" w:line="171"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8"/>
          <w:szCs w:val="18"/>
          <w:color w:val="auto"/>
        </w:rPr>
        <w:t>GAAP diluted earnings per share up 36% to $22.54, while adjusted diluted earnings per share was up 26% to $22.58;</w:t>
      </w:r>
    </w:p>
    <w:p>
      <w:pPr>
        <w:spacing w:after="0" w:line="157"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8"/>
          <w:szCs w:val="18"/>
          <w:color w:val="auto"/>
        </w:rPr>
        <w:t>Operating cash flow up 28% to $946 million, while free cash flow was up 61% to $785 million;</w:t>
      </w:r>
    </w:p>
    <w:p>
      <w:pPr>
        <w:spacing w:after="0" w:line="157" w:lineRule="exact"/>
        <w:rPr>
          <w:rFonts w:ascii="Arial" w:cs="Arial" w:eastAsia="Arial" w:hAnsi="Arial"/>
          <w:sz w:val="14"/>
          <w:szCs w:val="14"/>
          <w:color w:val="auto"/>
        </w:rPr>
      </w:pPr>
    </w:p>
    <w:p>
      <w:pPr>
        <w:ind w:left="660" w:right="140" w:hanging="328"/>
        <w:spacing w:after="0" w:line="287" w:lineRule="auto"/>
        <w:tabs>
          <w:tab w:leader="none" w:pos="656" w:val="left"/>
        </w:tabs>
        <w:numPr>
          <w:ilvl w:val="0"/>
          <w:numId w:val="37"/>
        </w:numPr>
        <w:rPr>
          <w:rFonts w:ascii="Arial" w:cs="Arial" w:eastAsia="Arial" w:hAnsi="Arial"/>
          <w:sz w:val="14"/>
          <w:szCs w:val="14"/>
          <w:color w:val="auto"/>
        </w:rPr>
      </w:pPr>
      <w:r>
        <w:rPr>
          <w:rFonts w:ascii="Arial" w:cs="Arial" w:eastAsia="Arial" w:hAnsi="Arial"/>
          <w:sz w:val="18"/>
          <w:szCs w:val="18"/>
          <w:color w:val="auto"/>
        </w:rPr>
        <w:t>One-year total stockholder return of 37%, three-year total stockholder return of 95%, and five-year total stockholder return of 166%; and</w:t>
      </w:r>
    </w:p>
    <w:p>
      <w:pPr>
        <w:spacing w:after="0" w:line="85" w:lineRule="exact"/>
        <w:rPr>
          <w:rFonts w:ascii="Arial" w:cs="Arial" w:eastAsia="Arial" w:hAnsi="Arial"/>
          <w:sz w:val="14"/>
          <w:szCs w:val="14"/>
          <w:color w:val="auto"/>
        </w:rPr>
      </w:pPr>
    </w:p>
    <w:p>
      <w:pPr>
        <w:ind w:left="660" w:right="500" w:hanging="328"/>
        <w:spacing w:after="0" w:line="271" w:lineRule="auto"/>
        <w:tabs>
          <w:tab w:leader="none" w:pos="656" w:val="left"/>
        </w:tabs>
        <w:numPr>
          <w:ilvl w:val="0"/>
          <w:numId w:val="37"/>
        </w:numPr>
        <w:rPr>
          <w:rFonts w:ascii="Arial" w:cs="Arial" w:eastAsia="Arial" w:hAnsi="Arial"/>
          <w:sz w:val="14"/>
          <w:szCs w:val="14"/>
          <w:color w:val="auto"/>
        </w:rPr>
      </w:pPr>
      <w:r>
        <w:rPr>
          <w:rFonts w:ascii="Arial" w:cs="Arial" w:eastAsia="Arial" w:hAnsi="Arial"/>
          <w:sz w:val="18"/>
          <w:szCs w:val="18"/>
          <w:color w:val="auto"/>
        </w:rPr>
        <w:t>Quarterly dividends resulted in approximately $160 million cash paid to stockholders, and the Company used an additional $54 million to repurchase shares under our stock repurchase program.</w:t>
      </w:r>
    </w:p>
    <w:p>
      <w:pPr>
        <w:spacing w:after="0" w:line="11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Financial results, including those from prior periods, are described in more detail in our Form 10-K for the fiscal year ended December 31, 2024, which was filed with the SEC on February 11, 2025 (the “Form 10-K”). For non-GAAP results, see reconciliation in Appendix A. All total stockholder return calculations assume reinvestment of dividends.</w:t>
      </w: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t>We are asking stockholders to approve the following advisory resolution at the Annual Meeting:</w:t>
      </w:r>
    </w:p>
    <w:p>
      <w:pPr>
        <w:spacing w:after="0" w:line="266" w:lineRule="exact"/>
        <w:rPr>
          <w:sz w:val="20"/>
          <w:szCs w:val="20"/>
          <w:color w:val="auto"/>
        </w:rPr>
      </w:pPr>
    </w:p>
    <w:p>
      <w:pPr>
        <w:ind w:left="1400" w:right="1340"/>
        <w:spacing w:after="0" w:line="252" w:lineRule="auto"/>
        <w:rPr>
          <w:sz w:val="20"/>
          <w:szCs w:val="20"/>
          <w:color w:val="auto"/>
        </w:rPr>
      </w:pPr>
      <w:r>
        <w:rPr>
          <w:rFonts w:ascii="Arial" w:cs="Arial" w:eastAsia="Arial" w:hAnsi="Arial"/>
          <w:sz w:val="18"/>
          <w:szCs w:val="18"/>
          <w:color w:val="auto"/>
        </w:rPr>
        <w:t>RESOLVED, that the compensation of the Company’s named executive officers, as disclosed pursuant to the compensation disclosure rules of the Securities and Exchange Commission, including the Compensation Discussion and Analysis, compensation tables, and narrative discussion is hereby APPROVED.</w:t>
      </w:r>
    </w:p>
    <w:p>
      <w:pPr>
        <w:spacing w:after="0" w:line="232" w:lineRule="exact"/>
        <w:rPr>
          <w:sz w:val="20"/>
          <w:szCs w:val="20"/>
          <w:color w:val="auto"/>
        </w:rPr>
      </w:pPr>
    </w:p>
    <w:p>
      <w:pPr>
        <w:jc w:val="center"/>
        <w:spacing w:after="0" w:line="284" w:lineRule="auto"/>
        <w:rPr>
          <w:sz w:val="20"/>
          <w:szCs w:val="20"/>
          <w:color w:val="auto"/>
        </w:rPr>
      </w:pPr>
      <w:r>
        <w:rPr>
          <w:rFonts w:ascii="Arial" w:cs="Arial" w:eastAsia="Arial" w:hAnsi="Arial"/>
          <w:sz w:val="25"/>
          <w:szCs w:val="25"/>
          <w:b w:val="1"/>
          <w:bCs w:val="1"/>
          <w:color w:val="C60C35"/>
        </w:rPr>
        <w:t>THE BOARD OF DIRECTORS RECOMMENDS A VOTE “FOR” THE APPROVAL OF THE COMPENSATION OF THE NEOS AS DISCLOSED IN THIS PROXY STATEMENT.</w:t>
      </w: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176530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880" w:top="769" w:right="879" w:bottom="1440" w:gutter="0" w:footer="0" w:header="0"/>
        </w:sectPr>
      </w:pPr>
    </w:p>
    <w:bookmarkStart w:id="24" w:name="page25"/>
    <w:bookmarkEnd w:id="24"/>
    <w:p>
      <w:pPr>
        <w:jc w:val="center"/>
        <w:spacing w:after="0"/>
        <w:rPr>
          <w:sz w:val="20"/>
          <w:szCs w:val="20"/>
          <w:color w:val="auto"/>
        </w:rPr>
      </w:pPr>
      <w:r>
        <w:rPr>
          <w:rFonts w:ascii="Arial" w:cs="Arial" w:eastAsia="Arial" w:hAnsi="Arial"/>
          <w:sz w:val="29"/>
          <w:szCs w:val="29"/>
          <w:b w:val="1"/>
          <w:bCs w:val="1"/>
          <w:color w:val="C6093B"/>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C6093B"/>
        </w:rPr>
        <w:t>Ratification of the Appointment of Ernst &amp; Young LLP</w:t>
      </w:r>
    </w:p>
    <w:p>
      <w:pPr>
        <w:jc w:val="center"/>
        <w:spacing w:after="0" w:line="233" w:lineRule="auto"/>
        <w:rPr>
          <w:sz w:val="20"/>
          <w:szCs w:val="20"/>
          <w:color w:val="auto"/>
        </w:rPr>
      </w:pPr>
      <w:r>
        <w:rPr>
          <w:rFonts w:ascii="Arial" w:cs="Arial" w:eastAsia="Arial" w:hAnsi="Arial"/>
          <w:sz w:val="29"/>
          <w:szCs w:val="29"/>
          <w:b w:val="1"/>
          <w:bCs w:val="1"/>
          <w:color w:val="C6093B"/>
        </w:rPr>
        <w:t>as Our Independent Registered Public</w:t>
      </w:r>
    </w:p>
    <w:p>
      <w:pPr>
        <w:jc w:val="center"/>
        <w:spacing w:after="0"/>
        <w:rPr>
          <w:sz w:val="20"/>
          <w:szCs w:val="20"/>
          <w:color w:val="auto"/>
        </w:rPr>
      </w:pPr>
      <w:r>
        <w:rPr>
          <w:rFonts w:ascii="Arial" w:cs="Arial" w:eastAsia="Arial" w:hAnsi="Arial"/>
          <w:sz w:val="29"/>
          <w:szCs w:val="29"/>
          <w:b w:val="1"/>
          <w:bCs w:val="1"/>
          <w:color w:val="C6093B"/>
        </w:rPr>
        <w:t>Accounting Firm for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0"/>
          <w:szCs w:val="20"/>
          <w:color w:val="auto"/>
        </w:rPr>
      </w:pPr>
    </w:p>
    <w:p>
      <w:pPr>
        <w:jc w:val="both"/>
        <w:ind w:right="60" w:firstLine="324"/>
        <w:spacing w:after="0" w:line="243" w:lineRule="auto"/>
        <w:rPr>
          <w:sz w:val="20"/>
          <w:szCs w:val="20"/>
          <w:color w:val="auto"/>
        </w:rPr>
      </w:pPr>
      <w:r>
        <w:rPr>
          <w:rFonts w:ascii="Arial" w:cs="Arial" w:eastAsia="Arial" w:hAnsi="Arial"/>
          <w:sz w:val="18"/>
          <w:szCs w:val="18"/>
          <w:color w:val="auto"/>
        </w:rPr>
        <w:t>As a matter of good corporate governance, the Audit Committee of the Board of Directors (the “Audit Committee”), with the assistance of management, issued a Request for Proposal (“RFP”) regarding the Company’s engagement of an independent registered public accounting firm to audit the Company’s consolidated financial statements for its fiscal year ending December 31, 2025. Thereafter, the Audit Committee conducted a comprehensive, competitive RFP process. The Audit Committee invited multiple firms to participate in this RFP process.</w:t>
      </w:r>
    </w:p>
    <w:p>
      <w:pPr>
        <w:spacing w:after="0" w:line="3"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Following this process, effective March 10, 2025, the Audit Committee dismissed KPMG LLP (“KPMG”), which had previously served in such capacity since 2002, and appointed Ernst &amp; Young LLP (“EY”) to continue as our independent registered public accounting firm for the 2025 fiscal year.</w:t>
      </w:r>
    </w:p>
    <w:p>
      <w:pPr>
        <w:spacing w:after="0" w:line="118" w:lineRule="exact"/>
        <w:rPr>
          <w:sz w:val="20"/>
          <w:szCs w:val="20"/>
          <w:color w:val="auto"/>
        </w:rPr>
      </w:pPr>
    </w:p>
    <w:p>
      <w:pPr>
        <w:ind w:right="120" w:firstLine="324"/>
        <w:spacing w:after="0" w:line="247" w:lineRule="auto"/>
        <w:rPr>
          <w:sz w:val="20"/>
          <w:szCs w:val="20"/>
          <w:color w:val="auto"/>
        </w:rPr>
      </w:pPr>
      <w:r>
        <w:rPr>
          <w:rFonts w:ascii="Arial" w:cs="Arial" w:eastAsia="Arial" w:hAnsi="Arial"/>
          <w:sz w:val="18"/>
          <w:szCs w:val="18"/>
          <w:color w:val="auto"/>
        </w:rPr>
        <w:t>We are asking our stockholders to ratify the appointment of EY as our independent registered public accounting firm. If our stockholders do not ratify this appointment, the Audit Committee will consider the reasons for the rejection and whether it should select a different firm; however, it is not required to do so. Even if the appointment is ratified, the Audit Committee, in its discretion, may select a different independent registered public accounting firm at any time during the year if it determines that a change would be in the best interests of the Company and our stockholders.</w:t>
      </w:r>
    </w:p>
    <w:p>
      <w:pPr>
        <w:spacing w:after="0" w:line="136" w:lineRule="exact"/>
        <w:rPr>
          <w:sz w:val="20"/>
          <w:szCs w:val="20"/>
          <w:color w:val="auto"/>
        </w:rPr>
      </w:pPr>
    </w:p>
    <w:p>
      <w:pPr>
        <w:ind w:right="1160" w:firstLine="324"/>
        <w:spacing w:after="0" w:line="271" w:lineRule="auto"/>
        <w:rPr>
          <w:sz w:val="20"/>
          <w:szCs w:val="20"/>
          <w:color w:val="auto"/>
        </w:rPr>
      </w:pPr>
      <w:r>
        <w:rPr>
          <w:rFonts w:ascii="Arial" w:cs="Arial" w:eastAsia="Arial" w:hAnsi="Arial"/>
          <w:sz w:val="18"/>
          <w:szCs w:val="18"/>
          <w:color w:val="auto"/>
        </w:rPr>
        <w:t>A representative of EY will be present at the Annual Meeting and will be available to respond to appropriate questions. The representative will also have an opportunity to make a statement at the Annual Meeting if he or she desires to do so.</w:t>
      </w:r>
    </w:p>
    <w:p>
      <w:pPr>
        <w:spacing w:after="0" w:line="94" w:lineRule="exact"/>
        <w:rPr>
          <w:sz w:val="20"/>
          <w:szCs w:val="20"/>
          <w:color w:val="auto"/>
        </w:rPr>
      </w:pPr>
    </w:p>
    <w:p>
      <w:pPr>
        <w:jc w:val="center"/>
        <w:ind w:left="340" w:right="240"/>
        <w:spacing w:after="0" w:line="278" w:lineRule="auto"/>
        <w:rPr>
          <w:sz w:val="20"/>
          <w:szCs w:val="20"/>
          <w:color w:val="auto"/>
        </w:rPr>
      </w:pPr>
      <w:r>
        <w:rPr>
          <w:rFonts w:ascii="Arial" w:cs="Arial" w:eastAsia="Arial" w:hAnsi="Arial"/>
          <w:sz w:val="25"/>
          <w:szCs w:val="25"/>
          <w:b w:val="1"/>
          <w:bCs w:val="1"/>
          <w:color w:val="C60C35"/>
        </w:rPr>
        <w:t>THE BOARD RECOMMENDS A VOTE “FOR” THE RATIFICATION OF ERNST &amp; YOUNG LLP AS OUR INDEPENDENT REGISTERED PUBLIC ACCOUNTING FIRM FOR THE 2025 FISCAL YEAR.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Change in Certifying Accountant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7, 2025, the Audit Committee approved the dismissal of KPMG. KPMG was notified of the dismissal on March 10, 2025.</w:t>
      </w:r>
    </w:p>
    <w:p>
      <w:pPr>
        <w:spacing w:after="0" w:line="158" w:lineRule="exact"/>
        <w:rPr>
          <w:sz w:val="20"/>
          <w:szCs w:val="20"/>
          <w:color w:val="auto"/>
        </w:rPr>
      </w:pPr>
    </w:p>
    <w:p>
      <w:pPr>
        <w:jc w:val="both"/>
        <w:ind w:right="100" w:firstLine="324"/>
        <w:spacing w:after="0" w:line="261" w:lineRule="auto"/>
        <w:rPr>
          <w:sz w:val="20"/>
          <w:szCs w:val="20"/>
          <w:color w:val="auto"/>
        </w:rPr>
      </w:pPr>
      <w:r>
        <w:rPr>
          <w:rFonts w:ascii="Arial" w:cs="Arial" w:eastAsia="Arial" w:hAnsi="Arial"/>
          <w:sz w:val="18"/>
          <w:szCs w:val="18"/>
          <w:color w:val="auto"/>
        </w:rPr>
        <w:t>KPMG’s reports on the Company’s consolidated financial statements as of and for the fiscal years ended December 31, 2024 and 2023 did not contain any adverse opinion or disclaimer of opinion; nor were they qualified or modified as to uncertainty, audit scope, or accounting principles.</w:t>
      </w:r>
    </w:p>
    <w:p>
      <w:pPr>
        <w:spacing w:after="0" w:line="108"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During the fiscal years ended December 31, 2024 and 2023, and the subsequent interim period through March 10, 2025, there were: (i) no disagreements (within the meaning of Item 304(a)(1)(iv) of Regulation S-K and the related instructions) between the Company and KPMG on any matters of accounting principles or practices, financial statement disclosure, or auditing scope or procedure which, if not resolved to KPMG’s satisfaction, would have caused KPMG to make reference thereto in their reports; and (ii) no “reportable events” within the meaning of Item 304(a)(1)(v) of Regulation S-K.</w:t>
      </w:r>
    </w:p>
    <w:p>
      <w:pPr>
        <w:spacing w:after="0" w:line="123" w:lineRule="exact"/>
        <w:rPr>
          <w:sz w:val="20"/>
          <w:szCs w:val="20"/>
          <w:color w:val="auto"/>
        </w:rPr>
      </w:pPr>
    </w:p>
    <w:p>
      <w:pPr>
        <w:ind w:right="80" w:firstLine="405"/>
        <w:spacing w:after="0" w:line="237" w:lineRule="auto"/>
        <w:rPr>
          <w:sz w:val="20"/>
          <w:szCs w:val="20"/>
          <w:color w:val="auto"/>
        </w:rPr>
      </w:pPr>
      <w:r>
        <w:rPr>
          <w:rFonts w:ascii="Arial" w:cs="Arial" w:eastAsia="Arial" w:hAnsi="Arial"/>
          <w:sz w:val="18"/>
          <w:szCs w:val="18"/>
          <w:color w:val="auto"/>
        </w:rPr>
        <w:t>In accordance with Item 304(a)(3) of Regulation S-K, the Company provided KPMG with a copy of the disclosure in the three preceding paragraphs prior to filing a Current Report on Form 8-K containing such disclosure with the Securities and Exchange Commission (the</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“SEC”) on March 13, 2025, and requested that KPMG furnish the Company with a letter addressed to the SEC stating whether KPMG agreed with the statements made by the Company set forth above. A copy of KPMG’s letter, dated March 13, 2025, was attached as Exhibit 16.1 to the Current Report on Form 8-K filed on March 13, 2025.</w:t>
      </w:r>
    </w:p>
    <w:p>
      <w:pPr>
        <w:spacing w:after="0" w:line="139"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On March 7, 2025, the Audit Committee approved the engagement of EY as the Company’s independent registered public accounting firm for the Company’s 2025 Audit. EY was engaged effective March 12, 2025.</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25" w:name="page26"/>
    <w:bookmarkEnd w:id="25"/>
    <w:p>
      <w:pPr>
        <w:ind w:right="220" w:firstLine="324"/>
        <w:spacing w:after="0" w:line="246" w:lineRule="auto"/>
        <w:rPr>
          <w:sz w:val="20"/>
          <w:szCs w:val="20"/>
          <w:color w:val="auto"/>
        </w:rPr>
      </w:pPr>
      <w:r>
        <w:rPr>
          <w:rFonts w:ascii="Arial" w:cs="Arial" w:eastAsia="Arial" w:hAnsi="Arial"/>
          <w:sz w:val="18"/>
          <w:szCs w:val="18"/>
          <w:color w:val="auto"/>
        </w:rPr>
        <w:t>During the fiscal years ended December 31, 2024 and 2023 and the subsequent interim period through March 12, 2025, neither the Company nor anyone on its behalf has consulted with EY regarding: (i) the application of accounting principles to a specific transaction, either completed or proposed, or the type of audit opinion that might be rendered on the Company's financial statements, and neither a written report nor oral advice was provided to the Company that EY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Audit and Non-Audit Fees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fees for audit and other services rendered by KPMG for each of the last two fiscal years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shd w:val="clear" w:color="auto" w:fill="C6093B"/>
          </w:tcPr>
          <w:p>
            <w:pPr>
              <w:spacing w:after="0"/>
              <w:rPr>
                <w:sz w:val="19"/>
                <w:szCs w:val="19"/>
                <w:color w:val="auto"/>
              </w:rPr>
            </w:pPr>
          </w:p>
        </w:tc>
        <w:tc>
          <w:tcPr>
            <w:tcW w:w="740" w:type="dxa"/>
            <w:vAlign w:val="bottom"/>
            <w:shd w:val="clear" w:color="auto" w:fill="C6093B"/>
          </w:tcPr>
          <w:p>
            <w:pPr>
              <w:spacing w:after="0"/>
              <w:rPr>
                <w:sz w:val="19"/>
                <w:szCs w:val="19"/>
                <w:color w:val="auto"/>
              </w:rPr>
            </w:pPr>
          </w:p>
        </w:tc>
        <w:tc>
          <w:tcPr>
            <w:tcW w:w="1060" w:type="dxa"/>
            <w:vAlign w:val="bottom"/>
            <w:shd w:val="clear" w:color="auto" w:fill="C6093B"/>
          </w:tcPr>
          <w:p>
            <w:pPr>
              <w:jc w:val="right"/>
              <w:spacing w:after="0"/>
              <w:rPr>
                <w:sz w:val="20"/>
                <w:szCs w:val="20"/>
                <w:color w:val="auto"/>
              </w:rPr>
            </w:pPr>
            <w:r>
              <w:rPr>
                <w:rFonts w:ascii="Arial" w:cs="Arial" w:eastAsia="Arial" w:hAnsi="Arial"/>
                <w:sz w:val="14"/>
                <w:szCs w:val="14"/>
                <w:b w:val="1"/>
                <w:bCs w:val="1"/>
                <w:color w:val="FFFFFF"/>
              </w:rPr>
              <w:t>2024</w:t>
            </w:r>
          </w:p>
        </w:tc>
        <w:tc>
          <w:tcPr>
            <w:tcW w:w="740" w:type="dxa"/>
            <w:vAlign w:val="bottom"/>
            <w:shd w:val="clear" w:color="auto" w:fill="C6093B"/>
          </w:tcPr>
          <w:p>
            <w:pPr>
              <w:spacing w:after="0"/>
              <w:rPr>
                <w:sz w:val="19"/>
                <w:szCs w:val="19"/>
                <w:color w:val="auto"/>
              </w:rPr>
            </w:pPr>
          </w:p>
        </w:tc>
        <w:tc>
          <w:tcPr>
            <w:tcW w:w="1060" w:type="dxa"/>
            <w:vAlign w:val="bottom"/>
            <w:shd w:val="clear" w:color="auto" w:fill="C6093B"/>
          </w:tcPr>
          <w:p>
            <w:pPr>
              <w:jc w:val="right"/>
              <w:spacing w:after="0"/>
              <w:rPr>
                <w:sz w:val="20"/>
                <w:szCs w:val="20"/>
                <w:color w:val="auto"/>
              </w:rPr>
            </w:pPr>
            <w:r>
              <w:rPr>
                <w:rFonts w:ascii="Arial" w:cs="Arial" w:eastAsia="Arial" w:hAnsi="Arial"/>
                <w:sz w:val="14"/>
                <w:szCs w:val="14"/>
                <w:b w:val="1"/>
                <w:bCs w:val="1"/>
                <w:color w:val="FFFFFF"/>
              </w:rPr>
              <w:t>2023</w:t>
            </w:r>
          </w:p>
        </w:tc>
      </w:tr>
      <w:tr>
        <w:trPr>
          <w:trHeight w:val="61"/>
        </w:trPr>
        <w:tc>
          <w:tcPr>
            <w:tcW w:w="7640" w:type="dxa"/>
            <w:vAlign w:val="bottom"/>
            <w:shd w:val="clear" w:color="auto" w:fill="C60C35"/>
          </w:tcPr>
          <w:p>
            <w:pPr>
              <w:spacing w:after="0"/>
              <w:rPr>
                <w:sz w:val="5"/>
                <w:szCs w:val="5"/>
                <w:color w:val="auto"/>
              </w:rPr>
            </w:pPr>
          </w:p>
        </w:tc>
        <w:tc>
          <w:tcPr>
            <w:tcW w:w="740" w:type="dxa"/>
            <w:vAlign w:val="bottom"/>
            <w:shd w:val="clear" w:color="auto" w:fill="C60C35"/>
          </w:tcPr>
          <w:p>
            <w:pPr>
              <w:spacing w:after="0"/>
              <w:rPr>
                <w:sz w:val="5"/>
                <w:szCs w:val="5"/>
                <w:color w:val="auto"/>
              </w:rPr>
            </w:pPr>
          </w:p>
        </w:tc>
        <w:tc>
          <w:tcPr>
            <w:tcW w:w="1060" w:type="dxa"/>
            <w:vAlign w:val="bottom"/>
            <w:shd w:val="clear" w:color="auto" w:fill="C60C35"/>
          </w:tcPr>
          <w:p>
            <w:pPr>
              <w:spacing w:after="0"/>
              <w:rPr>
                <w:sz w:val="5"/>
                <w:szCs w:val="5"/>
                <w:color w:val="auto"/>
              </w:rPr>
            </w:pPr>
          </w:p>
        </w:tc>
        <w:tc>
          <w:tcPr>
            <w:tcW w:w="740" w:type="dxa"/>
            <w:vAlign w:val="bottom"/>
            <w:shd w:val="clear" w:color="auto" w:fill="C60C35"/>
          </w:tcPr>
          <w:p>
            <w:pPr>
              <w:spacing w:after="0"/>
              <w:rPr>
                <w:sz w:val="5"/>
                <w:szCs w:val="5"/>
                <w:color w:val="auto"/>
              </w:rPr>
            </w:pPr>
          </w:p>
        </w:tc>
        <w:tc>
          <w:tcPr>
            <w:tcW w:w="1060" w:type="dxa"/>
            <w:vAlign w:val="bottom"/>
            <w:shd w:val="clear" w:color="auto" w:fill="C60C35"/>
          </w:tcPr>
          <w:p>
            <w:pPr>
              <w:spacing w:after="0"/>
              <w:rPr>
                <w:sz w:val="5"/>
                <w:szCs w:val="5"/>
                <w:color w:val="auto"/>
              </w:rPr>
            </w:pPr>
          </w:p>
        </w:tc>
      </w:tr>
      <w:tr>
        <w:trPr>
          <w:trHeight w:val="230"/>
        </w:trPr>
        <w:tc>
          <w:tcPr>
            <w:tcW w:w="76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 xml:space="preserve">Audit Fees </w:t>
            </w:r>
            <w:r>
              <w:rPr>
                <w:rFonts w:ascii="Arial" w:cs="Arial" w:eastAsia="Arial" w:hAnsi="Arial"/>
                <w:sz w:val="18"/>
                <w:szCs w:val="18"/>
                <w:color w:val="auto"/>
                <w:vertAlign w:val="superscript"/>
              </w:rPr>
              <w:t>(1)</w:t>
            </w:r>
          </w:p>
        </w:tc>
        <w:tc>
          <w:tcPr>
            <w:tcW w:w="740" w:type="dxa"/>
            <w:vAlign w:val="bottom"/>
            <w:shd w:val="clear" w:color="auto" w:fill="F2F2F2"/>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3,266</w:t>
            </w:r>
          </w:p>
        </w:tc>
        <w:tc>
          <w:tcPr>
            <w:tcW w:w="740" w:type="dxa"/>
            <w:vAlign w:val="bottom"/>
            <w:shd w:val="clear" w:color="auto" w:fill="F2F2F2"/>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3,752</w:t>
            </w:r>
          </w:p>
        </w:tc>
      </w:tr>
      <w:tr>
        <w:trPr>
          <w:trHeight w:val="229"/>
        </w:trPr>
        <w:tc>
          <w:tcPr>
            <w:tcW w:w="7640" w:type="dxa"/>
            <w:vAlign w:val="bottom"/>
          </w:tcPr>
          <w:p>
            <w:pPr>
              <w:ind w:left="100"/>
              <w:spacing w:after="0"/>
              <w:rPr>
                <w:sz w:val="20"/>
                <w:szCs w:val="20"/>
                <w:color w:val="auto"/>
              </w:rPr>
            </w:pPr>
            <w:r>
              <w:rPr>
                <w:rFonts w:ascii="Arial" w:cs="Arial" w:eastAsia="Arial" w:hAnsi="Arial"/>
                <w:sz w:val="14"/>
                <w:szCs w:val="14"/>
                <w:color w:val="auto"/>
              </w:rPr>
              <w:t xml:space="preserve">Audit-Related Fees </w:t>
            </w:r>
            <w:r>
              <w:rPr>
                <w:rFonts w:ascii="Arial" w:cs="Arial" w:eastAsia="Arial" w:hAnsi="Arial"/>
                <w:sz w:val="18"/>
                <w:szCs w:val="18"/>
                <w:color w:val="auto"/>
                <w:vertAlign w:val="superscript"/>
              </w:rPr>
              <w:t>(2)</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76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 xml:space="preserve">Tax Fees </w:t>
            </w:r>
            <w:r>
              <w:rPr>
                <w:rFonts w:ascii="Arial" w:cs="Arial" w:eastAsia="Arial" w:hAnsi="Arial"/>
                <w:sz w:val="18"/>
                <w:szCs w:val="18"/>
                <w:color w:val="auto"/>
                <w:vertAlign w:val="superscript"/>
              </w:rPr>
              <w:t>(3)</w:t>
            </w:r>
          </w:p>
        </w:tc>
        <w:tc>
          <w:tcPr>
            <w:tcW w:w="740" w:type="dxa"/>
            <w:vAlign w:val="bottom"/>
            <w:shd w:val="clear" w:color="auto" w:fill="F2F2F2"/>
          </w:tcPr>
          <w:p>
            <w:pPr>
              <w:spacing w:after="0"/>
              <w:rPr>
                <w:sz w:val="19"/>
                <w:szCs w:val="19"/>
                <w:color w:val="auto"/>
              </w:rPr>
            </w:pP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w:t>
            </w:r>
          </w:p>
        </w:tc>
        <w:tc>
          <w:tcPr>
            <w:tcW w:w="740" w:type="dxa"/>
            <w:vAlign w:val="bottom"/>
            <w:shd w:val="clear" w:color="auto" w:fill="F2F2F2"/>
          </w:tcPr>
          <w:p>
            <w:pPr>
              <w:spacing w:after="0"/>
              <w:rPr>
                <w:sz w:val="19"/>
                <w:szCs w:val="19"/>
                <w:color w:val="auto"/>
              </w:rPr>
            </w:pP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w:t>
            </w:r>
          </w:p>
        </w:tc>
      </w:tr>
      <w:tr>
        <w:trPr>
          <w:trHeight w:val="230"/>
        </w:trPr>
        <w:tc>
          <w:tcPr>
            <w:tcW w:w="7640" w:type="dxa"/>
            <w:vAlign w:val="bottom"/>
            <w:tcBorders>
              <w:bottom w:val="single" w:sz="8" w:color="F3F3F3"/>
            </w:tcBorders>
          </w:tcPr>
          <w:p>
            <w:pPr>
              <w:ind w:left="100"/>
              <w:spacing w:after="0"/>
              <w:rPr>
                <w:sz w:val="20"/>
                <w:szCs w:val="20"/>
                <w:color w:val="auto"/>
              </w:rPr>
            </w:pPr>
            <w:r>
              <w:rPr>
                <w:rFonts w:ascii="Arial" w:cs="Arial" w:eastAsia="Arial" w:hAnsi="Arial"/>
                <w:sz w:val="14"/>
                <w:szCs w:val="14"/>
                <w:color w:val="auto"/>
              </w:rPr>
              <w:t xml:space="preserve">Other Fees </w:t>
            </w:r>
            <w:r>
              <w:rPr>
                <w:rFonts w:ascii="Arial" w:cs="Arial" w:eastAsia="Arial" w:hAnsi="Arial"/>
                <w:sz w:val="18"/>
                <w:szCs w:val="18"/>
                <w:color w:val="auto"/>
                <w:vertAlign w:val="superscript"/>
              </w:rPr>
              <w:t>(4)</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8"/>
        </w:trPr>
        <w:tc>
          <w:tcPr>
            <w:tcW w:w="76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F3F3F3"/>
            </w:tcBorders>
            <w:shd w:val="clear" w:color="auto" w:fill="F3F3F3"/>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3,300</w:t>
            </w:r>
          </w:p>
        </w:tc>
        <w:tc>
          <w:tcPr>
            <w:tcW w:w="740" w:type="dxa"/>
            <w:vAlign w:val="bottom"/>
            <w:tcBorders>
              <w:bottom w:val="single" w:sz="8" w:color="F3F3F3"/>
            </w:tcBorders>
            <w:shd w:val="clear" w:color="auto" w:fill="F3F3F3"/>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3,769</w:t>
            </w:r>
          </w:p>
        </w:tc>
      </w:tr>
      <w:tr>
        <w:trPr>
          <w:trHeight w:val="20"/>
        </w:trPr>
        <w:tc>
          <w:tcPr>
            <w:tcW w:w="7640" w:type="dxa"/>
            <w:vAlign w:val="bottom"/>
            <w:tcBorders>
              <w:top w:val="single" w:sz="8" w:color="F3F3F3"/>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right="120" w:hanging="332"/>
        <w:spacing w:after="0" w:line="305"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fees billed for the audit of our financial statements included in the Form 10-K and review of financial statements included in our Quarterly Reports on Form 10-Q, the audit of our internal control over financial reporting, and for services that are provided by KPMG in connection with statutory regulatory filings or engagements.</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fees billed for assurance and consultative related services.</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fees billed for tax compliance, including review of tax returns, tax advice, and tax planning.</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fees billed for translation services for subsidiary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Audit Committee Approval of Audit and Non-Audit Services</w:t>
      </w:r>
    </w:p>
    <w:p>
      <w:pPr>
        <w:spacing w:after="0" w:line="108"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The Audit Committee is responsible for pre-approving all audit services provided by our independent registered public accountants. In addition, all non-audit services provided by our independent registered public accountant are pre-approved in accordance with our policy that prohibits our independent registered public accountants from providing services specifically prohibited by the SEC. For permissible non-audit services, the Audit Committee has delegated pre-approval authority to the Audit Committee Chair. In addition, the Audit Committee has approved annual maximum amounts for tax advisory and tax return services. No engagements are commenced until the Audit Committee Chair’s approval has been received. All approved services are reported to the full Audit Committee at each quarterly meeting. In accordance with the foregoing, all services provided by KPMG in 2023 and 2024 were pre-approved by the Audit Committee.</w:t>
      </w: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ind w:right="-119"/>
        <w:spacing w:after="0"/>
        <w:rPr>
          <w:sz w:val="20"/>
          <w:szCs w:val="20"/>
          <w:color w:val="auto"/>
        </w:rPr>
      </w:pPr>
      <w:r>
        <w:rPr>
          <w:rFonts w:ascii="Arial" w:cs="Arial" w:eastAsia="Arial" w:hAnsi="Arial"/>
          <w:sz w:val="28"/>
          <w:szCs w:val="28"/>
          <w:b w:val="1"/>
          <w:bCs w:val="1"/>
          <w:color w:val="C6093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07" w:right="459" w:bottom="1440" w:gutter="0" w:footer="0" w:header="0"/>
        </w:sectPr>
      </w:pPr>
    </w:p>
    <w:p>
      <w:pPr>
        <w:spacing w:after="0" w:line="274"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Audit Committee maintains effective working relationships with the Board, management, the Company’s internal auditors, and the Company’s independent registered public accounting firm (the “Independent Accountants”). As set forth in the Audit Committee Charter, it is not the duty of the Audit Committee to plan or conduct audits or to determine that our Company’s consolidated financial statements and disclosures are complete and accurate and in accordance with U.S. generally accepted accounting principles and applicable rules and regulations. The Independent Accountants are responsible for auditing the Company’s consolidated financial statements and expressing an opinion as to the conformity of these financial statements with U.S. generally accepted accounting principles and on the Company’s internal control over financial reporting.</w:t>
      </w:r>
    </w:p>
    <w:p>
      <w:pPr>
        <w:spacing w:after="0" w:line="121"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Audit Committee has (1) reviewed and discussed the Company’s audited consolidated financial statements for the year ended December 31, 2024, with the Company’s management and with KPMG, the Independent Accountants for the year ended December 31, 2024; (2) discussed with KPMG the matters required to be discussed by the applicable requirements of the Public Company Accounting Oversight Board and the SEC; and (3) received the written disclosures and the letter from KPMG required by applicable requirements of the Public Company Accounting Oversight Board regarding KPMG’s communications with the Audit Committee concerning independence, and the Audit Committee has discussed with KPMG its independence and considered the compatibility of non-audit services by KPMG to the Company with KPMG’s independence.</w:t>
      </w:r>
    </w:p>
    <w:p>
      <w:pPr>
        <w:spacing w:after="0" w:line="121"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Members of the Audit Committee rely, without independent verification, on the information provided and on the representations made by management and the Independent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audits of the Company’s consolidated financial statements have been carried out in accordance with generally accepted auditing standards, that the consolidated financial statements are presented in accordance with U.S. generally accepted accounting principles or that the Company’s Independent Accountants are in fact “independent.”</w:t>
      </w:r>
    </w:p>
    <w:p>
      <w:pPr>
        <w:spacing w:after="0" w:line="125" w:lineRule="exact"/>
        <w:rPr>
          <w:sz w:val="20"/>
          <w:szCs w:val="20"/>
          <w:color w:val="auto"/>
        </w:rPr>
      </w:pPr>
    </w:p>
    <w:p>
      <w:pPr>
        <w:ind w:right="60" w:firstLine="324"/>
        <w:spacing w:after="0" w:line="283" w:lineRule="auto"/>
        <w:rPr>
          <w:sz w:val="20"/>
          <w:szCs w:val="20"/>
          <w:color w:val="auto"/>
        </w:rPr>
      </w:pPr>
      <w:r>
        <w:rPr>
          <w:rFonts w:ascii="Arial" w:cs="Arial" w:eastAsia="Arial" w:hAnsi="Arial"/>
          <w:sz w:val="17"/>
          <w:szCs w:val="17"/>
          <w:color w:val="auto"/>
        </w:rPr>
        <w:t>Based upon the reviews and discussions described above, and subject to the limitations on the role and responsibilities of the Audit Committee referred to in this report and in the Audit Committee Charter, the Audit Committee recommended to the Board that the audited consolidated financial statements be included in the Company’s Annual Report on Form 10-K for the fiscal year ended December 31, 2024.</w:t>
      </w:r>
    </w:p>
    <w:p>
      <w:pPr>
        <w:spacing w:after="0" w:line="9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Submitted by the Audit Committee of the Board:</w:t>
      </w:r>
    </w:p>
    <w:p>
      <w:pPr>
        <w:spacing w:after="0" w:line="32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C60C35"/>
        </w:rPr>
        <w:t>Gregory T. Swienton (Chair)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C60C35"/>
        </w:rPr>
        <w:t>Sherry L. Buck</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C60C35"/>
        </w:rPr>
        <w:t>Janet K. Cooper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C60C35"/>
        </w:rPr>
        <w:t>Todd J. Teske</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C60C35"/>
        </w:rPr>
        <w:t>Jon Vander Ark</w:t>
      </w:r>
    </w:p>
    <w:p>
      <w:pPr>
        <w:spacing w:after="0" w:line="32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C60C35"/>
        </w:rPr>
        <w:t>March 20, 2025</w:t>
      </w: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07" w:right="45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28"/>
          <w:szCs w:val="28"/>
          <w:b w:val="1"/>
          <w:bCs w:val="1"/>
          <w:color w:val="C6093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Director Independence</w:t>
      </w:r>
    </w:p>
    <w:p>
      <w:pPr>
        <w:spacing w:after="0" w:line="10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Corporate Governance Guidelines require that a majority of our directors be “independent,” and that the Compensation and Human Resources, Board Governance, and Audit Committees consist exclusively of independent directors as defined under the New York Stock Exchange ("NYSE") listing standards, the Exchange Act, and any other applicable laws or regulations regarding independence. No director qualifies as “independent” unless the Board affirmatively determines that the director has no material relationship with the Company.</w:t>
      </w:r>
    </w:p>
    <w:p>
      <w:pPr>
        <w:spacing w:after="0" w:line="116" w:lineRule="exact"/>
        <w:rPr>
          <w:sz w:val="20"/>
          <w:szCs w:val="20"/>
          <w:color w:val="auto"/>
        </w:rPr>
      </w:pPr>
    </w:p>
    <w:p>
      <w:pPr>
        <w:jc w:val="both"/>
        <w:ind w:right="60" w:firstLine="324"/>
        <w:spacing w:after="0" w:line="271" w:lineRule="auto"/>
        <w:rPr>
          <w:sz w:val="20"/>
          <w:szCs w:val="20"/>
          <w:color w:val="auto"/>
        </w:rPr>
      </w:pPr>
      <w:r>
        <w:rPr>
          <w:rFonts w:ascii="Arial" w:cs="Arial" w:eastAsia="Arial" w:hAnsi="Arial"/>
          <w:sz w:val="18"/>
          <w:szCs w:val="18"/>
          <w:color w:val="auto"/>
        </w:rPr>
        <w:t>Applying these standards, the Board has determined that all of our Board members are independent, except Alok Maskara, our CEO. All of the members of the Board’s Compensation and Human Resources, Board Governance, and Audit Committees are independent directors.</w:t>
      </w:r>
    </w:p>
    <w:p>
      <w:pPr>
        <w:spacing w:after="0" w:line="11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making its determination as to the independence of our directors, the Board Governance Committee and the Board considered that (a) Mr. Teske served as Interim CEO of the Company for less than two months from March 23, 2022 to May 9, 2022 and (b) Mr. Vander Ark serves as the CEO of Republic Services, Inc., which provides waste management services to the Company in the ordinary course of business. The Board affirmatively determined that no director had a material relationship with the Company despite these facts.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Leadership Structure</w:t>
      </w:r>
    </w:p>
    <w:p>
      <w:pPr>
        <w:spacing w:after="0" w:line="108"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Mr. Teske serves as independent Chair of the Board. As independent Chair, Mr. Teske, among other things, presided at all meetings of the Board, including executive sessions of the independent directors, served as liaison between the CEO and the independent directors, assisted in planning agendas for Board meetings, and advised on the presentation of information provided to the Board.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Board Refreshment and Nomination Process</w:t>
      </w:r>
    </w:p>
    <w:p>
      <w:pPr>
        <w:spacing w:after="0" w:line="108"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Board is responsible for nominating candidates for Board membership. The Board has delegated the director screening and recruitment process to the Board Governance Committee. In this capacity, the Board Governance Committee develops and periodically reviews the qualification criteria for Board membership, identifies new director candidates, and makes recommendations to the Board regarding the appropriate size of the Board and appointment of members to the Board’s committees. The Board Governance Committee typically retains a third-party search firm to assist in identifying and evaluating potential new director candidates. We strive to maintain a well-rounded Board with a diversity of experience, functional expertise, and industry knowledge. Required qualifications for Board membership vary according to the particular areas of expertise, experience, and skills being sought to complement the existing Board composition at the time of any vacancy.</w:t>
      </w:r>
    </w:p>
    <w:p>
      <w:pPr>
        <w:spacing w:after="0" w:line="125"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As part of our robust Board refreshment and succession planning process, we welcomed two new directors with impressive leadership experience in 2024: Soma Somasundaram, CEO of ChampionX, who brings technical engineering and strategic development experience, and Jon Vander Ark, CEO of Republic Services, Inc., who brings knowledge of sustainability practices and financial expertise. The identification and evaluation process described above was followed with respect to both Mr. Somasundaram and Mr. Vander Ark. We already are seeing both make valuable contributions in the boardroom and look forward to benefiting from their contributions going forward.</w:t>
      </w:r>
    </w:p>
    <w:p>
      <w:pPr>
        <w:spacing w:after="0" w:line="136" w:lineRule="exact"/>
        <w:rPr>
          <w:sz w:val="20"/>
          <w:szCs w:val="20"/>
          <w:color w:val="auto"/>
        </w:rPr>
      </w:pPr>
    </w:p>
    <w:p>
      <w:pPr>
        <w:ind w:right="400" w:firstLine="324"/>
        <w:spacing w:after="0" w:line="253" w:lineRule="auto"/>
        <w:rPr>
          <w:sz w:val="20"/>
          <w:szCs w:val="20"/>
          <w:color w:val="auto"/>
        </w:rPr>
      </w:pPr>
      <w:r>
        <w:rPr>
          <w:rFonts w:ascii="Arial" w:cs="Arial" w:eastAsia="Arial" w:hAnsi="Arial"/>
          <w:sz w:val="18"/>
          <w:szCs w:val="18"/>
          <w:color w:val="auto"/>
        </w:rPr>
        <w:t>Following the Annual Meeting, Janet K. Cooper, who has served on the Board since Lennox became an independent publicly traded company in 1999, will retire. Additionally, Gregory T. Swienton, who has served on the Board since 2010, has reached the mandatory retirement age under the Company's Corporate Governance Guidelines and will also retire following the Annual Meeting.</w:t>
      </w:r>
    </w:p>
    <w:p>
      <w:pPr>
        <w:spacing w:after="0" w:line="128"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2024 and 2025, we also realigned committee assignments and elected new Chairs to our Compensation and Human Resources, Audit, and Board Governance committees, additions that we believe add new insights and perspective to our committees. In each instance, the new committee Chair spent time serving as a committee member to ensure a smooth transition.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Key Attributes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Governance Committee considers the following factors in evaluating candidates, in addition to other factors it deems relevant:</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9"/>
        </w:trPr>
        <w:tc>
          <w:tcPr>
            <w:tcW w:w="36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7380" w:type="dxa"/>
            <w:vAlign w:val="bottom"/>
            <w:tcBorders>
              <w:top w:val="single" w:sz="8" w:color="auto"/>
            </w:tcBorders>
          </w:tcPr>
          <w:p>
            <w:pPr>
              <w:ind w:left="140"/>
              <w:spacing w:after="0" w:line="189" w:lineRule="exact"/>
              <w:rPr>
                <w:sz w:val="20"/>
                <w:szCs w:val="20"/>
                <w:color w:val="auto"/>
              </w:rPr>
            </w:pPr>
            <w:r>
              <w:rPr>
                <w:rFonts w:ascii="Arial" w:cs="Arial" w:eastAsia="Arial" w:hAnsi="Arial"/>
                <w:sz w:val="18"/>
                <w:szCs w:val="18"/>
                <w:color w:val="auto"/>
              </w:rPr>
              <w:t>leadership</w:t>
            </w:r>
          </w:p>
        </w:tc>
        <w:tc>
          <w:tcPr>
            <w:tcW w:w="0" w:type="dxa"/>
            <w:vAlign w:val="bottom"/>
          </w:tcPr>
          <w:p>
            <w:pPr>
              <w:spacing w:after="0"/>
              <w:rPr>
                <w:sz w:val="1"/>
                <w:szCs w:val="1"/>
                <w:color w:val="auto"/>
              </w:rPr>
            </w:pPr>
          </w:p>
        </w:tc>
      </w:tr>
      <w:tr>
        <w:trPr>
          <w:trHeight w:val="184"/>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Personal Characteristics</w:t>
            </w:r>
          </w:p>
        </w:tc>
        <w:tc>
          <w:tcPr>
            <w:tcW w:w="260" w:type="dxa"/>
            <w:vAlign w:val="bottom"/>
          </w:tcPr>
          <w:p>
            <w:pPr>
              <w:ind w:left="80"/>
              <w:spacing w:after="0" w:line="183" w:lineRule="exact"/>
              <w:rPr>
                <w:sz w:val="20"/>
                <w:szCs w:val="20"/>
                <w:color w:val="auto"/>
              </w:rPr>
            </w:pPr>
            <w:r>
              <w:rPr>
                <w:rFonts w:ascii="Arial" w:cs="Arial" w:eastAsia="Arial" w:hAnsi="Arial"/>
                <w:sz w:val="18"/>
                <w:szCs w:val="18"/>
                <w:color w:val="auto"/>
              </w:rPr>
              <w:t>•</w:t>
            </w:r>
          </w:p>
        </w:tc>
        <w:tc>
          <w:tcPr>
            <w:tcW w:w="7380" w:type="dxa"/>
            <w:vAlign w:val="bottom"/>
          </w:tcPr>
          <w:p>
            <w:pPr>
              <w:ind w:left="140"/>
              <w:spacing w:after="0" w:line="183" w:lineRule="exact"/>
              <w:rPr>
                <w:sz w:val="20"/>
                <w:szCs w:val="20"/>
                <w:color w:val="auto"/>
              </w:rPr>
            </w:pPr>
            <w:r>
              <w:rPr>
                <w:rFonts w:ascii="Arial" w:cs="Arial" w:eastAsia="Arial" w:hAnsi="Arial"/>
                <w:sz w:val="18"/>
                <w:szCs w:val="18"/>
                <w:color w:val="auto"/>
              </w:rPr>
              <w:t>integrity</w:t>
            </w:r>
          </w:p>
        </w:tc>
        <w:tc>
          <w:tcPr>
            <w:tcW w:w="0" w:type="dxa"/>
            <w:vAlign w:val="bottom"/>
          </w:tcPr>
          <w:p>
            <w:pPr>
              <w:spacing w:after="0"/>
              <w:rPr>
                <w:sz w:val="1"/>
                <w:szCs w:val="1"/>
                <w:color w:val="auto"/>
              </w:rPr>
            </w:pPr>
          </w:p>
        </w:tc>
      </w:tr>
      <w:tr>
        <w:trPr>
          <w:trHeight w:val="181"/>
        </w:trPr>
        <w:tc>
          <w:tcPr>
            <w:tcW w:w="3600" w:type="dxa"/>
            <w:vAlign w:val="bottom"/>
            <w:vMerge w:val="continue"/>
          </w:tcPr>
          <w:p>
            <w:pPr>
              <w:spacing w:after="0"/>
              <w:rPr>
                <w:sz w:val="15"/>
                <w:szCs w:val="15"/>
                <w:color w:val="auto"/>
              </w:rPr>
            </w:pP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7380" w:type="dxa"/>
            <w:vAlign w:val="bottom"/>
          </w:tcPr>
          <w:p>
            <w:pPr>
              <w:ind w:left="140"/>
              <w:spacing w:after="0" w:line="181" w:lineRule="exact"/>
              <w:rPr>
                <w:sz w:val="20"/>
                <w:szCs w:val="20"/>
                <w:color w:val="auto"/>
              </w:rPr>
            </w:pPr>
            <w:r>
              <w:rPr>
                <w:rFonts w:ascii="Arial" w:cs="Arial" w:eastAsia="Arial" w:hAnsi="Arial"/>
                <w:sz w:val="18"/>
                <w:szCs w:val="18"/>
                <w:color w:val="auto"/>
              </w:rPr>
              <w:t>interpersonal skills and effectiveness</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6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7380" w:type="dxa"/>
            <w:vAlign w:val="bottom"/>
          </w:tcPr>
          <w:p>
            <w:pPr>
              <w:ind w:left="140"/>
              <w:spacing w:after="0" w:line="176" w:lineRule="exact"/>
              <w:rPr>
                <w:sz w:val="20"/>
                <w:szCs w:val="20"/>
                <w:color w:val="auto"/>
              </w:rPr>
            </w:pPr>
            <w:r>
              <w:rPr>
                <w:rFonts w:ascii="Arial" w:cs="Arial" w:eastAsia="Arial" w:hAnsi="Arial"/>
                <w:sz w:val="18"/>
                <w:szCs w:val="18"/>
                <w:color w:val="auto"/>
              </w:rPr>
              <w:t>accountability</w:t>
            </w:r>
          </w:p>
        </w:tc>
        <w:tc>
          <w:tcPr>
            <w:tcW w:w="0" w:type="dxa"/>
            <w:vAlign w:val="bottom"/>
          </w:tcPr>
          <w:p>
            <w:pPr>
              <w:spacing w:after="0"/>
              <w:rPr>
                <w:sz w:val="1"/>
                <w:szCs w:val="1"/>
                <w:color w:val="auto"/>
              </w:rPr>
            </w:pPr>
          </w:p>
        </w:tc>
      </w:tr>
      <w:tr>
        <w:trPr>
          <w:trHeight w:val="241"/>
        </w:trPr>
        <w:tc>
          <w:tcPr>
            <w:tcW w:w="3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high performance standards</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7640" w:type="dxa"/>
            <w:vAlign w:val="bottom"/>
            <w:gridSpan w:val="2"/>
          </w:tcPr>
          <w:p>
            <w:pPr>
              <w:ind w:left="80"/>
              <w:spacing w:after="0" w:line="171" w:lineRule="exact"/>
              <w:rPr>
                <w:sz w:val="20"/>
                <w:szCs w:val="20"/>
                <w:color w:val="auto"/>
              </w:rPr>
            </w:pPr>
            <w:r>
              <w:rPr>
                <w:rFonts w:ascii="Arial" w:cs="Arial" w:eastAsia="Arial" w:hAnsi="Arial"/>
                <w:sz w:val="18"/>
                <w:szCs w:val="18"/>
                <w:color w:val="auto"/>
              </w:rPr>
              <w:t>•   high levels of leadership experience in business</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764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   substantial knowledge of issues faced by publicly traded companies</w:t>
            </w:r>
          </w:p>
        </w:tc>
        <w:tc>
          <w:tcPr>
            <w:tcW w:w="0" w:type="dxa"/>
            <w:vAlign w:val="bottom"/>
          </w:tcPr>
          <w:p>
            <w:pPr>
              <w:spacing w:after="0"/>
              <w:rPr>
                <w:sz w:val="1"/>
                <w:szCs w:val="1"/>
                <w:color w:val="auto"/>
              </w:rPr>
            </w:pPr>
          </w:p>
        </w:tc>
      </w:tr>
      <w:tr>
        <w:trPr>
          <w:trHeight w:val="181"/>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Business Attributes</w:t>
            </w:r>
          </w:p>
        </w:tc>
        <w:tc>
          <w:tcPr>
            <w:tcW w:w="7640" w:type="dxa"/>
            <w:vAlign w:val="bottom"/>
            <w:gridSpan w:val="2"/>
          </w:tcPr>
          <w:p>
            <w:pPr>
              <w:ind w:left="80"/>
              <w:spacing w:after="0" w:line="181" w:lineRule="exact"/>
              <w:rPr>
                <w:sz w:val="20"/>
                <w:szCs w:val="20"/>
                <w:color w:val="auto"/>
              </w:rPr>
            </w:pPr>
            <w:r>
              <w:rPr>
                <w:rFonts w:ascii="Arial" w:cs="Arial" w:eastAsia="Arial" w:hAnsi="Arial"/>
                <w:sz w:val="18"/>
                <w:szCs w:val="18"/>
                <w:color w:val="auto"/>
              </w:rPr>
              <w:t>•   experience in positions demonstrating expertise, including on other boards of directors</w:t>
            </w:r>
          </w:p>
        </w:tc>
        <w:tc>
          <w:tcPr>
            <w:tcW w:w="0" w:type="dxa"/>
            <w:vAlign w:val="bottom"/>
          </w:tcPr>
          <w:p>
            <w:pPr>
              <w:spacing w:after="0"/>
              <w:rPr>
                <w:sz w:val="1"/>
                <w:szCs w:val="1"/>
                <w:color w:val="auto"/>
              </w:rPr>
            </w:pPr>
          </w:p>
        </w:tc>
      </w:tr>
      <w:tr>
        <w:trPr>
          <w:trHeight w:val="176"/>
        </w:trPr>
        <w:tc>
          <w:tcPr>
            <w:tcW w:w="3600" w:type="dxa"/>
            <w:vAlign w:val="bottom"/>
            <w:vMerge w:val="continue"/>
          </w:tcPr>
          <w:p>
            <w:pPr>
              <w:spacing w:after="0"/>
              <w:rPr>
                <w:sz w:val="15"/>
                <w:szCs w:val="15"/>
                <w:color w:val="auto"/>
              </w:rPr>
            </w:pPr>
          </w:p>
        </w:tc>
        <w:tc>
          <w:tcPr>
            <w:tcW w:w="26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7380" w:type="dxa"/>
            <w:vAlign w:val="bottom"/>
          </w:tcPr>
          <w:p>
            <w:pPr>
              <w:ind w:left="140"/>
              <w:spacing w:after="0" w:line="176" w:lineRule="exact"/>
              <w:rPr>
                <w:sz w:val="20"/>
                <w:szCs w:val="20"/>
                <w:color w:val="auto"/>
              </w:rPr>
            </w:pPr>
            <w:r>
              <w:rPr>
                <w:rFonts w:ascii="Arial" w:cs="Arial" w:eastAsia="Arial" w:hAnsi="Arial"/>
                <w:sz w:val="18"/>
                <w:szCs w:val="18"/>
                <w:color w:val="auto"/>
              </w:rPr>
              <w:t>financial acumen</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764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   industry and Company knowledge</w:t>
            </w: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7380" w:type="dxa"/>
            <w:vAlign w:val="bottom"/>
          </w:tcPr>
          <w:p>
            <w:pPr>
              <w:ind w:left="140"/>
              <w:spacing w:after="0" w:line="181" w:lineRule="exact"/>
              <w:rPr>
                <w:sz w:val="20"/>
                <w:szCs w:val="20"/>
                <w:color w:val="auto"/>
              </w:rPr>
            </w:pPr>
            <w:r>
              <w:rPr>
                <w:rFonts w:ascii="Arial" w:cs="Arial" w:eastAsia="Arial" w:hAnsi="Arial"/>
                <w:sz w:val="18"/>
                <w:szCs w:val="18"/>
                <w:color w:val="auto"/>
              </w:rPr>
              <w:t>diversity of viewpoints</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19"/>
                <w:szCs w:val="19"/>
                <w:color w:val="auto"/>
              </w:rPr>
            </w:pPr>
          </w:p>
        </w:tc>
        <w:tc>
          <w:tcPr>
            <w:tcW w:w="7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   experience in international markets and strategic planning</w:t>
            </w:r>
          </w:p>
        </w:tc>
        <w:tc>
          <w:tcPr>
            <w:tcW w:w="0" w:type="dxa"/>
            <w:vAlign w:val="bottom"/>
          </w:tcPr>
          <w:p>
            <w:pPr>
              <w:spacing w:after="0"/>
              <w:rPr>
                <w:sz w:val="1"/>
                <w:szCs w:val="1"/>
                <w:color w:val="auto"/>
              </w:rPr>
            </w:pPr>
          </w:p>
        </w:tc>
      </w:tr>
      <w:tr>
        <w:trPr>
          <w:trHeight w:val="277"/>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Independence</w:t>
            </w:r>
          </w:p>
        </w:tc>
        <w:tc>
          <w:tcPr>
            <w:tcW w:w="7640" w:type="dxa"/>
            <w:vAlign w:val="bottom"/>
            <w:gridSpan w:val="2"/>
          </w:tcPr>
          <w:p>
            <w:pPr>
              <w:ind w:left="80"/>
              <w:spacing w:after="0"/>
              <w:rPr>
                <w:sz w:val="20"/>
                <w:szCs w:val="20"/>
                <w:color w:val="auto"/>
              </w:rPr>
            </w:pPr>
            <w:r>
              <w:rPr>
                <w:rFonts w:ascii="Arial" w:cs="Arial" w:eastAsia="Arial" w:hAnsi="Arial"/>
                <w:sz w:val="18"/>
                <w:szCs w:val="18"/>
                <w:color w:val="auto"/>
              </w:rPr>
              <w:t>•   compliance with the standards contained in the NYSE listing standards, the Exchange Act,</w:t>
            </w:r>
          </w:p>
        </w:tc>
        <w:tc>
          <w:tcPr>
            <w:tcW w:w="0" w:type="dxa"/>
            <w:vAlign w:val="bottom"/>
          </w:tcPr>
          <w:p>
            <w:pPr>
              <w:spacing w:after="0"/>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vMerge w:val="restart"/>
          </w:tcPr>
          <w:p>
            <w:pPr>
              <w:ind w:left="140"/>
              <w:spacing w:after="0"/>
              <w:rPr>
                <w:sz w:val="20"/>
                <w:szCs w:val="20"/>
                <w:color w:val="auto"/>
              </w:rPr>
            </w:pPr>
            <w:r>
              <w:rPr>
                <w:rFonts w:ascii="Arial" w:cs="Arial" w:eastAsia="Arial" w:hAnsi="Arial"/>
                <w:sz w:val="18"/>
                <w:szCs w:val="18"/>
                <w:color w:val="auto"/>
              </w:rPr>
              <w:t>and any other applicable laws or regulations regarding independence</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3600" w:type="dxa"/>
            <w:vAlign w:val="bottom"/>
            <w:tcBorders>
              <w:bottom w:val="single" w:sz="8" w:color="auto"/>
            </w:tcBorders>
          </w:tcPr>
          <w:p>
            <w:pPr>
              <w:spacing w:after="0"/>
              <w:rPr>
                <w:sz w:val="10"/>
                <w:szCs w:val="10"/>
                <w:color w:val="auto"/>
              </w:rPr>
            </w:pPr>
          </w:p>
        </w:tc>
        <w:tc>
          <w:tcPr>
            <w:tcW w:w="764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7640" w:type="dxa"/>
            <w:vAlign w:val="bottom"/>
            <w:gridSpan w:val="2"/>
          </w:tcPr>
          <w:p>
            <w:pPr>
              <w:ind w:left="80"/>
              <w:spacing w:after="0" w:line="169" w:lineRule="exact"/>
              <w:rPr>
                <w:sz w:val="20"/>
                <w:szCs w:val="20"/>
                <w:color w:val="auto"/>
              </w:rPr>
            </w:pPr>
            <w:r>
              <w:rPr>
                <w:rFonts w:ascii="Arial" w:cs="Arial" w:eastAsia="Arial" w:hAnsi="Arial"/>
                <w:sz w:val="18"/>
                <w:szCs w:val="18"/>
                <w:color w:val="auto"/>
              </w:rPr>
              <w:t>•   willingness to commit the time required to fully discharge his or her responsibilities</w:t>
            </w:r>
          </w:p>
        </w:tc>
        <w:tc>
          <w:tcPr>
            <w:tcW w:w="0" w:type="dxa"/>
            <w:vAlign w:val="bottom"/>
          </w:tcPr>
          <w:p>
            <w:pPr>
              <w:spacing w:after="0"/>
              <w:rPr>
                <w:sz w:val="1"/>
                <w:szCs w:val="1"/>
                <w:color w:val="auto"/>
              </w:rPr>
            </w:pPr>
          </w:p>
        </w:tc>
      </w:tr>
      <w:tr>
        <w:trPr>
          <w:trHeight w:val="184"/>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Professional</w:t>
            </w:r>
          </w:p>
        </w:tc>
        <w:tc>
          <w:tcPr>
            <w:tcW w:w="764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   commitment to attend meetings</w:t>
            </w:r>
          </w:p>
        </w:tc>
        <w:tc>
          <w:tcPr>
            <w:tcW w:w="0" w:type="dxa"/>
            <w:vAlign w:val="bottom"/>
          </w:tcPr>
          <w:p>
            <w:pPr>
              <w:spacing w:after="0"/>
              <w:rPr>
                <w:sz w:val="1"/>
                <w:szCs w:val="1"/>
                <w:color w:val="auto"/>
              </w:rPr>
            </w:pPr>
          </w:p>
        </w:tc>
      </w:tr>
      <w:tr>
        <w:trPr>
          <w:trHeight w:val="181"/>
        </w:trPr>
        <w:tc>
          <w:tcPr>
            <w:tcW w:w="3600" w:type="dxa"/>
            <w:vAlign w:val="bottom"/>
            <w:vMerge w:val="continue"/>
          </w:tcPr>
          <w:p>
            <w:pPr>
              <w:spacing w:after="0"/>
              <w:rPr>
                <w:sz w:val="15"/>
                <w:szCs w:val="15"/>
                <w:color w:val="auto"/>
              </w:rPr>
            </w:pP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7380" w:type="dxa"/>
            <w:vAlign w:val="bottom"/>
          </w:tcPr>
          <w:p>
            <w:pPr>
              <w:ind w:left="140"/>
              <w:spacing w:after="0" w:line="181" w:lineRule="exact"/>
              <w:rPr>
                <w:sz w:val="20"/>
                <w:szCs w:val="20"/>
                <w:color w:val="auto"/>
              </w:rPr>
            </w:pPr>
            <w:r>
              <w:rPr>
                <w:rFonts w:ascii="Arial" w:cs="Arial" w:eastAsia="Arial" w:hAnsi="Arial"/>
                <w:sz w:val="18"/>
                <w:szCs w:val="18"/>
                <w:color w:val="auto"/>
              </w:rPr>
              <w:t>ability and willingness to represent the stockholders’ long- and short-term interests</w:t>
            </w:r>
          </w:p>
        </w:tc>
        <w:tc>
          <w:tcPr>
            <w:tcW w:w="0" w:type="dxa"/>
            <w:vAlign w:val="bottom"/>
          </w:tcPr>
          <w:p>
            <w:pPr>
              <w:spacing w:after="0"/>
              <w:rPr>
                <w:sz w:val="1"/>
                <w:szCs w:val="1"/>
                <w:color w:val="auto"/>
              </w:rPr>
            </w:pPr>
          </w:p>
        </w:tc>
      </w:tr>
      <w:tr>
        <w:trPr>
          <w:trHeight w:val="175"/>
        </w:trPr>
        <w:tc>
          <w:tcPr>
            <w:tcW w:w="3600" w:type="dxa"/>
            <w:vAlign w:val="bottom"/>
          </w:tcPr>
          <w:p>
            <w:pPr>
              <w:ind w:left="1420"/>
              <w:spacing w:after="0" w:line="176" w:lineRule="exact"/>
              <w:rPr>
                <w:sz w:val="20"/>
                <w:szCs w:val="20"/>
                <w:color w:val="auto"/>
              </w:rPr>
            </w:pPr>
            <w:r>
              <w:rPr>
                <w:rFonts w:ascii="Arial" w:cs="Arial" w:eastAsia="Arial" w:hAnsi="Arial"/>
                <w:sz w:val="18"/>
                <w:szCs w:val="18"/>
                <w:b w:val="1"/>
                <w:bCs w:val="1"/>
                <w:color w:val="C60C35"/>
              </w:rPr>
              <w:t>Responsibilities</w:t>
            </w:r>
          </w:p>
        </w:tc>
        <w:tc>
          <w:tcPr>
            <w:tcW w:w="26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7380" w:type="dxa"/>
            <w:vAlign w:val="bottom"/>
          </w:tcPr>
          <w:p>
            <w:pPr>
              <w:ind w:left="140"/>
              <w:spacing w:after="0" w:line="176" w:lineRule="exact"/>
              <w:rPr>
                <w:sz w:val="20"/>
                <w:szCs w:val="20"/>
                <w:color w:val="auto"/>
              </w:rPr>
            </w:pPr>
            <w:r>
              <w:rPr>
                <w:rFonts w:ascii="Arial" w:cs="Arial" w:eastAsia="Arial" w:hAnsi="Arial"/>
                <w:sz w:val="18"/>
                <w:szCs w:val="18"/>
                <w:color w:val="auto"/>
              </w:rPr>
              <w:t>awareness of our responsibilities to our customers, employees, suppliers, regulatory</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380" w:type="dxa"/>
            <w:vAlign w:val="bottom"/>
          </w:tcPr>
          <w:p>
            <w:pPr>
              <w:ind w:left="140"/>
              <w:spacing w:after="0" w:line="183" w:lineRule="exact"/>
              <w:rPr>
                <w:sz w:val="20"/>
                <w:szCs w:val="20"/>
                <w:color w:val="auto"/>
              </w:rPr>
            </w:pPr>
            <w:r>
              <w:rPr>
                <w:rFonts w:ascii="Arial" w:cs="Arial" w:eastAsia="Arial" w:hAnsi="Arial"/>
                <w:sz w:val="18"/>
                <w:szCs w:val="18"/>
                <w:color w:val="auto"/>
              </w:rPr>
              <w:t>bodies, and the communities in which we operate</w:t>
            </w:r>
          </w:p>
        </w:tc>
        <w:tc>
          <w:tcPr>
            <w:tcW w:w="0" w:type="dxa"/>
            <w:vAlign w:val="bottom"/>
          </w:tcPr>
          <w:p>
            <w:pPr>
              <w:spacing w:after="0"/>
              <w:rPr>
                <w:sz w:val="1"/>
                <w:szCs w:val="1"/>
                <w:color w:val="auto"/>
              </w:rPr>
            </w:pPr>
          </w:p>
        </w:tc>
      </w:tr>
      <w:tr>
        <w:trPr>
          <w:trHeight w:val="235"/>
        </w:trPr>
        <w:tc>
          <w:tcPr>
            <w:tcW w:w="360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   willingness to advance his or her opinions</w:t>
            </w:r>
          </w:p>
        </w:tc>
        <w:tc>
          <w:tcPr>
            <w:tcW w:w="0" w:type="dxa"/>
            <w:vAlign w:val="bottom"/>
          </w:tcPr>
          <w:p>
            <w:pPr>
              <w:spacing w:after="0"/>
              <w:rPr>
                <w:sz w:val="1"/>
                <w:szCs w:val="1"/>
                <w:color w:val="auto"/>
              </w:rPr>
            </w:pPr>
          </w:p>
        </w:tc>
      </w:tr>
      <w:tr>
        <w:trPr>
          <w:trHeight w:val="299"/>
        </w:trPr>
        <w:tc>
          <w:tcPr>
            <w:tcW w:w="3600" w:type="dxa"/>
            <w:vAlign w:val="bottom"/>
          </w:tcPr>
          <w:p>
            <w:pPr>
              <w:ind w:left="1420"/>
              <w:spacing w:after="0"/>
              <w:rPr>
                <w:sz w:val="20"/>
                <w:szCs w:val="20"/>
                <w:color w:val="auto"/>
              </w:rPr>
            </w:pPr>
            <w:r>
              <w:rPr>
                <w:rFonts w:ascii="Arial" w:cs="Arial" w:eastAsia="Arial" w:hAnsi="Arial"/>
                <w:sz w:val="18"/>
                <w:szCs w:val="18"/>
                <w:b w:val="1"/>
                <w:bCs w:val="1"/>
                <w:color w:val="C60C35"/>
              </w:rPr>
              <w:t>Governance</w:t>
            </w:r>
          </w:p>
        </w:tc>
        <w:tc>
          <w:tcPr>
            <w:tcW w:w="7640" w:type="dxa"/>
            <w:vAlign w:val="bottom"/>
            <w:gridSpan w:val="2"/>
            <w:vMerge w:val="restart"/>
          </w:tcPr>
          <w:p>
            <w:pPr>
              <w:ind w:left="80"/>
              <w:spacing w:after="0"/>
              <w:rPr>
                <w:sz w:val="20"/>
                <w:szCs w:val="20"/>
                <w:color w:val="auto"/>
              </w:rPr>
            </w:pPr>
            <w:r>
              <w:rPr>
                <w:rFonts w:ascii="Arial" w:cs="Arial" w:eastAsia="Arial" w:hAnsi="Arial"/>
                <w:sz w:val="18"/>
                <w:szCs w:val="18"/>
                <w:color w:val="auto"/>
              </w:rPr>
              <w:t>•   ability to understand, and distinguish between, the roles of governance and management</w:t>
            </w:r>
          </w:p>
        </w:tc>
        <w:tc>
          <w:tcPr>
            <w:tcW w:w="0" w:type="dxa"/>
            <w:vAlign w:val="bottom"/>
          </w:tcPr>
          <w:p>
            <w:pPr>
              <w:spacing w:after="0"/>
              <w:rPr>
                <w:sz w:val="1"/>
                <w:szCs w:val="1"/>
                <w:color w:val="auto"/>
              </w:rPr>
            </w:pPr>
          </w:p>
        </w:tc>
      </w:tr>
      <w:tr>
        <w:trPr>
          <w:trHeight w:val="144"/>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Responsibility</w:t>
            </w:r>
          </w:p>
        </w:tc>
        <w:tc>
          <w:tcPr>
            <w:tcW w:w="7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6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600" w:type="dxa"/>
            <w:vAlign w:val="bottom"/>
          </w:tcPr>
          <w:p>
            <w:pPr>
              <w:ind w:left="1420"/>
              <w:spacing w:after="0"/>
              <w:rPr>
                <w:sz w:val="20"/>
                <w:szCs w:val="20"/>
                <w:color w:val="auto"/>
              </w:rPr>
            </w:pPr>
            <w:r>
              <w:rPr>
                <w:rFonts w:ascii="Arial" w:cs="Arial" w:eastAsia="Arial" w:hAnsi="Arial"/>
                <w:sz w:val="18"/>
                <w:szCs w:val="18"/>
                <w:b w:val="1"/>
                <w:bCs w:val="1"/>
                <w:color w:val="C60C35"/>
              </w:rPr>
              <w:t>Availability and</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380" w:type="dxa"/>
            <w:vAlign w:val="bottom"/>
          </w:tcPr>
          <w:p>
            <w:pPr>
              <w:ind w:left="140"/>
              <w:spacing w:after="0"/>
              <w:rPr>
                <w:sz w:val="20"/>
                <w:szCs w:val="20"/>
                <w:color w:val="auto"/>
              </w:rPr>
            </w:pPr>
            <w:r>
              <w:rPr>
                <w:rFonts w:ascii="Arial" w:cs="Arial" w:eastAsia="Arial" w:hAnsi="Arial"/>
                <w:sz w:val="18"/>
                <w:szCs w:val="18"/>
                <w:color w:val="auto"/>
              </w:rPr>
              <w:t>availability based on the number of commitments to other entities existing or contemplated</w:t>
            </w:r>
          </w:p>
        </w:tc>
        <w:tc>
          <w:tcPr>
            <w:tcW w:w="0" w:type="dxa"/>
            <w:vAlign w:val="bottom"/>
          </w:tcPr>
          <w:p>
            <w:pPr>
              <w:spacing w:after="0"/>
              <w:rPr>
                <w:sz w:val="1"/>
                <w:szCs w:val="1"/>
                <w:color w:val="auto"/>
              </w:rPr>
            </w:pPr>
          </w:p>
        </w:tc>
      </w:tr>
      <w:tr>
        <w:trPr>
          <w:trHeight w:val="255"/>
        </w:trPr>
        <w:tc>
          <w:tcPr>
            <w:tcW w:w="3600" w:type="dxa"/>
            <w:vAlign w:val="bottom"/>
          </w:tcPr>
          <w:p>
            <w:pPr>
              <w:ind w:left="1420"/>
              <w:spacing w:after="0"/>
              <w:rPr>
                <w:sz w:val="20"/>
                <w:szCs w:val="20"/>
                <w:color w:val="auto"/>
              </w:rPr>
            </w:pPr>
            <w:r>
              <w:rPr>
                <w:rFonts w:ascii="Arial" w:cs="Arial" w:eastAsia="Arial" w:hAnsi="Arial"/>
                <w:sz w:val="18"/>
                <w:szCs w:val="18"/>
                <w:b w:val="1"/>
                <w:bCs w:val="1"/>
                <w:color w:val="C60C35"/>
              </w:rPr>
              <w:t>Commitment</w:t>
            </w:r>
          </w:p>
        </w:tc>
        <w:tc>
          <w:tcPr>
            <w:tcW w:w="260" w:type="dxa"/>
            <w:vAlign w:val="bottom"/>
          </w:tcPr>
          <w:p>
            <w:pPr>
              <w:spacing w:after="0"/>
              <w:rPr>
                <w:sz w:val="22"/>
                <w:szCs w:val="22"/>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by the candidate</w:t>
            </w:r>
          </w:p>
        </w:tc>
        <w:tc>
          <w:tcPr>
            <w:tcW w:w="0" w:type="dxa"/>
            <w:vAlign w:val="bottom"/>
          </w:tcPr>
          <w:p>
            <w:pPr>
              <w:spacing w:after="0"/>
              <w:rPr>
                <w:sz w:val="1"/>
                <w:szCs w:val="1"/>
                <w:color w:val="auto"/>
              </w:rPr>
            </w:pPr>
          </w:p>
        </w:tc>
      </w:tr>
      <w:tr>
        <w:trPr>
          <w:trHeight w:val="110"/>
        </w:trPr>
        <w:tc>
          <w:tcPr>
            <w:tcW w:w="3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-3359785</wp:posOffset>
            </wp:positionV>
            <wp:extent cx="325755" cy="3600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-2631440</wp:posOffset>
            </wp:positionV>
            <wp:extent cx="325755"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755" cy="3511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-1997075</wp:posOffset>
            </wp:positionV>
            <wp:extent cx="325755" cy="351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755" cy="3511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-1431290</wp:posOffset>
            </wp:positionV>
            <wp:extent cx="325755"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-848360</wp:posOffset>
            </wp:positionV>
            <wp:extent cx="325755" cy="779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755" cy="779780"/>
                    </a:xfrm>
                    <a:prstGeom prst="rect">
                      <a:avLst/>
                    </a:prstGeom>
                    <a:noFill/>
                  </pic:spPr>
                </pic:pic>
              </a:graphicData>
            </a:graphic>
          </wp:anchor>
        </w:drawing>
      </w:r>
    </w:p>
    <w:p>
      <w:pPr>
        <w:spacing w:after="0" w:line="218" w:lineRule="exact"/>
        <w:rPr>
          <w:sz w:val="20"/>
          <w:szCs w:val="20"/>
          <w:color w:val="auto"/>
        </w:rPr>
      </w:pPr>
    </w:p>
    <w:p>
      <w:pPr>
        <w:ind w:right="360" w:firstLine="324"/>
        <w:spacing w:after="0" w:line="245" w:lineRule="auto"/>
        <w:rPr>
          <w:sz w:val="20"/>
          <w:szCs w:val="20"/>
          <w:color w:val="auto"/>
        </w:rPr>
      </w:pPr>
      <w:r>
        <w:rPr>
          <w:rFonts w:ascii="Arial" w:cs="Arial" w:eastAsia="Arial" w:hAnsi="Arial"/>
          <w:sz w:val="18"/>
          <w:szCs w:val="18"/>
          <w:color w:val="auto"/>
        </w:rPr>
        <w:t>Our Corporate Governance Guidelines specifically state that when nominating new directors, the Board will seek the best qualified candidates to achieve a high performing Board, including a diversity of professional experience, race, ethnicity, gender, age, and cultural background. For additional information, please see the Company’s Corporate Governance Guidelines. In addition, the Board considers a variety of viewpoints in determining the qualifications desired for any new Board member. Finally, we believe that diversity with respect to tenure is important to benefit from both fresh perspectives and deep experience and knowledge of our Company and our business. Therefore, we aim to maintain an appropriate balance of tenure among our directors.</w:t>
      </w:r>
    </w:p>
    <w:p>
      <w:pPr>
        <w:spacing w:after="0" w:line="136" w:lineRule="exact"/>
        <w:rPr>
          <w:sz w:val="20"/>
          <w:szCs w:val="20"/>
          <w:color w:val="auto"/>
        </w:rPr>
      </w:pPr>
    </w:p>
    <w:p>
      <w:pPr>
        <w:ind w:right="480" w:firstLine="324"/>
        <w:spacing w:after="0" w:line="253" w:lineRule="auto"/>
        <w:rPr>
          <w:sz w:val="20"/>
          <w:szCs w:val="20"/>
          <w:color w:val="auto"/>
        </w:rPr>
      </w:pPr>
      <w:r>
        <w:rPr>
          <w:rFonts w:ascii="Arial" w:cs="Arial" w:eastAsia="Arial" w:hAnsi="Arial"/>
          <w:sz w:val="18"/>
          <w:szCs w:val="18"/>
          <w:color w:val="auto"/>
        </w:rPr>
        <w:t>We regularly assess whether our Board maintains the right balance of skills, experience, and acumen required for exceptional leadership. This year, our Board continues to bring a diverse set of backgrounds, skills, and experiences to Lennox that are essential to collaborating with management and driving our strategy forward.</w:t>
      </w:r>
    </w:p>
    <w:p>
      <w:pPr>
        <w:spacing w:after="0" w:line="128" w:lineRule="exact"/>
        <w:rPr>
          <w:sz w:val="20"/>
          <w:szCs w:val="20"/>
          <w:color w:val="auto"/>
        </w:rPr>
      </w:pPr>
    </w:p>
    <w:p>
      <w:pPr>
        <w:jc w:val="both"/>
        <w:ind w:right="560" w:firstLine="324"/>
        <w:spacing w:after="0" w:line="253" w:lineRule="auto"/>
        <w:rPr>
          <w:sz w:val="20"/>
          <w:szCs w:val="20"/>
          <w:color w:val="auto"/>
        </w:rPr>
      </w:pPr>
      <w:r>
        <w:rPr>
          <w:rFonts w:ascii="Arial" w:cs="Arial" w:eastAsia="Arial" w:hAnsi="Arial"/>
          <w:sz w:val="18"/>
          <w:szCs w:val="18"/>
          <w:color w:val="auto"/>
        </w:rPr>
        <w:t>When a vacancy occurs on the Board, a majority of the directors then in office may fill the vacancy or the size of the Board may be reduced. The Board Governance Committee considers nominees for election to the Board recommended by stockholders in the same manner as other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Stockholder Nominations for Director</w:t>
      </w:r>
    </w:p>
    <w:p>
      <w:pPr>
        <w:spacing w:after="0" w:line="156"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A stockholder wishing to nominate a candidate for election to the Board at a meeting of the stockholders (“Nominating Stockholder”) is required to give written notice to our Corporate Secretary of his or her intention to make a nomination in accordance with the terms of our Bylaws. The Nominating Stockholder must be a holder of record of stock of the Company entitled to vote at the annual meeting of stockholders and must appear at the annual meeting of stockholders to nominate such person. The Nominating Stockholder must include a written consent from its proposed director nominee. The proposed director nominee must also represent and agree that he or she (1) has not and will not give any assurance or commitment not disclosed to the Company on how he or she would vote on any issue or question, (2) has not and will not become party to any agreement not disclosed to the Company regarding direct or indirect compensation (other than from the Company) for his or her service as a director, and (3) if elected, will comply with all applicable policies and guidelines of the Company. We must receive the notice of nomination at least 60 days</w:t>
      </w: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9" w:name="page30"/>
    <w:bookmarkEnd w:id="29"/>
    <w:p>
      <w:pPr>
        <w:ind w:right="60"/>
        <w:spacing w:after="0" w:line="261" w:lineRule="auto"/>
        <w:rPr>
          <w:sz w:val="20"/>
          <w:szCs w:val="20"/>
          <w:color w:val="auto"/>
        </w:rPr>
      </w:pPr>
      <w:r>
        <w:rPr>
          <w:rFonts w:ascii="Arial" w:cs="Arial" w:eastAsia="Arial" w:hAnsi="Arial"/>
          <w:sz w:val="18"/>
          <w:szCs w:val="18"/>
          <w:color w:val="auto"/>
        </w:rPr>
        <w:t>but no more than 90 days prior to the annual meeting of stockholders. However, if we give less than 70 days’ notice of the date of the annual meeting of stockholders, the notice of nomination must be received within 10 days following the date on which notice of the date of the annual meeting of stockholders was mailed or such public disclosure was made to our stockholders.</w:t>
      </w:r>
    </w:p>
    <w:p>
      <w:pPr>
        <w:spacing w:after="0" w:line="108" w:lineRule="exact"/>
        <w:rPr>
          <w:sz w:val="20"/>
          <w:szCs w:val="20"/>
          <w:color w:val="auto"/>
        </w:rPr>
      </w:pPr>
    </w:p>
    <w:p>
      <w:pPr>
        <w:ind w:right="100" w:firstLine="324"/>
        <w:spacing w:after="0" w:line="244" w:lineRule="auto"/>
        <w:rPr>
          <w:sz w:val="20"/>
          <w:szCs w:val="20"/>
          <w:color w:val="auto"/>
        </w:rPr>
      </w:pPr>
      <w:r>
        <w:rPr>
          <w:rFonts w:ascii="Arial" w:cs="Arial" w:eastAsia="Arial" w:hAnsi="Arial"/>
          <w:sz w:val="18"/>
          <w:szCs w:val="18"/>
          <w:color w:val="auto"/>
        </w:rPr>
        <w:t>Pursuant to our Bylaws, the notice for the proposed director nominee must contain certain information about the nominee, the Nominating Stockholder, and any person “acting in concert” with the Nominating Stockholder, including descriptions of any arrangements or understanding related to the nomination, the information that would be required if such person was making a stockholder proposal (as described under “Other Information – Stockholder Proposals for the 2026 Annual Meeting of Stockholders”), and other information sufficient to allow the Board Governance Committee to determine if the candidate meets our qualification criteria for Board membership. The Board Governance Committee may require the proposed director nominee to furnish additional information in order to determine that person’s eligibility to serve as a director. A nomination that does not comply with the above procedure will be disregarded. Nominating Stockholders whose nominations comply with the foregoing procedure and who meet the criteria described above under the heading “Board Refreshment and Nomination Process” and in our Corporate Governance Guidelines, will be evaluated by the Board Governance Committee in the same manner as the Board Governance Committee’s nominees.</w:t>
      </w:r>
    </w:p>
    <w:p>
      <w:pPr>
        <w:spacing w:after="0" w:line="123"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In addition to satisfying the requirements under our Bylaws, to comply with the universal proxy rules, stockholders who intend to solicit proxies in support of director nominees other than the Company’s nominees must provide notice that sets forth the information required by Rule 14a-19 under the Exchange Act, which notice must be postmarked or transmitted electronically to us at our principal executive offices no later than 60 calendar days prior to the first anniversary date of this year’s Annual Meeting. Accordingly, for the 2026 Annual Meeting of Stockholders, we must receive such notice no later than March 23, 2026. If the date of the 2026 Annual Meeting of Stockholders is changed by more than 30 calendar days from the anniversary of the Annual Meeting, then notice must be provided by the later of 60 calendar days prior to the date of the 2026 Annual Meeting of Stockholders or the 10th calendar day following the day on which public announcement of the date of the 2026 Annual Meeting of Stockholders is first made.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Communications with Directors</w:t>
      </w:r>
    </w:p>
    <w:p>
      <w:pPr>
        <w:spacing w:after="0" w:line="108" w:lineRule="exact"/>
        <w:rPr>
          <w:sz w:val="20"/>
          <w:szCs w:val="20"/>
          <w:color w:val="auto"/>
        </w:rPr>
      </w:pPr>
    </w:p>
    <w:p>
      <w:pPr>
        <w:ind w:right="380" w:firstLine="324"/>
        <w:spacing w:after="0" w:line="271" w:lineRule="auto"/>
        <w:rPr>
          <w:sz w:val="20"/>
          <w:szCs w:val="20"/>
          <w:color w:val="auto"/>
        </w:rPr>
      </w:pPr>
      <w:r>
        <w:rPr>
          <w:rFonts w:ascii="Arial" w:cs="Arial" w:eastAsia="Arial" w:hAnsi="Arial"/>
          <w:sz w:val="18"/>
          <w:szCs w:val="18"/>
          <w:color w:val="auto"/>
        </w:rPr>
        <w:t xml:space="preserve">Stockholders and all other interested parties may send written communications to the Board by email to </w:t>
      </w:r>
      <w:r>
        <w:rPr>
          <w:rFonts w:ascii="Arial" w:cs="Arial" w:eastAsia="Arial" w:hAnsi="Arial"/>
          <w:sz w:val="18"/>
          <w:szCs w:val="18"/>
          <w:i w:val="1"/>
          <w:iCs w:val="1"/>
          <w:color w:val="auto"/>
        </w:rPr>
        <w:t>investor@lennox.com</w:t>
      </w:r>
      <w:r>
        <w:rPr>
          <w:rFonts w:ascii="Arial" w:cs="Arial" w:eastAsia="Arial" w:hAnsi="Arial"/>
          <w:sz w:val="18"/>
          <w:szCs w:val="18"/>
          <w:color w:val="auto"/>
        </w:rPr>
        <w:t>, or by regular mail to 2140 Lake Park Blvd., Richardson, Texas 75080, Attention: Board of Directors, c/o Corporate Secretary.</w:t>
      </w:r>
    </w:p>
    <w:p>
      <w:pPr>
        <w:spacing w:after="0" w:line="113"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Communications received by the Corporate Secretary will be delivered to one or more members of the Board or management, as determined by the Corporate Secretary. Any allegations of accounting, internal controls, or auditing-related complaints or concerns will be directed to the Chair of the Audit Committee.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Board &amp; Committee Meetings</w:t>
      </w:r>
    </w:p>
    <w:p>
      <w:pPr>
        <w:spacing w:after="0" w:line="10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Board met fourteen times in 2024. All directors attended more than 75% of the total number of all meetings of the Board and committees of the Board on which they served. Our Corporate Governance Guidelines include a policy that Board members are expected to attend the Annual Meeting. All of the individuals serving as directors at the time of our 2024 Annual Meeting of Stockholders attended our 2024 Annual Meeting of Stockholders, and we expect all current directors to attend the 2025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Executive Session Meetings</w:t>
      </w:r>
    </w:p>
    <w:p>
      <w:pPr>
        <w:spacing w:after="0" w:line="169"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The non-management directors of our Board, all of whom are independent, meet regularly in executive session without the presence of management. In 2024, the independent Chair of the Board chaired the executive session meetings of our independent directors.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Committee Meetings</w:t>
      </w:r>
    </w:p>
    <w:p>
      <w:pPr>
        <w:spacing w:after="0" w:line="169"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standing committees of the Board are as follows: Audit, Board Governance, Compensation and Human Resources, and Executive.</w:t>
      </w:r>
    </w:p>
    <w:p>
      <w:pPr>
        <w:spacing w:after="0" w:line="157" w:lineRule="exact"/>
        <w:rPr>
          <w:rFonts w:ascii="Arial" w:cs="Arial" w:eastAsia="Arial" w:hAnsi="Arial"/>
          <w:sz w:val="18"/>
          <w:szCs w:val="18"/>
          <w:color w:val="auto"/>
        </w:rPr>
      </w:pPr>
    </w:p>
    <w:p>
      <w:pPr>
        <w:ind w:left="340" w:right="500" w:hanging="332"/>
        <w:spacing w:after="0" w:line="271"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has adopted charters for each of these committees, copies of which are available on our website at www.lennox.com by following the links “Investors — Corporate Governance — Documents &amp; Charters.”</w:t>
      </w:r>
    </w:p>
    <w:p>
      <w:pPr>
        <w:spacing w:after="0" w:line="113" w:lineRule="exact"/>
        <w:rPr>
          <w:rFonts w:ascii="Arial" w:cs="Arial" w:eastAsia="Arial" w:hAnsi="Arial"/>
          <w:sz w:val="18"/>
          <w:szCs w:val="18"/>
          <w:color w:val="auto"/>
        </w:rPr>
      </w:pPr>
    </w:p>
    <w:p>
      <w:pPr>
        <w:ind w:left="340" w:right="200" w:hanging="332"/>
        <w:spacing w:after="0" w:line="271"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Audit, Board Governance, and Compensation and Human Resources committees is led by a different independent director and all committees members are independent directors.</w:t>
      </w: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 Committee is led by the independent Chair of the Board and its members are the CEO and each committee Chair.</w:t>
      </w:r>
    </w:p>
    <w:p>
      <w:pPr>
        <w:spacing w:after="0" w:line="157" w:lineRule="exact"/>
        <w:rPr>
          <w:rFonts w:ascii="Arial" w:cs="Arial" w:eastAsia="Arial" w:hAnsi="Arial"/>
          <w:sz w:val="18"/>
          <w:szCs w:val="18"/>
          <w:color w:val="auto"/>
        </w:rPr>
      </w:pPr>
    </w:p>
    <w:p>
      <w:pPr>
        <w:ind w:left="340" w:right="100" w:hanging="332"/>
        <w:spacing w:after="0" w:line="28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standing committee has the authority to retain independent advisors to assist in the fulfillment of its responsibilities, to approve the fees paid to those advisors, and to terminate their engagements.</w:t>
      </w:r>
    </w:p>
    <w:p>
      <w:pPr>
        <w:spacing w:after="0" w:line="85" w:lineRule="exact"/>
        <w:rPr>
          <w:rFonts w:ascii="Arial" w:cs="Arial" w:eastAsia="Arial" w:hAnsi="Arial"/>
          <w:sz w:val="18"/>
          <w:szCs w:val="18"/>
          <w:color w:val="auto"/>
        </w:rPr>
      </w:pPr>
    </w:p>
    <w:p>
      <w:pPr>
        <w:ind w:left="340" w:right="20" w:hanging="332"/>
        <w:spacing w:after="0" w:line="24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the Board had a standing Public Policy Committee, which was dissolved in December 2024. Prior to its dissolution, it was responsible for overseeing the Company’s (a) actions in furtherance of corporate environmental and social responsibilities and other sustainability issues of significance to investors and other key Company stakeholders and (b) health and safety issues. Those issues are now overseen by the full Board or by another committee. The Board determined that each member that served on the Public Policy Committee in 2024 was independent as defined by the NYSE. The Public Policy Committee met four times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1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459990" cy="2023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59990" cy="2023110"/>
                    </a:xfrm>
                    <a:prstGeom prst="rect">
                      <a:avLst/>
                    </a:prstGeom>
                    <a:noFill/>
                  </pic:spPr>
                </pic:pic>
              </a:graphicData>
            </a:graphic>
          </wp:anchor>
        </w:drawing>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Chair: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Sherry L. Buck</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Janet K. Cooper</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Soma Somasundaram</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Gregory T. Swienton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Todd J. Teske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Jon Vander Ark</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Meetings Held in 2024:</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FFFFFF"/>
        </w:rPr>
        <w:t>t</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BOARD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459990" cy="1637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9990" cy="1637030"/>
                    </a:xfrm>
                    <a:prstGeom prst="rect">
                      <a:avLst/>
                    </a:prstGeom>
                    <a:noFill/>
                  </pic:spPr>
                </pic:pic>
              </a:graphicData>
            </a:graphic>
          </wp:anchor>
        </w:drawing>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Chair: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Karen H. Quintos</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Janet K. Cooper</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John W. Norris, III</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Soma Somasundaram</w:t>
      </w:r>
    </w:p>
    <w:p>
      <w:pPr>
        <w:spacing w:after="0" w:line="36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Meetings Held in 2024:</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69" w:lineRule="exact"/>
        <w:rPr>
          <w:sz w:val="20"/>
          <w:szCs w:val="20"/>
          <w:color w:val="auto"/>
        </w:rPr>
      </w:pPr>
    </w:p>
    <w:p>
      <w:pPr>
        <w:ind w:left="160"/>
        <w:spacing w:after="0" w:line="267" w:lineRule="auto"/>
        <w:rPr>
          <w:sz w:val="20"/>
          <w:szCs w:val="20"/>
          <w:color w:val="auto"/>
        </w:rPr>
      </w:pPr>
      <w:r>
        <w:rPr>
          <w:rFonts w:ascii="Arial" w:cs="Arial" w:eastAsia="Arial" w:hAnsi="Arial"/>
          <w:sz w:val="14"/>
          <w:szCs w:val="14"/>
          <w:color w:val="auto"/>
        </w:rPr>
        <w:t>The Audit Committee assists the Board in fulfilling its oversight responsibilities relating to the integrity of our financial statements and related systems of internal controls, our compliance with legal and regulatory requirements, the independent registered public accounting firm’s qualifications, independence and performance and the performance of our internal audit function. The Audit Committee also has the direct responsibility for the appointment, compensation, retention, and oversight of our Independent Accountants.</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Members:</w:t>
      </w:r>
    </w:p>
    <w:p>
      <w:pPr>
        <w:spacing w:after="0" w:line="173" w:lineRule="exact"/>
        <w:rPr>
          <w:sz w:val="20"/>
          <w:szCs w:val="20"/>
          <w:color w:val="auto"/>
        </w:rPr>
      </w:pPr>
    </w:p>
    <w:p>
      <w:pPr>
        <w:ind w:left="320" w:hanging="320"/>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4"/>
          <w:szCs w:val="14"/>
          <w:color w:val="auto"/>
        </w:rPr>
        <w:t>All members are independent &amp; financially literate in accordance with NYSE requirements</w:t>
      </w:r>
    </w:p>
    <w:p>
      <w:pPr>
        <w:spacing w:after="0" w:line="25" w:lineRule="exact"/>
        <w:rPr>
          <w:rFonts w:ascii="Arial" w:cs="Arial" w:eastAsia="Arial" w:hAnsi="Arial"/>
          <w:sz w:val="18"/>
          <w:szCs w:val="18"/>
          <w:color w:val="auto"/>
        </w:rPr>
      </w:pPr>
    </w:p>
    <w:p>
      <w:pPr>
        <w:ind w:left="320" w:right="80" w:hanging="320"/>
        <w:spacing w:after="0" w:line="247"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4"/>
          <w:szCs w:val="14"/>
          <w:color w:val="auto"/>
        </w:rPr>
        <w:t>Ms. Buck, Ms. Cooper, Mr. Teske, Mr. Swienton, and Mr. Vander Ark are audit committee financial experts as defined by the SEC</w:t>
      </w:r>
    </w:p>
    <w:p>
      <w:pPr>
        <w:ind w:left="320" w:hanging="320"/>
        <w:spacing w:after="0" w:line="219"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4"/>
          <w:szCs w:val="14"/>
          <w:color w:val="auto"/>
        </w:rPr>
        <w:t>None of the members serve on the audit committees of more than three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502285</wp:posOffset>
            </wp:positionV>
            <wp:extent cx="713232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69" w:lineRule="exact"/>
        <w:rPr>
          <w:sz w:val="20"/>
          <w:szCs w:val="20"/>
          <w:color w:val="auto"/>
        </w:rPr>
      </w:pPr>
    </w:p>
    <w:p>
      <w:pPr>
        <w:ind w:left="160" w:right="20"/>
        <w:spacing w:after="0" w:line="265" w:lineRule="auto"/>
        <w:rPr>
          <w:sz w:val="20"/>
          <w:szCs w:val="20"/>
          <w:color w:val="auto"/>
        </w:rPr>
      </w:pPr>
      <w:r>
        <w:rPr>
          <w:rFonts w:ascii="Arial" w:cs="Arial" w:eastAsia="Arial" w:hAnsi="Arial"/>
          <w:sz w:val="14"/>
          <w:szCs w:val="14"/>
          <w:color w:val="auto"/>
        </w:rPr>
        <w:t>The Board Governance Committee assists the Board by identifying individuals qualified to become Board members, developing qualification criteria for Board membership, making recommendations to the Board regarding the appropriate size of the Board and appointment of members to the Board’s committees, developing and recommending to the Board any changes to the Corporate Governance Guidelines and Code of Business Conduct applicable to our Company, and overseeing the evaluation of our Board and each of the Board’s committees. The Board Governance Committee also conducts an individual peer review for any directors who are scheduled to be re-nominated.</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Members:</w:t>
      </w:r>
    </w:p>
    <w:p>
      <w:pPr>
        <w:spacing w:after="0" w:line="79" w:lineRule="exact"/>
        <w:rPr>
          <w:sz w:val="20"/>
          <w:szCs w:val="20"/>
          <w:color w:val="auto"/>
        </w:rPr>
      </w:pPr>
    </w:p>
    <w:p>
      <w:pPr>
        <w:ind w:left="320" w:hanging="320"/>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4"/>
          <w:szCs w:val="14"/>
          <w:color w:val="auto"/>
        </w:rPr>
        <w:t>All members are independent</w:t>
      </w:r>
    </w:p>
    <w:p>
      <w:pPr>
        <w:spacing w:after="0" w:line="413" w:lineRule="exact"/>
        <w:rPr>
          <w:sz w:val="20"/>
          <w:szCs w:val="20"/>
          <w:color w:val="auto"/>
        </w:rPr>
      </w:pPr>
    </w:p>
    <w:p>
      <w:pPr>
        <w:sectPr>
          <w:pgSz w:w="11900" w:h="16838" w:orient="portrait"/>
          <w:cols w:equalWidth="0" w:num="2">
            <w:col w:w="3240" w:space="660"/>
            <w:col w:w="7300"/>
          </w:cols>
          <w:pgMar w:left="320" w:top="769" w:right="379" w:bottom="1440" w:gutter="0" w:footer="0" w:header="0"/>
          <w:type w:val="continuous"/>
        </w:sectPr>
      </w:pPr>
    </w:p>
    <w:p>
      <w:pPr>
        <w:spacing w:after="0" w:line="19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31" w:name="page32"/>
    <w:bookmarkEnd w:id="31"/>
    <w:p>
      <w:pPr>
        <w:ind w:left="10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COMPENSATION &amp;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459990" cy="2837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59990" cy="2837180"/>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p>
      <w:pPr>
        <w:spacing w:after="0" w:line="13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Chair: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Shane D. Wall</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John W. Norris, III</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Gregory T. Swienton</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Jon Vander Ark</w:t>
      </w: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Meetings Held in 2024:</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Independent Compensation Consultant:</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Meridian Compensation Partners, LLC</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366" w:lineRule="exact"/>
        <w:rPr>
          <w:sz w:val="20"/>
          <w:szCs w:val="20"/>
          <w:color w:val="auto"/>
        </w:rPr>
      </w:pPr>
    </w:p>
    <w:p>
      <w:pPr>
        <w:ind w:left="160" w:right="40"/>
        <w:spacing w:after="0" w:line="265" w:lineRule="auto"/>
        <w:rPr>
          <w:sz w:val="20"/>
          <w:szCs w:val="20"/>
          <w:color w:val="auto"/>
        </w:rPr>
      </w:pPr>
      <w:r>
        <w:rPr>
          <w:rFonts w:ascii="Arial" w:cs="Arial" w:eastAsia="Arial" w:hAnsi="Arial"/>
          <w:sz w:val="14"/>
          <w:szCs w:val="14"/>
          <w:color w:val="auto"/>
        </w:rPr>
        <w:t>The Compensation and Human Resources Committee determines the compensation philosophy and oversees the compensation programs for the Company’s executive officers and the non-employee members of the Board. The Committee’s responsibilities include oversight of the short- and long-term incentive plans and senior management succession plans. The Committee also reviews the funding requirements and investment policies for the defined benefit and defined contribution retirement plans, and the performance of investment funds, investment advisors, and investment managers under those plans. The Committee may delegate its responsibilities to a subcommittee comprised of Committee members.</w:t>
      </w:r>
    </w:p>
    <w:p>
      <w:pPr>
        <w:spacing w:after="0" w:line="133" w:lineRule="exact"/>
        <w:rPr>
          <w:sz w:val="20"/>
          <w:szCs w:val="20"/>
          <w:color w:val="auto"/>
        </w:rPr>
      </w:pPr>
    </w:p>
    <w:p>
      <w:pPr>
        <w:ind w:left="160" w:right="140"/>
        <w:spacing w:after="0" w:line="262" w:lineRule="auto"/>
        <w:rPr>
          <w:sz w:val="20"/>
          <w:szCs w:val="20"/>
          <w:color w:val="auto"/>
        </w:rPr>
      </w:pPr>
      <w:r>
        <w:rPr>
          <w:rFonts w:ascii="Arial" w:cs="Arial" w:eastAsia="Arial" w:hAnsi="Arial"/>
          <w:sz w:val="14"/>
          <w:szCs w:val="14"/>
          <w:color w:val="auto"/>
        </w:rPr>
        <w:t>Although the Committee seeks input from the CEO on various elements of executive compensation, the Committee determines and approves the final compensation elements and amounts to be provided to the Company’s NEOs. The independent members of the Board (rather than the Committee) have direct responsibility for approving CEO and Board compensation; however, the Committee reviews and recommends proposed changes to CEO and Board compensation to the independent members of the Board for approval. See “Executive Compensation — Compensation Discussion and Analysis” for information concerning the Committee’s philosophy and objectives in overseeing executive compensation.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Members:</w:t>
      </w:r>
    </w:p>
    <w:p>
      <w:pPr>
        <w:spacing w:after="0" w:line="79" w:lineRule="exact"/>
        <w:rPr>
          <w:sz w:val="20"/>
          <w:szCs w:val="20"/>
          <w:color w:val="auto"/>
        </w:rPr>
      </w:pPr>
    </w:p>
    <w:p>
      <w:pPr>
        <w:ind w:left="320" w:hanging="320"/>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4"/>
          <w:szCs w:val="14"/>
          <w:color w:val="auto"/>
        </w:rPr>
        <w:t>All members are independent as defined for compensation committee members by NYSE</w:t>
      </w:r>
    </w:p>
    <w:p>
      <w:pPr>
        <w:spacing w:after="0" w:line="63" w:lineRule="exact"/>
        <w:rPr>
          <w:rFonts w:ascii="Arial" w:cs="Arial" w:eastAsia="Arial" w:hAnsi="Arial"/>
          <w:sz w:val="18"/>
          <w:szCs w:val="18"/>
          <w:color w:val="auto"/>
        </w:rPr>
      </w:pPr>
    </w:p>
    <w:p>
      <w:pPr>
        <w:ind w:left="320" w:hanging="320"/>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4"/>
          <w:szCs w:val="14"/>
          <w:color w:val="auto"/>
        </w:rPr>
        <w:t>All members are “non-employee directors” under Section 16b-3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202565</wp:posOffset>
            </wp:positionV>
            <wp:extent cx="713232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320"/>
          </w:cols>
          <w:pgMar w:left="320" w:top="823" w:right="359" w:bottom="1440" w:gutter="0" w:footer="0" w:header="0"/>
          <w:type w:val="continuous"/>
        </w:sectPr>
      </w:pP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459990" cy="1817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59990" cy="1817370"/>
                    </a:xfrm>
                    <a:prstGeom prst="rect">
                      <a:avLst/>
                    </a:prstGeom>
                    <a:noFill/>
                  </pic:spPr>
                </pic:pic>
              </a:graphicData>
            </a:graphic>
          </wp:anchor>
        </w:drawing>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Chair: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Todd J. Teske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Alok Maskara</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Sherry L. Buck</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Karen H. Quintos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Shane D. Wall</w:t>
      </w:r>
    </w:p>
    <w:p>
      <w:pPr>
        <w:spacing w:after="0" w:line="39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Meetings Held in 2024:</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69" w:lineRule="exact"/>
        <w:rPr>
          <w:sz w:val="20"/>
          <w:szCs w:val="20"/>
          <w:color w:val="auto"/>
        </w:rPr>
      </w:pPr>
    </w:p>
    <w:p>
      <w:pPr>
        <w:ind w:left="160" w:right="40"/>
        <w:spacing w:after="0" w:line="285" w:lineRule="auto"/>
        <w:rPr>
          <w:sz w:val="20"/>
          <w:szCs w:val="20"/>
          <w:color w:val="auto"/>
        </w:rPr>
      </w:pPr>
      <w:r>
        <w:rPr>
          <w:rFonts w:ascii="Arial" w:cs="Arial" w:eastAsia="Arial" w:hAnsi="Arial"/>
          <w:sz w:val="14"/>
          <w:szCs w:val="14"/>
          <w:color w:val="auto"/>
        </w:rPr>
        <w:t>The Executive Committee aids the Board in handling any matters that arise between Board meetings and, in the opinion of the Chair of the Board, should not be postponed until the next scheduled meeting of the Board.</w:t>
      </w:r>
    </w:p>
    <w:p>
      <w:pPr>
        <w:spacing w:after="0" w:line="2381" w:lineRule="exact"/>
        <w:rPr>
          <w:sz w:val="20"/>
          <w:szCs w:val="20"/>
          <w:color w:val="auto"/>
        </w:rPr>
      </w:pPr>
    </w:p>
    <w:p>
      <w:pPr>
        <w:sectPr>
          <w:pgSz w:w="11900" w:h="16838" w:orient="portrait"/>
          <w:cols w:equalWidth="0" w:num="2">
            <w:col w:w="3180" w:space="720"/>
            <w:col w:w="7320"/>
          </w:cols>
          <w:pgMar w:left="320" w:top="823" w:right="35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Risk Management</w:t>
      </w:r>
    </w:p>
    <w:p>
      <w:pPr>
        <w:spacing w:after="0" w:line="121"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While the Board oversees the Company’s risk management, our management is responsible for the development, implementation, and maintenance of our risk management processes. Management provides periodic reports to the Board and Board committees on its assessment of strategic, operational, legal and compliance, information security, and financial reporting risks to the Company. The Board and Board committees, as appropriate, review and consider the management reports provided on the Company’s enterprise risk and risk management strategy.</w:t>
      </w:r>
    </w:p>
    <w:p>
      <w:pPr>
        <w:spacing w:after="0" w:line="123" w:lineRule="exact"/>
        <w:rPr>
          <w:sz w:val="20"/>
          <w:szCs w:val="20"/>
          <w:color w:val="auto"/>
        </w:rPr>
      </w:pPr>
    </w:p>
    <w:p>
      <w:pPr>
        <w:jc w:val="both"/>
        <w:ind w:right="400" w:firstLine="324"/>
        <w:spacing w:after="0" w:line="261" w:lineRule="auto"/>
        <w:rPr>
          <w:sz w:val="20"/>
          <w:szCs w:val="20"/>
          <w:color w:val="auto"/>
        </w:rPr>
      </w:pPr>
      <w:r>
        <w:rPr>
          <w:rFonts w:ascii="Arial" w:cs="Arial" w:eastAsia="Arial" w:hAnsi="Arial"/>
          <w:sz w:val="18"/>
          <w:szCs w:val="18"/>
          <w:color w:val="auto"/>
        </w:rPr>
        <w:t>In 2024, our Enterprise Risk Management program, identifying and addressing risk, was presented to the full Board twice. The Audit Committee oversees the guidelines and policies that govern the Company’s processes to assess and manage significant enterprise risk exposure.</w:t>
      </w: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C60C35"/>
        </w:rPr>
        <w:t>Other Corporate Governance Policies and Practices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Code of Business Conduct</w:t>
      </w:r>
    </w:p>
    <w:p>
      <w:pPr>
        <w:spacing w:after="0" w:line="169"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Company has adopted a Code of Ethics (which we call our Code of Business Conduct) that applies to all its directors and employees, including its senior financial and principal executive officers. The Code of Business Conduct covers a variety of matters, such as acting with integrity and compliance with laws, including anti-corruption laws. Amendments to and waivers, if any, of the Code of Business Conduct as it pertains to the principal executive officer, principal financial officer, and principal accounting officer, if any, will be disclosed on our website. The Code of Business Conduct is available on the Company’s website at www.lennox.com by following the links “Investors — Corporate Governance — Documents &amp; Charters.”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Corporate Governance Guidelines</w:t>
      </w:r>
    </w:p>
    <w:p>
      <w:pPr>
        <w:spacing w:after="0" w:line="169" w:lineRule="exact"/>
        <w:rPr>
          <w:sz w:val="20"/>
          <w:szCs w:val="20"/>
          <w:color w:val="auto"/>
        </w:rPr>
      </w:pPr>
    </w:p>
    <w:p>
      <w:pPr>
        <w:ind w:right="440" w:firstLine="324"/>
        <w:spacing w:after="0" w:line="271" w:lineRule="auto"/>
        <w:rPr>
          <w:sz w:val="20"/>
          <w:szCs w:val="20"/>
          <w:color w:val="auto"/>
        </w:rPr>
      </w:pPr>
      <w:r>
        <w:rPr>
          <w:rFonts w:ascii="Arial" w:cs="Arial" w:eastAsia="Arial" w:hAnsi="Arial"/>
          <w:sz w:val="18"/>
          <w:szCs w:val="18"/>
          <w:color w:val="auto"/>
        </w:rPr>
        <w:t>The Company has adopted Corporate Governance Guidelines that are available on the Company’s website at www.lennox.com by following the links “Investors — Corporate Governance — Corporate Governance Guidelines.”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Insider Trading Policy</w:t>
      </w:r>
    </w:p>
    <w:p>
      <w:pPr>
        <w:spacing w:after="0" w:line="156" w:lineRule="exact"/>
        <w:rPr>
          <w:sz w:val="20"/>
          <w:szCs w:val="20"/>
          <w:color w:val="auto"/>
        </w:rPr>
      </w:pPr>
    </w:p>
    <w:p>
      <w:pPr>
        <w:ind w:right="220" w:firstLine="324"/>
        <w:spacing w:after="0" w:line="231" w:lineRule="auto"/>
        <w:rPr>
          <w:sz w:val="20"/>
          <w:szCs w:val="20"/>
          <w:color w:val="auto"/>
        </w:rPr>
      </w:pPr>
      <w:r>
        <w:rPr>
          <w:rFonts w:ascii="Arial" w:cs="Arial" w:eastAsia="Arial" w:hAnsi="Arial"/>
          <w:sz w:val="18"/>
          <w:szCs w:val="18"/>
          <w:color w:val="auto"/>
        </w:rPr>
        <w:t>The Company has adopted an insider trading policy governing the purchase, sale, and other dispositions of the Company’s securities that applies to all Lennox personnel, including directors, officers, employees, and other covered persons. The insider trading policy also applies to transactions by the Company in its own securities. We believe our insider trading policy is reasonably designed to promote</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compliance with insider trading laws, rules and regulations, and listing standards applicable to Lennox. A copy of the Company’s insider trading policy was filed as Exhibit 19.1 to the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Whistleblower Procedures</w:t>
      </w:r>
    </w:p>
    <w:p>
      <w:pPr>
        <w:spacing w:after="0" w:line="15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Audit Committee has established procedures for the handling of complaints regarding accounting, internal accounting controls, or auditing matters, including procedures for confidential and anonymous submission by our employees of concerns regarding such matters. The Company’s Code of Business Conduct prohibits retaliation against employees who report violations or suspected violations of the Code of Business Conduct.</w:t>
      </w:r>
    </w:p>
    <w:p>
      <w:pPr>
        <w:spacing w:after="0" w:line="40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1" w:right="4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29"/>
          <w:szCs w:val="29"/>
          <w:b w:val="1"/>
          <w:bCs w:val="1"/>
          <w:color w:val="C6093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720" w:firstLine="324"/>
        <w:spacing w:after="0" w:line="271" w:lineRule="auto"/>
        <w:rPr>
          <w:sz w:val="20"/>
          <w:szCs w:val="20"/>
          <w:color w:val="auto"/>
        </w:rPr>
      </w:pPr>
      <w:r>
        <w:rPr>
          <w:rFonts w:ascii="Arial" w:cs="Arial" w:eastAsia="Arial" w:hAnsi="Arial"/>
          <w:sz w:val="18"/>
          <w:szCs w:val="18"/>
          <w:color w:val="auto"/>
        </w:rPr>
        <w:t>Our non-employee director compensation program uses a combination of cash and equity awards to provide market-competitive compensation to members of our Board.</w:t>
      </w:r>
    </w:p>
    <w:p>
      <w:pPr>
        <w:spacing w:after="0" w:line="10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Each year, the Compensation and Human Resources Committee (the “Committee”) reviews benchmark data from our Compensation Peer Group and other general industry surveys to assess the competitiveness of our director compensation program. If the Committee believes changes are warranted to the Board compensation program, the Committee recommends the proposed changes to the independent members of the Board for approval.</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2024 Annual Compensation</w:t>
      </w:r>
    </w:p>
    <w:p>
      <w:pPr>
        <w:spacing w:after="0" w:line="108" w:lineRule="exact"/>
        <w:rPr>
          <w:sz w:val="20"/>
          <w:szCs w:val="20"/>
          <w:color w:val="auto"/>
        </w:rPr>
      </w:pPr>
    </w:p>
    <w:p>
      <w:pPr>
        <w:ind w:right="440" w:firstLine="324"/>
        <w:spacing w:after="0" w:line="271" w:lineRule="auto"/>
        <w:rPr>
          <w:sz w:val="20"/>
          <w:szCs w:val="20"/>
          <w:color w:val="auto"/>
        </w:rPr>
      </w:pPr>
      <w:r>
        <w:rPr>
          <w:rFonts w:ascii="Arial" w:cs="Arial" w:eastAsia="Arial" w:hAnsi="Arial"/>
          <w:sz w:val="18"/>
          <w:szCs w:val="18"/>
          <w:color w:val="auto"/>
        </w:rPr>
        <w:t>In 2024, we provided the following compensation to our non-employee directors; cash retainers shown in the table below are paid in quarterly installments to members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Board Retainer for Each Director</w:t>
      </w:r>
    </w:p>
    <w:p>
      <w:pPr>
        <w:spacing w:after="0" w:line="177" w:lineRule="exact"/>
        <w:rPr>
          <w:sz w:val="20"/>
          <w:szCs w:val="20"/>
          <w:color w:val="auto"/>
        </w:rPr>
      </w:pPr>
    </w:p>
    <w:p>
      <w:pPr>
        <w:ind w:left="100"/>
        <w:spacing w:after="0" w:line="283" w:lineRule="auto"/>
        <w:rPr>
          <w:sz w:val="20"/>
          <w:szCs w:val="20"/>
          <w:color w:val="auto"/>
        </w:rPr>
      </w:pPr>
      <w:r>
        <w:rPr>
          <w:rFonts w:ascii="Arial" w:cs="Arial" w:eastAsia="Arial" w:hAnsi="Arial"/>
          <w:sz w:val="14"/>
          <w:szCs w:val="14"/>
          <w:color w:val="auto"/>
        </w:rPr>
        <w:t>$105,000 payable quarterly in cash with the option to receive a portion in Company common stock.</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100" w:type="dxa"/>
            <w:vAlign w:val="bottom"/>
            <w:gridSpan w:val="2"/>
          </w:tcPr>
          <w:p>
            <w:pPr>
              <w:ind w:left="400"/>
              <w:spacing w:after="0"/>
              <w:rPr>
                <w:sz w:val="20"/>
                <w:szCs w:val="20"/>
                <w:color w:val="auto"/>
              </w:rPr>
            </w:pPr>
            <w:r>
              <w:rPr>
                <w:rFonts w:ascii="Arial" w:cs="Arial" w:eastAsia="Arial" w:hAnsi="Arial"/>
                <w:sz w:val="14"/>
                <w:szCs w:val="14"/>
                <w:b w:val="1"/>
                <w:bCs w:val="1"/>
                <w:color w:val="FFFFFF"/>
              </w:rPr>
              <w:t>Board Leadership Retainers</w:t>
            </w:r>
          </w:p>
        </w:tc>
        <w:tc>
          <w:tcPr>
            <w:tcW w:w="1580" w:type="dxa"/>
            <w:vAlign w:val="bottom"/>
          </w:tcPr>
          <w:p>
            <w:pPr>
              <w:spacing w:after="0"/>
              <w:rPr>
                <w:sz w:val="17"/>
                <w:szCs w:val="17"/>
                <w:color w:val="auto"/>
              </w:rPr>
            </w:pPr>
          </w:p>
        </w:tc>
        <w:tc>
          <w:tcPr>
            <w:tcW w:w="2780" w:type="dxa"/>
            <w:vAlign w:val="bottom"/>
          </w:tcPr>
          <w:p>
            <w:pPr>
              <w:ind w:left="360"/>
              <w:spacing w:after="0"/>
              <w:rPr>
                <w:sz w:val="20"/>
                <w:szCs w:val="20"/>
                <w:color w:val="auto"/>
              </w:rPr>
            </w:pPr>
            <w:r>
              <w:rPr>
                <w:rFonts w:ascii="Arial" w:cs="Arial" w:eastAsia="Arial" w:hAnsi="Arial"/>
                <w:sz w:val="14"/>
                <w:szCs w:val="14"/>
                <w:b w:val="1"/>
                <w:bCs w:val="1"/>
                <w:color w:val="FFFFFF"/>
              </w:rPr>
              <w:t>Equity Award for Each Director</w:t>
            </w:r>
          </w:p>
        </w:tc>
      </w:tr>
      <w:tr>
        <w:trPr>
          <w:trHeight w:val="62"/>
        </w:trPr>
        <w:tc>
          <w:tcPr>
            <w:tcW w:w="580" w:type="dxa"/>
            <w:vAlign w:val="bottom"/>
            <w:shd w:val="clear" w:color="auto" w:fill="C60C35"/>
          </w:tcPr>
          <w:p>
            <w:pPr>
              <w:spacing w:after="0"/>
              <w:rPr>
                <w:sz w:val="5"/>
                <w:szCs w:val="5"/>
                <w:color w:val="auto"/>
              </w:rPr>
            </w:pPr>
          </w:p>
        </w:tc>
        <w:tc>
          <w:tcPr>
            <w:tcW w:w="3520" w:type="dxa"/>
            <w:vAlign w:val="bottom"/>
            <w:shd w:val="clear" w:color="auto" w:fill="C60C35"/>
          </w:tcPr>
          <w:p>
            <w:pPr>
              <w:spacing w:after="0"/>
              <w:rPr>
                <w:sz w:val="5"/>
                <w:szCs w:val="5"/>
                <w:color w:val="auto"/>
              </w:rPr>
            </w:pPr>
          </w:p>
        </w:tc>
        <w:tc>
          <w:tcPr>
            <w:tcW w:w="1580" w:type="dxa"/>
            <w:vAlign w:val="bottom"/>
            <w:shd w:val="clear" w:color="auto" w:fill="C60C35"/>
          </w:tcPr>
          <w:p>
            <w:pPr>
              <w:spacing w:after="0"/>
              <w:rPr>
                <w:sz w:val="5"/>
                <w:szCs w:val="5"/>
                <w:color w:val="auto"/>
              </w:rPr>
            </w:pPr>
          </w:p>
        </w:tc>
        <w:tc>
          <w:tcPr>
            <w:tcW w:w="2780" w:type="dxa"/>
            <w:vAlign w:val="bottom"/>
            <w:shd w:val="clear" w:color="auto" w:fill="C60C35"/>
          </w:tcPr>
          <w:p>
            <w:pPr>
              <w:spacing w:after="0"/>
              <w:rPr>
                <w:sz w:val="5"/>
                <w:szCs w:val="5"/>
                <w:color w:val="auto"/>
              </w:rPr>
            </w:pPr>
          </w:p>
        </w:tc>
      </w:tr>
      <w:tr>
        <w:trPr>
          <w:trHeight w:val="278"/>
        </w:trPr>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Chair of the Board</w:t>
            </w:r>
          </w:p>
        </w:tc>
        <w:tc>
          <w:tcPr>
            <w:tcW w:w="1580" w:type="dxa"/>
            <w:vAlign w:val="bottom"/>
          </w:tcPr>
          <w:p>
            <w:pPr>
              <w:jc w:val="center"/>
              <w:ind w:left="108"/>
              <w:spacing w:after="0"/>
              <w:rPr>
                <w:sz w:val="20"/>
                <w:szCs w:val="20"/>
                <w:color w:val="auto"/>
              </w:rPr>
            </w:pPr>
            <w:r>
              <w:rPr>
                <w:rFonts w:ascii="Arial" w:cs="Arial" w:eastAsia="Arial" w:hAnsi="Arial"/>
                <w:sz w:val="14"/>
                <w:szCs w:val="14"/>
                <w:color w:val="auto"/>
              </w:rPr>
              <w:t>$ 150,000</w:t>
            </w:r>
          </w:p>
        </w:tc>
        <w:tc>
          <w:tcPr>
            <w:tcW w:w="2780" w:type="dxa"/>
            <w:vAlign w:val="bottom"/>
          </w:tcPr>
          <w:p>
            <w:pPr>
              <w:ind w:left="620"/>
              <w:spacing w:after="0"/>
              <w:rPr>
                <w:sz w:val="20"/>
                <w:szCs w:val="20"/>
                <w:color w:val="auto"/>
              </w:rPr>
            </w:pPr>
            <w:r>
              <w:rPr>
                <w:rFonts w:ascii="Arial" w:cs="Arial" w:eastAsia="Arial" w:hAnsi="Arial"/>
                <w:sz w:val="14"/>
                <w:szCs w:val="14"/>
                <w:color w:val="auto"/>
              </w:rPr>
              <w:t>$150,000 annual stock grant</w:t>
            </w:r>
          </w:p>
        </w:tc>
      </w:tr>
      <w:tr>
        <w:trPr>
          <w:trHeight w:val="216"/>
        </w:trPr>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Audit Chair</w:t>
            </w:r>
          </w:p>
        </w:tc>
        <w:tc>
          <w:tcPr>
            <w:tcW w:w="1580" w:type="dxa"/>
            <w:vAlign w:val="bottom"/>
          </w:tcPr>
          <w:p>
            <w:pPr>
              <w:jc w:val="center"/>
              <w:ind w:left="108"/>
              <w:spacing w:after="0"/>
              <w:rPr>
                <w:sz w:val="20"/>
                <w:szCs w:val="20"/>
                <w:color w:val="auto"/>
              </w:rPr>
            </w:pPr>
            <w:r>
              <w:rPr>
                <w:rFonts w:ascii="Arial" w:cs="Arial" w:eastAsia="Arial" w:hAnsi="Arial"/>
                <w:sz w:val="14"/>
                <w:szCs w:val="14"/>
                <w:color w:val="auto"/>
              </w:rPr>
              <w:t>$ 25,000</w:t>
            </w:r>
          </w:p>
        </w:tc>
        <w:tc>
          <w:tcPr>
            <w:tcW w:w="2780" w:type="dxa"/>
            <w:vAlign w:val="bottom"/>
          </w:tcPr>
          <w:p>
            <w:pPr>
              <w:spacing w:after="0"/>
              <w:rPr>
                <w:sz w:val="18"/>
                <w:szCs w:val="18"/>
                <w:color w:val="auto"/>
              </w:rPr>
            </w:pPr>
          </w:p>
        </w:tc>
      </w:tr>
      <w:tr>
        <w:trPr>
          <w:trHeight w:val="216"/>
        </w:trPr>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Compensation and Human Resources Chair</w:t>
            </w:r>
          </w:p>
        </w:tc>
        <w:tc>
          <w:tcPr>
            <w:tcW w:w="1580" w:type="dxa"/>
            <w:vAlign w:val="bottom"/>
          </w:tcPr>
          <w:p>
            <w:pPr>
              <w:jc w:val="center"/>
              <w:ind w:left="108"/>
              <w:spacing w:after="0"/>
              <w:rPr>
                <w:sz w:val="20"/>
                <w:szCs w:val="20"/>
                <w:color w:val="auto"/>
              </w:rPr>
            </w:pPr>
            <w:r>
              <w:rPr>
                <w:rFonts w:ascii="Arial" w:cs="Arial" w:eastAsia="Arial" w:hAnsi="Arial"/>
                <w:sz w:val="14"/>
                <w:szCs w:val="14"/>
                <w:color w:val="auto"/>
              </w:rPr>
              <w:t>$ 20,000</w:t>
            </w:r>
          </w:p>
        </w:tc>
        <w:tc>
          <w:tcPr>
            <w:tcW w:w="2780" w:type="dxa"/>
            <w:vAlign w:val="bottom"/>
          </w:tcPr>
          <w:p>
            <w:pPr>
              <w:spacing w:after="0"/>
              <w:rPr>
                <w:sz w:val="18"/>
                <w:szCs w:val="18"/>
                <w:color w:val="auto"/>
              </w:rPr>
            </w:pPr>
          </w:p>
        </w:tc>
      </w:tr>
      <w:tr>
        <w:trPr>
          <w:trHeight w:val="216"/>
        </w:trPr>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Board Governance Chair</w:t>
            </w:r>
          </w:p>
        </w:tc>
        <w:tc>
          <w:tcPr>
            <w:tcW w:w="1580" w:type="dxa"/>
            <w:vAlign w:val="bottom"/>
          </w:tcPr>
          <w:p>
            <w:pPr>
              <w:jc w:val="center"/>
              <w:ind w:left="108"/>
              <w:spacing w:after="0"/>
              <w:rPr>
                <w:sz w:val="20"/>
                <w:szCs w:val="20"/>
                <w:color w:val="auto"/>
              </w:rPr>
            </w:pPr>
            <w:r>
              <w:rPr>
                <w:rFonts w:ascii="Arial" w:cs="Arial" w:eastAsia="Arial" w:hAnsi="Arial"/>
                <w:sz w:val="14"/>
                <w:szCs w:val="14"/>
                <w:color w:val="auto"/>
              </w:rPr>
              <w:t>$ 20,000</w:t>
            </w:r>
          </w:p>
        </w:tc>
        <w:tc>
          <w:tcPr>
            <w:tcW w:w="2780" w:type="dxa"/>
            <w:vAlign w:val="bottom"/>
          </w:tcPr>
          <w:p>
            <w:pPr>
              <w:spacing w:after="0"/>
              <w:rPr>
                <w:sz w:val="18"/>
                <w:szCs w:val="18"/>
                <w:color w:val="auto"/>
              </w:rPr>
            </w:pPr>
          </w:p>
        </w:tc>
      </w:tr>
      <w:tr>
        <w:trPr>
          <w:trHeight w:val="254"/>
        </w:trPr>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Public Policy Chair</w:t>
            </w:r>
          </w:p>
        </w:tc>
        <w:tc>
          <w:tcPr>
            <w:tcW w:w="1580" w:type="dxa"/>
            <w:vAlign w:val="bottom"/>
          </w:tcPr>
          <w:p>
            <w:pPr>
              <w:jc w:val="center"/>
              <w:ind w:left="108"/>
              <w:spacing w:after="0"/>
              <w:rPr>
                <w:sz w:val="20"/>
                <w:szCs w:val="20"/>
                <w:color w:val="auto"/>
              </w:rPr>
            </w:pPr>
            <w:r>
              <w:rPr>
                <w:rFonts w:ascii="Arial" w:cs="Arial" w:eastAsia="Arial" w:hAnsi="Arial"/>
                <w:sz w:val="14"/>
                <w:szCs w:val="14"/>
                <w:color w:val="auto"/>
              </w:rPr>
              <w:t>$ 20,000</w:t>
            </w:r>
          </w:p>
        </w:tc>
        <w:tc>
          <w:tcPr>
            <w:tcW w:w="27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2">
            <w:col w:w="2640" w:space="140"/>
            <w:col w:w="8460"/>
          </w:cols>
          <w:pgMar w:left="320" w:top="807"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Equity Awards</w:t>
      </w:r>
    </w:p>
    <w:p>
      <w:pPr>
        <w:spacing w:after="0" w:line="108"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Non-employee directors receive 100% of their equity award in the form of common stock under the 2019 Equity and Incentive Compensation Plan. In 2024, each non-employee director continuing in service following the Annual Meeting received approximately $150,000 in common stock on the date of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Perquisites and Other Compensation</w:t>
      </w:r>
    </w:p>
    <w:p>
      <w:pPr>
        <w:spacing w:after="0" w:line="108" w:lineRule="exact"/>
        <w:rPr>
          <w:sz w:val="20"/>
          <w:szCs w:val="20"/>
          <w:color w:val="auto"/>
        </w:rPr>
      </w:pPr>
    </w:p>
    <w:p>
      <w:pPr>
        <w:jc w:val="both"/>
        <w:ind w:right="580" w:firstLine="324"/>
        <w:spacing w:after="0" w:line="261" w:lineRule="auto"/>
        <w:rPr>
          <w:sz w:val="20"/>
          <w:szCs w:val="20"/>
          <w:color w:val="auto"/>
        </w:rPr>
      </w:pPr>
      <w:r>
        <w:rPr>
          <w:rFonts w:ascii="Arial" w:cs="Arial" w:eastAsia="Arial" w:hAnsi="Arial"/>
          <w:sz w:val="18"/>
          <w:szCs w:val="18"/>
          <w:color w:val="auto"/>
        </w:rPr>
        <w:t>We allow our non-employee directors to participate in our employee rebate program, which provides rebates on eligible residential heating and air conditioning equipment, accessories, and supplies. We also reimburse all non-employee directors for their reasonable expenses incurred in connection with attendance at Board or Board committee meetings.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Stock Ownership Guidelines</w:t>
      </w:r>
    </w:p>
    <w:p>
      <w:pPr>
        <w:spacing w:after="0" w:line="121" w:lineRule="exact"/>
        <w:rPr>
          <w:sz w:val="20"/>
          <w:szCs w:val="20"/>
          <w:color w:val="auto"/>
        </w:rPr>
      </w:pPr>
    </w:p>
    <w:p>
      <w:pPr>
        <w:jc w:val="both"/>
        <w:ind w:right="60" w:firstLine="324"/>
        <w:spacing w:after="0" w:line="252" w:lineRule="auto"/>
        <w:rPr>
          <w:sz w:val="20"/>
          <w:szCs w:val="20"/>
          <w:color w:val="auto"/>
        </w:rPr>
      </w:pPr>
      <w:r>
        <w:rPr>
          <w:rFonts w:ascii="Arial" w:cs="Arial" w:eastAsia="Arial" w:hAnsi="Arial"/>
          <w:sz w:val="18"/>
          <w:szCs w:val="18"/>
          <w:color w:val="auto"/>
        </w:rPr>
        <w:t>Pursuant to our director stock ownership guidelines, each non-employee director is required to own shares of our common stock having a value of at least five times their annual retainer within five years after their first election to the Board. Directors must retain their shares until they have met their ownership requirement. Unvested restricted stock units (“RSUs”) and shares of common stock owned count towards this requirement.</w:t>
      </w:r>
    </w:p>
    <w:p>
      <w:pPr>
        <w:spacing w:after="0" w:line="116"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As of December 31, 2024, all non-employee directors elected prior to 2024 were in compliance with these stock ownership guidelines. While Soma Somasundaram and Jon Vander Ark do not yet meet the 5X ownership requirement, they were elected to the Board in 2024 and have until 2029 to meet the ownership requirement.</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2"/>
          <w:szCs w:val="22"/>
          <w:b w:val="1"/>
          <w:bCs w:val="1"/>
          <w:color w:val="C60C35"/>
        </w:rPr>
        <w:t>2024 Director Compensation Table</w:t>
      </w:r>
    </w:p>
    <w:p>
      <w:pPr>
        <w:spacing w:after="0" w:line="108"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The following table provides information regarding compensation earned in 2024 by each non-employee director who served as a non-employee director during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shd w:val="clear" w:color="auto" w:fill="C6093B"/>
          </w:tcPr>
          <w:p>
            <w:pPr>
              <w:spacing w:after="0"/>
              <w:rPr>
                <w:sz w:val="16"/>
                <w:szCs w:val="16"/>
                <w:color w:val="auto"/>
              </w:rPr>
            </w:pPr>
          </w:p>
        </w:tc>
        <w:tc>
          <w:tcPr>
            <w:tcW w:w="4200" w:type="dxa"/>
            <w:vAlign w:val="bottom"/>
            <w:shd w:val="clear" w:color="auto" w:fill="C6093B"/>
          </w:tcPr>
          <w:p>
            <w:pPr>
              <w:ind w:left="1700"/>
              <w:spacing w:after="0"/>
              <w:rPr>
                <w:sz w:val="20"/>
                <w:szCs w:val="20"/>
                <w:color w:val="auto"/>
              </w:rPr>
            </w:pPr>
            <w:r>
              <w:rPr>
                <w:rFonts w:ascii="Arial" w:cs="Arial" w:eastAsia="Arial" w:hAnsi="Arial"/>
                <w:sz w:val="14"/>
                <w:szCs w:val="14"/>
                <w:b w:val="1"/>
                <w:bCs w:val="1"/>
                <w:color w:val="FFFFFF"/>
              </w:rPr>
              <w:t>Fees Earned or Paid in Cash ($)</w:t>
            </w:r>
          </w:p>
        </w:tc>
        <w:tc>
          <w:tcPr>
            <w:tcW w:w="1900" w:type="dxa"/>
            <w:vAlign w:val="bottom"/>
            <w:shd w:val="clear" w:color="auto" w:fill="C6093B"/>
          </w:tcPr>
          <w:p>
            <w:pPr>
              <w:jc w:val="center"/>
              <w:ind w:right="248"/>
              <w:spacing w:after="0"/>
              <w:rPr>
                <w:sz w:val="20"/>
                <w:szCs w:val="20"/>
                <w:color w:val="auto"/>
              </w:rPr>
            </w:pPr>
            <w:r>
              <w:rPr>
                <w:rFonts w:ascii="Arial" w:cs="Arial" w:eastAsia="Arial" w:hAnsi="Arial"/>
                <w:sz w:val="14"/>
                <w:szCs w:val="14"/>
                <w:b w:val="1"/>
                <w:bCs w:val="1"/>
                <w:color w:val="FFFFFF"/>
                <w:w w:val="99"/>
              </w:rPr>
              <w:t>Stock</w:t>
            </w:r>
          </w:p>
        </w:tc>
        <w:tc>
          <w:tcPr>
            <w:tcW w:w="1900" w:type="dxa"/>
            <w:vAlign w:val="bottom"/>
            <w:shd w:val="clear" w:color="auto" w:fill="C6093B"/>
          </w:tcPr>
          <w:p>
            <w:pPr>
              <w:spacing w:after="0"/>
              <w:rPr>
                <w:sz w:val="16"/>
                <w:szCs w:val="16"/>
                <w:color w:val="auto"/>
              </w:rPr>
            </w:pPr>
          </w:p>
        </w:tc>
      </w:tr>
      <w:tr>
        <w:trPr>
          <w:trHeight w:val="204"/>
        </w:trPr>
        <w:tc>
          <w:tcPr>
            <w:tcW w:w="3240" w:type="dxa"/>
            <w:vAlign w:val="bottom"/>
            <w:shd w:val="clear" w:color="auto" w:fill="C6093B"/>
          </w:tcPr>
          <w:p>
            <w:pPr>
              <w:ind w:left="100"/>
              <w:spacing w:after="0"/>
              <w:rPr>
                <w:sz w:val="20"/>
                <w:szCs w:val="20"/>
                <w:color w:val="auto"/>
              </w:rPr>
            </w:pPr>
            <w:r>
              <w:rPr>
                <w:rFonts w:ascii="Arial" w:cs="Arial" w:eastAsia="Arial" w:hAnsi="Arial"/>
                <w:sz w:val="14"/>
                <w:szCs w:val="14"/>
                <w:b w:val="1"/>
                <w:bCs w:val="1"/>
                <w:color w:val="FFFFFF"/>
              </w:rPr>
              <w:t> Name</w:t>
            </w:r>
          </w:p>
        </w:tc>
        <w:tc>
          <w:tcPr>
            <w:tcW w:w="4200" w:type="dxa"/>
            <w:vAlign w:val="bottom"/>
            <w:shd w:val="clear" w:color="auto" w:fill="C6093B"/>
          </w:tcPr>
          <w:p>
            <w:pPr>
              <w:jc w:val="center"/>
              <w:ind w:left="1308"/>
              <w:spacing w:after="0"/>
              <w:rPr>
                <w:sz w:val="20"/>
                <w:szCs w:val="20"/>
                <w:color w:val="auto"/>
              </w:rPr>
            </w:pPr>
            <w:r>
              <w:rPr>
                <w:rFonts w:ascii="Arial" w:cs="Arial" w:eastAsia="Arial" w:hAnsi="Arial"/>
                <w:sz w:val="14"/>
                <w:szCs w:val="14"/>
                <w:b w:val="1"/>
                <w:bCs w:val="1"/>
                <w:color w:val="FFFFFF"/>
              </w:rPr>
              <w:t>(1)</w:t>
            </w:r>
          </w:p>
        </w:tc>
        <w:tc>
          <w:tcPr>
            <w:tcW w:w="1900" w:type="dxa"/>
            <w:vAlign w:val="bottom"/>
            <w:shd w:val="clear" w:color="auto" w:fill="C6093B"/>
          </w:tcPr>
          <w:p>
            <w:pPr>
              <w:jc w:val="center"/>
              <w:ind w:right="248"/>
              <w:spacing w:after="0"/>
              <w:rPr>
                <w:sz w:val="20"/>
                <w:szCs w:val="20"/>
                <w:color w:val="auto"/>
              </w:rPr>
            </w:pPr>
            <w:r>
              <w:rPr>
                <w:rFonts w:ascii="Arial" w:cs="Arial" w:eastAsia="Arial" w:hAnsi="Arial"/>
                <w:sz w:val="14"/>
                <w:szCs w:val="14"/>
                <w:b w:val="1"/>
                <w:bCs w:val="1"/>
                <w:color w:val="FFFFFF"/>
              </w:rPr>
              <w:t>Awards ($)(2)</w:t>
            </w:r>
          </w:p>
        </w:tc>
        <w:tc>
          <w:tcPr>
            <w:tcW w:w="1900" w:type="dxa"/>
            <w:vAlign w:val="bottom"/>
            <w:shd w:val="clear" w:color="auto" w:fill="C6093B"/>
          </w:tcPr>
          <w:p>
            <w:pPr>
              <w:ind w:left="660"/>
              <w:spacing w:after="0"/>
              <w:rPr>
                <w:sz w:val="20"/>
                <w:szCs w:val="20"/>
                <w:color w:val="auto"/>
              </w:rPr>
            </w:pPr>
            <w:r>
              <w:rPr>
                <w:rFonts w:ascii="Arial" w:cs="Arial" w:eastAsia="Arial" w:hAnsi="Arial"/>
                <w:sz w:val="14"/>
                <w:szCs w:val="14"/>
                <w:b w:val="1"/>
                <w:bCs w:val="1"/>
                <w:color w:val="FFFFFF"/>
              </w:rPr>
              <w:t>Total ($)</w:t>
            </w:r>
          </w:p>
        </w:tc>
      </w:tr>
      <w:tr>
        <w:trPr>
          <w:trHeight w:val="62"/>
        </w:trPr>
        <w:tc>
          <w:tcPr>
            <w:tcW w:w="3240" w:type="dxa"/>
            <w:vAlign w:val="bottom"/>
            <w:shd w:val="clear" w:color="auto" w:fill="C60C35"/>
          </w:tcPr>
          <w:p>
            <w:pPr>
              <w:spacing w:after="0"/>
              <w:rPr>
                <w:sz w:val="5"/>
                <w:szCs w:val="5"/>
                <w:color w:val="auto"/>
              </w:rPr>
            </w:pPr>
          </w:p>
        </w:tc>
        <w:tc>
          <w:tcPr>
            <w:tcW w:w="4200" w:type="dxa"/>
            <w:vAlign w:val="bottom"/>
            <w:shd w:val="clear" w:color="auto" w:fill="C60C35"/>
          </w:tcPr>
          <w:p>
            <w:pPr>
              <w:spacing w:after="0"/>
              <w:rPr>
                <w:sz w:val="5"/>
                <w:szCs w:val="5"/>
                <w:color w:val="auto"/>
              </w:rPr>
            </w:pPr>
          </w:p>
        </w:tc>
        <w:tc>
          <w:tcPr>
            <w:tcW w:w="1900" w:type="dxa"/>
            <w:vAlign w:val="bottom"/>
            <w:shd w:val="clear" w:color="auto" w:fill="C60C35"/>
          </w:tcPr>
          <w:p>
            <w:pPr>
              <w:spacing w:after="0"/>
              <w:rPr>
                <w:sz w:val="5"/>
                <w:szCs w:val="5"/>
                <w:color w:val="auto"/>
              </w:rPr>
            </w:pPr>
          </w:p>
        </w:tc>
        <w:tc>
          <w:tcPr>
            <w:tcW w:w="1900" w:type="dxa"/>
            <w:vAlign w:val="bottom"/>
            <w:shd w:val="clear" w:color="auto" w:fill="C60C35"/>
          </w:tcPr>
          <w:p>
            <w:pPr>
              <w:spacing w:after="0"/>
              <w:rPr>
                <w:sz w:val="5"/>
                <w:szCs w:val="5"/>
                <w:color w:val="auto"/>
              </w:rPr>
            </w:pPr>
          </w:p>
        </w:tc>
      </w:tr>
      <w:tr>
        <w:trPr>
          <w:trHeight w:val="210"/>
        </w:trPr>
        <w:tc>
          <w:tcPr>
            <w:tcW w:w="3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Sherry L. Buck</w:t>
            </w:r>
          </w:p>
        </w:tc>
        <w:tc>
          <w:tcPr>
            <w:tcW w:w="4200" w:type="dxa"/>
            <w:vAlign w:val="bottom"/>
            <w:tcBorders>
              <w:bottom w:val="single" w:sz="8" w:color="F2F2F2"/>
            </w:tcBorders>
            <w:shd w:val="clear" w:color="auto" w:fill="F2F2F2"/>
          </w:tcPr>
          <w:p>
            <w:pPr>
              <w:jc w:val="center"/>
              <w:ind w:left="1288"/>
              <w:spacing w:after="0"/>
              <w:rPr>
                <w:sz w:val="20"/>
                <w:szCs w:val="20"/>
                <w:color w:val="auto"/>
              </w:rPr>
            </w:pPr>
            <w:r>
              <w:rPr>
                <w:rFonts w:ascii="Arial" w:cs="Arial" w:eastAsia="Arial" w:hAnsi="Arial"/>
                <w:sz w:val="14"/>
                <w:szCs w:val="14"/>
                <w:color w:val="auto"/>
              </w:rPr>
              <w:t>105,000</w:t>
            </w:r>
          </w:p>
        </w:tc>
        <w:tc>
          <w:tcPr>
            <w:tcW w:w="1900" w:type="dxa"/>
            <w:vAlign w:val="bottom"/>
            <w:tcBorders>
              <w:bottom w:val="single" w:sz="8" w:color="F2F2F2"/>
            </w:tcBorders>
            <w:shd w:val="clear" w:color="auto" w:fill="F2F2F2"/>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254,804</w:t>
            </w:r>
          </w:p>
        </w:tc>
      </w:tr>
      <w:tr>
        <w:trPr>
          <w:trHeight w:val="208"/>
        </w:trPr>
        <w:tc>
          <w:tcPr>
            <w:tcW w:w="3240" w:type="dxa"/>
            <w:vAlign w:val="bottom"/>
          </w:tcPr>
          <w:p>
            <w:pPr>
              <w:ind w:left="100"/>
              <w:spacing w:after="0"/>
              <w:rPr>
                <w:sz w:val="20"/>
                <w:szCs w:val="20"/>
                <w:color w:val="auto"/>
              </w:rPr>
            </w:pPr>
            <w:r>
              <w:rPr>
                <w:rFonts w:ascii="Arial" w:cs="Arial" w:eastAsia="Arial" w:hAnsi="Arial"/>
                <w:sz w:val="14"/>
                <w:szCs w:val="14"/>
                <w:color w:val="auto"/>
              </w:rPr>
              <w:t>Janet K. Cooper</w:t>
            </w:r>
          </w:p>
        </w:tc>
        <w:tc>
          <w:tcPr>
            <w:tcW w:w="4200" w:type="dxa"/>
            <w:vAlign w:val="bottom"/>
          </w:tcPr>
          <w:p>
            <w:pPr>
              <w:jc w:val="center"/>
              <w:ind w:left="1288"/>
              <w:spacing w:after="0"/>
              <w:rPr>
                <w:sz w:val="20"/>
                <w:szCs w:val="20"/>
                <w:color w:val="auto"/>
              </w:rPr>
            </w:pPr>
            <w:r>
              <w:rPr>
                <w:rFonts w:ascii="Arial" w:cs="Arial" w:eastAsia="Arial" w:hAnsi="Arial"/>
                <w:sz w:val="14"/>
                <w:szCs w:val="14"/>
                <w:color w:val="auto"/>
              </w:rPr>
              <w:t>125,000</w:t>
            </w:r>
          </w:p>
        </w:tc>
        <w:tc>
          <w:tcPr>
            <w:tcW w:w="1900" w:type="dxa"/>
            <w:vAlign w:val="bottom"/>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Pr>
          <w:p>
            <w:pPr>
              <w:jc w:val="center"/>
              <w:spacing w:after="0"/>
              <w:rPr>
                <w:sz w:val="20"/>
                <w:szCs w:val="20"/>
                <w:color w:val="auto"/>
              </w:rPr>
            </w:pPr>
            <w:r>
              <w:rPr>
                <w:rFonts w:ascii="Arial" w:cs="Arial" w:eastAsia="Arial" w:hAnsi="Arial"/>
                <w:sz w:val="14"/>
                <w:szCs w:val="14"/>
                <w:color w:val="auto"/>
              </w:rPr>
              <w:t>274,804</w:t>
            </w:r>
          </w:p>
        </w:tc>
      </w:tr>
      <w:tr>
        <w:trPr>
          <w:trHeight w:val="22"/>
        </w:trPr>
        <w:tc>
          <w:tcPr>
            <w:tcW w:w="3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3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John W. Norris, III</w:t>
            </w:r>
          </w:p>
        </w:tc>
        <w:tc>
          <w:tcPr>
            <w:tcW w:w="4200" w:type="dxa"/>
            <w:vAlign w:val="bottom"/>
            <w:tcBorders>
              <w:bottom w:val="single" w:sz="8" w:color="F2F2F2"/>
            </w:tcBorders>
            <w:shd w:val="clear" w:color="auto" w:fill="F2F2F2"/>
          </w:tcPr>
          <w:p>
            <w:pPr>
              <w:jc w:val="center"/>
              <w:ind w:left="1288"/>
              <w:spacing w:after="0"/>
              <w:rPr>
                <w:sz w:val="20"/>
                <w:szCs w:val="20"/>
                <w:color w:val="auto"/>
              </w:rPr>
            </w:pPr>
            <w:r>
              <w:rPr>
                <w:rFonts w:ascii="Arial" w:cs="Arial" w:eastAsia="Arial" w:hAnsi="Arial"/>
                <w:sz w:val="14"/>
                <w:szCs w:val="14"/>
                <w:color w:val="auto"/>
              </w:rPr>
              <w:t>105,000</w:t>
            </w:r>
          </w:p>
        </w:tc>
        <w:tc>
          <w:tcPr>
            <w:tcW w:w="1900" w:type="dxa"/>
            <w:vAlign w:val="bottom"/>
            <w:tcBorders>
              <w:bottom w:val="single" w:sz="8" w:color="F2F2F2"/>
            </w:tcBorders>
            <w:shd w:val="clear" w:color="auto" w:fill="F2F2F2"/>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254,804</w:t>
            </w:r>
          </w:p>
        </w:tc>
      </w:tr>
      <w:tr>
        <w:trPr>
          <w:trHeight w:val="208"/>
        </w:trPr>
        <w:tc>
          <w:tcPr>
            <w:tcW w:w="3240" w:type="dxa"/>
            <w:vAlign w:val="bottom"/>
          </w:tcPr>
          <w:p>
            <w:pPr>
              <w:ind w:left="100"/>
              <w:spacing w:after="0"/>
              <w:rPr>
                <w:sz w:val="20"/>
                <w:szCs w:val="20"/>
                <w:color w:val="auto"/>
              </w:rPr>
            </w:pPr>
            <w:r>
              <w:rPr>
                <w:rFonts w:ascii="Arial" w:cs="Arial" w:eastAsia="Arial" w:hAnsi="Arial"/>
                <w:sz w:val="14"/>
                <w:szCs w:val="14"/>
                <w:color w:val="auto"/>
              </w:rPr>
              <w:t>Karen H. Quintos</w:t>
            </w:r>
          </w:p>
        </w:tc>
        <w:tc>
          <w:tcPr>
            <w:tcW w:w="4200" w:type="dxa"/>
            <w:vAlign w:val="bottom"/>
          </w:tcPr>
          <w:p>
            <w:pPr>
              <w:jc w:val="center"/>
              <w:ind w:left="1288"/>
              <w:spacing w:after="0"/>
              <w:rPr>
                <w:sz w:val="20"/>
                <w:szCs w:val="20"/>
                <w:color w:val="auto"/>
              </w:rPr>
            </w:pPr>
            <w:r>
              <w:rPr>
                <w:rFonts w:ascii="Arial" w:cs="Arial" w:eastAsia="Arial" w:hAnsi="Arial"/>
                <w:sz w:val="14"/>
                <w:szCs w:val="14"/>
                <w:color w:val="auto"/>
              </w:rPr>
              <w:t>125,000</w:t>
            </w:r>
          </w:p>
        </w:tc>
        <w:tc>
          <w:tcPr>
            <w:tcW w:w="1900" w:type="dxa"/>
            <w:vAlign w:val="bottom"/>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Pr>
          <w:p>
            <w:pPr>
              <w:jc w:val="center"/>
              <w:spacing w:after="0"/>
              <w:rPr>
                <w:sz w:val="20"/>
                <w:szCs w:val="20"/>
                <w:color w:val="auto"/>
              </w:rPr>
            </w:pPr>
            <w:r>
              <w:rPr>
                <w:rFonts w:ascii="Arial" w:cs="Arial" w:eastAsia="Arial" w:hAnsi="Arial"/>
                <w:sz w:val="14"/>
                <w:szCs w:val="14"/>
                <w:color w:val="auto"/>
              </w:rPr>
              <w:t>274,804</w:t>
            </w:r>
          </w:p>
        </w:tc>
      </w:tr>
      <w:tr>
        <w:trPr>
          <w:trHeight w:val="22"/>
        </w:trPr>
        <w:tc>
          <w:tcPr>
            <w:tcW w:w="3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3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Kim K.W. Rucker</w:t>
            </w:r>
          </w:p>
        </w:tc>
        <w:tc>
          <w:tcPr>
            <w:tcW w:w="4200" w:type="dxa"/>
            <w:vAlign w:val="bottom"/>
            <w:tcBorders>
              <w:bottom w:val="single" w:sz="8" w:color="F2F2F2"/>
            </w:tcBorders>
            <w:shd w:val="clear" w:color="auto" w:fill="F2F2F2"/>
          </w:tcPr>
          <w:p>
            <w:pPr>
              <w:jc w:val="center"/>
              <w:ind w:left="1288"/>
              <w:spacing w:after="0"/>
              <w:rPr>
                <w:sz w:val="20"/>
                <w:szCs w:val="20"/>
                <w:color w:val="auto"/>
              </w:rPr>
            </w:pPr>
            <w:r>
              <w:rPr>
                <w:rFonts w:ascii="Arial" w:cs="Arial" w:eastAsia="Arial" w:hAnsi="Arial"/>
                <w:sz w:val="14"/>
                <w:szCs w:val="14"/>
                <w:color w:val="auto"/>
              </w:rPr>
              <w:t>31,250</w:t>
            </w:r>
          </w:p>
        </w:tc>
        <w:tc>
          <w:tcPr>
            <w:tcW w:w="1900" w:type="dxa"/>
            <w:vAlign w:val="bottom"/>
            <w:tcBorders>
              <w:bottom w:val="single" w:sz="8" w:color="F2F2F2"/>
            </w:tcBorders>
            <w:shd w:val="clear" w:color="auto" w:fill="F2F2F2"/>
          </w:tcPr>
          <w:p>
            <w:pPr>
              <w:jc w:val="center"/>
              <w:ind w:right="268"/>
              <w:spacing w:after="0"/>
              <w:rPr>
                <w:sz w:val="20"/>
                <w:szCs w:val="20"/>
                <w:color w:val="auto"/>
              </w:rPr>
            </w:pPr>
            <w:r>
              <w:rPr>
                <w:rFonts w:ascii="Arial" w:cs="Arial" w:eastAsia="Arial" w:hAnsi="Arial"/>
                <w:sz w:val="14"/>
                <w:szCs w:val="14"/>
                <w:color w:val="auto"/>
              </w:rPr>
              <w:t>333,147</w:t>
            </w:r>
          </w:p>
        </w:tc>
        <w:tc>
          <w:tcPr>
            <w:tcW w:w="1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364,397</w:t>
            </w:r>
          </w:p>
        </w:tc>
      </w:tr>
      <w:tr>
        <w:trPr>
          <w:trHeight w:val="208"/>
        </w:trPr>
        <w:tc>
          <w:tcPr>
            <w:tcW w:w="3240" w:type="dxa"/>
            <w:vAlign w:val="bottom"/>
          </w:tcPr>
          <w:p>
            <w:pPr>
              <w:ind w:left="100"/>
              <w:spacing w:after="0"/>
              <w:rPr>
                <w:sz w:val="20"/>
                <w:szCs w:val="20"/>
                <w:color w:val="auto"/>
              </w:rPr>
            </w:pPr>
            <w:r>
              <w:rPr>
                <w:rFonts w:ascii="Arial" w:cs="Arial" w:eastAsia="Arial" w:hAnsi="Arial"/>
                <w:sz w:val="14"/>
                <w:szCs w:val="14"/>
                <w:color w:val="auto"/>
              </w:rPr>
              <w:t>Soma Somasundaram</w:t>
            </w:r>
          </w:p>
        </w:tc>
        <w:tc>
          <w:tcPr>
            <w:tcW w:w="4200" w:type="dxa"/>
            <w:vAlign w:val="bottom"/>
          </w:tcPr>
          <w:p>
            <w:pPr>
              <w:jc w:val="center"/>
              <w:ind w:left="1288"/>
              <w:spacing w:after="0"/>
              <w:rPr>
                <w:sz w:val="20"/>
                <w:szCs w:val="20"/>
                <w:color w:val="auto"/>
              </w:rPr>
            </w:pPr>
            <w:r>
              <w:rPr>
                <w:rFonts w:ascii="Arial" w:cs="Arial" w:eastAsia="Arial" w:hAnsi="Arial"/>
                <w:sz w:val="14"/>
                <w:szCs w:val="14"/>
                <w:color w:val="auto"/>
              </w:rPr>
              <w:t>105,000</w:t>
            </w:r>
          </w:p>
        </w:tc>
        <w:tc>
          <w:tcPr>
            <w:tcW w:w="1900" w:type="dxa"/>
            <w:vAlign w:val="bottom"/>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Pr>
          <w:p>
            <w:pPr>
              <w:jc w:val="center"/>
              <w:spacing w:after="0"/>
              <w:rPr>
                <w:sz w:val="20"/>
                <w:szCs w:val="20"/>
                <w:color w:val="auto"/>
              </w:rPr>
            </w:pPr>
            <w:r>
              <w:rPr>
                <w:rFonts w:ascii="Arial" w:cs="Arial" w:eastAsia="Arial" w:hAnsi="Arial"/>
                <w:sz w:val="14"/>
                <w:szCs w:val="14"/>
                <w:color w:val="auto"/>
              </w:rPr>
              <w:t>254,804</w:t>
            </w:r>
          </w:p>
        </w:tc>
      </w:tr>
      <w:tr>
        <w:trPr>
          <w:trHeight w:val="22"/>
        </w:trPr>
        <w:tc>
          <w:tcPr>
            <w:tcW w:w="3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3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Gregory T. Swienton</w:t>
            </w:r>
          </w:p>
        </w:tc>
        <w:tc>
          <w:tcPr>
            <w:tcW w:w="4200" w:type="dxa"/>
            <w:vAlign w:val="bottom"/>
            <w:tcBorders>
              <w:bottom w:val="single" w:sz="8" w:color="F2F2F2"/>
            </w:tcBorders>
            <w:shd w:val="clear" w:color="auto" w:fill="F2F2F2"/>
          </w:tcPr>
          <w:p>
            <w:pPr>
              <w:jc w:val="center"/>
              <w:ind w:left="1288"/>
              <w:spacing w:after="0"/>
              <w:rPr>
                <w:sz w:val="20"/>
                <w:szCs w:val="20"/>
                <w:color w:val="auto"/>
              </w:rPr>
            </w:pPr>
            <w:r>
              <w:rPr>
                <w:rFonts w:ascii="Arial" w:cs="Arial" w:eastAsia="Arial" w:hAnsi="Arial"/>
                <w:sz w:val="14"/>
                <w:szCs w:val="14"/>
                <w:color w:val="auto"/>
              </w:rPr>
              <w:t>130,000</w:t>
            </w:r>
          </w:p>
        </w:tc>
        <w:tc>
          <w:tcPr>
            <w:tcW w:w="1900" w:type="dxa"/>
            <w:vAlign w:val="bottom"/>
            <w:tcBorders>
              <w:bottom w:val="single" w:sz="8" w:color="F2F2F2"/>
            </w:tcBorders>
            <w:shd w:val="clear" w:color="auto" w:fill="F2F2F2"/>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279,804</w:t>
            </w:r>
          </w:p>
        </w:tc>
      </w:tr>
      <w:tr>
        <w:trPr>
          <w:trHeight w:val="208"/>
        </w:trPr>
        <w:tc>
          <w:tcPr>
            <w:tcW w:w="3240" w:type="dxa"/>
            <w:vAlign w:val="bottom"/>
          </w:tcPr>
          <w:p>
            <w:pPr>
              <w:ind w:left="100"/>
              <w:spacing w:after="0"/>
              <w:rPr>
                <w:sz w:val="20"/>
                <w:szCs w:val="20"/>
                <w:color w:val="auto"/>
              </w:rPr>
            </w:pPr>
            <w:r>
              <w:rPr>
                <w:rFonts w:ascii="Arial" w:cs="Arial" w:eastAsia="Arial" w:hAnsi="Arial"/>
                <w:sz w:val="14"/>
                <w:szCs w:val="14"/>
                <w:color w:val="auto"/>
              </w:rPr>
              <w:t>Todd J. Teske</w:t>
            </w:r>
          </w:p>
        </w:tc>
        <w:tc>
          <w:tcPr>
            <w:tcW w:w="4200" w:type="dxa"/>
            <w:vAlign w:val="bottom"/>
          </w:tcPr>
          <w:p>
            <w:pPr>
              <w:jc w:val="center"/>
              <w:ind w:left="1288"/>
              <w:spacing w:after="0"/>
              <w:rPr>
                <w:sz w:val="20"/>
                <w:szCs w:val="20"/>
                <w:color w:val="auto"/>
              </w:rPr>
            </w:pPr>
            <w:r>
              <w:rPr>
                <w:rFonts w:ascii="Arial" w:cs="Arial" w:eastAsia="Arial" w:hAnsi="Arial"/>
                <w:sz w:val="14"/>
                <w:szCs w:val="14"/>
                <w:color w:val="auto"/>
              </w:rPr>
              <w:t>255,000</w:t>
            </w:r>
          </w:p>
        </w:tc>
        <w:tc>
          <w:tcPr>
            <w:tcW w:w="1900" w:type="dxa"/>
            <w:vAlign w:val="bottom"/>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Pr>
          <w:p>
            <w:pPr>
              <w:jc w:val="center"/>
              <w:spacing w:after="0"/>
              <w:rPr>
                <w:sz w:val="20"/>
                <w:szCs w:val="20"/>
                <w:color w:val="auto"/>
              </w:rPr>
            </w:pPr>
            <w:r>
              <w:rPr>
                <w:rFonts w:ascii="Arial" w:cs="Arial" w:eastAsia="Arial" w:hAnsi="Arial"/>
                <w:sz w:val="14"/>
                <w:szCs w:val="14"/>
                <w:color w:val="auto"/>
              </w:rPr>
              <w:t>404,804</w:t>
            </w:r>
          </w:p>
        </w:tc>
      </w:tr>
      <w:tr>
        <w:trPr>
          <w:trHeight w:val="22"/>
        </w:trPr>
        <w:tc>
          <w:tcPr>
            <w:tcW w:w="3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3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Jon Vander Ark</w:t>
            </w:r>
          </w:p>
        </w:tc>
        <w:tc>
          <w:tcPr>
            <w:tcW w:w="4200" w:type="dxa"/>
            <w:vAlign w:val="bottom"/>
            <w:tcBorders>
              <w:bottom w:val="single" w:sz="8" w:color="F2F2F2"/>
            </w:tcBorders>
            <w:shd w:val="clear" w:color="auto" w:fill="F2F2F2"/>
          </w:tcPr>
          <w:p>
            <w:pPr>
              <w:jc w:val="center"/>
              <w:ind w:left="1288"/>
              <w:spacing w:after="0"/>
              <w:rPr>
                <w:sz w:val="20"/>
                <w:szCs w:val="20"/>
                <w:color w:val="auto"/>
              </w:rPr>
            </w:pPr>
            <w:r>
              <w:rPr>
                <w:rFonts w:ascii="Arial" w:cs="Arial" w:eastAsia="Arial" w:hAnsi="Arial"/>
                <w:sz w:val="14"/>
                <w:szCs w:val="14"/>
                <w:color w:val="auto"/>
              </w:rPr>
              <w:t>78,750</w:t>
            </w:r>
          </w:p>
        </w:tc>
        <w:tc>
          <w:tcPr>
            <w:tcW w:w="1900" w:type="dxa"/>
            <w:vAlign w:val="bottom"/>
            <w:tcBorders>
              <w:bottom w:val="single" w:sz="8" w:color="F2F2F2"/>
            </w:tcBorders>
            <w:shd w:val="clear" w:color="auto" w:fill="F2F2F2"/>
          </w:tcPr>
          <w:p>
            <w:pPr>
              <w:jc w:val="center"/>
              <w:ind w:right="248"/>
              <w:spacing w:after="0"/>
              <w:rPr>
                <w:sz w:val="20"/>
                <w:szCs w:val="20"/>
                <w:color w:val="auto"/>
              </w:rPr>
            </w:pPr>
            <w:r>
              <w:rPr>
                <w:rFonts w:ascii="Arial" w:cs="Arial" w:eastAsia="Arial" w:hAnsi="Arial"/>
                <w:sz w:val="14"/>
                <w:szCs w:val="14"/>
                <w:color w:val="auto"/>
                <w:w w:val="99"/>
              </w:rPr>
              <w:t>—</w:t>
            </w:r>
          </w:p>
        </w:tc>
        <w:tc>
          <w:tcPr>
            <w:tcW w:w="1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78,750</w:t>
            </w:r>
          </w:p>
        </w:tc>
      </w:tr>
      <w:tr>
        <w:trPr>
          <w:trHeight w:val="208"/>
        </w:trPr>
        <w:tc>
          <w:tcPr>
            <w:tcW w:w="3240" w:type="dxa"/>
            <w:vAlign w:val="bottom"/>
          </w:tcPr>
          <w:p>
            <w:pPr>
              <w:ind w:left="100"/>
              <w:spacing w:after="0"/>
              <w:rPr>
                <w:sz w:val="20"/>
                <w:szCs w:val="20"/>
                <w:color w:val="auto"/>
              </w:rPr>
            </w:pPr>
            <w:r>
              <w:rPr>
                <w:rFonts w:ascii="Arial" w:cs="Arial" w:eastAsia="Arial" w:hAnsi="Arial"/>
                <w:sz w:val="14"/>
                <w:szCs w:val="14"/>
                <w:color w:val="auto"/>
              </w:rPr>
              <w:t>Shane D. Wall</w:t>
            </w:r>
          </w:p>
        </w:tc>
        <w:tc>
          <w:tcPr>
            <w:tcW w:w="4200" w:type="dxa"/>
            <w:vAlign w:val="bottom"/>
          </w:tcPr>
          <w:p>
            <w:pPr>
              <w:jc w:val="center"/>
              <w:ind w:left="1288"/>
              <w:spacing w:after="0"/>
              <w:rPr>
                <w:sz w:val="20"/>
                <w:szCs w:val="20"/>
                <w:color w:val="auto"/>
              </w:rPr>
            </w:pPr>
            <w:r>
              <w:rPr>
                <w:rFonts w:ascii="Arial" w:cs="Arial" w:eastAsia="Arial" w:hAnsi="Arial"/>
                <w:sz w:val="14"/>
                <w:szCs w:val="14"/>
                <w:color w:val="auto"/>
              </w:rPr>
              <w:t>125,000</w:t>
            </w:r>
          </w:p>
        </w:tc>
        <w:tc>
          <w:tcPr>
            <w:tcW w:w="1900" w:type="dxa"/>
            <w:vAlign w:val="bottom"/>
          </w:tcPr>
          <w:p>
            <w:pPr>
              <w:jc w:val="center"/>
              <w:ind w:right="268"/>
              <w:spacing w:after="0"/>
              <w:rPr>
                <w:sz w:val="20"/>
                <w:szCs w:val="20"/>
                <w:color w:val="auto"/>
              </w:rPr>
            </w:pPr>
            <w:r>
              <w:rPr>
                <w:rFonts w:ascii="Arial" w:cs="Arial" w:eastAsia="Arial" w:hAnsi="Arial"/>
                <w:sz w:val="14"/>
                <w:szCs w:val="14"/>
                <w:color w:val="auto"/>
              </w:rPr>
              <w:t>149,804</w:t>
            </w:r>
          </w:p>
        </w:tc>
        <w:tc>
          <w:tcPr>
            <w:tcW w:w="1900" w:type="dxa"/>
            <w:vAlign w:val="bottom"/>
          </w:tcPr>
          <w:p>
            <w:pPr>
              <w:jc w:val="center"/>
              <w:spacing w:after="0"/>
              <w:rPr>
                <w:sz w:val="20"/>
                <w:szCs w:val="20"/>
                <w:color w:val="auto"/>
              </w:rPr>
            </w:pPr>
            <w:r>
              <w:rPr>
                <w:rFonts w:ascii="Arial" w:cs="Arial" w:eastAsia="Arial" w:hAnsi="Arial"/>
                <w:sz w:val="14"/>
                <w:szCs w:val="14"/>
                <w:color w:val="auto"/>
              </w:rPr>
              <w:t>274,804</w:t>
            </w:r>
          </w:p>
        </w:tc>
      </w:tr>
    </w:tbl>
    <w:p>
      <w:pPr>
        <w:spacing w:after="0" w:line="21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2024, all of the non-employee directors elected to receive their retainer in cash.</w:t>
      </w:r>
    </w:p>
    <w:p>
      <w:pPr>
        <w:spacing w:after="0" w:line="163" w:lineRule="exact"/>
        <w:rPr>
          <w:rFonts w:ascii="Arial" w:cs="Arial" w:eastAsia="Arial" w:hAnsi="Arial"/>
          <w:sz w:val="14"/>
          <w:szCs w:val="14"/>
          <w:color w:val="auto"/>
        </w:rPr>
      </w:pPr>
    </w:p>
    <w:p>
      <w:pPr>
        <w:ind w:left="340" w:right="300" w:hanging="332"/>
        <w:spacing w:after="0" w:line="283" w:lineRule="auto"/>
        <w:tabs>
          <w:tab w:leader="none" w:pos="327"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Ms. Rucker, the amount represents the incremental fair value associated with the vesting of outstanding RSUs upon her separation from the Board on February 29, 2024. For the other non-employee directors, the amounts shown represent the grant date fair value for common stock granted under the 2019 Equity and Incentive Compensation Plan, in accordance with Financial Accounting Standards Board Accounting Standards Codification (“FASB ASC”) Topic 718, as follows:</w:t>
      </w:r>
    </w:p>
    <w:p>
      <w:pPr>
        <w:spacing w:after="0" w:line="101"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2900" w:type="dxa"/>
            <w:vAlign w:val="bottom"/>
            <w:shd w:val="clear" w:color="auto" w:fill="C60C35"/>
          </w:tcPr>
          <w:p>
            <w:pPr>
              <w:spacing w:after="0"/>
              <w:rPr>
                <w:sz w:val="15"/>
                <w:szCs w:val="15"/>
                <w:color w:val="auto"/>
              </w:rPr>
            </w:pPr>
          </w:p>
        </w:tc>
        <w:tc>
          <w:tcPr>
            <w:tcW w:w="1520" w:type="dxa"/>
            <w:vAlign w:val="bottom"/>
            <w:shd w:val="clear" w:color="auto" w:fill="C60C35"/>
          </w:tcPr>
          <w:p>
            <w:pPr>
              <w:spacing w:after="0"/>
              <w:rPr>
                <w:sz w:val="15"/>
                <w:szCs w:val="15"/>
                <w:color w:val="auto"/>
              </w:rPr>
            </w:pPr>
          </w:p>
        </w:tc>
        <w:tc>
          <w:tcPr>
            <w:tcW w:w="1680" w:type="dxa"/>
            <w:vAlign w:val="bottom"/>
            <w:shd w:val="clear" w:color="auto" w:fill="C60C35"/>
          </w:tcPr>
          <w:p>
            <w:pPr>
              <w:jc w:val="center"/>
              <w:ind w:left="88"/>
              <w:spacing w:after="0"/>
              <w:rPr>
                <w:sz w:val="20"/>
                <w:szCs w:val="20"/>
                <w:color w:val="auto"/>
              </w:rPr>
            </w:pPr>
            <w:r>
              <w:rPr>
                <w:rFonts w:ascii="Arial" w:cs="Arial" w:eastAsia="Arial" w:hAnsi="Arial"/>
                <w:sz w:val="14"/>
                <w:szCs w:val="14"/>
                <w:b w:val="1"/>
                <w:bCs w:val="1"/>
                <w:color w:val="FFFFFF"/>
              </w:rPr>
              <w:t>Common Stock</w:t>
            </w:r>
          </w:p>
        </w:tc>
        <w:tc>
          <w:tcPr>
            <w:tcW w:w="17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Grant Date Fair Value</w:t>
            </w:r>
          </w:p>
        </w:tc>
        <w:tc>
          <w:tcPr>
            <w:tcW w:w="13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Grant Date Fair</w:t>
            </w:r>
          </w:p>
        </w:tc>
      </w:tr>
      <w:tr>
        <w:trPr>
          <w:trHeight w:val="210"/>
        </w:trPr>
        <w:tc>
          <w:tcPr>
            <w:tcW w:w="2900" w:type="dxa"/>
            <w:vAlign w:val="bottom"/>
            <w:shd w:val="clear" w:color="auto" w:fill="C60C35"/>
          </w:tcPr>
          <w:p>
            <w:pPr>
              <w:spacing w:after="0"/>
              <w:rPr>
                <w:sz w:val="18"/>
                <w:szCs w:val="18"/>
                <w:color w:val="auto"/>
              </w:rPr>
            </w:pPr>
          </w:p>
        </w:tc>
        <w:tc>
          <w:tcPr>
            <w:tcW w:w="1520" w:type="dxa"/>
            <w:vAlign w:val="bottom"/>
            <w:shd w:val="clear" w:color="auto" w:fill="C60C35"/>
          </w:tcPr>
          <w:p>
            <w:pPr>
              <w:jc w:val="center"/>
              <w:ind w:left="48"/>
              <w:spacing w:after="0"/>
              <w:rPr>
                <w:sz w:val="20"/>
                <w:szCs w:val="20"/>
                <w:color w:val="auto"/>
              </w:rPr>
            </w:pPr>
            <w:r>
              <w:rPr>
                <w:rFonts w:ascii="Arial" w:cs="Arial" w:eastAsia="Arial" w:hAnsi="Arial"/>
                <w:sz w:val="14"/>
                <w:szCs w:val="14"/>
                <w:b w:val="1"/>
                <w:bCs w:val="1"/>
                <w:color w:val="FFFFFF"/>
              </w:rPr>
              <w:t>Grant Date</w:t>
            </w:r>
          </w:p>
        </w:tc>
        <w:tc>
          <w:tcPr>
            <w:tcW w:w="1680" w:type="dxa"/>
            <w:vAlign w:val="bottom"/>
            <w:shd w:val="clear" w:color="auto" w:fill="C60C35"/>
          </w:tcPr>
          <w:p>
            <w:pPr>
              <w:jc w:val="center"/>
              <w:ind w:left="88"/>
              <w:spacing w:after="0"/>
              <w:rPr>
                <w:sz w:val="20"/>
                <w:szCs w:val="20"/>
                <w:color w:val="auto"/>
              </w:rPr>
            </w:pPr>
            <w:r>
              <w:rPr>
                <w:rFonts w:ascii="Arial" w:cs="Arial" w:eastAsia="Arial" w:hAnsi="Arial"/>
                <w:sz w:val="14"/>
                <w:szCs w:val="14"/>
                <w:b w:val="1"/>
                <w:bCs w:val="1"/>
                <w:color w:val="FFFFFF"/>
              </w:rPr>
              <w:t>Granted in 2024 (#)</w:t>
            </w:r>
          </w:p>
        </w:tc>
        <w:tc>
          <w:tcPr>
            <w:tcW w:w="17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Per Share ($)(a)</w:t>
            </w:r>
          </w:p>
        </w:tc>
        <w:tc>
          <w:tcPr>
            <w:tcW w:w="13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w w:val="99"/>
              </w:rPr>
              <w:t>Value ($)</w:t>
            </w:r>
          </w:p>
        </w:tc>
      </w:tr>
      <w:tr>
        <w:trPr>
          <w:trHeight w:val="69"/>
        </w:trPr>
        <w:tc>
          <w:tcPr>
            <w:tcW w:w="2900" w:type="dxa"/>
            <w:vAlign w:val="bottom"/>
            <w:shd w:val="clear" w:color="auto" w:fill="C60C35"/>
          </w:tcPr>
          <w:p>
            <w:pPr>
              <w:spacing w:after="0"/>
              <w:rPr>
                <w:sz w:val="6"/>
                <w:szCs w:val="6"/>
                <w:color w:val="auto"/>
              </w:rPr>
            </w:pPr>
          </w:p>
        </w:tc>
        <w:tc>
          <w:tcPr>
            <w:tcW w:w="1520" w:type="dxa"/>
            <w:vAlign w:val="bottom"/>
            <w:shd w:val="clear" w:color="auto" w:fill="C60C35"/>
          </w:tcPr>
          <w:p>
            <w:pPr>
              <w:spacing w:after="0"/>
              <w:rPr>
                <w:sz w:val="6"/>
                <w:szCs w:val="6"/>
                <w:color w:val="auto"/>
              </w:rPr>
            </w:pPr>
          </w:p>
        </w:tc>
        <w:tc>
          <w:tcPr>
            <w:tcW w:w="1680" w:type="dxa"/>
            <w:vAlign w:val="bottom"/>
            <w:shd w:val="clear" w:color="auto" w:fill="C60C35"/>
          </w:tcPr>
          <w:p>
            <w:pPr>
              <w:spacing w:after="0"/>
              <w:rPr>
                <w:sz w:val="6"/>
                <w:szCs w:val="6"/>
                <w:color w:val="auto"/>
              </w:rPr>
            </w:pPr>
          </w:p>
        </w:tc>
        <w:tc>
          <w:tcPr>
            <w:tcW w:w="1700" w:type="dxa"/>
            <w:vAlign w:val="bottom"/>
            <w:shd w:val="clear" w:color="auto" w:fill="C60C35"/>
          </w:tcPr>
          <w:p>
            <w:pPr>
              <w:spacing w:after="0"/>
              <w:rPr>
                <w:sz w:val="6"/>
                <w:szCs w:val="6"/>
                <w:color w:val="auto"/>
              </w:rPr>
            </w:pPr>
          </w:p>
        </w:tc>
        <w:tc>
          <w:tcPr>
            <w:tcW w:w="1300" w:type="dxa"/>
            <w:vAlign w:val="bottom"/>
            <w:shd w:val="clear" w:color="auto" w:fill="C60C35"/>
          </w:tcPr>
          <w:p>
            <w:pPr>
              <w:spacing w:after="0"/>
              <w:rPr>
                <w:sz w:val="6"/>
                <w:szCs w:val="6"/>
                <w:color w:val="auto"/>
              </w:rPr>
            </w:pPr>
          </w:p>
        </w:tc>
      </w:tr>
      <w:tr>
        <w:trPr>
          <w:trHeight w:val="208"/>
        </w:trPr>
        <w:tc>
          <w:tcPr>
            <w:tcW w:w="29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Each Non-Employee Director</w:t>
            </w:r>
          </w:p>
        </w:tc>
        <w:tc>
          <w:tcPr>
            <w:tcW w:w="1520" w:type="dxa"/>
            <w:vAlign w:val="bottom"/>
            <w:shd w:val="clear" w:color="auto" w:fill="F1F2F2"/>
          </w:tcPr>
          <w:p>
            <w:pPr>
              <w:jc w:val="center"/>
              <w:ind w:left="48"/>
              <w:spacing w:after="0"/>
              <w:rPr>
                <w:sz w:val="20"/>
                <w:szCs w:val="20"/>
                <w:color w:val="auto"/>
              </w:rPr>
            </w:pPr>
            <w:r>
              <w:rPr>
                <w:rFonts w:ascii="Arial" w:cs="Arial" w:eastAsia="Arial" w:hAnsi="Arial"/>
                <w:sz w:val="14"/>
                <w:szCs w:val="14"/>
                <w:color w:val="auto"/>
              </w:rPr>
              <w:t>May 16, 2024</w:t>
            </w:r>
          </w:p>
        </w:tc>
        <w:tc>
          <w:tcPr>
            <w:tcW w:w="1680" w:type="dxa"/>
            <w:vAlign w:val="bottom"/>
            <w:shd w:val="clear" w:color="auto" w:fill="F1F2F2"/>
          </w:tcPr>
          <w:p>
            <w:pPr>
              <w:jc w:val="center"/>
              <w:ind w:left="88"/>
              <w:spacing w:after="0"/>
              <w:rPr>
                <w:sz w:val="20"/>
                <w:szCs w:val="20"/>
                <w:color w:val="auto"/>
              </w:rPr>
            </w:pPr>
            <w:r>
              <w:rPr>
                <w:rFonts w:ascii="Arial" w:cs="Arial" w:eastAsia="Arial" w:hAnsi="Arial"/>
                <w:sz w:val="14"/>
                <w:szCs w:val="14"/>
                <w:color w:val="auto"/>
              </w:rPr>
              <w:t>305</w:t>
            </w:r>
          </w:p>
        </w:tc>
        <w:tc>
          <w:tcPr>
            <w:tcW w:w="170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491.16</w:t>
            </w:r>
          </w:p>
        </w:tc>
        <w:tc>
          <w:tcPr>
            <w:tcW w:w="130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149,804</w:t>
            </w:r>
          </w:p>
        </w:tc>
      </w:tr>
      <w:tr>
        <w:trPr>
          <w:trHeight w:val="22"/>
        </w:trPr>
        <w:tc>
          <w:tcPr>
            <w:tcW w:w="2900" w:type="dxa"/>
            <w:vAlign w:val="bottom"/>
            <w:shd w:val="clear" w:color="auto" w:fill="F1F2F2"/>
          </w:tcPr>
          <w:p>
            <w:pPr>
              <w:spacing w:after="0" w:line="20" w:lineRule="exact"/>
              <w:rPr>
                <w:sz w:val="1"/>
                <w:szCs w:val="1"/>
                <w:color w:val="auto"/>
              </w:rPr>
            </w:pPr>
          </w:p>
        </w:tc>
        <w:tc>
          <w:tcPr>
            <w:tcW w:w="1520" w:type="dxa"/>
            <w:vAlign w:val="bottom"/>
            <w:shd w:val="clear" w:color="auto" w:fill="F1F2F2"/>
          </w:tcPr>
          <w:p>
            <w:pPr>
              <w:spacing w:after="0" w:line="20" w:lineRule="exact"/>
              <w:rPr>
                <w:sz w:val="1"/>
                <w:szCs w:val="1"/>
                <w:color w:val="auto"/>
              </w:rPr>
            </w:pPr>
          </w:p>
        </w:tc>
        <w:tc>
          <w:tcPr>
            <w:tcW w:w="1680" w:type="dxa"/>
            <w:vAlign w:val="bottom"/>
            <w:shd w:val="clear" w:color="auto" w:fill="F1F2F2"/>
          </w:tcPr>
          <w:p>
            <w:pPr>
              <w:spacing w:after="0" w:line="20" w:lineRule="exact"/>
              <w:rPr>
                <w:sz w:val="1"/>
                <w:szCs w:val="1"/>
                <w:color w:val="auto"/>
              </w:rPr>
            </w:pPr>
          </w:p>
        </w:tc>
        <w:tc>
          <w:tcPr>
            <w:tcW w:w="1700" w:type="dxa"/>
            <w:vAlign w:val="bottom"/>
            <w:shd w:val="clear" w:color="auto" w:fill="F1F2F2"/>
          </w:tcPr>
          <w:p>
            <w:pPr>
              <w:spacing w:after="0" w:line="20" w:lineRule="exact"/>
              <w:rPr>
                <w:sz w:val="1"/>
                <w:szCs w:val="1"/>
                <w:color w:val="auto"/>
              </w:rPr>
            </w:pPr>
          </w:p>
        </w:tc>
        <w:tc>
          <w:tcPr>
            <w:tcW w:w="1300" w:type="dxa"/>
            <w:vAlign w:val="bottom"/>
            <w:shd w:val="clear" w:color="auto" w:fill="F1F2F2"/>
          </w:tcPr>
          <w:p>
            <w:pPr>
              <w:spacing w:after="0" w:line="20" w:lineRule="exact"/>
              <w:rPr>
                <w:sz w:val="1"/>
                <w:szCs w:val="1"/>
                <w:color w:val="auto"/>
              </w:rPr>
            </w:pP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$491.16 is the closing NYSE trading price of our common stock on the date of grant.</w:t>
      </w:r>
    </w:p>
    <w:p>
      <w:pPr>
        <w:spacing w:after="0" w:line="221"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The following table provides information regarding the aggregate number of outstanding RSUs held by each non-employee director as of December 31, 2024. RSUs generally vest on the third anniversary of the date of grant.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shd w:val="clear" w:color="auto" w:fill="C6093B"/>
          </w:tcPr>
          <w:p>
            <w:pPr>
              <w:spacing w:after="0"/>
              <w:rPr>
                <w:sz w:val="14"/>
                <w:szCs w:val="14"/>
                <w:color w:val="auto"/>
              </w:rPr>
            </w:pPr>
          </w:p>
        </w:tc>
        <w:tc>
          <w:tcPr>
            <w:tcW w:w="6460" w:type="dxa"/>
            <w:vAlign w:val="bottom"/>
            <w:shd w:val="clear" w:color="auto" w:fill="C6093B"/>
          </w:tcPr>
          <w:p>
            <w:pPr>
              <w:jc w:val="center"/>
              <w:ind w:left="2328"/>
              <w:spacing w:after="0"/>
              <w:rPr>
                <w:sz w:val="20"/>
                <w:szCs w:val="20"/>
                <w:color w:val="auto"/>
              </w:rPr>
            </w:pPr>
            <w:r>
              <w:rPr>
                <w:rFonts w:ascii="Arial" w:cs="Arial" w:eastAsia="Arial" w:hAnsi="Arial"/>
                <w:sz w:val="14"/>
                <w:szCs w:val="14"/>
                <w:b w:val="1"/>
                <w:bCs w:val="1"/>
                <w:color w:val="FFFFFF"/>
              </w:rPr>
              <w:t>Aggregate RSUs Outstanding as</w:t>
            </w:r>
          </w:p>
        </w:tc>
      </w:tr>
      <w:tr>
        <w:trPr>
          <w:trHeight w:val="204"/>
        </w:trPr>
        <w:tc>
          <w:tcPr>
            <w:tcW w:w="4780" w:type="dxa"/>
            <w:vAlign w:val="bottom"/>
            <w:shd w:val="clear" w:color="auto" w:fill="C6093B"/>
          </w:tcPr>
          <w:p>
            <w:pPr>
              <w:ind w:left="20"/>
              <w:spacing w:after="0"/>
              <w:rPr>
                <w:sz w:val="20"/>
                <w:szCs w:val="20"/>
                <w:color w:val="auto"/>
              </w:rPr>
            </w:pPr>
            <w:r>
              <w:rPr>
                <w:rFonts w:ascii="Arial" w:cs="Arial" w:eastAsia="Arial" w:hAnsi="Arial"/>
                <w:sz w:val="14"/>
                <w:szCs w:val="14"/>
                <w:b w:val="1"/>
                <w:bCs w:val="1"/>
                <w:color w:val="FFFFFF"/>
              </w:rPr>
              <w:t>   Name</w:t>
            </w:r>
          </w:p>
        </w:tc>
        <w:tc>
          <w:tcPr>
            <w:tcW w:w="6460" w:type="dxa"/>
            <w:vAlign w:val="bottom"/>
            <w:shd w:val="clear" w:color="auto" w:fill="C6093B"/>
          </w:tcPr>
          <w:p>
            <w:pPr>
              <w:jc w:val="center"/>
              <w:ind w:left="2308"/>
              <w:spacing w:after="0"/>
              <w:rPr>
                <w:sz w:val="20"/>
                <w:szCs w:val="20"/>
                <w:color w:val="auto"/>
              </w:rPr>
            </w:pPr>
            <w:r>
              <w:rPr>
                <w:rFonts w:ascii="Arial" w:cs="Arial" w:eastAsia="Arial" w:hAnsi="Arial"/>
                <w:sz w:val="14"/>
                <w:szCs w:val="14"/>
                <w:b w:val="1"/>
                <w:bCs w:val="1"/>
                <w:color w:val="FFFFFF"/>
              </w:rPr>
              <w:t>of December 31, 2024 (# of shares)</w:t>
            </w:r>
          </w:p>
        </w:tc>
      </w:tr>
      <w:tr>
        <w:trPr>
          <w:trHeight w:val="62"/>
        </w:trPr>
        <w:tc>
          <w:tcPr>
            <w:tcW w:w="4780" w:type="dxa"/>
            <w:vAlign w:val="bottom"/>
            <w:shd w:val="clear" w:color="auto" w:fill="C60C35"/>
          </w:tcPr>
          <w:p>
            <w:pPr>
              <w:spacing w:after="0"/>
              <w:rPr>
                <w:sz w:val="5"/>
                <w:szCs w:val="5"/>
                <w:color w:val="auto"/>
              </w:rPr>
            </w:pPr>
          </w:p>
        </w:tc>
        <w:tc>
          <w:tcPr>
            <w:tcW w:w="6460" w:type="dxa"/>
            <w:vAlign w:val="bottom"/>
            <w:shd w:val="clear" w:color="auto" w:fill="C60C35"/>
          </w:tcPr>
          <w:p>
            <w:pPr>
              <w:spacing w:after="0"/>
              <w:rPr>
                <w:sz w:val="5"/>
                <w:szCs w:val="5"/>
                <w:color w:val="auto"/>
              </w:rPr>
            </w:pPr>
          </w:p>
        </w:tc>
      </w:tr>
      <w:tr>
        <w:trPr>
          <w:trHeight w:val="210"/>
        </w:trPr>
        <w:tc>
          <w:tcPr>
            <w:tcW w:w="47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Sherry L. Buck</w:t>
            </w:r>
          </w:p>
        </w:tc>
        <w:tc>
          <w:tcPr>
            <w:tcW w:w="6460" w:type="dxa"/>
            <w:vAlign w:val="bottom"/>
            <w:tcBorders>
              <w:bottom w:val="single" w:sz="8" w:color="F2F2F2"/>
            </w:tcBorders>
            <w:shd w:val="clear" w:color="auto" w:fill="F2F2F2"/>
          </w:tcPr>
          <w:p>
            <w:pPr>
              <w:jc w:val="center"/>
              <w:ind w:left="2308"/>
              <w:spacing w:after="0"/>
              <w:rPr>
                <w:sz w:val="20"/>
                <w:szCs w:val="20"/>
                <w:color w:val="auto"/>
              </w:rPr>
            </w:pPr>
            <w:r>
              <w:rPr>
                <w:rFonts w:ascii="Arial" w:cs="Arial" w:eastAsia="Arial" w:hAnsi="Arial"/>
                <w:sz w:val="14"/>
                <w:szCs w:val="14"/>
                <w:color w:val="auto"/>
              </w:rPr>
              <w:t>567</w:t>
            </w:r>
          </w:p>
        </w:tc>
      </w:tr>
      <w:tr>
        <w:trPr>
          <w:trHeight w:val="208"/>
        </w:trPr>
        <w:tc>
          <w:tcPr>
            <w:tcW w:w="4780" w:type="dxa"/>
            <w:vAlign w:val="bottom"/>
          </w:tcPr>
          <w:p>
            <w:pPr>
              <w:ind w:left="100"/>
              <w:spacing w:after="0"/>
              <w:rPr>
                <w:sz w:val="20"/>
                <w:szCs w:val="20"/>
                <w:color w:val="auto"/>
              </w:rPr>
            </w:pPr>
            <w:r>
              <w:rPr>
                <w:rFonts w:ascii="Arial" w:cs="Arial" w:eastAsia="Arial" w:hAnsi="Arial"/>
                <w:sz w:val="14"/>
                <w:szCs w:val="14"/>
                <w:color w:val="auto"/>
              </w:rPr>
              <w:t>Janet K. Cooper</w:t>
            </w:r>
          </w:p>
        </w:tc>
        <w:tc>
          <w:tcPr>
            <w:tcW w:w="6460" w:type="dxa"/>
            <w:vAlign w:val="bottom"/>
          </w:tcPr>
          <w:p>
            <w:pPr>
              <w:jc w:val="center"/>
              <w:ind w:left="2308"/>
              <w:spacing w:after="0"/>
              <w:rPr>
                <w:sz w:val="20"/>
                <w:szCs w:val="20"/>
                <w:color w:val="auto"/>
              </w:rPr>
            </w:pPr>
            <w:r>
              <w:rPr>
                <w:rFonts w:ascii="Arial" w:cs="Arial" w:eastAsia="Arial" w:hAnsi="Arial"/>
                <w:sz w:val="14"/>
                <w:szCs w:val="14"/>
                <w:color w:val="auto"/>
              </w:rPr>
              <w:t>567</w:t>
            </w:r>
          </w:p>
        </w:tc>
      </w:tr>
      <w:tr>
        <w:trPr>
          <w:trHeight w:val="22"/>
        </w:trPr>
        <w:tc>
          <w:tcPr>
            <w:tcW w:w="47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10"/>
        </w:trPr>
        <w:tc>
          <w:tcPr>
            <w:tcW w:w="47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John W. Norris, III</w:t>
            </w:r>
          </w:p>
        </w:tc>
        <w:tc>
          <w:tcPr>
            <w:tcW w:w="6460" w:type="dxa"/>
            <w:vAlign w:val="bottom"/>
            <w:tcBorders>
              <w:bottom w:val="single" w:sz="8" w:color="F2F2F2"/>
            </w:tcBorders>
            <w:shd w:val="clear" w:color="auto" w:fill="F2F2F2"/>
          </w:tcPr>
          <w:p>
            <w:pPr>
              <w:jc w:val="center"/>
              <w:ind w:left="2308"/>
              <w:spacing w:after="0"/>
              <w:rPr>
                <w:sz w:val="20"/>
                <w:szCs w:val="20"/>
                <w:color w:val="auto"/>
              </w:rPr>
            </w:pPr>
            <w:r>
              <w:rPr>
                <w:rFonts w:ascii="Arial" w:cs="Arial" w:eastAsia="Arial" w:hAnsi="Arial"/>
                <w:sz w:val="14"/>
                <w:szCs w:val="14"/>
                <w:color w:val="auto"/>
              </w:rPr>
              <w:t>567</w:t>
            </w:r>
          </w:p>
        </w:tc>
      </w:tr>
      <w:tr>
        <w:trPr>
          <w:trHeight w:val="208"/>
        </w:trPr>
        <w:tc>
          <w:tcPr>
            <w:tcW w:w="4780" w:type="dxa"/>
            <w:vAlign w:val="bottom"/>
          </w:tcPr>
          <w:p>
            <w:pPr>
              <w:ind w:left="100"/>
              <w:spacing w:after="0"/>
              <w:rPr>
                <w:sz w:val="20"/>
                <w:szCs w:val="20"/>
                <w:color w:val="auto"/>
              </w:rPr>
            </w:pPr>
            <w:r>
              <w:rPr>
                <w:rFonts w:ascii="Arial" w:cs="Arial" w:eastAsia="Arial" w:hAnsi="Arial"/>
                <w:sz w:val="14"/>
                <w:szCs w:val="14"/>
                <w:color w:val="auto"/>
              </w:rPr>
              <w:t>Karen H. Quintos</w:t>
            </w:r>
          </w:p>
        </w:tc>
        <w:tc>
          <w:tcPr>
            <w:tcW w:w="6460" w:type="dxa"/>
            <w:vAlign w:val="bottom"/>
          </w:tcPr>
          <w:p>
            <w:pPr>
              <w:jc w:val="center"/>
              <w:ind w:left="2308"/>
              <w:spacing w:after="0"/>
              <w:rPr>
                <w:sz w:val="20"/>
                <w:szCs w:val="20"/>
                <w:color w:val="auto"/>
              </w:rPr>
            </w:pPr>
            <w:r>
              <w:rPr>
                <w:rFonts w:ascii="Arial" w:cs="Arial" w:eastAsia="Arial" w:hAnsi="Arial"/>
                <w:sz w:val="14"/>
                <w:szCs w:val="14"/>
                <w:color w:val="auto"/>
              </w:rPr>
              <w:t>567</w:t>
            </w:r>
          </w:p>
        </w:tc>
      </w:tr>
      <w:tr>
        <w:trPr>
          <w:trHeight w:val="22"/>
        </w:trPr>
        <w:tc>
          <w:tcPr>
            <w:tcW w:w="47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10"/>
        </w:trPr>
        <w:tc>
          <w:tcPr>
            <w:tcW w:w="47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Kim K.W. Rucker</w:t>
            </w:r>
          </w:p>
        </w:tc>
        <w:tc>
          <w:tcPr>
            <w:tcW w:w="6460" w:type="dxa"/>
            <w:vAlign w:val="bottom"/>
            <w:tcBorders>
              <w:bottom w:val="single" w:sz="8" w:color="F2F2F2"/>
            </w:tcBorders>
            <w:shd w:val="clear" w:color="auto" w:fill="F2F2F2"/>
          </w:tcPr>
          <w:p>
            <w:pPr>
              <w:jc w:val="center"/>
              <w:ind w:left="2308"/>
              <w:spacing w:after="0"/>
              <w:rPr>
                <w:sz w:val="20"/>
                <w:szCs w:val="20"/>
                <w:color w:val="auto"/>
              </w:rPr>
            </w:pPr>
            <w:r>
              <w:rPr>
                <w:rFonts w:ascii="Arial" w:cs="Arial" w:eastAsia="Arial" w:hAnsi="Arial"/>
                <w:sz w:val="14"/>
                <w:szCs w:val="14"/>
                <w:color w:val="auto"/>
              </w:rPr>
              <w:t>—</w:t>
            </w:r>
          </w:p>
        </w:tc>
      </w:tr>
      <w:tr>
        <w:trPr>
          <w:trHeight w:val="208"/>
        </w:trPr>
        <w:tc>
          <w:tcPr>
            <w:tcW w:w="4780" w:type="dxa"/>
            <w:vAlign w:val="bottom"/>
          </w:tcPr>
          <w:p>
            <w:pPr>
              <w:ind w:left="100"/>
              <w:spacing w:after="0"/>
              <w:rPr>
                <w:sz w:val="20"/>
                <w:szCs w:val="20"/>
                <w:color w:val="auto"/>
              </w:rPr>
            </w:pPr>
            <w:r>
              <w:rPr>
                <w:rFonts w:ascii="Arial" w:cs="Arial" w:eastAsia="Arial" w:hAnsi="Arial"/>
                <w:sz w:val="14"/>
                <w:szCs w:val="14"/>
                <w:color w:val="auto"/>
              </w:rPr>
              <w:t>Soma Somasundaram</w:t>
            </w:r>
          </w:p>
        </w:tc>
        <w:tc>
          <w:tcPr>
            <w:tcW w:w="6460" w:type="dxa"/>
            <w:vAlign w:val="bottom"/>
          </w:tcPr>
          <w:p>
            <w:pPr>
              <w:jc w:val="center"/>
              <w:ind w:left="2308"/>
              <w:spacing w:after="0"/>
              <w:rPr>
                <w:sz w:val="20"/>
                <w:szCs w:val="20"/>
                <w:color w:val="auto"/>
              </w:rPr>
            </w:pPr>
            <w:r>
              <w:rPr>
                <w:rFonts w:ascii="Arial" w:cs="Arial" w:eastAsia="Arial" w:hAnsi="Arial"/>
                <w:sz w:val="14"/>
                <w:szCs w:val="14"/>
                <w:color w:val="auto"/>
              </w:rPr>
              <w:t>—</w:t>
            </w:r>
          </w:p>
        </w:tc>
      </w:tr>
      <w:tr>
        <w:trPr>
          <w:trHeight w:val="22"/>
        </w:trPr>
        <w:tc>
          <w:tcPr>
            <w:tcW w:w="47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10"/>
        </w:trPr>
        <w:tc>
          <w:tcPr>
            <w:tcW w:w="47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Gregory T. Swienton</w:t>
            </w:r>
          </w:p>
        </w:tc>
        <w:tc>
          <w:tcPr>
            <w:tcW w:w="6460" w:type="dxa"/>
            <w:vAlign w:val="bottom"/>
            <w:tcBorders>
              <w:bottom w:val="single" w:sz="8" w:color="F2F2F2"/>
            </w:tcBorders>
            <w:shd w:val="clear" w:color="auto" w:fill="F2F2F2"/>
          </w:tcPr>
          <w:p>
            <w:pPr>
              <w:jc w:val="center"/>
              <w:ind w:left="2308"/>
              <w:spacing w:after="0"/>
              <w:rPr>
                <w:sz w:val="20"/>
                <w:szCs w:val="20"/>
                <w:color w:val="auto"/>
              </w:rPr>
            </w:pPr>
            <w:r>
              <w:rPr>
                <w:rFonts w:ascii="Arial" w:cs="Arial" w:eastAsia="Arial" w:hAnsi="Arial"/>
                <w:sz w:val="14"/>
                <w:szCs w:val="14"/>
                <w:color w:val="auto"/>
              </w:rPr>
              <w:t>567</w:t>
            </w:r>
          </w:p>
        </w:tc>
      </w:tr>
      <w:tr>
        <w:trPr>
          <w:trHeight w:val="208"/>
        </w:trPr>
        <w:tc>
          <w:tcPr>
            <w:tcW w:w="4780" w:type="dxa"/>
            <w:vAlign w:val="bottom"/>
          </w:tcPr>
          <w:p>
            <w:pPr>
              <w:ind w:left="100"/>
              <w:spacing w:after="0"/>
              <w:rPr>
                <w:sz w:val="20"/>
                <w:szCs w:val="20"/>
                <w:color w:val="auto"/>
              </w:rPr>
            </w:pPr>
            <w:r>
              <w:rPr>
                <w:rFonts w:ascii="Arial" w:cs="Arial" w:eastAsia="Arial" w:hAnsi="Arial"/>
                <w:sz w:val="14"/>
                <w:szCs w:val="14"/>
                <w:color w:val="auto"/>
              </w:rPr>
              <w:t>Todd J. Teske</w:t>
            </w:r>
          </w:p>
        </w:tc>
        <w:tc>
          <w:tcPr>
            <w:tcW w:w="6460" w:type="dxa"/>
            <w:vAlign w:val="bottom"/>
          </w:tcPr>
          <w:p>
            <w:pPr>
              <w:jc w:val="center"/>
              <w:ind w:left="2308"/>
              <w:spacing w:after="0"/>
              <w:rPr>
                <w:sz w:val="20"/>
                <w:szCs w:val="20"/>
                <w:color w:val="auto"/>
              </w:rPr>
            </w:pPr>
            <w:r>
              <w:rPr>
                <w:rFonts w:ascii="Arial" w:cs="Arial" w:eastAsia="Arial" w:hAnsi="Arial"/>
                <w:sz w:val="14"/>
                <w:szCs w:val="14"/>
                <w:color w:val="auto"/>
              </w:rPr>
              <w:t>567</w:t>
            </w:r>
          </w:p>
        </w:tc>
      </w:tr>
      <w:tr>
        <w:trPr>
          <w:trHeight w:val="22"/>
        </w:trPr>
        <w:tc>
          <w:tcPr>
            <w:tcW w:w="47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10"/>
        </w:trPr>
        <w:tc>
          <w:tcPr>
            <w:tcW w:w="47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Jon Vander Ark</w:t>
            </w:r>
          </w:p>
        </w:tc>
        <w:tc>
          <w:tcPr>
            <w:tcW w:w="6460" w:type="dxa"/>
            <w:vAlign w:val="bottom"/>
            <w:tcBorders>
              <w:bottom w:val="single" w:sz="8" w:color="F2F2F2"/>
            </w:tcBorders>
            <w:shd w:val="clear" w:color="auto" w:fill="F2F2F2"/>
          </w:tcPr>
          <w:p>
            <w:pPr>
              <w:jc w:val="center"/>
              <w:ind w:left="2308"/>
              <w:spacing w:after="0"/>
              <w:rPr>
                <w:sz w:val="20"/>
                <w:szCs w:val="20"/>
                <w:color w:val="auto"/>
              </w:rPr>
            </w:pPr>
            <w:r>
              <w:rPr>
                <w:rFonts w:ascii="Arial" w:cs="Arial" w:eastAsia="Arial" w:hAnsi="Arial"/>
                <w:sz w:val="14"/>
                <w:szCs w:val="14"/>
                <w:color w:val="auto"/>
              </w:rPr>
              <w:t>—</w:t>
            </w:r>
          </w:p>
        </w:tc>
      </w:tr>
      <w:tr>
        <w:trPr>
          <w:trHeight w:val="208"/>
        </w:trPr>
        <w:tc>
          <w:tcPr>
            <w:tcW w:w="4780" w:type="dxa"/>
            <w:vAlign w:val="bottom"/>
          </w:tcPr>
          <w:p>
            <w:pPr>
              <w:ind w:left="100"/>
              <w:spacing w:after="0"/>
              <w:rPr>
                <w:sz w:val="20"/>
                <w:szCs w:val="20"/>
                <w:color w:val="auto"/>
              </w:rPr>
            </w:pPr>
            <w:r>
              <w:rPr>
                <w:rFonts w:ascii="Arial" w:cs="Arial" w:eastAsia="Arial" w:hAnsi="Arial"/>
                <w:sz w:val="14"/>
                <w:szCs w:val="14"/>
                <w:color w:val="auto"/>
              </w:rPr>
              <w:t>Shane D. Wall</w:t>
            </w:r>
          </w:p>
        </w:tc>
        <w:tc>
          <w:tcPr>
            <w:tcW w:w="6460" w:type="dxa"/>
            <w:vAlign w:val="bottom"/>
          </w:tcPr>
          <w:p>
            <w:pPr>
              <w:jc w:val="center"/>
              <w:ind w:left="2308"/>
              <w:spacing w:after="0"/>
              <w:rPr>
                <w:sz w:val="20"/>
                <w:szCs w:val="20"/>
                <w:color w:val="auto"/>
              </w:rPr>
            </w:pPr>
            <w:r>
              <w:rPr>
                <w:rFonts w:ascii="Arial" w:cs="Arial" w:eastAsia="Arial" w:hAnsi="Arial"/>
                <w:sz w:val="14"/>
                <w:szCs w:val="14"/>
                <w:color w:val="auto"/>
              </w:rPr>
              <w:t>567</w:t>
            </w:r>
          </w:p>
        </w:tc>
      </w:tr>
    </w:tbl>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ind w:left="4260"/>
        <w:spacing w:after="0"/>
        <w:rPr>
          <w:sz w:val="20"/>
          <w:szCs w:val="20"/>
          <w:color w:val="auto"/>
        </w:rPr>
      </w:pPr>
      <w:r>
        <w:rPr>
          <w:rFonts w:ascii="Arial" w:cs="Arial" w:eastAsia="Arial" w:hAnsi="Arial"/>
          <w:sz w:val="29"/>
          <w:szCs w:val="29"/>
          <w:b w:val="1"/>
          <w:bCs w:val="1"/>
          <w:color w:val="C6093B"/>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41275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-206375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current executive officers, their present positions, and their ages are as follows as of April 9, 2025:</w:t>
      </w:r>
    </w:p>
    <w:p>
      <w:pPr>
        <w:spacing w:after="0" w:line="144"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Alok Maskara</w:t>
      </w:r>
      <w:r>
        <w:rPr>
          <w:sz w:val="20"/>
          <w:szCs w:val="20"/>
          <w:color w:val="auto"/>
        </w:rPr>
        <w:tab/>
      </w:r>
      <w:r>
        <w:rPr>
          <w:rFonts w:ascii="Arial" w:cs="Arial" w:eastAsia="Arial" w:hAnsi="Arial"/>
          <w:sz w:val="18"/>
          <w:szCs w:val="18"/>
          <w:color w:val="FFFFFF"/>
        </w:rPr>
        <w:t>54</w:t>
      </w:r>
      <w:r>
        <w:rPr>
          <w:sz w:val="20"/>
          <w:szCs w:val="20"/>
          <w:color w:val="auto"/>
        </w:rPr>
        <w:tab/>
      </w:r>
      <w:r>
        <w:rPr>
          <w:rFonts w:ascii="Arial" w:cs="Arial" w:eastAsia="Arial" w:hAnsi="Arial"/>
          <w:sz w:val="18"/>
          <w:szCs w:val="18"/>
          <w:color w:val="FFFF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8"/>
          <w:szCs w:val="18"/>
          <w:color w:val="auto"/>
        </w:rPr>
        <w:t>Chief Executive Officer (2022 -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8"/>
          <w:szCs w:val="18"/>
          <w:color w:val="auto"/>
        </w:rPr>
        <w:t>Chief Executive Officer, Luxfer Holdings PLC (2017 - 2022)</w:t>
      </w:r>
    </w:p>
    <w:p>
      <w:pPr>
        <w:spacing w:after="0" w:line="63" w:lineRule="exact"/>
        <w:rPr>
          <w:rFonts w:ascii="Arial" w:cs="Arial" w:eastAsia="Arial" w:hAnsi="Arial"/>
          <w:sz w:val="14"/>
          <w:szCs w:val="14"/>
          <w:color w:val="auto"/>
        </w:rPr>
      </w:pPr>
    </w:p>
    <w:p>
      <w:pPr>
        <w:ind w:left="580" w:hanging="57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8"/>
          <w:szCs w:val="18"/>
          <w:color w:val="auto"/>
        </w:rPr>
        <w:t>Director, Franklin Electric Co., Inc. (2021 - present)</w:t>
      </w:r>
    </w:p>
    <w:p>
      <w:pPr>
        <w:spacing w:after="0" w:line="320"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Michael P. Quenzer</w:t>
      </w:r>
      <w:r>
        <w:rPr>
          <w:sz w:val="20"/>
          <w:szCs w:val="20"/>
          <w:color w:val="auto"/>
        </w:rPr>
        <w:tab/>
      </w:r>
      <w:r>
        <w:rPr>
          <w:rFonts w:ascii="Arial" w:cs="Arial" w:eastAsia="Arial" w:hAnsi="Arial"/>
          <w:sz w:val="18"/>
          <w:szCs w:val="18"/>
          <w:color w:val="FFFFFF"/>
        </w:rPr>
        <w:t>47</w:t>
      </w:r>
      <w:r>
        <w:rPr>
          <w:sz w:val="20"/>
          <w:szCs w:val="20"/>
          <w:color w:val="auto"/>
        </w:rPr>
        <w:tab/>
      </w:r>
      <w:r>
        <w:rPr>
          <w:rFonts w:ascii="Arial" w:cs="Arial" w:eastAsia="Arial" w:hAnsi="Arial"/>
          <w:sz w:val="17"/>
          <w:szCs w:val="17"/>
          <w:color w:val="FFFFFF"/>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8"/>
          <w:szCs w:val="18"/>
          <w:color w:val="auto"/>
        </w:rPr>
        <w:t>Executive Vice President and Chief Financial Officer (2024 -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8"/>
          <w:szCs w:val="18"/>
          <w:color w:val="auto"/>
        </w:rPr>
        <w:t>Vice President, Financial Planning &amp; Analysis and Investor Relations (2023)</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8"/>
          <w:szCs w:val="18"/>
          <w:color w:val="auto"/>
        </w:rPr>
        <w:t>Chief Financial Officer, Commercial segment (2016 - 2022)</w:t>
      </w:r>
    </w:p>
    <w:p>
      <w:pPr>
        <w:spacing w:after="0" w:line="320"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Gary S. Bedard</w:t>
      </w:r>
      <w:r>
        <w:rPr>
          <w:sz w:val="20"/>
          <w:szCs w:val="20"/>
          <w:color w:val="auto"/>
        </w:rPr>
        <w:tab/>
      </w:r>
      <w:r>
        <w:rPr>
          <w:rFonts w:ascii="Arial" w:cs="Arial" w:eastAsia="Arial" w:hAnsi="Arial"/>
          <w:sz w:val="18"/>
          <w:szCs w:val="18"/>
          <w:color w:val="FFFFFF"/>
        </w:rPr>
        <w:t>60</w:t>
      </w:r>
      <w:r>
        <w:rPr>
          <w:sz w:val="20"/>
          <w:szCs w:val="20"/>
          <w:color w:val="auto"/>
        </w:rPr>
        <w:tab/>
      </w:r>
      <w:r>
        <w:rPr>
          <w:rFonts w:ascii="Arial" w:cs="Arial" w:eastAsia="Arial" w:hAnsi="Arial"/>
          <w:sz w:val="18"/>
          <w:szCs w:val="18"/>
          <w:color w:val="FFFFFF"/>
        </w:rPr>
        <w:t>Executive Vice President &amp; President, Home Comfort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8"/>
          <w:szCs w:val="18"/>
          <w:color w:val="auto"/>
        </w:rPr>
        <w:t>Executive Vice President &amp; President, Home Comfort Solutions (2023 - present)</w:t>
      </w:r>
    </w:p>
    <w:p>
      <w:pPr>
        <w:spacing w:after="0" w:line="63" w:lineRule="exact"/>
        <w:rPr>
          <w:rFonts w:ascii="Arial" w:cs="Arial" w:eastAsia="Arial" w:hAnsi="Arial"/>
          <w:sz w:val="14"/>
          <w:szCs w:val="14"/>
          <w:color w:val="auto"/>
        </w:rPr>
      </w:pPr>
    </w:p>
    <w:p>
      <w:pPr>
        <w:ind w:left="580" w:hanging="57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8"/>
          <w:szCs w:val="18"/>
          <w:color w:val="auto"/>
        </w:rPr>
        <w:t>Executive Vice President &amp; President, Worldwide Refrigeration business (2017 - 2022)</w:t>
      </w:r>
    </w:p>
    <w:p>
      <w:pPr>
        <w:spacing w:after="0" w:line="212"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Prakash Bedapudi</w:t>
      </w:r>
      <w:r>
        <w:rPr>
          <w:sz w:val="20"/>
          <w:szCs w:val="20"/>
          <w:color w:val="auto"/>
        </w:rPr>
        <w:tab/>
      </w:r>
      <w:r>
        <w:rPr>
          <w:rFonts w:ascii="Arial" w:cs="Arial" w:eastAsia="Arial" w:hAnsi="Arial"/>
          <w:sz w:val="18"/>
          <w:szCs w:val="18"/>
          <w:color w:val="FFFFFF"/>
        </w:rPr>
        <w:t>58</w:t>
      </w:r>
      <w:r>
        <w:rPr>
          <w:sz w:val="20"/>
          <w:szCs w:val="20"/>
          <w:color w:val="auto"/>
        </w:rPr>
        <w:tab/>
      </w:r>
      <w:r>
        <w:rPr>
          <w:rFonts w:ascii="Arial" w:cs="Arial" w:eastAsia="Arial" w:hAnsi="Arial"/>
          <w:sz w:val="17"/>
          <w:szCs w:val="17"/>
          <w:color w:val="FFFFFF"/>
        </w:rPr>
        <w:t>Executive Vice President,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8"/>
          <w:szCs w:val="18"/>
          <w:color w:val="auto"/>
        </w:rPr>
        <w:t>Executive Vice President, Chief Technology Officer (2008 - present)</w:t>
      </w:r>
    </w:p>
    <w:p>
      <w:pPr>
        <w:spacing w:after="0" w:line="320"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Monica M. Brown</w:t>
      </w:r>
      <w:r>
        <w:rPr>
          <w:sz w:val="20"/>
          <w:szCs w:val="20"/>
          <w:color w:val="auto"/>
        </w:rPr>
        <w:tab/>
      </w:r>
      <w:r>
        <w:rPr>
          <w:rFonts w:ascii="Arial" w:cs="Arial" w:eastAsia="Arial" w:hAnsi="Arial"/>
          <w:sz w:val="18"/>
          <w:szCs w:val="18"/>
          <w:color w:val="FFFFFF"/>
        </w:rPr>
        <w:t>52</w:t>
      </w:r>
      <w:r>
        <w:rPr>
          <w:sz w:val="20"/>
          <w:szCs w:val="20"/>
          <w:color w:val="auto"/>
        </w:rPr>
        <w:tab/>
      </w:r>
      <w:r>
        <w:rPr>
          <w:rFonts w:ascii="Arial" w:cs="Arial" w:eastAsia="Arial" w:hAnsi="Arial"/>
          <w:sz w:val="17"/>
          <w:szCs w:val="17"/>
          <w:color w:val="FFFFFF"/>
        </w:rPr>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8"/>
          <w:szCs w:val="18"/>
          <w:color w:val="auto"/>
        </w:rPr>
        <w:t>Executive Vice President, Chief Legal Officer and Secretary (January 2025 -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8"/>
          <w:szCs w:val="18"/>
          <w:color w:val="auto"/>
        </w:rPr>
        <w:t>Vice President, Deputy General Counsel, and Assistant Secretary (2023 - 2024)</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8"/>
          <w:szCs w:val="18"/>
          <w:color w:val="auto"/>
        </w:rPr>
        <w:t>Assistant General Counsel, Securities and Assistant Secretary (2021 - 2023)</w:t>
      </w:r>
    </w:p>
    <w:p>
      <w:pPr>
        <w:spacing w:after="0" w:line="63" w:lineRule="exact"/>
        <w:rPr>
          <w:rFonts w:ascii="Arial" w:cs="Arial" w:eastAsia="Arial" w:hAnsi="Arial"/>
          <w:sz w:val="14"/>
          <w:szCs w:val="14"/>
          <w:color w:val="auto"/>
        </w:rPr>
      </w:pPr>
    </w:p>
    <w:p>
      <w:pPr>
        <w:ind w:left="580" w:hanging="573"/>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8"/>
          <w:szCs w:val="18"/>
          <w:color w:val="auto"/>
        </w:rPr>
        <w:t>Assistant General Counsel, Worldwide Refrigeration (2016 - 2021)</w:t>
      </w:r>
    </w:p>
    <w:p>
      <w:pPr>
        <w:spacing w:after="0" w:line="306"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Chris A. Kosel</w:t>
      </w:r>
      <w:r>
        <w:rPr>
          <w:sz w:val="20"/>
          <w:szCs w:val="20"/>
          <w:color w:val="auto"/>
        </w:rPr>
        <w:tab/>
      </w:r>
      <w:r>
        <w:rPr>
          <w:rFonts w:ascii="Arial" w:cs="Arial" w:eastAsia="Arial" w:hAnsi="Arial"/>
          <w:sz w:val="18"/>
          <w:szCs w:val="18"/>
          <w:color w:val="FFFFFF"/>
        </w:rPr>
        <w:t>58</w:t>
      </w:r>
      <w:r>
        <w:rPr>
          <w:sz w:val="20"/>
          <w:szCs w:val="20"/>
          <w:color w:val="auto"/>
        </w:rPr>
        <w:tab/>
      </w:r>
      <w:r>
        <w:rPr>
          <w:rFonts w:ascii="Arial" w:cs="Arial" w:eastAsia="Arial" w:hAnsi="Arial"/>
          <w:sz w:val="17"/>
          <w:szCs w:val="17"/>
          <w:color w:val="FFFFFF"/>
        </w:rPr>
        <w:t>Vice President, Chief Accounting Officer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50"/>
        </w:numPr>
        <w:rPr>
          <w:rFonts w:ascii="Arial" w:cs="Arial" w:eastAsia="Arial" w:hAnsi="Arial"/>
          <w:sz w:val="14"/>
          <w:szCs w:val="14"/>
          <w:color w:val="auto"/>
        </w:rPr>
      </w:pPr>
      <w:r>
        <w:rPr>
          <w:rFonts w:ascii="Arial" w:cs="Arial" w:eastAsia="Arial" w:hAnsi="Arial"/>
          <w:sz w:val="18"/>
          <w:szCs w:val="18"/>
          <w:color w:val="auto"/>
        </w:rPr>
        <w:t>Vice President, Chief Accounting Officer and Controller (2017 - present)</w:t>
      </w:r>
    </w:p>
    <w:p>
      <w:pPr>
        <w:spacing w:after="0" w:line="320"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Joseph S. Nassab</w:t>
      </w:r>
      <w:r>
        <w:rPr>
          <w:sz w:val="20"/>
          <w:szCs w:val="20"/>
          <w:color w:val="auto"/>
        </w:rPr>
        <w:tab/>
      </w:r>
      <w:r>
        <w:rPr>
          <w:rFonts w:ascii="Arial" w:cs="Arial" w:eastAsia="Arial" w:hAnsi="Arial"/>
          <w:sz w:val="18"/>
          <w:szCs w:val="18"/>
          <w:color w:val="FFFFFF"/>
        </w:rPr>
        <w:t>58</w:t>
      </w:r>
      <w:r>
        <w:rPr>
          <w:sz w:val="20"/>
          <w:szCs w:val="20"/>
          <w:color w:val="auto"/>
        </w:rPr>
        <w:tab/>
      </w:r>
      <w:r>
        <w:rPr>
          <w:rFonts w:ascii="Arial" w:cs="Arial" w:eastAsia="Arial" w:hAnsi="Arial"/>
          <w:sz w:val="17"/>
          <w:szCs w:val="17"/>
          <w:color w:val="FFFFFF"/>
        </w:rPr>
        <w:t>Executive Vice President &amp; President, Building Climate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51"/>
        </w:numPr>
        <w:rPr>
          <w:rFonts w:ascii="Arial" w:cs="Arial" w:eastAsia="Arial" w:hAnsi="Arial"/>
          <w:sz w:val="14"/>
          <w:szCs w:val="14"/>
          <w:color w:val="auto"/>
        </w:rPr>
      </w:pPr>
      <w:r>
        <w:rPr>
          <w:rFonts w:ascii="Arial" w:cs="Arial" w:eastAsia="Arial" w:hAnsi="Arial"/>
          <w:sz w:val="18"/>
          <w:szCs w:val="18"/>
          <w:color w:val="auto"/>
        </w:rPr>
        <w:t>Executive Vice President &amp; President, Building Climate Solutions (2022 -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51"/>
        </w:numPr>
        <w:rPr>
          <w:rFonts w:ascii="Arial" w:cs="Arial" w:eastAsia="Arial" w:hAnsi="Arial"/>
          <w:sz w:val="14"/>
          <w:szCs w:val="14"/>
          <w:color w:val="auto"/>
        </w:rPr>
      </w:pPr>
      <w:r>
        <w:rPr>
          <w:rFonts w:ascii="Arial" w:cs="Arial" w:eastAsia="Arial" w:hAnsi="Arial"/>
          <w:sz w:val="18"/>
          <w:szCs w:val="18"/>
          <w:color w:val="auto"/>
        </w:rPr>
        <w:t>Vice President and General Manager, Allied Air (2010 - 2022)</w:t>
      </w:r>
    </w:p>
    <w:p>
      <w:pPr>
        <w:spacing w:after="0" w:line="333"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Daniel M. Sessa</w:t>
      </w:r>
      <w:r>
        <w:rPr>
          <w:sz w:val="20"/>
          <w:szCs w:val="20"/>
          <w:color w:val="auto"/>
        </w:rPr>
        <w:tab/>
      </w:r>
      <w:r>
        <w:rPr>
          <w:rFonts w:ascii="Arial" w:cs="Arial" w:eastAsia="Arial" w:hAnsi="Arial"/>
          <w:sz w:val="18"/>
          <w:szCs w:val="18"/>
          <w:color w:val="FFFFFF"/>
        </w:rPr>
        <w:t>60</w:t>
      </w:r>
      <w:r>
        <w:rPr>
          <w:sz w:val="20"/>
          <w:szCs w:val="20"/>
          <w:color w:val="auto"/>
        </w:rPr>
        <w:tab/>
      </w:r>
      <w:r>
        <w:rPr>
          <w:rFonts w:ascii="Arial" w:cs="Arial" w:eastAsia="Arial" w:hAnsi="Arial"/>
          <w:sz w:val="17"/>
          <w:szCs w:val="17"/>
          <w:color w:val="FFFFFF"/>
        </w:rPr>
        <w:t>Executive Vice President,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8"/>
          <w:szCs w:val="18"/>
          <w:color w:val="auto"/>
        </w:rPr>
        <w:t>Executive Vice President, Chief Human Resources Officer (2007 - present)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7"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167640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807"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29"/>
          <w:szCs w:val="29"/>
          <w:b w:val="1"/>
          <w:bCs w:val="1"/>
          <w:color w:val="C6093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60C35"/>
        </w:rPr>
        <w:t>Compensation Discussion and Analysis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2024 CD&amp;A At-A-Glance</w:t>
      </w:r>
    </w:p>
    <w:p>
      <w:pPr>
        <w:spacing w:after="0" w:line="10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This Compensation Discussion and Analysis (“CD&amp;A”) reviews the philosophy, objectives, and elements of our executive compensation program, and describes the 2024 compensation of our named executive officers (“NEOs”). It also describes the process followed by the Committee for making pay decisions, as well as its rationale for specific pay decisions for 2024 executive compensation.</w:t>
      </w:r>
    </w:p>
    <w:p>
      <w:pPr>
        <w:spacing w:after="0" w:line="108" w:lineRule="exact"/>
        <w:rPr>
          <w:sz w:val="20"/>
          <w:szCs w:val="20"/>
          <w:color w:val="auto"/>
        </w:rPr>
      </w:pPr>
    </w:p>
    <w:p>
      <w:pPr>
        <w:jc w:val="both"/>
        <w:ind w:right="520" w:firstLine="324"/>
        <w:spacing w:after="0" w:line="252" w:lineRule="auto"/>
        <w:rPr>
          <w:sz w:val="20"/>
          <w:szCs w:val="20"/>
          <w:color w:val="auto"/>
        </w:rPr>
      </w:pPr>
      <w:r>
        <w:rPr>
          <w:rFonts w:ascii="Arial" w:cs="Arial" w:eastAsia="Arial" w:hAnsi="Arial"/>
          <w:sz w:val="18"/>
          <w:szCs w:val="18"/>
          <w:color w:val="auto"/>
        </w:rPr>
        <w:t>At our 2024 Annual Meeting of Stockholders, the advisory vote to approve the compensation of the Company’s NEOs received the approval of approximately 97% of the stockholders voting for or against this proposal. The Committee considered this vote to represent strong overall support for our NEO compensation program, and it did not make any changes to our executive compensation policies or practices that were significantly driven by the results of the vote.</w:t>
      </w:r>
    </w:p>
    <w:p>
      <w:pPr>
        <w:spacing w:after="0" w:line="116"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business continued to strengthen in 2024 with the Company delivering year-over-year revenue growth of 7% and up 13% for core operations. Record Company performance in 2024 resulted in STI and LTI payouts above target with a strong pay-for-performance relationship resulting in total shareholder return (“TSR”) of 37%. Operating profit margin was up 350 basis points and adjusted segment profit margin was up 150 basis points; net income increased 37% to $807 million and adjusted net income increased 26% to $808 million; and operating cash flow increased 28% to $946 million. For non-GAAP results, see reconciliation in Appendix A.</w:t>
      </w:r>
    </w:p>
    <w:p>
      <w:pPr>
        <w:spacing w:after="0" w:line="119" w:lineRule="exact"/>
        <w:rPr>
          <w:sz w:val="20"/>
          <w:szCs w:val="20"/>
          <w:color w:val="auto"/>
        </w:rPr>
      </w:pPr>
    </w:p>
    <w:p>
      <w:pPr>
        <w:ind w:right="940" w:firstLine="324"/>
        <w:spacing w:after="0" w:line="271" w:lineRule="auto"/>
        <w:rPr>
          <w:sz w:val="20"/>
          <w:szCs w:val="20"/>
          <w:color w:val="auto"/>
        </w:rPr>
      </w:pPr>
      <w:r>
        <w:rPr>
          <w:rFonts w:ascii="Arial" w:cs="Arial" w:eastAsia="Arial" w:hAnsi="Arial"/>
          <w:sz w:val="18"/>
          <w:szCs w:val="18"/>
          <w:color w:val="auto"/>
        </w:rPr>
        <w:t>More information about our 2024 business achievements and the resulting compensation actions taken by the Committee are summarized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2024 NEOs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Borders>
              <w:bottom w:val="single" w:sz="8" w:color="C6093B"/>
            </w:tcBorders>
            <w:shd w:val="clear" w:color="auto" w:fill="C6093B"/>
          </w:tcPr>
          <w:p>
            <w:pPr>
              <w:ind w:left="140"/>
              <w:spacing w:after="0"/>
              <w:rPr>
                <w:sz w:val="20"/>
                <w:szCs w:val="20"/>
                <w:color w:val="auto"/>
              </w:rPr>
            </w:pPr>
            <w:r>
              <w:rPr>
                <w:rFonts w:ascii="Arial" w:cs="Arial" w:eastAsia="Arial" w:hAnsi="Arial"/>
                <w:sz w:val="14"/>
                <w:szCs w:val="14"/>
                <w:b w:val="1"/>
                <w:bCs w:val="1"/>
                <w:color w:val="FFFFFF"/>
              </w:rPr>
              <w:t>NEO</w:t>
            </w:r>
          </w:p>
        </w:tc>
        <w:tc>
          <w:tcPr>
            <w:tcW w:w="8760" w:type="dxa"/>
            <w:vAlign w:val="bottom"/>
            <w:tcBorders>
              <w:bottom w:val="single" w:sz="8" w:color="C6093B"/>
            </w:tcBorders>
            <w:shd w:val="clear" w:color="auto" w:fill="C6093B"/>
          </w:tcPr>
          <w:p>
            <w:pPr>
              <w:ind w:left="100"/>
              <w:spacing w:after="0"/>
              <w:rPr>
                <w:sz w:val="20"/>
                <w:szCs w:val="20"/>
                <w:color w:val="auto"/>
              </w:rPr>
            </w:pPr>
            <w:r>
              <w:rPr>
                <w:rFonts w:ascii="Arial" w:cs="Arial" w:eastAsia="Arial" w:hAnsi="Arial"/>
                <w:sz w:val="14"/>
                <w:szCs w:val="14"/>
                <w:b w:val="1"/>
                <w:bCs w:val="1"/>
                <w:color w:val="FFFFFF"/>
              </w:rPr>
              <w:t>Title</w:t>
            </w:r>
          </w:p>
        </w:tc>
      </w:tr>
      <w:tr>
        <w:trPr>
          <w:trHeight w:val="209"/>
        </w:trPr>
        <w:tc>
          <w:tcPr>
            <w:tcW w:w="24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876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President and Chief Executive Officer</w:t>
            </w:r>
          </w:p>
        </w:tc>
      </w:tr>
      <w:tr>
        <w:trPr>
          <w:trHeight w:val="208"/>
        </w:trPr>
        <w:tc>
          <w:tcPr>
            <w:tcW w:w="248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8760" w:type="dxa"/>
            <w:vAlign w:val="bottom"/>
          </w:tcPr>
          <w:p>
            <w:pPr>
              <w:ind w:left="100"/>
              <w:spacing w:after="0"/>
              <w:rPr>
                <w:sz w:val="20"/>
                <w:szCs w:val="20"/>
                <w:color w:val="auto"/>
              </w:rPr>
            </w:pPr>
            <w:r>
              <w:rPr>
                <w:rFonts w:ascii="Arial" w:cs="Arial" w:eastAsia="Arial" w:hAnsi="Arial"/>
                <w:sz w:val="14"/>
                <w:szCs w:val="14"/>
                <w:color w:val="auto"/>
              </w:rPr>
              <w:t>Executive Vice President, Chief Financial Officer</w:t>
            </w:r>
          </w:p>
        </w:tc>
      </w:tr>
      <w:tr>
        <w:trPr>
          <w:trHeight w:val="22"/>
        </w:trPr>
        <w:tc>
          <w:tcPr>
            <w:tcW w:w="24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210"/>
        </w:trPr>
        <w:tc>
          <w:tcPr>
            <w:tcW w:w="24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876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Executive Vice President and President, Home Comfort Solutions</w:t>
            </w:r>
          </w:p>
        </w:tc>
      </w:tr>
      <w:tr>
        <w:trPr>
          <w:trHeight w:val="208"/>
        </w:trPr>
        <w:tc>
          <w:tcPr>
            <w:tcW w:w="248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8760" w:type="dxa"/>
            <w:vAlign w:val="bottom"/>
          </w:tcPr>
          <w:p>
            <w:pPr>
              <w:ind w:left="100"/>
              <w:spacing w:after="0"/>
              <w:rPr>
                <w:sz w:val="20"/>
                <w:szCs w:val="20"/>
                <w:color w:val="auto"/>
              </w:rPr>
            </w:pPr>
            <w:r>
              <w:rPr>
                <w:rFonts w:ascii="Arial" w:cs="Arial" w:eastAsia="Arial" w:hAnsi="Arial"/>
                <w:sz w:val="14"/>
                <w:szCs w:val="14"/>
                <w:color w:val="auto"/>
              </w:rPr>
              <w:t>Executive Vice President, Chief Human Resources Officer</w:t>
            </w:r>
          </w:p>
        </w:tc>
      </w:tr>
      <w:tr>
        <w:trPr>
          <w:trHeight w:val="22"/>
        </w:trPr>
        <w:tc>
          <w:tcPr>
            <w:tcW w:w="24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208"/>
        </w:trPr>
        <w:tc>
          <w:tcPr>
            <w:tcW w:w="24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87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Former Executive Vice President, Chief Legal Officer and Corporate Secretary</w:t>
            </w:r>
          </w:p>
        </w:tc>
      </w:tr>
      <w:tr>
        <w:trPr>
          <w:trHeight w:val="22"/>
        </w:trPr>
        <w:tc>
          <w:tcPr>
            <w:tcW w:w="2480" w:type="dxa"/>
            <w:vAlign w:val="bottom"/>
            <w:shd w:val="clear" w:color="auto" w:fill="F1F2F2"/>
          </w:tcPr>
          <w:p>
            <w:pPr>
              <w:spacing w:after="0" w:line="20" w:lineRule="exact"/>
              <w:rPr>
                <w:sz w:val="1"/>
                <w:szCs w:val="1"/>
                <w:color w:val="auto"/>
              </w:rPr>
            </w:pPr>
          </w:p>
        </w:tc>
        <w:tc>
          <w:tcPr>
            <w:tcW w:w="8760" w:type="dxa"/>
            <w:vAlign w:val="bottom"/>
            <w:shd w:val="clear" w:color="auto" w:fill="F1F2F2"/>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Leadership Transitions</w:t>
      </w:r>
    </w:p>
    <w:p>
      <w:pPr>
        <w:spacing w:after="0" w:line="156"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On October 21, 2024, John D. Torres, Executive Vice President, Chief Legal Officer and Corporate Secretary, notified the Company of his decision to retire as Chief Legal Officer and Corporate Secretary effective December 31, 2024. Thereafter, Mr. Torres continued to serve as Executive Vice President, with no changes to his compensation package, to assist in the Chief Legal Officer and Corporate Secretary leadership transition until his retirement from the Company effective February 28, 2025.</w:t>
      </w:r>
    </w:p>
    <w:p>
      <w:pPr>
        <w:spacing w:after="0" w:line="116"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Effective January 1, 2025, Monica Brown, who previously served as Vice President and Deputy General Counsel, succeeded Mr. Torres as Executive Vice President, Chief Legal Officer and Corporate Secretary of the Company. Ms. Brown served in her prior role since January 2023. Prior to that, she successfully led a broad range of legal functions at Lennox for over 12 years. Before joining Lennox, she spent almost 13 years practicing complex commercial litigation at a prestigious law firm. Ms. Brown holds a bachelor’s degree from Howard University and a J.D. from the University of Texas School of Law.</w:t>
      </w:r>
    </w:p>
    <w:p>
      <w:pPr>
        <w:spacing w:after="0" w:line="11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Gary Bedard, Executive Vice President and President of Home Comfort Solutions, notified the Company of his decision to retire after 26 years of dedicated service at Lennox; Mr. Bedard’s retirement will be effective April 30, 2025. On March 31, 2025, the Company announced Sarah Martin as Executive Vice President and President of Home Comfort Solutions, effective April 28, 2025. Ms. Martin previously served in senior leadership operating roles with Honeywell International Inc.</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C60C35"/>
        </w:rPr>
        <w:t>Executive Summary</w:t>
      </w:r>
    </w:p>
    <w:p>
      <w:pPr>
        <w:spacing w:after="0" w:line="15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Company’s executive compensation program is designed to attract, retain, and motivate leadership talent, align with short- and long-term business goals, maintain market competitiveness, and increase stockholder value by maintaining a strong alignment between pay and performance.</w:t>
      </w:r>
    </w:p>
    <w:p>
      <w:pPr>
        <w:spacing w:after="0" w:line="108"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Highlights of our 2024 financial performance and the linkage between executive compensation and financial performance are set forth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Financial Highlights</w:t>
      </w:r>
    </w:p>
    <w:p>
      <w:pPr>
        <w:spacing w:after="0" w:line="158"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In 2024, the Company posted record highs for revenue, net income, and operating cash flow. Highlights of our 2024 performance include the following (dollars in millions):</w:t>
      </w:r>
    </w:p>
    <w:p>
      <w:pPr>
        <w:spacing w:after="0" w:line="187" w:lineRule="exact"/>
        <w:rPr>
          <w:sz w:val="20"/>
          <w:szCs w:val="20"/>
          <w:color w:val="auto"/>
        </w:rPr>
      </w:pPr>
    </w:p>
    <w:p>
      <w:pPr>
        <w:ind w:left="880"/>
        <w:spacing w:after="0"/>
        <w:tabs>
          <w:tab w:leader="none" w:pos="2700" w:val="left"/>
          <w:tab w:leader="none" w:pos="5080" w:val="left"/>
          <w:tab w:leader="none" w:pos="7480" w:val="left"/>
        </w:tabs>
        <w:rPr>
          <w:sz w:val="20"/>
          <w:szCs w:val="20"/>
          <w:color w:val="auto"/>
        </w:rPr>
      </w:pPr>
      <w:r>
        <w:rPr>
          <w:rFonts w:ascii="Arial" w:cs="Arial" w:eastAsia="Arial" w:hAnsi="Arial"/>
          <w:sz w:val="14"/>
          <w:szCs w:val="14"/>
          <w:b w:val="1"/>
          <w:bCs w:val="1"/>
          <w:u w:val="single" w:color="auto"/>
          <w:color w:val="auto"/>
        </w:rPr>
        <w:t>Revenue</w:t>
      </w:r>
      <w:r>
        <w:rPr>
          <w:sz w:val="20"/>
          <w:szCs w:val="20"/>
          <w:color w:val="auto"/>
        </w:rPr>
        <w:tab/>
      </w:r>
      <w:r>
        <w:rPr>
          <w:rFonts w:ascii="Arial" w:cs="Arial" w:eastAsia="Arial" w:hAnsi="Arial"/>
          <w:sz w:val="14"/>
          <w:szCs w:val="14"/>
          <w:b w:val="1"/>
          <w:bCs w:val="1"/>
          <w:u w:val="single" w:color="auto"/>
          <w:color w:val="auto"/>
        </w:rPr>
        <w:t>Operating Profit Margin</w:t>
      </w:r>
      <w:r>
        <w:rPr>
          <w:sz w:val="20"/>
          <w:szCs w:val="20"/>
          <w:color w:val="auto"/>
        </w:rPr>
        <w:tab/>
      </w:r>
      <w:r>
        <w:rPr>
          <w:rFonts w:ascii="Arial" w:cs="Arial" w:eastAsia="Arial" w:hAnsi="Arial"/>
          <w:sz w:val="14"/>
          <w:szCs w:val="14"/>
          <w:b w:val="1"/>
          <w:bCs w:val="1"/>
          <w:u w:val="single" w:color="auto"/>
          <w:color w:val="auto"/>
        </w:rPr>
        <w:t>Adjusted Net Income</w:t>
      </w:r>
      <w:r>
        <w:rPr>
          <w:rFonts w:ascii="Arial" w:cs="Arial" w:eastAsia="Arial" w:hAnsi="Arial"/>
          <w:sz w:val="18"/>
          <w:szCs w:val="18"/>
          <w:b w:val="1"/>
          <w:bCs w:val="1"/>
          <w:color w:val="auto"/>
          <w:vertAlign w:val="superscript"/>
        </w:rPr>
        <w:t>(1)</w:t>
      </w:r>
      <w:r>
        <w:rPr>
          <w:sz w:val="20"/>
          <w:szCs w:val="20"/>
          <w:color w:val="auto"/>
        </w:rPr>
        <w:tab/>
      </w:r>
      <w:r>
        <w:rPr>
          <w:rFonts w:ascii="Arial" w:cs="Arial" w:eastAsia="Arial" w:hAnsi="Arial"/>
          <w:sz w:val="14"/>
          <w:szCs w:val="14"/>
          <w:b w:val="1"/>
          <w:bCs w:val="1"/>
          <w:u w:val="single" w:color="auto"/>
          <w:color w:val="auto"/>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957570" cy="1645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5757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tabs>
          <w:tab w:leader="none" w:pos="2860" w:val="left"/>
          <w:tab w:leader="none" w:pos="5400" w:val="left"/>
          <w:tab w:leader="none" w:pos="7800" w:val="left"/>
        </w:tabs>
        <w:rPr>
          <w:sz w:val="20"/>
          <w:szCs w:val="20"/>
          <w:color w:val="auto"/>
        </w:rPr>
      </w:pPr>
      <w:r>
        <w:rPr>
          <w:rFonts w:ascii="Arial" w:cs="Arial" w:eastAsia="Arial" w:hAnsi="Arial"/>
          <w:sz w:val="14"/>
          <w:szCs w:val="14"/>
          <w:b w:val="1"/>
          <w:bCs w:val="1"/>
          <w:color w:val="auto"/>
        </w:rPr>
        <w:t>7% Increase</w:t>
      </w:r>
      <w:r>
        <w:rPr>
          <w:sz w:val="20"/>
          <w:szCs w:val="20"/>
          <w:color w:val="auto"/>
        </w:rPr>
        <w:tab/>
      </w:r>
      <w:r>
        <w:rPr>
          <w:rFonts w:ascii="Arial" w:cs="Arial" w:eastAsia="Arial" w:hAnsi="Arial"/>
          <w:sz w:val="14"/>
          <w:szCs w:val="14"/>
          <w:b w:val="1"/>
          <w:bCs w:val="1"/>
          <w:color w:val="auto"/>
        </w:rPr>
        <w:t>+ 350 Basis Points</w:t>
      </w:r>
      <w:r>
        <w:rPr>
          <w:sz w:val="20"/>
          <w:szCs w:val="20"/>
          <w:color w:val="auto"/>
        </w:rPr>
        <w:tab/>
      </w:r>
      <w:r>
        <w:rPr>
          <w:rFonts w:ascii="Arial" w:cs="Arial" w:eastAsia="Arial" w:hAnsi="Arial"/>
          <w:sz w:val="14"/>
          <w:szCs w:val="14"/>
          <w:b w:val="1"/>
          <w:bCs w:val="1"/>
          <w:color w:val="auto"/>
        </w:rPr>
        <w:t>26% Increase</w:t>
      </w:r>
      <w:r>
        <w:rPr>
          <w:sz w:val="20"/>
          <w:szCs w:val="20"/>
          <w:color w:val="auto"/>
        </w:rPr>
        <w:tab/>
      </w:r>
      <w:r>
        <w:rPr>
          <w:rFonts w:ascii="Arial" w:cs="Arial" w:eastAsia="Arial" w:hAnsi="Arial"/>
          <w:sz w:val="14"/>
          <w:szCs w:val="14"/>
          <w:b w:val="1"/>
          <w:bCs w:val="1"/>
          <w:color w:val="auto"/>
        </w:rPr>
        <w:t>28%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9575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25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adjusted net income GAAP reconciliation in Appendix A</w:t>
      </w:r>
    </w:p>
    <w:p>
      <w:pPr>
        <w:spacing w:after="0" w:line="166" w:lineRule="exact"/>
        <w:rPr>
          <w:rFonts w:ascii="Arial" w:cs="Arial" w:eastAsia="Arial" w:hAnsi="Arial"/>
          <w:sz w:val="14"/>
          <w:szCs w:val="14"/>
          <w:color w:val="auto"/>
        </w:rPr>
      </w:pPr>
    </w:p>
    <w:p>
      <w:pPr>
        <w:ind w:left="660" w:hanging="328"/>
        <w:spacing w:after="0"/>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GAAP diluted earnings per share up 36% to $22.54, while adjusted diluted earnings per share was up 26% to $22.58;</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Operating profit margin was up 350 basis points and adjusted segment profit margin was up 150 basis points to 19.4%;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One-year TSR of 37%, three-year TSR of 95%, and five-year TSR of 166%; and</w:t>
      </w:r>
    </w:p>
    <w:p>
      <w:pPr>
        <w:spacing w:after="0" w:line="157" w:lineRule="exact"/>
        <w:rPr>
          <w:rFonts w:ascii="Arial" w:cs="Arial" w:eastAsia="Arial" w:hAnsi="Arial"/>
          <w:sz w:val="18"/>
          <w:szCs w:val="18"/>
          <w:color w:val="auto"/>
        </w:rPr>
      </w:pPr>
    </w:p>
    <w:p>
      <w:pPr>
        <w:ind w:left="660" w:right="160" w:hanging="328"/>
        <w:spacing w:after="0" w:line="271" w:lineRule="auto"/>
        <w:tabs>
          <w:tab w:leader="none" w:pos="6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Quarterly dividends resulted in approximately $160 million paid to stockholders, and the Company used an additional $54 million to repurchase shares under our stock repurchase program.</w:t>
      </w:r>
    </w:p>
    <w:p>
      <w:pPr>
        <w:spacing w:after="0" w:line="113" w:lineRule="exact"/>
        <w:rPr>
          <w:sz w:val="20"/>
          <w:szCs w:val="20"/>
          <w:color w:val="auto"/>
        </w:rPr>
      </w:pPr>
    </w:p>
    <w:p>
      <w:pPr>
        <w:ind w:right="860" w:firstLine="324"/>
        <w:spacing w:after="0" w:line="271" w:lineRule="auto"/>
        <w:rPr>
          <w:sz w:val="20"/>
          <w:szCs w:val="20"/>
          <w:color w:val="auto"/>
        </w:rPr>
      </w:pPr>
      <w:r>
        <w:rPr>
          <w:rFonts w:ascii="Arial" w:cs="Arial" w:eastAsia="Arial" w:hAnsi="Arial"/>
          <w:sz w:val="18"/>
          <w:szCs w:val="18"/>
          <w:color w:val="auto"/>
        </w:rPr>
        <w:t>Financial results, including those from prior periods, are described in more detail in our Form 10-K. For non-GAAP results, see reconciliation in Appendix A. All total stockholder return calculations assume reinvestment of dividends.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Compensation Highlights</w:t>
      </w:r>
    </w:p>
    <w:p>
      <w:pPr>
        <w:spacing w:after="0" w:line="171"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The Committee believes that the design of the Company’s executive compensation program provides a direct link between Company performance and the compensation to our NEOs. Our executive compensation program has three primary elements: base salary, short-term incentives (as part of our Short-Term Incentive (“STI”) Program), and long-term equity incentives (as part of our Long-Term Incentive (“LTI”) Program). Each of these compensation elements serves a specific purpose in our compensation strategy. Base salary is an essential component to any market-competitive executive compensation program. Short-term incentives reward the achievement of annual goals, while long-term incentives drive our NEOs to focus on continuous stockholder value creation.</w:t>
      </w:r>
    </w:p>
    <w:p>
      <w:pPr>
        <w:spacing w:after="0" w:line="136" w:lineRule="exact"/>
        <w:rPr>
          <w:sz w:val="20"/>
          <w:szCs w:val="20"/>
          <w:color w:val="auto"/>
        </w:rPr>
      </w:pPr>
    </w:p>
    <w:p>
      <w:pPr>
        <w:ind w:left="660" w:right="60" w:hanging="328"/>
        <w:spacing w:after="0" w:line="271" w:lineRule="auto"/>
        <w:tabs>
          <w:tab w:leader="none" w:pos="65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salaries: </w:t>
      </w:r>
      <w:r>
        <w:rPr>
          <w:rFonts w:ascii="Arial" w:cs="Arial" w:eastAsia="Arial" w:hAnsi="Arial"/>
          <w:sz w:val="18"/>
          <w:szCs w:val="18"/>
          <w:color w:val="auto"/>
        </w:rPr>
        <w:t>NEOs’ base salaries are adjusted annually, effective April 1. The average increase in 2024 was 3.5% with a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0% to 7.0%.</w:t>
      </w:r>
    </w:p>
    <w:p>
      <w:pPr>
        <w:spacing w:after="0" w:line="99" w:lineRule="exact"/>
        <w:rPr>
          <w:rFonts w:ascii="Arial" w:cs="Arial" w:eastAsia="Arial" w:hAnsi="Arial"/>
          <w:sz w:val="18"/>
          <w:szCs w:val="18"/>
          <w:b w:val="1"/>
          <w:bCs w:val="1"/>
          <w:color w:val="auto"/>
        </w:rPr>
      </w:pPr>
    </w:p>
    <w:p>
      <w:pPr>
        <w:ind w:left="660" w:right="80" w:hanging="328"/>
        <w:spacing w:after="0" w:line="247" w:lineRule="auto"/>
        <w:tabs>
          <w:tab w:leader="none" w:pos="65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STI Program: </w:t>
      </w:r>
      <w:r>
        <w:rPr>
          <w:rFonts w:ascii="Arial" w:cs="Arial" w:eastAsia="Arial" w:hAnsi="Arial"/>
          <w:sz w:val="18"/>
          <w:szCs w:val="18"/>
          <w:color w:val="auto"/>
        </w:rPr>
        <w:t>STI amounts are determined by Company performance against the earnings, cash flow, and revenue goals,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Committee. Once the Company’s performance against goals is determined, 25% of that amount may be modified from 0% to 225% based on each NEO’s individual performance, with total payout capped at 225%. When determining whether to modify an NEO’s calculated STI amount, the Committee considered each NEO’s performance against specific financial, operational, and strategic objectives, as well as each NEO’s contribution to our sustainability commitment for the benefit of our</w:t>
      </w: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38" w:name="page39"/>
    <w:bookmarkEnd w:id="38"/>
    <w:p>
      <w:pPr>
        <w:ind w:left="660" w:right="240"/>
        <w:spacing w:after="0" w:line="261" w:lineRule="auto"/>
        <w:rPr>
          <w:sz w:val="20"/>
          <w:szCs w:val="20"/>
          <w:color w:val="auto"/>
        </w:rPr>
      </w:pPr>
      <w:r>
        <w:rPr>
          <w:rFonts w:ascii="Arial" w:cs="Arial" w:eastAsia="Arial" w:hAnsi="Arial"/>
          <w:sz w:val="18"/>
          <w:szCs w:val="18"/>
          <w:color w:val="auto"/>
        </w:rPr>
        <w:t>stakeholders. The Company’s sustainability goals include reducing the environmental impact of our products and operations, reducing the number of safety incidents in our operations, and enhancing the inclusiveness of our workforce. For more information on the Company’s sustainability performance, see www.lennox.com/sustainability.</w:t>
      </w:r>
    </w:p>
    <w:p>
      <w:pPr>
        <w:spacing w:after="0" w:line="108"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color w:val="auto"/>
        </w:rPr>
        <w:t>For 2024, Company performance against the STI earnings, cash flow, and revenue goals substantially exceeded target, resulting in an STI payout of approximately 217% of target. Mr. Bedard’s STI payout of 211% was a result of Home Comfort Solutions exceeding segment performance goals and blended with consolidated Company performance. The STI payout for all NEOs was calculated based on Company performance against pre-established goals. Amounts were not modified based on individual performance and did not include any discretionary adjustments.</w:t>
      </w:r>
    </w:p>
    <w:p>
      <w:pPr>
        <w:spacing w:after="0" w:line="136" w:lineRule="exact"/>
        <w:rPr>
          <w:sz w:val="20"/>
          <w:szCs w:val="20"/>
          <w:color w:val="auto"/>
        </w:rPr>
      </w:pPr>
    </w:p>
    <w:p>
      <w:pPr>
        <w:jc w:val="both"/>
        <w:ind w:left="660" w:right="160" w:hanging="328"/>
        <w:spacing w:after="0" w:line="253" w:lineRule="auto"/>
        <w:tabs>
          <w:tab w:leader="none" w:pos="65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LTI Program: </w:t>
      </w:r>
      <w:r>
        <w:rPr>
          <w:rFonts w:ascii="Arial" w:cs="Arial" w:eastAsia="Arial" w:hAnsi="Arial"/>
          <w:sz w:val="18"/>
          <w:szCs w:val="18"/>
          <w:color w:val="auto"/>
        </w:rPr>
        <w:t>NEOs receive 50% of their annual LTI grant in the form of performance-based restricted stock units, which vest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three years. In 2024, the NEOs earned 200% of their target performance share units (“PSUs”) granted in December 2021 based on net income and ROIC performance over the 2022-2024 three-year period. The three-year TSR over this time frame was 95%.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Positive Governance Practices</w:t>
      </w:r>
    </w:p>
    <w:p>
      <w:pPr>
        <w:spacing w:after="0" w:line="156" w:lineRule="exact"/>
        <w:rPr>
          <w:sz w:val="20"/>
          <w:szCs w:val="20"/>
          <w:color w:val="auto"/>
        </w:rPr>
      </w:pPr>
    </w:p>
    <w:p>
      <w:pPr>
        <w:jc w:val="both"/>
        <w:ind w:right="460" w:firstLine="324"/>
        <w:spacing w:after="0" w:line="261" w:lineRule="auto"/>
        <w:rPr>
          <w:sz w:val="20"/>
          <w:szCs w:val="20"/>
          <w:color w:val="auto"/>
        </w:rPr>
      </w:pPr>
      <w:r>
        <w:rPr>
          <w:rFonts w:ascii="Arial" w:cs="Arial" w:eastAsia="Arial" w:hAnsi="Arial"/>
          <w:sz w:val="18"/>
          <w:szCs w:val="18"/>
          <w:color w:val="auto"/>
        </w:rPr>
        <w:t>The Committee assesses trends and developments in executive compensation practices and implements those that best fit with the Company’s business strategy and our stockholders’ long-term interests. Below are some of the practices we have incorporated into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311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16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What We Do</w:t>
      </w:r>
    </w:p>
    <w:p>
      <w:pPr>
        <w:spacing w:after="0" w:line="134" w:lineRule="exact"/>
        <w:rPr>
          <w:sz w:val="20"/>
          <w:szCs w:val="20"/>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Median compensation philosophy</w:t>
      </w:r>
    </w:p>
    <w:p>
      <w:pPr>
        <w:spacing w:after="0" w:line="152"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Pay-for-performance linkage</w:t>
      </w:r>
    </w:p>
    <w:p>
      <w:pPr>
        <w:spacing w:after="0" w:line="152"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Long-term balance in compensation structure</w:t>
      </w:r>
    </w:p>
    <w:p>
      <w:pPr>
        <w:spacing w:after="0" w:line="152"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Use of independent compensation consultant</w:t>
      </w:r>
    </w:p>
    <w:p>
      <w:pPr>
        <w:spacing w:after="0" w:line="152"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Annual risk assessment</w:t>
      </w:r>
    </w:p>
    <w:p>
      <w:pPr>
        <w:spacing w:after="0" w:line="219"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Rigorous stock ownership guidelines</w:t>
      </w:r>
    </w:p>
    <w:p>
      <w:pPr>
        <w:spacing w:after="0" w:line="206"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Clawback policies and provisions</w:t>
      </w:r>
    </w:p>
    <w:p>
      <w:pPr>
        <w:spacing w:after="0" w:line="162"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Non-Competition / Non-Solicitation restrictions</w:t>
      </w:r>
    </w:p>
    <w:p>
      <w:pPr>
        <w:spacing w:after="0" w:line="152" w:lineRule="exact"/>
        <w:rPr>
          <w:rFonts w:ascii="MS PGothic" w:cs="MS PGothic" w:eastAsia="MS PGothic" w:hAnsi="MS PGothic"/>
          <w:sz w:val="24"/>
          <w:szCs w:val="24"/>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Annual review of share utilization</w:t>
      </w:r>
    </w:p>
    <w:p>
      <w:pPr>
        <w:spacing w:after="0" w:line="152" w:lineRule="exact"/>
        <w:rPr>
          <w:rFonts w:ascii="MS PGothic" w:cs="MS PGothic" w:eastAsia="MS PGothic" w:hAnsi="MS PGothic"/>
          <w:sz w:val="25"/>
          <w:szCs w:val="25"/>
          <w:color w:val="auto"/>
        </w:rPr>
      </w:pPr>
    </w:p>
    <w:p>
      <w:pPr>
        <w:ind w:left="460" w:hanging="434"/>
        <w:spacing w:after="0"/>
        <w:tabs>
          <w:tab w:leader="none" w:pos="460"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Regular market assessment of our peer group</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9"/>
        <w:spacing w:after="0"/>
        <w:rPr>
          <w:sz w:val="20"/>
          <w:szCs w:val="20"/>
          <w:color w:val="auto"/>
        </w:rPr>
      </w:pPr>
      <w:r>
        <w:rPr>
          <w:rFonts w:ascii="Arial" w:cs="Arial" w:eastAsia="Arial" w:hAnsi="Arial"/>
          <w:sz w:val="22"/>
          <w:szCs w:val="22"/>
          <w:b w:val="1"/>
          <w:bCs w:val="1"/>
          <w:color w:val="FFFFFF"/>
        </w:rPr>
        <w:t>What We Don’t Do</w:t>
      </w:r>
    </w:p>
    <w:p>
      <w:pPr>
        <w:spacing w:after="0" w:line="134" w:lineRule="exact"/>
        <w:rPr>
          <w:sz w:val="20"/>
          <w:szCs w:val="20"/>
          <w:color w:val="auto"/>
        </w:rPr>
      </w:pPr>
    </w:p>
    <w:p>
      <w:pPr>
        <w:ind w:left="449" w:hanging="449"/>
        <w:spacing w:after="0"/>
        <w:tabs>
          <w:tab w:leader="none" w:pos="449" w:val="left"/>
        </w:tabs>
        <w:numPr>
          <w:ilvl w:val="0"/>
          <w:numId w:val="57"/>
        </w:numPr>
        <w:rPr>
          <w:rFonts w:ascii="MS PGothic" w:cs="MS PGothic" w:eastAsia="MS PGothic" w:hAnsi="MS PGothic"/>
          <w:sz w:val="25"/>
          <w:szCs w:val="25"/>
          <w:color w:val="auto"/>
        </w:rPr>
      </w:pPr>
      <w:r>
        <w:rPr>
          <w:rFonts w:ascii="Arial" w:cs="Arial" w:eastAsia="Arial" w:hAnsi="Arial"/>
          <w:sz w:val="18"/>
          <w:szCs w:val="18"/>
          <w:color w:val="auto"/>
        </w:rPr>
        <w:t>No excise tax gross-ups</w:t>
      </w:r>
    </w:p>
    <w:p>
      <w:pPr>
        <w:spacing w:after="0" w:line="152" w:lineRule="exact"/>
        <w:rPr>
          <w:rFonts w:ascii="MS PGothic" w:cs="MS PGothic" w:eastAsia="MS PGothic" w:hAnsi="MS PGothic"/>
          <w:sz w:val="25"/>
          <w:szCs w:val="25"/>
          <w:color w:val="auto"/>
        </w:rPr>
      </w:pPr>
    </w:p>
    <w:p>
      <w:pPr>
        <w:ind w:left="449" w:hanging="449"/>
        <w:spacing w:after="0"/>
        <w:tabs>
          <w:tab w:leader="none" w:pos="449" w:val="left"/>
        </w:tabs>
        <w:numPr>
          <w:ilvl w:val="0"/>
          <w:numId w:val="57"/>
        </w:numPr>
        <w:rPr>
          <w:rFonts w:ascii="MS PGothic" w:cs="MS PGothic" w:eastAsia="MS PGothic" w:hAnsi="MS PGothic"/>
          <w:sz w:val="25"/>
          <w:szCs w:val="25"/>
          <w:color w:val="auto"/>
        </w:rPr>
      </w:pPr>
      <w:r>
        <w:rPr>
          <w:rFonts w:ascii="Arial" w:cs="Arial" w:eastAsia="Arial" w:hAnsi="Arial"/>
          <w:sz w:val="18"/>
          <w:szCs w:val="18"/>
          <w:color w:val="auto"/>
        </w:rPr>
        <w:t>No hedging of Company stock</w:t>
      </w:r>
    </w:p>
    <w:p>
      <w:pPr>
        <w:spacing w:after="0" w:line="152" w:lineRule="exact"/>
        <w:rPr>
          <w:rFonts w:ascii="MS PGothic" w:cs="MS PGothic" w:eastAsia="MS PGothic" w:hAnsi="MS PGothic"/>
          <w:sz w:val="25"/>
          <w:szCs w:val="25"/>
          <w:color w:val="auto"/>
        </w:rPr>
      </w:pPr>
    </w:p>
    <w:p>
      <w:pPr>
        <w:ind w:left="449" w:hanging="449"/>
        <w:spacing w:after="0"/>
        <w:tabs>
          <w:tab w:leader="none" w:pos="449" w:val="left"/>
        </w:tabs>
        <w:numPr>
          <w:ilvl w:val="0"/>
          <w:numId w:val="57"/>
        </w:numPr>
        <w:rPr>
          <w:rFonts w:ascii="MS PGothic" w:cs="MS PGothic" w:eastAsia="MS PGothic" w:hAnsi="MS PGothic"/>
          <w:sz w:val="25"/>
          <w:szCs w:val="25"/>
          <w:color w:val="auto"/>
        </w:rPr>
      </w:pPr>
      <w:r>
        <w:rPr>
          <w:rFonts w:ascii="Arial" w:cs="Arial" w:eastAsia="Arial" w:hAnsi="Arial"/>
          <w:sz w:val="18"/>
          <w:szCs w:val="18"/>
          <w:color w:val="auto"/>
        </w:rPr>
        <w:t>No pledging of Company stock</w:t>
      </w:r>
    </w:p>
    <w:p>
      <w:pPr>
        <w:spacing w:after="0" w:line="152" w:lineRule="exact"/>
        <w:rPr>
          <w:rFonts w:ascii="MS PGothic" w:cs="MS PGothic" w:eastAsia="MS PGothic" w:hAnsi="MS PGothic"/>
          <w:sz w:val="25"/>
          <w:szCs w:val="25"/>
          <w:color w:val="auto"/>
        </w:rPr>
      </w:pPr>
    </w:p>
    <w:p>
      <w:pPr>
        <w:ind w:left="449" w:hanging="449"/>
        <w:spacing w:after="0"/>
        <w:tabs>
          <w:tab w:leader="none" w:pos="449" w:val="left"/>
        </w:tabs>
        <w:numPr>
          <w:ilvl w:val="0"/>
          <w:numId w:val="57"/>
        </w:numPr>
        <w:rPr>
          <w:rFonts w:ascii="MS PGothic" w:cs="MS PGothic" w:eastAsia="MS PGothic" w:hAnsi="MS PGothic"/>
          <w:sz w:val="25"/>
          <w:szCs w:val="25"/>
          <w:color w:val="auto"/>
        </w:rPr>
      </w:pPr>
      <w:r>
        <w:rPr>
          <w:rFonts w:ascii="Arial" w:cs="Arial" w:eastAsia="Arial" w:hAnsi="Arial"/>
          <w:sz w:val="18"/>
          <w:szCs w:val="18"/>
          <w:color w:val="auto"/>
        </w:rPr>
        <w:t>No dividends on equity awards in annual grant</w:t>
      </w:r>
    </w:p>
    <w:p>
      <w:pPr>
        <w:spacing w:after="0" w:line="152" w:lineRule="exact"/>
        <w:rPr>
          <w:rFonts w:ascii="MS PGothic" w:cs="MS PGothic" w:eastAsia="MS PGothic" w:hAnsi="MS PGothic"/>
          <w:sz w:val="25"/>
          <w:szCs w:val="25"/>
          <w:color w:val="auto"/>
        </w:rPr>
      </w:pPr>
    </w:p>
    <w:p>
      <w:pPr>
        <w:ind w:left="449" w:hanging="449"/>
        <w:spacing w:after="0"/>
        <w:tabs>
          <w:tab w:leader="none" w:pos="449" w:val="left"/>
        </w:tabs>
        <w:numPr>
          <w:ilvl w:val="0"/>
          <w:numId w:val="57"/>
        </w:numPr>
        <w:rPr>
          <w:rFonts w:ascii="MS PGothic" w:cs="MS PGothic" w:eastAsia="MS PGothic" w:hAnsi="MS PGothic"/>
          <w:sz w:val="25"/>
          <w:szCs w:val="25"/>
          <w:color w:val="auto"/>
        </w:rPr>
      </w:pPr>
      <w:r>
        <w:rPr>
          <w:rFonts w:ascii="Arial" w:cs="Arial" w:eastAsia="Arial" w:hAnsi="Arial"/>
          <w:sz w:val="18"/>
          <w:szCs w:val="18"/>
          <w:color w:val="auto"/>
        </w:rPr>
        <w:t>No repricing of stock appreciation rights or options</w:t>
      </w:r>
    </w:p>
    <w:p>
      <w:pPr>
        <w:spacing w:after="0" w:line="125" w:lineRule="exact"/>
        <w:rPr>
          <w:rFonts w:ascii="MS PGothic" w:cs="MS PGothic" w:eastAsia="MS PGothic" w:hAnsi="MS PGothic"/>
          <w:sz w:val="25"/>
          <w:szCs w:val="25"/>
          <w:color w:val="auto"/>
        </w:rPr>
      </w:pPr>
    </w:p>
    <w:p>
      <w:pPr>
        <w:ind w:left="449" w:right="240" w:hanging="449"/>
        <w:spacing w:after="0" w:line="181" w:lineRule="auto"/>
        <w:tabs>
          <w:tab w:leader="none" w:pos="449" w:val="left"/>
        </w:tabs>
        <w:numPr>
          <w:ilvl w:val="0"/>
          <w:numId w:val="57"/>
        </w:numPr>
        <w:rPr>
          <w:rFonts w:ascii="MS PGothic" w:cs="MS PGothic" w:eastAsia="MS PGothic" w:hAnsi="MS PGothic"/>
          <w:sz w:val="40"/>
          <w:szCs w:val="40"/>
          <w:color w:val="auto"/>
          <w:vertAlign w:val="subscript"/>
        </w:rPr>
      </w:pPr>
      <w:r>
        <w:rPr>
          <w:rFonts w:ascii="Arial" w:cs="Arial" w:eastAsia="Arial" w:hAnsi="Arial"/>
          <w:sz w:val="16"/>
          <w:szCs w:val="16"/>
          <w:color w:val="auto"/>
        </w:rPr>
        <w:t>No cash buyouts of underwater stock appreciation rights or options</w:t>
      </w:r>
    </w:p>
    <w:p>
      <w:pPr>
        <w:spacing w:after="0" w:line="112" w:lineRule="exact"/>
        <w:rPr>
          <w:rFonts w:ascii="MS PGothic" w:cs="MS PGothic" w:eastAsia="MS PGothic" w:hAnsi="MS PGothic"/>
          <w:sz w:val="40"/>
          <w:szCs w:val="40"/>
          <w:color w:val="auto"/>
          <w:vertAlign w:val="subscript"/>
        </w:rPr>
      </w:pPr>
    </w:p>
    <w:p>
      <w:pPr>
        <w:ind w:left="449" w:hanging="449"/>
        <w:spacing w:after="0"/>
        <w:tabs>
          <w:tab w:leader="none" w:pos="449" w:val="left"/>
        </w:tabs>
        <w:numPr>
          <w:ilvl w:val="0"/>
          <w:numId w:val="57"/>
        </w:numPr>
        <w:rPr>
          <w:rFonts w:ascii="MS PGothic" w:cs="MS PGothic" w:eastAsia="MS PGothic" w:hAnsi="MS PGothic"/>
          <w:sz w:val="25"/>
          <w:szCs w:val="25"/>
          <w:color w:val="auto"/>
        </w:rPr>
      </w:pPr>
      <w:r>
        <w:rPr>
          <w:rFonts w:ascii="Arial" w:cs="Arial" w:eastAsia="Arial" w:hAnsi="Arial"/>
          <w:sz w:val="18"/>
          <w:szCs w:val="18"/>
          <w:color w:val="auto"/>
        </w:rPr>
        <w:t>No significant annual perquisites</w:t>
      </w:r>
    </w:p>
    <w:p>
      <w:pPr>
        <w:spacing w:after="0" w:line="1341" w:lineRule="exact"/>
        <w:rPr>
          <w:sz w:val="20"/>
          <w:szCs w:val="20"/>
          <w:color w:val="auto"/>
        </w:rPr>
      </w:pPr>
    </w:p>
    <w:p>
      <w:pPr>
        <w:sectPr>
          <w:pgSz w:w="11900" w:h="16838" w:orient="portrait"/>
          <w:cols w:equalWidth="0" w:num="2">
            <w:col w:w="5151" w:space="720"/>
            <w:col w:w="5369"/>
          </w:cols>
          <w:pgMar w:left="320" w:top="769" w:right="339" w:bottom="1440" w:gutter="0" w:footer="0" w:header="0"/>
          <w:type w:val="continuous"/>
        </w:sectPr>
      </w:pPr>
    </w:p>
    <w:p>
      <w:pPr>
        <w:ind w:left="460" w:right="6660" w:hanging="434"/>
        <w:spacing w:after="0" w:line="181" w:lineRule="auto"/>
        <w:tabs>
          <w:tab w:leader="none" w:pos="460" w:val="left"/>
        </w:tabs>
        <w:numPr>
          <w:ilvl w:val="0"/>
          <w:numId w:val="58"/>
        </w:numPr>
        <w:rPr>
          <w:rFonts w:ascii="MS PGothic" w:cs="MS PGothic" w:eastAsia="MS PGothic" w:hAnsi="MS PGothic"/>
          <w:sz w:val="40"/>
          <w:szCs w:val="40"/>
          <w:color w:val="auto"/>
          <w:vertAlign w:val="subscript"/>
        </w:rPr>
      </w:pPr>
      <w:r>
        <w:rPr>
          <w:rFonts w:ascii="Arial" w:cs="Arial" w:eastAsia="Arial" w:hAnsi="Arial"/>
          <w:sz w:val="16"/>
          <w:szCs w:val="16"/>
          <w:color w:val="auto"/>
        </w:rPr>
        <w:t>Change-in-Control double-trigger for severance and equity vesting</w:t>
      </w:r>
    </w:p>
    <w:p>
      <w:pPr>
        <w:spacing w:after="0" w:line="86" w:lineRule="exact"/>
        <w:rPr>
          <w:rFonts w:ascii="MS PGothic" w:cs="MS PGothic" w:eastAsia="MS PGothic" w:hAnsi="MS PGothic"/>
          <w:sz w:val="40"/>
          <w:szCs w:val="40"/>
          <w:color w:val="auto"/>
          <w:vertAlign w:val="subscript"/>
        </w:rPr>
      </w:pPr>
    </w:p>
    <w:p>
      <w:pPr>
        <w:ind w:left="460" w:right="6180" w:hanging="434"/>
        <w:spacing w:after="0" w:line="181" w:lineRule="auto"/>
        <w:tabs>
          <w:tab w:leader="none" w:pos="460" w:val="left"/>
        </w:tabs>
        <w:numPr>
          <w:ilvl w:val="0"/>
          <w:numId w:val="58"/>
        </w:numPr>
        <w:rPr>
          <w:rFonts w:ascii="MS PGothic" w:cs="MS PGothic" w:eastAsia="MS PGothic" w:hAnsi="MS PGothic"/>
          <w:sz w:val="40"/>
          <w:szCs w:val="40"/>
          <w:color w:val="auto"/>
          <w:vertAlign w:val="subscript"/>
        </w:rPr>
      </w:pPr>
      <w:r>
        <w:rPr>
          <w:rFonts w:ascii="Arial" w:cs="Arial" w:eastAsia="Arial" w:hAnsi="Arial"/>
          <w:sz w:val="16"/>
          <w:szCs w:val="16"/>
          <w:color w:val="auto"/>
        </w:rPr>
        <w:t>Minimum vesting requirement of at least one year for 95% or more of equity incentive plan awards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What Guides Our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Pay-for-Performance</w:t>
      </w:r>
    </w:p>
    <w:p>
      <w:pPr>
        <w:spacing w:after="0" w:line="15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maintain a pay-for-performance philosophy designed to reward successful execution of our business strategy and achievement of desired business results, with a focus on aligning compensation with stockholders’ interests. When our financial results exceed performance goals, monetary rewards to our NEOs generally pay out at higher levels. When our financial results fall below performance goals, monetary awards to our NEOs generally pay out at lower levels or not at all.</w:t>
      </w:r>
    </w:p>
    <w:p>
      <w:pPr>
        <w:spacing w:after="0" w:line="11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Recent payouts under our STI and LTI Programs demonstrate the alignment between Company performance and payments made to our NEOs. In 2024, the Company’s strong earnings, cash flow, and revenue performance resulted in above target level payouts under our annual STI program for all NEOs.</w:t>
      </w:r>
    </w:p>
    <w:p>
      <w:pPr>
        <w:sectPr>
          <w:pgSz w:w="11900" w:h="16838" w:orient="portrait"/>
          <w:cols w:equalWidth="0" w:num="1">
            <w:col w:w="11240"/>
          </w:cols>
          <w:pgMar w:left="320" w:top="769" w:right="339" w:bottom="1440" w:gutter="0" w:footer="0" w:header="0"/>
          <w:type w:val="continuous"/>
        </w:sectPr>
      </w:pP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9" w:name="page40"/>
    <w:bookmarkEnd w:id="39"/>
    <w:p>
      <w:pPr>
        <w:ind w:firstLine="324"/>
        <w:spacing w:after="0" w:line="252" w:lineRule="auto"/>
        <w:rPr>
          <w:sz w:val="20"/>
          <w:szCs w:val="20"/>
          <w:color w:val="auto"/>
        </w:rPr>
      </w:pPr>
      <w:r>
        <w:rPr>
          <w:rFonts w:ascii="Arial" w:cs="Arial" w:eastAsia="Arial" w:hAnsi="Arial"/>
          <w:sz w:val="18"/>
          <w:szCs w:val="18"/>
          <w:color w:val="auto"/>
        </w:rPr>
        <w:t>Under our LTI Program, weighted average return on invested capital of 48.4% for the 2022-2024 performance period exceeded the maximum payout goal for that metric, while the Company core net income compound annual growth rate of 20.1% for that same period exceeded the maximum payout goal for that metric. As a result, our NEOs received a PSU payout of 200% for the 2022-2024 performance period under our LTI Program, consistent with our pay-for-performance approach and results-oriented compensation.</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two charts below illustrate that the three-year Lennox CEO target total direct compensation (“TDC”) was below median of the peer group and Lennox substantially outperformed the peer group on three-year TSR and certain other relevant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66040</wp:posOffset>
            </wp:positionV>
            <wp:extent cx="4526280" cy="6523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26280" cy="652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940" w:type="dxa"/>
        <w:tblCellMar>
          <w:top w:w="0" w:type="dxa"/>
          <w:left w:w="0" w:type="dxa"/>
          <w:bottom w:w="0" w:type="dxa"/>
          <w:right w:w="0" w:type="dxa"/>
        </w:tblCellMar>
      </w:tblPr>
      <w:tr>
        <w:trPr>
          <w:trHeight w:val="230"/>
        </w:trPr>
        <w:tc>
          <w:tcPr>
            <w:tcW w:w="180" w:type="dxa"/>
            <w:vAlign w:val="bottom"/>
            <w:shd w:val="clear" w:color="auto" w:fill="C60C35"/>
          </w:tcPr>
          <w:p>
            <w:pPr>
              <w:spacing w:after="0"/>
              <w:rPr>
                <w:sz w:val="19"/>
                <w:szCs w:val="19"/>
                <w:color w:val="auto"/>
              </w:rPr>
            </w:pPr>
          </w:p>
        </w:tc>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Lennox CEO Pay</w:t>
            </w:r>
          </w:p>
        </w:tc>
        <w:tc>
          <w:tcPr>
            <w:tcW w:w="200" w:type="dxa"/>
            <w:vAlign w:val="bottom"/>
            <w:shd w:val="clear" w:color="auto" w:fill="636466"/>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Lennox Performance</w:t>
            </w:r>
          </w:p>
        </w:tc>
      </w:tr>
    </w:tbl>
    <w:p>
      <w:pPr>
        <w:spacing w:after="0" w:line="200" w:lineRule="exact"/>
        <w:rPr>
          <w:sz w:val="20"/>
          <w:szCs w:val="20"/>
          <w:color w:val="auto"/>
        </w:rPr>
      </w:pPr>
    </w:p>
    <w:p>
      <w:pPr>
        <w:sectPr>
          <w:pgSz w:w="11900" w:h="16838" w:orient="portrait"/>
          <w:cols w:equalWidth="0" w:num="1">
            <w:col w:w="11020"/>
          </w:cols>
          <w:pgMar w:left="320" w:top="769" w:right="5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C60C35"/>
        </w:rPr>
        <w:t>Key Strategic Objectives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strategic objectives of our executive compensation program are to:</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attract, retain, and motivate top executive talent;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align compensation with the achievement of short-term and long-term business goals;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a market-competitive executive compensation program;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drive increased stockholder value by maintaining a strong alignment between pay and performance.</w:t>
      </w:r>
    </w:p>
    <w:p>
      <w:pPr>
        <w:spacing w:after="0" w:line="158" w:lineRule="exact"/>
        <w:rPr>
          <w:sz w:val="20"/>
          <w:szCs w:val="20"/>
          <w:color w:val="auto"/>
        </w:rPr>
      </w:pPr>
    </w:p>
    <w:p>
      <w:pPr>
        <w:ind w:right="420" w:firstLine="324"/>
        <w:spacing w:after="0" w:line="271" w:lineRule="auto"/>
        <w:rPr>
          <w:sz w:val="20"/>
          <w:szCs w:val="20"/>
          <w:color w:val="auto"/>
        </w:rPr>
      </w:pPr>
      <w:r>
        <w:rPr>
          <w:rFonts w:ascii="Arial" w:cs="Arial" w:eastAsia="Arial" w:hAnsi="Arial"/>
          <w:sz w:val="18"/>
          <w:szCs w:val="18"/>
          <w:color w:val="auto"/>
        </w:rPr>
        <w:t>The following table lists each element of executive compensation and how the Committee believes it correlates to our compensation philosophy and key objectives: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40" w:type="dxa"/>
            <w:vAlign w:val="bottom"/>
            <w:shd w:val="clear" w:color="auto" w:fill="C60C35"/>
          </w:tcPr>
          <w:p>
            <w:pPr>
              <w:spacing w:after="0"/>
              <w:rPr>
                <w:sz w:val="15"/>
                <w:szCs w:val="15"/>
                <w:color w:val="auto"/>
              </w:rPr>
            </w:pPr>
          </w:p>
        </w:tc>
        <w:tc>
          <w:tcPr>
            <w:tcW w:w="1020" w:type="dxa"/>
            <w:vAlign w:val="bottom"/>
            <w:shd w:val="clear" w:color="auto" w:fill="C60C35"/>
          </w:tcPr>
          <w:p>
            <w:pPr>
              <w:spacing w:after="0"/>
              <w:rPr>
                <w:sz w:val="15"/>
                <w:szCs w:val="15"/>
                <w:color w:val="auto"/>
              </w:rPr>
            </w:pP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Retain &amp;</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Achieve</w:t>
            </w:r>
          </w:p>
        </w:tc>
        <w:tc>
          <w:tcPr>
            <w:tcW w:w="10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Achieve</w:t>
            </w:r>
          </w:p>
        </w:tc>
        <w:tc>
          <w:tcPr>
            <w:tcW w:w="1600" w:type="dxa"/>
            <w:vAlign w:val="bottom"/>
            <w:shd w:val="clear" w:color="auto" w:fill="C60C35"/>
          </w:tcPr>
          <w:p>
            <w:pPr>
              <w:spacing w:after="0"/>
              <w:rPr>
                <w:sz w:val="15"/>
                <w:szCs w:val="15"/>
                <w:color w:val="auto"/>
              </w:rPr>
            </w:pPr>
          </w:p>
        </w:tc>
        <w:tc>
          <w:tcPr>
            <w:tcW w:w="1280" w:type="dxa"/>
            <w:vAlign w:val="bottom"/>
            <w:shd w:val="clear" w:color="auto" w:fill="C60C35"/>
          </w:tcPr>
          <w:p>
            <w:pPr>
              <w:spacing w:after="0"/>
              <w:rPr>
                <w:sz w:val="15"/>
                <w:szCs w:val="15"/>
                <w:color w:val="auto"/>
              </w:rPr>
            </w:pPr>
          </w:p>
        </w:tc>
      </w:tr>
      <w:tr>
        <w:trPr>
          <w:trHeight w:val="176"/>
        </w:trPr>
        <w:tc>
          <w:tcPr>
            <w:tcW w:w="4040" w:type="dxa"/>
            <w:vAlign w:val="bottom"/>
            <w:shd w:val="clear" w:color="auto" w:fill="C60C35"/>
          </w:tcPr>
          <w:p>
            <w:pPr>
              <w:spacing w:after="0"/>
              <w:rPr>
                <w:sz w:val="15"/>
                <w:szCs w:val="15"/>
                <w:color w:val="auto"/>
              </w:rPr>
            </w:pPr>
          </w:p>
        </w:tc>
        <w:tc>
          <w:tcPr>
            <w:tcW w:w="10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Attract</w:t>
            </w: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Motivate</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Short-</w:t>
            </w:r>
          </w:p>
        </w:tc>
        <w:tc>
          <w:tcPr>
            <w:tcW w:w="1080" w:type="dxa"/>
            <w:vAlign w:val="bottom"/>
            <w:shd w:val="clear" w:color="auto" w:fill="C60C35"/>
          </w:tcPr>
          <w:p>
            <w:pPr>
              <w:jc w:val="center"/>
              <w:ind w:left="8"/>
              <w:spacing w:after="0"/>
              <w:rPr>
                <w:sz w:val="20"/>
                <w:szCs w:val="20"/>
                <w:color w:val="auto"/>
              </w:rPr>
            </w:pPr>
            <w:r>
              <w:rPr>
                <w:rFonts w:ascii="Arial" w:cs="Arial" w:eastAsia="Arial" w:hAnsi="Arial"/>
                <w:sz w:val="14"/>
                <w:szCs w:val="14"/>
                <w:b w:val="1"/>
                <w:bCs w:val="1"/>
                <w:color w:val="FFFFFF"/>
              </w:rPr>
              <w:t>Long-</w:t>
            </w:r>
          </w:p>
        </w:tc>
        <w:tc>
          <w:tcPr>
            <w:tcW w:w="16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Maintain</w:t>
            </w:r>
          </w:p>
        </w:tc>
        <w:tc>
          <w:tcPr>
            <w:tcW w:w="1280" w:type="dxa"/>
            <w:vAlign w:val="bottom"/>
            <w:shd w:val="clear" w:color="auto" w:fill="C60C35"/>
          </w:tcPr>
          <w:p>
            <w:pPr>
              <w:spacing w:after="0"/>
              <w:rPr>
                <w:sz w:val="15"/>
                <w:szCs w:val="15"/>
                <w:color w:val="auto"/>
              </w:rPr>
            </w:pPr>
          </w:p>
        </w:tc>
      </w:tr>
      <w:tr>
        <w:trPr>
          <w:trHeight w:val="162"/>
        </w:trPr>
        <w:tc>
          <w:tcPr>
            <w:tcW w:w="4040" w:type="dxa"/>
            <w:vAlign w:val="bottom"/>
            <w:shd w:val="clear" w:color="auto" w:fill="C60C35"/>
          </w:tcPr>
          <w:p>
            <w:pPr>
              <w:spacing w:after="0"/>
              <w:rPr>
                <w:sz w:val="14"/>
                <w:szCs w:val="14"/>
                <w:color w:val="auto"/>
              </w:rPr>
            </w:pPr>
          </w:p>
        </w:tc>
        <w:tc>
          <w:tcPr>
            <w:tcW w:w="10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Top</w:t>
            </w: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Top</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w w:val="99"/>
              </w:rPr>
              <w:t>Term</w:t>
            </w:r>
          </w:p>
        </w:tc>
        <w:tc>
          <w:tcPr>
            <w:tcW w:w="10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w w:val="99"/>
              </w:rPr>
              <w:t>Term</w:t>
            </w:r>
          </w:p>
        </w:tc>
        <w:tc>
          <w:tcPr>
            <w:tcW w:w="16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Market</w:t>
            </w:r>
          </w:p>
        </w:tc>
        <w:tc>
          <w:tcPr>
            <w:tcW w:w="12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Pay for</w:t>
            </w:r>
          </w:p>
        </w:tc>
      </w:tr>
      <w:tr>
        <w:trPr>
          <w:trHeight w:val="210"/>
        </w:trPr>
        <w:tc>
          <w:tcPr>
            <w:tcW w:w="404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Executive Compensation Elements</w:t>
            </w:r>
          </w:p>
        </w:tc>
        <w:tc>
          <w:tcPr>
            <w:tcW w:w="10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Talent</w:t>
            </w: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Talent</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Goals</w:t>
            </w:r>
          </w:p>
        </w:tc>
        <w:tc>
          <w:tcPr>
            <w:tcW w:w="1080" w:type="dxa"/>
            <w:vAlign w:val="bottom"/>
            <w:shd w:val="clear" w:color="auto" w:fill="C60C35"/>
          </w:tcPr>
          <w:p>
            <w:pPr>
              <w:jc w:val="center"/>
              <w:ind w:left="8"/>
              <w:spacing w:after="0"/>
              <w:rPr>
                <w:sz w:val="20"/>
                <w:szCs w:val="20"/>
                <w:color w:val="auto"/>
              </w:rPr>
            </w:pPr>
            <w:r>
              <w:rPr>
                <w:rFonts w:ascii="Arial" w:cs="Arial" w:eastAsia="Arial" w:hAnsi="Arial"/>
                <w:sz w:val="14"/>
                <w:szCs w:val="14"/>
                <w:b w:val="1"/>
                <w:bCs w:val="1"/>
                <w:color w:val="FFFFFF"/>
              </w:rPr>
              <w:t>Goals</w:t>
            </w:r>
          </w:p>
        </w:tc>
        <w:tc>
          <w:tcPr>
            <w:tcW w:w="16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Competitiveness</w:t>
            </w:r>
          </w:p>
        </w:tc>
        <w:tc>
          <w:tcPr>
            <w:tcW w:w="12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70"/>
        </w:trPr>
        <w:tc>
          <w:tcPr>
            <w:tcW w:w="4040" w:type="dxa"/>
            <w:vAlign w:val="bottom"/>
            <w:shd w:val="clear" w:color="auto" w:fill="C60C35"/>
          </w:tcPr>
          <w:p>
            <w:pPr>
              <w:spacing w:after="0"/>
              <w:rPr>
                <w:sz w:val="6"/>
                <w:szCs w:val="6"/>
                <w:color w:val="auto"/>
              </w:rPr>
            </w:pPr>
          </w:p>
        </w:tc>
        <w:tc>
          <w:tcPr>
            <w:tcW w:w="102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100" w:type="dxa"/>
            <w:vAlign w:val="bottom"/>
            <w:shd w:val="clear" w:color="auto" w:fill="C60C35"/>
          </w:tcPr>
          <w:p>
            <w:pPr>
              <w:spacing w:after="0"/>
              <w:rPr>
                <w:sz w:val="6"/>
                <w:szCs w:val="6"/>
                <w:color w:val="auto"/>
              </w:rPr>
            </w:pPr>
          </w:p>
        </w:tc>
        <w:tc>
          <w:tcPr>
            <w:tcW w:w="1080" w:type="dxa"/>
            <w:vAlign w:val="bottom"/>
            <w:shd w:val="clear" w:color="auto" w:fill="C60C35"/>
          </w:tcPr>
          <w:p>
            <w:pPr>
              <w:spacing w:after="0"/>
              <w:rPr>
                <w:sz w:val="6"/>
                <w:szCs w:val="6"/>
                <w:color w:val="auto"/>
              </w:rPr>
            </w:pPr>
          </w:p>
        </w:tc>
        <w:tc>
          <w:tcPr>
            <w:tcW w:w="1600" w:type="dxa"/>
            <w:vAlign w:val="bottom"/>
            <w:shd w:val="clear" w:color="auto" w:fill="C60C35"/>
          </w:tcPr>
          <w:p>
            <w:pPr>
              <w:spacing w:after="0"/>
              <w:rPr>
                <w:sz w:val="6"/>
                <w:szCs w:val="6"/>
                <w:color w:val="auto"/>
              </w:rPr>
            </w:pPr>
          </w:p>
        </w:tc>
        <w:tc>
          <w:tcPr>
            <w:tcW w:w="1280" w:type="dxa"/>
            <w:vAlign w:val="bottom"/>
            <w:shd w:val="clear" w:color="auto" w:fill="C60C35"/>
          </w:tcPr>
          <w:p>
            <w:pPr>
              <w:spacing w:after="0"/>
              <w:rPr>
                <w:sz w:val="6"/>
                <w:szCs w:val="6"/>
                <w:color w:val="auto"/>
              </w:rPr>
            </w:pPr>
          </w:p>
        </w:tc>
      </w:tr>
      <w:tr>
        <w:trPr>
          <w:trHeight w:val="318"/>
        </w:trPr>
        <w:tc>
          <w:tcPr>
            <w:tcW w:w="40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Base Salary</w:t>
            </w:r>
          </w:p>
        </w:tc>
        <w:tc>
          <w:tcPr>
            <w:tcW w:w="10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00" w:type="dxa"/>
            <w:vAlign w:val="bottom"/>
            <w:tcBorders>
              <w:bottom w:val="single" w:sz="8" w:color="F1F2F2"/>
            </w:tcBorders>
            <w:shd w:val="clear" w:color="auto" w:fill="F1F2F2"/>
          </w:tcPr>
          <w:p>
            <w:pPr>
              <w:spacing w:after="0"/>
              <w:rPr>
                <w:sz w:val="24"/>
                <w:szCs w:val="24"/>
                <w:color w:val="auto"/>
              </w:rPr>
            </w:pPr>
          </w:p>
        </w:tc>
        <w:tc>
          <w:tcPr>
            <w:tcW w:w="1080" w:type="dxa"/>
            <w:vAlign w:val="bottom"/>
            <w:tcBorders>
              <w:bottom w:val="single" w:sz="8" w:color="F1F2F2"/>
            </w:tcBorders>
            <w:shd w:val="clear" w:color="auto" w:fill="F1F2F2"/>
          </w:tcPr>
          <w:p>
            <w:pPr>
              <w:spacing w:after="0"/>
              <w:rPr>
                <w:sz w:val="24"/>
                <w:szCs w:val="24"/>
                <w:color w:val="auto"/>
              </w:rPr>
            </w:pPr>
          </w:p>
        </w:tc>
        <w:tc>
          <w:tcPr>
            <w:tcW w:w="16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280" w:type="dxa"/>
            <w:vAlign w:val="bottom"/>
            <w:tcBorders>
              <w:bottom w:val="single" w:sz="8" w:color="F1F2F2"/>
            </w:tcBorders>
            <w:shd w:val="clear" w:color="auto" w:fill="F1F2F2"/>
          </w:tcPr>
          <w:p>
            <w:pPr>
              <w:spacing w:after="0"/>
              <w:rPr>
                <w:sz w:val="24"/>
                <w:szCs w:val="24"/>
                <w:color w:val="auto"/>
              </w:rPr>
            </w:pPr>
          </w:p>
        </w:tc>
      </w:tr>
      <w:tr>
        <w:trPr>
          <w:trHeight w:val="295"/>
        </w:trPr>
        <w:tc>
          <w:tcPr>
            <w:tcW w:w="4040" w:type="dxa"/>
            <w:vAlign w:val="bottom"/>
          </w:tcPr>
          <w:p>
            <w:pPr>
              <w:ind w:left="100"/>
              <w:spacing w:after="0"/>
              <w:rPr>
                <w:sz w:val="20"/>
                <w:szCs w:val="20"/>
                <w:color w:val="auto"/>
              </w:rPr>
            </w:pPr>
            <w:r>
              <w:rPr>
                <w:rFonts w:ascii="Arial" w:cs="Arial" w:eastAsia="Arial" w:hAnsi="Arial"/>
                <w:sz w:val="14"/>
                <w:szCs w:val="14"/>
                <w:color w:val="auto"/>
              </w:rPr>
              <w:t>Short-Term Incentive Program</w:t>
            </w:r>
          </w:p>
        </w:tc>
        <w:tc>
          <w:tcPr>
            <w:tcW w:w="102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0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28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r>
      <w:tr>
        <w:trPr>
          <w:trHeight w:val="43"/>
        </w:trPr>
        <w:tc>
          <w:tcPr>
            <w:tcW w:w="4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8"/>
        </w:trPr>
        <w:tc>
          <w:tcPr>
            <w:tcW w:w="40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Long-Term Incentive Program:</w:t>
            </w:r>
          </w:p>
        </w:tc>
        <w:tc>
          <w:tcPr>
            <w:tcW w:w="1020" w:type="dxa"/>
            <w:vAlign w:val="bottom"/>
            <w:shd w:val="clear" w:color="auto" w:fill="F1F2F2"/>
          </w:tcPr>
          <w:p>
            <w:pPr>
              <w:spacing w:after="0"/>
              <w:rPr>
                <w:sz w:val="18"/>
                <w:szCs w:val="18"/>
                <w:color w:val="auto"/>
              </w:rPr>
            </w:pPr>
          </w:p>
        </w:tc>
        <w:tc>
          <w:tcPr>
            <w:tcW w:w="1120" w:type="dxa"/>
            <w:vAlign w:val="bottom"/>
            <w:shd w:val="clear" w:color="auto" w:fill="F1F2F2"/>
          </w:tcPr>
          <w:p>
            <w:pPr>
              <w:spacing w:after="0"/>
              <w:rPr>
                <w:sz w:val="18"/>
                <w:szCs w:val="18"/>
                <w:color w:val="auto"/>
              </w:rPr>
            </w:pPr>
          </w:p>
        </w:tc>
        <w:tc>
          <w:tcPr>
            <w:tcW w:w="1100" w:type="dxa"/>
            <w:vAlign w:val="bottom"/>
            <w:shd w:val="clear" w:color="auto" w:fill="F1F2F2"/>
          </w:tcPr>
          <w:p>
            <w:pPr>
              <w:spacing w:after="0"/>
              <w:rPr>
                <w:sz w:val="18"/>
                <w:szCs w:val="18"/>
                <w:color w:val="auto"/>
              </w:rPr>
            </w:pPr>
          </w:p>
        </w:tc>
        <w:tc>
          <w:tcPr>
            <w:tcW w:w="1080" w:type="dxa"/>
            <w:vAlign w:val="bottom"/>
            <w:shd w:val="clear" w:color="auto" w:fill="F1F2F2"/>
          </w:tcPr>
          <w:p>
            <w:pPr>
              <w:spacing w:after="0"/>
              <w:rPr>
                <w:sz w:val="18"/>
                <w:szCs w:val="18"/>
                <w:color w:val="auto"/>
              </w:rPr>
            </w:pPr>
          </w:p>
        </w:tc>
        <w:tc>
          <w:tcPr>
            <w:tcW w:w="1600" w:type="dxa"/>
            <w:vAlign w:val="bottom"/>
            <w:shd w:val="clear" w:color="auto" w:fill="F1F2F2"/>
          </w:tcPr>
          <w:p>
            <w:pPr>
              <w:spacing w:after="0"/>
              <w:rPr>
                <w:sz w:val="18"/>
                <w:szCs w:val="18"/>
                <w:color w:val="auto"/>
              </w:rPr>
            </w:pPr>
          </w:p>
        </w:tc>
        <w:tc>
          <w:tcPr>
            <w:tcW w:w="1280" w:type="dxa"/>
            <w:vAlign w:val="bottom"/>
            <w:shd w:val="clear" w:color="auto" w:fill="F1F2F2"/>
          </w:tcPr>
          <w:p>
            <w:pPr>
              <w:spacing w:after="0"/>
              <w:rPr>
                <w:sz w:val="18"/>
                <w:szCs w:val="18"/>
                <w:color w:val="auto"/>
              </w:rPr>
            </w:pPr>
          </w:p>
        </w:tc>
      </w:tr>
      <w:tr>
        <w:trPr>
          <w:trHeight w:val="22"/>
        </w:trPr>
        <w:tc>
          <w:tcPr>
            <w:tcW w:w="404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1120" w:type="dxa"/>
            <w:vAlign w:val="bottom"/>
            <w:shd w:val="clear" w:color="auto" w:fill="F1F2F2"/>
          </w:tcPr>
          <w:p>
            <w:pPr>
              <w:spacing w:after="0" w:line="20" w:lineRule="exact"/>
              <w:rPr>
                <w:sz w:val="1"/>
                <w:szCs w:val="1"/>
                <w:color w:val="auto"/>
              </w:rPr>
            </w:pPr>
          </w:p>
        </w:tc>
        <w:tc>
          <w:tcPr>
            <w:tcW w:w="1100" w:type="dxa"/>
            <w:vAlign w:val="bottom"/>
            <w:shd w:val="clear" w:color="auto" w:fill="F1F2F2"/>
          </w:tcPr>
          <w:p>
            <w:pPr>
              <w:spacing w:after="0" w:line="20" w:lineRule="exact"/>
              <w:rPr>
                <w:sz w:val="1"/>
                <w:szCs w:val="1"/>
                <w:color w:val="auto"/>
              </w:rPr>
            </w:pPr>
          </w:p>
        </w:tc>
        <w:tc>
          <w:tcPr>
            <w:tcW w:w="1080" w:type="dxa"/>
            <w:vAlign w:val="bottom"/>
            <w:shd w:val="clear" w:color="auto" w:fill="F1F2F2"/>
          </w:tcPr>
          <w:p>
            <w:pPr>
              <w:spacing w:after="0" w:line="20" w:lineRule="exact"/>
              <w:rPr>
                <w:sz w:val="1"/>
                <w:szCs w:val="1"/>
                <w:color w:val="auto"/>
              </w:rPr>
            </w:pPr>
          </w:p>
        </w:tc>
        <w:tc>
          <w:tcPr>
            <w:tcW w:w="1600" w:type="dxa"/>
            <w:vAlign w:val="bottom"/>
            <w:shd w:val="clear" w:color="auto" w:fill="F1F2F2"/>
          </w:tcPr>
          <w:p>
            <w:pPr>
              <w:spacing w:after="0" w:line="20" w:lineRule="exact"/>
              <w:rPr>
                <w:sz w:val="1"/>
                <w:szCs w:val="1"/>
                <w:color w:val="auto"/>
              </w:rPr>
            </w:pPr>
          </w:p>
        </w:tc>
        <w:tc>
          <w:tcPr>
            <w:tcW w:w="1280" w:type="dxa"/>
            <w:vAlign w:val="bottom"/>
            <w:shd w:val="clear" w:color="auto" w:fill="F1F2F2"/>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014" w:right="339" w:bottom="1440" w:gutter="0" w:footer="0" w:header="0"/>
        </w:sectPr>
      </w:pP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Performance Share Units</w:t>
      </w:r>
    </w:p>
    <w:p>
      <w:pPr>
        <w:spacing w:after="0" w:line="177" w:lineRule="exact"/>
        <w:rPr>
          <w:sz w:val="20"/>
          <w:szCs w:val="20"/>
          <w:color w:val="auto"/>
        </w:rPr>
      </w:pPr>
    </w:p>
    <w:p>
      <w:pPr>
        <w:ind w:left="260" w:hanging="7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Restricted Stock Units</w:t>
      </w:r>
    </w:p>
    <w:p>
      <w:pPr>
        <w:spacing w:after="0" w:line="176" w:lineRule="exact"/>
        <w:rPr>
          <w:rFonts w:ascii="Arial" w:cs="Arial" w:eastAsia="Arial" w:hAnsi="Arial"/>
          <w:sz w:val="14"/>
          <w:szCs w:val="14"/>
          <w:color w:val="auto"/>
        </w:rPr>
      </w:pPr>
    </w:p>
    <w:p>
      <w:pPr>
        <w:ind w:left="180" w:right="1840" w:firstLine="8"/>
        <w:spacing w:after="0" w:line="586" w:lineRule="auto"/>
        <w:tabs>
          <w:tab w:leader="none" w:pos="252" w:val="left"/>
        </w:tabs>
        <w:numPr>
          <w:ilvl w:val="0"/>
          <w:numId w:val="60"/>
        </w:numPr>
        <w:rPr>
          <w:rFonts w:ascii="Arial" w:cs="Arial" w:eastAsia="Arial" w:hAnsi="Arial"/>
          <w:sz w:val="12"/>
          <w:szCs w:val="12"/>
          <w:color w:val="auto"/>
        </w:rPr>
      </w:pPr>
      <w:r>
        <w:rPr>
          <w:rFonts w:ascii="Arial" w:cs="Arial" w:eastAsia="Arial" w:hAnsi="Arial"/>
          <w:sz w:val="12"/>
          <w:szCs w:val="12"/>
          <w:color w:val="auto"/>
        </w:rPr>
        <w:t>Stock Appreciation Rights Perquisites</w:t>
      </w:r>
    </w:p>
    <w:p>
      <w:pPr>
        <w:spacing w:after="0" w:line="1" w:lineRule="exact"/>
        <w:rPr>
          <w:rFonts w:ascii="Arial" w:cs="Arial" w:eastAsia="Arial" w:hAnsi="Arial"/>
          <w:sz w:val="12"/>
          <w:szCs w:val="12"/>
          <w:color w:val="auto"/>
        </w:rPr>
      </w:pPr>
    </w:p>
    <w:p>
      <w:pPr>
        <w:ind w:left="180"/>
        <w:spacing w:after="0"/>
        <w:rPr>
          <w:rFonts w:ascii="Arial" w:cs="Arial" w:eastAsia="Arial" w:hAnsi="Arial"/>
          <w:sz w:val="12"/>
          <w:szCs w:val="12"/>
          <w:color w:val="auto"/>
        </w:rPr>
      </w:pPr>
      <w:r>
        <w:rPr>
          <w:rFonts w:ascii="Arial" w:cs="Arial" w:eastAsia="Arial" w:hAnsi="Arial"/>
          <w:sz w:val="14"/>
          <w:szCs w:val="14"/>
          <w:color w:val="auto"/>
        </w:rPr>
        <w:t>Benefit Programs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Pay Positioning and Compensation Mix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ind w:left="440"/>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spacing w:after="0"/>
              <w:rPr>
                <w:sz w:val="24"/>
                <w:szCs w:val="24"/>
                <w:color w:val="auto"/>
              </w:rPr>
            </w:pPr>
          </w:p>
        </w:tc>
        <w:tc>
          <w:tcPr>
            <w:tcW w:w="1240" w:type="dxa"/>
            <w:vAlign w:val="bottom"/>
          </w:tcPr>
          <w:p>
            <w:pPr>
              <w:ind w:left="480"/>
              <w:spacing w:after="0"/>
              <w:rPr>
                <w:sz w:val="20"/>
                <w:szCs w:val="20"/>
                <w:color w:val="auto"/>
              </w:rPr>
            </w:pPr>
            <w:r>
              <w:rPr>
                <w:rFonts w:ascii="Wingdings" w:cs="Wingdings" w:eastAsia="Wingdings" w:hAnsi="Wingdings"/>
                <w:sz w:val="25"/>
                <w:szCs w:val="25"/>
                <w:b w:val="1"/>
                <w:bCs w:val="1"/>
                <w:color w:val="auto"/>
                <w:highlight w:val="black"/>
              </w:rPr>
              <w:t>ü</w:t>
            </w: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ind w:left="620"/>
              <w:spacing w:after="0"/>
              <w:rPr>
                <w:sz w:val="20"/>
                <w:szCs w:val="20"/>
                <w:color w:val="auto"/>
              </w:rPr>
            </w:pPr>
            <w:r>
              <w:rPr>
                <w:rFonts w:ascii="Wingdings" w:cs="Wingdings" w:eastAsia="Wingdings" w:hAnsi="Wingdings"/>
                <w:sz w:val="25"/>
                <w:szCs w:val="25"/>
                <w:b w:val="1"/>
                <w:bCs w:val="1"/>
                <w:color w:val="auto"/>
                <w:highlight w:val="black"/>
              </w:rPr>
              <w:t>ü</w:t>
            </w: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ind w:left="440"/>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spacing w:after="0"/>
              <w:rPr>
                <w:sz w:val="24"/>
                <w:szCs w:val="24"/>
                <w:color w:val="auto"/>
              </w:rPr>
            </w:pP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ind w:left="440"/>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ind w:left="460"/>
              <w:spacing w:after="0"/>
              <w:rPr>
                <w:sz w:val="20"/>
                <w:szCs w:val="20"/>
                <w:color w:val="auto"/>
              </w:rPr>
            </w:pPr>
            <w:r>
              <w:rPr>
                <w:rFonts w:ascii="Wingdings" w:cs="Wingdings" w:eastAsia="Wingdings" w:hAnsi="Wingdings"/>
                <w:sz w:val="25"/>
                <w:szCs w:val="25"/>
                <w:b w:val="1"/>
                <w:bCs w:val="1"/>
                <w:color w:val="auto"/>
                <w:highlight w:val="black"/>
              </w:rPr>
              <w:t>ü</w:t>
            </w:r>
          </w:p>
        </w:tc>
        <w:tc>
          <w:tcPr>
            <w:tcW w:w="1240" w:type="dxa"/>
            <w:vAlign w:val="bottom"/>
          </w:tcPr>
          <w:p>
            <w:pPr>
              <w:ind w:left="480"/>
              <w:spacing w:after="0"/>
              <w:rPr>
                <w:sz w:val="20"/>
                <w:szCs w:val="20"/>
                <w:color w:val="auto"/>
              </w:rPr>
            </w:pPr>
            <w:r>
              <w:rPr>
                <w:rFonts w:ascii="Wingdings" w:cs="Wingdings" w:eastAsia="Wingdings" w:hAnsi="Wingdings"/>
                <w:sz w:val="25"/>
                <w:szCs w:val="25"/>
                <w:b w:val="1"/>
                <w:bCs w:val="1"/>
                <w:color w:val="auto"/>
                <w:highlight w:val="black"/>
              </w:rPr>
              <w:t>ü</w:t>
            </w: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ind w:left="620"/>
              <w:spacing w:after="0"/>
              <w:rPr>
                <w:sz w:val="20"/>
                <w:szCs w:val="20"/>
                <w:color w:val="auto"/>
              </w:rPr>
            </w:pPr>
            <w:r>
              <w:rPr>
                <w:rFonts w:ascii="Wingdings" w:cs="Wingdings" w:eastAsia="Wingdings" w:hAnsi="Wingdings"/>
                <w:sz w:val="25"/>
                <w:szCs w:val="25"/>
                <w:b w:val="1"/>
                <w:bCs w:val="1"/>
                <w:color w:val="auto"/>
                <w:highlight w:val="black"/>
              </w:rPr>
              <w:t>ü</w:t>
            </w: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spacing w:after="0"/>
              <w:rPr>
                <w:sz w:val="24"/>
                <w:szCs w:val="24"/>
                <w:color w:val="auto"/>
              </w:rPr>
            </w:pP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-829945</wp:posOffset>
            </wp:positionV>
            <wp:extent cx="713232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-401320</wp:posOffset>
            </wp:positionV>
            <wp:extent cx="713232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3740" w:space="720"/>
            <w:col w:w="6780"/>
          </w:cols>
          <w:pgMar w:left="320" w:top="1014" w:right="339" w:bottom="1440" w:gutter="0" w:footer="0" w:header="0"/>
          <w:type w:val="continuous"/>
        </w:sectPr>
      </w:pPr>
    </w:p>
    <w:p>
      <w:pPr>
        <w:ind w:firstLine="324"/>
        <w:spacing w:after="0" w:line="253" w:lineRule="auto"/>
        <w:rPr>
          <w:sz w:val="20"/>
          <w:szCs w:val="20"/>
          <w:color w:val="auto"/>
        </w:rPr>
      </w:pPr>
      <w:r>
        <w:rPr>
          <w:rFonts w:ascii="Arial" w:cs="Arial" w:eastAsia="Arial" w:hAnsi="Arial"/>
          <w:sz w:val="18"/>
          <w:szCs w:val="18"/>
          <w:color w:val="auto"/>
        </w:rPr>
        <w:t>For 2024, the Committee targeted all elements of compensation for the Company’s NEOs at the 50th percentile of the market and granted a majority of the NEOs’ total target compensation in the form of incentive compensation. The following chart shows the 2024 average total target direct compensation mix for the CEO and NEOs.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&amp; NEOs –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111760</wp:posOffset>
            </wp:positionV>
            <wp:extent cx="3617595" cy="1697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1759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2"/>
          <w:szCs w:val="22"/>
          <w:b w:val="1"/>
          <w:bCs w:val="1"/>
          <w:color w:val="C60C35"/>
        </w:rPr>
        <w:t>The Decision-Making Process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Role of the Compensation and Human Resources Committee</w:t>
      </w:r>
    </w:p>
    <w:p>
      <w:pPr>
        <w:spacing w:after="0" w:line="16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Committee establishes and administers our executive compensation program, practices, and policies. The Committee receives input from management and its independent compensation consultant and considers competitive practices, our business objectives, stockholder interests, regulatory requirements, and other relevant factors to develop our executive compensation program in an effort to most effectively drive the achievement of the Company’s business objectives.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Role of Senior Management</w:t>
      </w:r>
    </w:p>
    <w:p>
      <w:pPr>
        <w:spacing w:after="0" w:line="156"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The Committee obtains input from management and the Committee’s independent consultant when making NEO compensation decisions. The CEO makes recommendations to the Committee with respect to all elements of compensation for each NEO, excluding himself. The CEO’s recommendations on NEO pay are developed in consultation with the Chief Human Resources Officer and the Committee’s independent compensation consultant and are considered with market data. The Committee determines and approves the final compensation elements and amounts to be provided to the NEOs.</w:t>
      </w:r>
    </w:p>
    <w:p>
      <w:pPr>
        <w:spacing w:after="0" w:line="136" w:lineRule="exact"/>
        <w:rPr>
          <w:sz w:val="20"/>
          <w:szCs w:val="20"/>
          <w:color w:val="auto"/>
        </w:rPr>
      </w:pPr>
    </w:p>
    <w:p>
      <w:pPr>
        <w:ind w:right="460" w:firstLine="324"/>
        <w:spacing w:after="0" w:line="301" w:lineRule="auto"/>
        <w:rPr>
          <w:sz w:val="20"/>
          <w:szCs w:val="20"/>
          <w:color w:val="auto"/>
        </w:rPr>
      </w:pPr>
      <w:r>
        <w:rPr>
          <w:rFonts w:ascii="Arial" w:cs="Arial" w:eastAsia="Arial" w:hAnsi="Arial"/>
          <w:sz w:val="17"/>
          <w:szCs w:val="17"/>
          <w:color w:val="auto"/>
        </w:rPr>
        <w:t>The Committee reviews and recommends proposed changes to CEO compensation to the independent members of the Board for approval. All independent members of the Board (rather than just the Committee) have responsibility for approving CEO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Role of the Independent Compensation Consultant</w:t>
      </w:r>
    </w:p>
    <w:p>
      <w:pPr>
        <w:spacing w:after="0" w:line="169"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The Committee has the authority to engage and retain an independent compensation consultant to provide independent counsel and advice. At least annually, the Committee conducts an evaluation of the effectiveness of the independent compensation consultant and periodically conducts a request for proposal process to ensure the independent compensation consultant is meeting the Committee’s needs. For the first half of 2024, the Committee retained the services of Pearl Meyer. In July 2024, after a thorough review process, the Committee transitioned the Committee’s consulting services to Meridian Compensation Partners (“Meridian”).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Committee’s request, Pearl Meyer and Meridian performed the following services in 2024:</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provided and analyzed data for all elements of CEO compensation;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and opined on our executive compensation philosophy;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and opined on our Compensation Peer Group;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provided and analyzed data for various elements of executive compensation;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and opined on our executive and Board compensation programs, including NEO and Board target compensation;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presented executive compensation trends and regulatory updates to the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provided input and perspective on various technical matters pertaining to executive compensation.</w:t>
      </w:r>
    </w:p>
    <w:p>
      <w:pPr>
        <w:spacing w:after="0" w:line="15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Committee conducted an independence assessment of Meridian in accordance with SEC rules. Based on this review, we are not aware of any conflict of interest raised by the work performed by the consultant that would prevent Meridian from serving as independent consultants to the Committee. Meridian reported directly to the Committee and did not provide any additional services to the Company or its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Market Competitive Compensation</w:t>
      </w:r>
    </w:p>
    <w:p>
      <w:pPr>
        <w:spacing w:after="0" w:line="169"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To maintain a market-competitive program, the Committee uses benchmarking data when establishing executive compensation. Benchmarking against a representative peer group assists the Committee in assessing the competitiveness of our executive compensation program.</w:t>
      </w:r>
    </w:p>
    <w:p>
      <w:pPr>
        <w:spacing w:after="0" w:line="3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2" w:name="page43"/>
    <w:bookmarkEnd w:id="42"/>
    <w:p>
      <w:pPr>
        <w:ind w:firstLine="324"/>
        <w:spacing w:after="0" w:line="271" w:lineRule="auto"/>
        <w:rPr>
          <w:sz w:val="20"/>
          <w:szCs w:val="20"/>
          <w:color w:val="auto"/>
        </w:rPr>
      </w:pPr>
      <w:r>
        <w:rPr>
          <w:rFonts w:ascii="Arial" w:cs="Arial" w:eastAsia="Arial" w:hAnsi="Arial"/>
          <w:sz w:val="18"/>
          <w:szCs w:val="18"/>
          <w:color w:val="auto"/>
        </w:rPr>
        <w:t>For the purposes of setting 2024 compensation, our Company’s compensation peer group, as reviewed and approved by the Committee, included the following 15 companies (the “Compensation Peer Group”):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80" w:type="dxa"/>
            <w:vAlign w:val="bottom"/>
            <w:gridSpan w:val="2"/>
            <w:shd w:val="clear" w:color="auto" w:fill="F1F2F2"/>
          </w:tcPr>
          <w:p>
            <w:pPr>
              <w:ind w:left="20"/>
              <w:spacing w:after="0"/>
              <w:rPr>
                <w:sz w:val="20"/>
                <w:szCs w:val="20"/>
                <w:color w:val="auto"/>
              </w:rPr>
            </w:pPr>
            <w:r>
              <w:rPr>
                <w:rFonts w:ascii="Arial" w:cs="Arial" w:eastAsia="Arial" w:hAnsi="Arial"/>
                <w:sz w:val="18"/>
                <w:szCs w:val="18"/>
                <w:color w:val="auto"/>
              </w:rPr>
              <w:t xml:space="preserve">•   A. O. Smith Corporation </w:t>
            </w:r>
            <w:r>
              <w:rPr>
                <w:rFonts w:ascii="Arial" w:cs="Arial" w:eastAsia="Arial" w:hAnsi="Arial"/>
                <w:sz w:val="16"/>
                <w:szCs w:val="16"/>
                <w:color w:val="auto"/>
              </w:rPr>
              <w:t>(AOS)</w:t>
            </w:r>
          </w:p>
        </w:tc>
        <w:tc>
          <w:tcPr>
            <w:tcW w:w="520" w:type="dxa"/>
            <w:vAlign w:val="bottom"/>
            <w:shd w:val="clear" w:color="auto" w:fill="F1F2F2"/>
          </w:tcPr>
          <w:p>
            <w:pPr>
              <w:ind w:left="340"/>
              <w:spacing w:after="0"/>
              <w:rPr>
                <w:sz w:val="20"/>
                <w:szCs w:val="20"/>
                <w:color w:val="auto"/>
              </w:rPr>
            </w:pPr>
            <w:r>
              <w:rPr>
                <w:rFonts w:ascii="Arial" w:cs="Arial" w:eastAsia="Arial" w:hAnsi="Arial"/>
                <w:sz w:val="18"/>
                <w:szCs w:val="18"/>
                <w:color w:val="auto"/>
              </w:rPr>
              <w:t>•</w:t>
            </w:r>
          </w:p>
        </w:tc>
        <w:tc>
          <w:tcPr>
            <w:tcW w:w="2760" w:type="dxa"/>
            <w:vAlign w:val="bottom"/>
            <w:shd w:val="clear" w:color="auto" w:fill="F1F2F2"/>
          </w:tcPr>
          <w:p>
            <w:pPr>
              <w:ind w:left="140"/>
              <w:spacing w:after="0"/>
              <w:rPr>
                <w:sz w:val="20"/>
                <w:szCs w:val="20"/>
                <w:color w:val="auto"/>
              </w:rPr>
            </w:pPr>
            <w:r>
              <w:rPr>
                <w:rFonts w:ascii="Arial" w:cs="Arial" w:eastAsia="Arial" w:hAnsi="Arial"/>
                <w:sz w:val="18"/>
                <w:szCs w:val="18"/>
                <w:color w:val="auto"/>
              </w:rPr>
              <w:t xml:space="preserve">Hubbell Inc. </w:t>
            </w:r>
            <w:r>
              <w:rPr>
                <w:rFonts w:ascii="Arial" w:cs="Arial" w:eastAsia="Arial" w:hAnsi="Arial"/>
                <w:sz w:val="16"/>
                <w:szCs w:val="16"/>
                <w:color w:val="auto"/>
              </w:rPr>
              <w:t>(HUBB)</w:t>
            </w:r>
          </w:p>
        </w:tc>
        <w:tc>
          <w:tcPr>
            <w:tcW w:w="4600" w:type="dxa"/>
            <w:vAlign w:val="bottom"/>
            <w:gridSpan w:val="2"/>
            <w:shd w:val="clear" w:color="auto" w:fill="F1F2F2"/>
          </w:tcPr>
          <w:p>
            <w:pPr>
              <w:ind w:left="600"/>
              <w:spacing w:after="0"/>
              <w:rPr>
                <w:sz w:val="20"/>
                <w:szCs w:val="20"/>
                <w:color w:val="auto"/>
              </w:rPr>
            </w:pPr>
            <w:r>
              <w:rPr>
                <w:rFonts w:ascii="Arial" w:cs="Arial" w:eastAsia="Arial" w:hAnsi="Arial"/>
                <w:sz w:val="18"/>
                <w:szCs w:val="18"/>
                <w:color w:val="auto"/>
              </w:rPr>
              <w:t xml:space="preserve">•   Regal Rexnord Corporation </w:t>
            </w:r>
            <w:r>
              <w:rPr>
                <w:rFonts w:ascii="Arial" w:cs="Arial" w:eastAsia="Arial" w:hAnsi="Arial"/>
                <w:sz w:val="16"/>
                <w:szCs w:val="16"/>
                <w:color w:val="auto"/>
              </w:rPr>
              <w:t>(RRX)</w:t>
            </w:r>
          </w:p>
        </w:tc>
        <w:tc>
          <w:tcPr>
            <w:tcW w:w="0" w:type="dxa"/>
            <w:vAlign w:val="bottom"/>
          </w:tcPr>
          <w:p>
            <w:pPr>
              <w:spacing w:after="0"/>
              <w:rPr>
                <w:sz w:val="1"/>
                <w:szCs w:val="1"/>
                <w:color w:val="auto"/>
              </w:rPr>
            </w:pPr>
          </w:p>
        </w:tc>
      </w:tr>
      <w:tr>
        <w:trPr>
          <w:trHeight w:val="173"/>
        </w:trPr>
        <w:tc>
          <w:tcPr>
            <w:tcW w:w="3280" w:type="dxa"/>
            <w:vAlign w:val="bottom"/>
            <w:gridSpan w:val="2"/>
            <w:shd w:val="clear" w:color="auto" w:fill="F1F2F2"/>
          </w:tcPr>
          <w:p>
            <w:pPr>
              <w:spacing w:after="0"/>
              <w:rPr>
                <w:sz w:val="15"/>
                <w:szCs w:val="15"/>
                <w:color w:val="auto"/>
              </w:rPr>
            </w:pPr>
          </w:p>
        </w:tc>
        <w:tc>
          <w:tcPr>
            <w:tcW w:w="520" w:type="dxa"/>
            <w:vAlign w:val="bottom"/>
            <w:shd w:val="clear" w:color="auto" w:fill="F1F2F2"/>
          </w:tcPr>
          <w:p>
            <w:pPr>
              <w:spacing w:after="0"/>
              <w:rPr>
                <w:sz w:val="15"/>
                <w:szCs w:val="15"/>
                <w:color w:val="auto"/>
              </w:rPr>
            </w:pPr>
          </w:p>
        </w:tc>
        <w:tc>
          <w:tcPr>
            <w:tcW w:w="2760" w:type="dxa"/>
            <w:vAlign w:val="bottom"/>
            <w:shd w:val="clear" w:color="auto" w:fill="F1F2F2"/>
          </w:tcPr>
          <w:p>
            <w:pPr>
              <w:spacing w:after="0"/>
              <w:rPr>
                <w:sz w:val="15"/>
                <w:szCs w:val="15"/>
                <w:color w:val="auto"/>
              </w:rPr>
            </w:pPr>
          </w:p>
        </w:tc>
        <w:tc>
          <w:tcPr>
            <w:tcW w:w="4600" w:type="dxa"/>
            <w:vAlign w:val="bottom"/>
            <w:gridSpan w:val="2"/>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 xml:space="preserve">•   Acuity Brands, Inc. </w:t>
            </w:r>
            <w:r>
              <w:rPr>
                <w:rFonts w:ascii="Arial" w:cs="Arial" w:eastAsia="Arial" w:hAnsi="Arial"/>
                <w:sz w:val="16"/>
                <w:szCs w:val="16"/>
                <w:color w:val="auto"/>
              </w:rPr>
              <w:t>(AYI)</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2760" w:type="dxa"/>
            <w:vAlign w:val="bottom"/>
          </w:tcPr>
          <w:p>
            <w:pPr>
              <w:ind w:left="140"/>
              <w:spacing w:after="0"/>
              <w:rPr>
                <w:sz w:val="20"/>
                <w:szCs w:val="20"/>
                <w:color w:val="auto"/>
              </w:rPr>
            </w:pPr>
            <w:r>
              <w:rPr>
                <w:rFonts w:ascii="Arial" w:cs="Arial" w:eastAsia="Arial" w:hAnsi="Arial"/>
                <w:sz w:val="18"/>
                <w:szCs w:val="18"/>
                <w:color w:val="auto"/>
              </w:rPr>
              <w:t xml:space="preserve">IDEX Corporation </w:t>
            </w:r>
            <w:r>
              <w:rPr>
                <w:rFonts w:ascii="Arial" w:cs="Arial" w:eastAsia="Arial" w:hAnsi="Arial"/>
                <w:sz w:val="16"/>
                <w:szCs w:val="16"/>
                <w:color w:val="auto"/>
              </w:rPr>
              <w:t>(IEX)</w:t>
            </w:r>
          </w:p>
        </w:tc>
        <w:tc>
          <w:tcPr>
            <w:tcW w:w="4600" w:type="dxa"/>
            <w:vAlign w:val="bottom"/>
            <w:gridSpan w:val="2"/>
          </w:tcPr>
          <w:p>
            <w:pPr>
              <w:ind w:left="600"/>
              <w:spacing w:after="0"/>
              <w:rPr>
                <w:sz w:val="20"/>
                <w:szCs w:val="20"/>
                <w:color w:val="auto"/>
              </w:rPr>
            </w:pPr>
            <w:r>
              <w:rPr>
                <w:rFonts w:ascii="Arial" w:cs="Arial" w:eastAsia="Arial" w:hAnsi="Arial"/>
                <w:sz w:val="18"/>
                <w:szCs w:val="18"/>
                <w:color w:val="auto"/>
              </w:rPr>
              <w:t xml:space="preserve">•   Rockwell Automation, Inc. </w:t>
            </w:r>
            <w:r>
              <w:rPr>
                <w:rFonts w:ascii="Arial" w:cs="Arial" w:eastAsia="Arial" w:hAnsi="Arial"/>
                <w:sz w:val="16"/>
                <w:szCs w:val="16"/>
                <w:color w:val="auto"/>
              </w:rPr>
              <w:t>(ROK)</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0" w:type="dxa"/>
            <w:vAlign w:val="bottom"/>
            <w:shd w:val="clear" w:color="auto" w:fill="F1F2F2"/>
          </w:tcPr>
          <w:p>
            <w:pPr>
              <w:ind w:left="20"/>
              <w:spacing w:after="0"/>
              <w:rPr>
                <w:sz w:val="20"/>
                <w:szCs w:val="20"/>
                <w:color w:val="auto"/>
              </w:rPr>
            </w:pPr>
            <w:r>
              <w:rPr>
                <w:rFonts w:ascii="Arial" w:cs="Arial" w:eastAsia="Arial" w:hAnsi="Arial"/>
                <w:sz w:val="18"/>
                <w:szCs w:val="18"/>
                <w:color w:val="auto"/>
              </w:rPr>
              <w:t>•</w:t>
            </w:r>
          </w:p>
        </w:tc>
        <w:tc>
          <w:tcPr>
            <w:tcW w:w="3060" w:type="dxa"/>
            <w:vAlign w:val="bottom"/>
            <w:shd w:val="clear" w:color="auto" w:fill="F1F2F2"/>
          </w:tcPr>
          <w:p>
            <w:pPr>
              <w:ind w:left="120"/>
              <w:spacing w:after="0"/>
              <w:rPr>
                <w:sz w:val="20"/>
                <w:szCs w:val="20"/>
                <w:color w:val="auto"/>
              </w:rPr>
            </w:pPr>
            <w:r>
              <w:rPr>
                <w:rFonts w:ascii="Arial" w:cs="Arial" w:eastAsia="Arial" w:hAnsi="Arial"/>
                <w:sz w:val="18"/>
                <w:szCs w:val="18"/>
                <w:color w:val="auto"/>
              </w:rPr>
              <w:t xml:space="preserve">Dover Corporation </w:t>
            </w:r>
            <w:r>
              <w:rPr>
                <w:rFonts w:ascii="Arial" w:cs="Arial" w:eastAsia="Arial" w:hAnsi="Arial"/>
                <w:sz w:val="16"/>
                <w:szCs w:val="16"/>
                <w:color w:val="auto"/>
              </w:rPr>
              <w:t>(DOV)</w:t>
            </w:r>
          </w:p>
        </w:tc>
        <w:tc>
          <w:tcPr>
            <w:tcW w:w="520" w:type="dxa"/>
            <w:vAlign w:val="bottom"/>
            <w:shd w:val="clear" w:color="auto" w:fill="F1F2F2"/>
          </w:tcPr>
          <w:p>
            <w:pPr>
              <w:ind w:left="340"/>
              <w:spacing w:after="0"/>
              <w:rPr>
                <w:sz w:val="20"/>
                <w:szCs w:val="20"/>
                <w:color w:val="auto"/>
              </w:rPr>
            </w:pPr>
            <w:r>
              <w:rPr>
                <w:rFonts w:ascii="Arial" w:cs="Arial" w:eastAsia="Arial" w:hAnsi="Arial"/>
                <w:sz w:val="18"/>
                <w:szCs w:val="18"/>
                <w:color w:val="auto"/>
              </w:rPr>
              <w:t>•</w:t>
            </w:r>
          </w:p>
        </w:tc>
        <w:tc>
          <w:tcPr>
            <w:tcW w:w="2760" w:type="dxa"/>
            <w:vAlign w:val="bottom"/>
            <w:shd w:val="clear" w:color="auto" w:fill="F1F2F2"/>
          </w:tcPr>
          <w:p>
            <w:pPr>
              <w:ind w:left="140"/>
              <w:spacing w:after="0"/>
              <w:rPr>
                <w:sz w:val="20"/>
                <w:szCs w:val="20"/>
                <w:color w:val="auto"/>
              </w:rPr>
            </w:pPr>
            <w:r>
              <w:rPr>
                <w:rFonts w:ascii="Arial" w:cs="Arial" w:eastAsia="Arial" w:hAnsi="Arial"/>
                <w:sz w:val="18"/>
                <w:szCs w:val="18"/>
                <w:color w:val="auto"/>
              </w:rPr>
              <w:t xml:space="preserve">Masco Corporation </w:t>
            </w:r>
            <w:r>
              <w:rPr>
                <w:rFonts w:ascii="Arial" w:cs="Arial" w:eastAsia="Arial" w:hAnsi="Arial"/>
                <w:sz w:val="16"/>
                <w:szCs w:val="16"/>
                <w:color w:val="auto"/>
              </w:rPr>
              <w:t>(MAS)</w:t>
            </w:r>
          </w:p>
        </w:tc>
        <w:tc>
          <w:tcPr>
            <w:tcW w:w="780" w:type="dxa"/>
            <w:vAlign w:val="bottom"/>
            <w:shd w:val="clear" w:color="auto" w:fill="F1F2F2"/>
          </w:tcPr>
          <w:p>
            <w:pPr>
              <w:ind w:left="600"/>
              <w:spacing w:after="0"/>
              <w:rPr>
                <w:sz w:val="20"/>
                <w:szCs w:val="20"/>
                <w:color w:val="auto"/>
              </w:rPr>
            </w:pPr>
            <w:r>
              <w:rPr>
                <w:rFonts w:ascii="Arial" w:cs="Arial" w:eastAsia="Arial" w:hAnsi="Arial"/>
                <w:sz w:val="18"/>
                <w:szCs w:val="18"/>
                <w:color w:val="auto"/>
              </w:rPr>
              <w:t>•</w:t>
            </w:r>
          </w:p>
        </w:tc>
        <w:tc>
          <w:tcPr>
            <w:tcW w:w="3820" w:type="dxa"/>
            <w:vAlign w:val="bottom"/>
            <w:shd w:val="clear" w:color="auto" w:fill="F1F2F2"/>
          </w:tcPr>
          <w:p>
            <w:pPr>
              <w:ind w:left="140"/>
              <w:spacing w:after="0"/>
              <w:rPr>
                <w:sz w:val="20"/>
                <w:szCs w:val="20"/>
                <w:color w:val="auto"/>
              </w:rPr>
            </w:pPr>
            <w:r>
              <w:rPr>
                <w:rFonts w:ascii="Arial" w:cs="Arial" w:eastAsia="Arial" w:hAnsi="Arial"/>
                <w:sz w:val="18"/>
                <w:szCs w:val="18"/>
                <w:color w:val="auto"/>
              </w:rPr>
              <w:t xml:space="preserve">Snap-On Incorporated </w:t>
            </w:r>
            <w:r>
              <w:rPr>
                <w:rFonts w:ascii="Arial" w:cs="Arial" w:eastAsia="Arial" w:hAnsi="Arial"/>
                <w:sz w:val="16"/>
                <w:szCs w:val="16"/>
                <w:color w:val="auto"/>
              </w:rPr>
              <w:t>(SNA)</w:t>
            </w:r>
          </w:p>
        </w:tc>
        <w:tc>
          <w:tcPr>
            <w:tcW w:w="0" w:type="dxa"/>
            <w:vAlign w:val="bottom"/>
          </w:tcPr>
          <w:p>
            <w:pPr>
              <w:spacing w:after="0"/>
              <w:rPr>
                <w:sz w:val="1"/>
                <w:szCs w:val="1"/>
                <w:color w:val="auto"/>
              </w:rPr>
            </w:pPr>
          </w:p>
        </w:tc>
      </w:tr>
      <w:tr>
        <w:trPr>
          <w:trHeight w:val="185"/>
        </w:trPr>
        <w:tc>
          <w:tcPr>
            <w:tcW w:w="220" w:type="dxa"/>
            <w:vAlign w:val="bottom"/>
            <w:shd w:val="clear" w:color="auto" w:fill="F1F2F2"/>
          </w:tcPr>
          <w:p>
            <w:pPr>
              <w:spacing w:after="0"/>
              <w:rPr>
                <w:sz w:val="16"/>
                <w:szCs w:val="16"/>
                <w:color w:val="auto"/>
              </w:rPr>
            </w:pPr>
          </w:p>
        </w:tc>
        <w:tc>
          <w:tcPr>
            <w:tcW w:w="3060" w:type="dxa"/>
            <w:vAlign w:val="bottom"/>
            <w:shd w:val="clear" w:color="auto" w:fill="F1F2F2"/>
          </w:tcPr>
          <w:p>
            <w:pPr>
              <w:spacing w:after="0"/>
              <w:rPr>
                <w:sz w:val="16"/>
                <w:szCs w:val="16"/>
                <w:color w:val="auto"/>
              </w:rPr>
            </w:pPr>
          </w:p>
        </w:tc>
        <w:tc>
          <w:tcPr>
            <w:tcW w:w="520" w:type="dxa"/>
            <w:vAlign w:val="bottom"/>
            <w:shd w:val="clear" w:color="auto" w:fill="F1F2F2"/>
          </w:tcPr>
          <w:p>
            <w:pPr>
              <w:spacing w:after="0"/>
              <w:rPr>
                <w:sz w:val="16"/>
                <w:szCs w:val="16"/>
                <w:color w:val="auto"/>
              </w:rPr>
            </w:pPr>
          </w:p>
        </w:tc>
        <w:tc>
          <w:tcPr>
            <w:tcW w:w="2760" w:type="dxa"/>
            <w:vAlign w:val="bottom"/>
            <w:shd w:val="clear" w:color="auto" w:fill="F1F2F2"/>
          </w:tcPr>
          <w:p>
            <w:pPr>
              <w:spacing w:after="0"/>
              <w:rPr>
                <w:sz w:val="16"/>
                <w:szCs w:val="16"/>
                <w:color w:val="auto"/>
              </w:rPr>
            </w:pPr>
          </w:p>
        </w:tc>
        <w:tc>
          <w:tcPr>
            <w:tcW w:w="4600" w:type="dxa"/>
            <w:vAlign w:val="bottom"/>
            <w:gridSpan w:val="2"/>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 xml:space="preserve">Flowserve Corporation </w:t>
            </w:r>
            <w:r>
              <w:rPr>
                <w:rFonts w:ascii="Arial" w:cs="Arial" w:eastAsia="Arial" w:hAnsi="Arial"/>
                <w:sz w:val="16"/>
                <w:szCs w:val="16"/>
                <w:color w:val="auto"/>
              </w:rPr>
              <w:t>(FLS)</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2760" w:type="dxa"/>
            <w:vAlign w:val="bottom"/>
          </w:tcPr>
          <w:p>
            <w:pPr>
              <w:ind w:left="140"/>
              <w:spacing w:after="0"/>
              <w:rPr>
                <w:sz w:val="20"/>
                <w:szCs w:val="20"/>
                <w:color w:val="auto"/>
              </w:rPr>
            </w:pPr>
            <w:r>
              <w:rPr>
                <w:rFonts w:ascii="Arial" w:cs="Arial" w:eastAsia="Arial" w:hAnsi="Arial"/>
                <w:sz w:val="18"/>
                <w:szCs w:val="18"/>
                <w:color w:val="auto"/>
              </w:rPr>
              <w:t xml:space="preserve">Owens Corning </w:t>
            </w:r>
            <w:r>
              <w:rPr>
                <w:rFonts w:ascii="Arial" w:cs="Arial" w:eastAsia="Arial" w:hAnsi="Arial"/>
                <w:sz w:val="16"/>
                <w:szCs w:val="16"/>
                <w:color w:val="auto"/>
              </w:rPr>
              <w:t>(OC)</w:t>
            </w:r>
          </w:p>
        </w:tc>
        <w:tc>
          <w:tcPr>
            <w:tcW w:w="4600" w:type="dxa"/>
            <w:vAlign w:val="bottom"/>
            <w:gridSpan w:val="2"/>
          </w:tcPr>
          <w:p>
            <w:pPr>
              <w:ind w:left="600"/>
              <w:spacing w:after="0"/>
              <w:rPr>
                <w:sz w:val="20"/>
                <w:szCs w:val="20"/>
                <w:color w:val="auto"/>
              </w:rPr>
            </w:pPr>
            <w:r>
              <w:rPr>
                <w:rFonts w:ascii="Arial" w:cs="Arial" w:eastAsia="Arial" w:hAnsi="Arial"/>
                <w:sz w:val="18"/>
                <w:szCs w:val="18"/>
                <w:color w:val="auto"/>
              </w:rPr>
              <w:t xml:space="preserve">•   The Timken Company </w:t>
            </w:r>
            <w:r>
              <w:rPr>
                <w:rFonts w:ascii="Arial" w:cs="Arial" w:eastAsia="Arial" w:hAnsi="Arial"/>
                <w:sz w:val="16"/>
                <w:szCs w:val="16"/>
                <w:color w:val="auto"/>
              </w:rPr>
              <w:t>(TKR)</w:t>
            </w:r>
          </w:p>
        </w:tc>
        <w:tc>
          <w:tcPr>
            <w:tcW w:w="0" w:type="dxa"/>
            <w:vAlign w:val="bottom"/>
          </w:tcPr>
          <w:p>
            <w:pPr>
              <w:spacing w:after="0"/>
              <w:rPr>
                <w:sz w:val="1"/>
                <w:szCs w:val="1"/>
                <w:color w:val="auto"/>
              </w:rPr>
            </w:pPr>
          </w:p>
        </w:tc>
      </w:tr>
      <w:tr>
        <w:trPr>
          <w:trHeight w:val="185"/>
        </w:trPr>
        <w:tc>
          <w:tcPr>
            <w:tcW w:w="328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F1F2F2"/>
          </w:tcPr>
          <w:p>
            <w:pPr>
              <w:ind w:left="20"/>
              <w:spacing w:after="0" w:line="202" w:lineRule="exact"/>
              <w:rPr>
                <w:sz w:val="20"/>
                <w:szCs w:val="20"/>
                <w:color w:val="auto"/>
              </w:rPr>
            </w:pPr>
            <w:r>
              <w:rPr>
                <w:rFonts w:ascii="Arial" w:cs="Arial" w:eastAsia="Arial" w:hAnsi="Arial"/>
                <w:sz w:val="18"/>
                <w:szCs w:val="18"/>
                <w:color w:val="auto"/>
              </w:rPr>
              <w:t>•   Fortune Brands Innovations, Inc.</w:t>
            </w:r>
          </w:p>
        </w:tc>
        <w:tc>
          <w:tcPr>
            <w:tcW w:w="520" w:type="dxa"/>
            <w:vAlign w:val="bottom"/>
            <w:vMerge w:val="restart"/>
            <w:shd w:val="clear" w:color="auto" w:fill="F1F2F2"/>
          </w:tcPr>
          <w:p>
            <w:pPr>
              <w:ind w:left="340"/>
              <w:spacing w:after="0"/>
              <w:rPr>
                <w:sz w:val="20"/>
                <w:szCs w:val="20"/>
                <w:color w:val="auto"/>
              </w:rPr>
            </w:pPr>
            <w:r>
              <w:rPr>
                <w:rFonts w:ascii="Arial" w:cs="Arial" w:eastAsia="Arial" w:hAnsi="Arial"/>
                <w:sz w:val="18"/>
                <w:szCs w:val="18"/>
                <w:color w:val="auto"/>
              </w:rPr>
              <w:t>•</w:t>
            </w:r>
          </w:p>
        </w:tc>
        <w:tc>
          <w:tcPr>
            <w:tcW w:w="2760" w:type="dxa"/>
            <w:vAlign w:val="bottom"/>
            <w:vMerge w:val="restart"/>
            <w:shd w:val="clear" w:color="auto" w:fill="F1F2F2"/>
          </w:tcPr>
          <w:p>
            <w:pPr>
              <w:ind w:left="140"/>
              <w:spacing w:after="0"/>
              <w:rPr>
                <w:sz w:val="20"/>
                <w:szCs w:val="20"/>
                <w:color w:val="auto"/>
              </w:rPr>
            </w:pPr>
            <w:r>
              <w:rPr>
                <w:rFonts w:ascii="Arial" w:cs="Arial" w:eastAsia="Arial" w:hAnsi="Arial"/>
                <w:sz w:val="18"/>
                <w:szCs w:val="18"/>
                <w:color w:val="auto"/>
              </w:rPr>
              <w:t xml:space="preserve">Pentair, Inc. </w:t>
            </w:r>
            <w:r>
              <w:rPr>
                <w:rFonts w:ascii="Arial" w:cs="Arial" w:eastAsia="Arial" w:hAnsi="Arial"/>
                <w:sz w:val="16"/>
                <w:szCs w:val="16"/>
                <w:color w:val="auto"/>
              </w:rPr>
              <w:t xml:space="preserve">(PNR)    </w:t>
            </w:r>
          </w:p>
        </w:tc>
        <w:tc>
          <w:tcPr>
            <w:tcW w:w="780" w:type="dxa"/>
            <w:vAlign w:val="bottom"/>
            <w:vMerge w:val="restart"/>
            <w:shd w:val="clear" w:color="auto" w:fill="F1F2F2"/>
          </w:tcPr>
          <w:p>
            <w:pPr>
              <w:ind w:left="600"/>
              <w:spacing w:after="0"/>
              <w:rPr>
                <w:sz w:val="20"/>
                <w:szCs w:val="20"/>
                <w:color w:val="auto"/>
              </w:rPr>
            </w:pPr>
            <w:r>
              <w:rPr>
                <w:rFonts w:ascii="Arial" w:cs="Arial" w:eastAsia="Arial" w:hAnsi="Arial"/>
                <w:sz w:val="18"/>
                <w:szCs w:val="18"/>
                <w:color w:val="auto"/>
              </w:rPr>
              <w:t>•</w:t>
            </w:r>
          </w:p>
        </w:tc>
        <w:tc>
          <w:tcPr>
            <w:tcW w:w="3820" w:type="dxa"/>
            <w:vAlign w:val="bottom"/>
            <w:vMerge w:val="restart"/>
            <w:shd w:val="clear" w:color="auto" w:fill="F1F2F2"/>
          </w:tcPr>
          <w:p>
            <w:pPr>
              <w:ind w:left="140"/>
              <w:spacing w:after="0"/>
              <w:rPr>
                <w:sz w:val="20"/>
                <w:szCs w:val="20"/>
                <w:color w:val="auto"/>
              </w:rPr>
            </w:pPr>
            <w:r>
              <w:rPr>
                <w:rFonts w:ascii="Arial" w:cs="Arial" w:eastAsia="Arial" w:hAnsi="Arial"/>
                <w:sz w:val="18"/>
                <w:szCs w:val="18"/>
                <w:color w:val="auto"/>
              </w:rPr>
              <w:t xml:space="preserve">Xylem Inc. </w:t>
            </w:r>
            <w:r>
              <w:rPr>
                <w:rFonts w:ascii="Arial" w:cs="Arial" w:eastAsia="Arial" w:hAnsi="Arial"/>
                <w:sz w:val="16"/>
                <w:szCs w:val="16"/>
                <w:color w:val="auto"/>
              </w:rPr>
              <w:t>(XYL)</w:t>
            </w:r>
          </w:p>
        </w:tc>
        <w:tc>
          <w:tcPr>
            <w:tcW w:w="0" w:type="dxa"/>
            <w:vAlign w:val="bottom"/>
          </w:tcPr>
          <w:p>
            <w:pPr>
              <w:spacing w:after="0"/>
              <w:rPr>
                <w:sz w:val="1"/>
                <w:szCs w:val="1"/>
                <w:color w:val="auto"/>
              </w:rPr>
            </w:pPr>
          </w:p>
        </w:tc>
      </w:tr>
      <w:tr>
        <w:trPr>
          <w:trHeight w:val="126"/>
        </w:trPr>
        <w:tc>
          <w:tcPr>
            <w:tcW w:w="220" w:type="dxa"/>
            <w:vAlign w:val="bottom"/>
            <w:shd w:val="clear" w:color="auto" w:fill="F1F2F2"/>
          </w:tcPr>
          <w:p>
            <w:pPr>
              <w:spacing w:after="0"/>
              <w:rPr>
                <w:sz w:val="10"/>
                <w:szCs w:val="10"/>
                <w:color w:val="auto"/>
              </w:rPr>
            </w:pPr>
          </w:p>
        </w:tc>
        <w:tc>
          <w:tcPr>
            <w:tcW w:w="3060" w:type="dxa"/>
            <w:vAlign w:val="bottom"/>
            <w:vMerge w:val="restart"/>
            <w:shd w:val="clear" w:color="auto" w:fill="F1F2F2"/>
          </w:tcPr>
          <w:p>
            <w:pPr>
              <w:ind w:left="140"/>
              <w:spacing w:after="0"/>
              <w:rPr>
                <w:sz w:val="20"/>
                <w:szCs w:val="20"/>
                <w:color w:val="auto"/>
              </w:rPr>
            </w:pPr>
            <w:r>
              <w:rPr>
                <w:rFonts w:ascii="Arial" w:cs="Arial" w:eastAsia="Arial" w:hAnsi="Arial"/>
                <w:sz w:val="16"/>
                <w:szCs w:val="16"/>
                <w:color w:val="auto"/>
              </w:rPr>
              <w:t xml:space="preserve">(FBIN) </w:t>
            </w:r>
          </w:p>
        </w:tc>
        <w:tc>
          <w:tcPr>
            <w:tcW w:w="520" w:type="dxa"/>
            <w:vAlign w:val="bottom"/>
            <w:vMerge w:val="continue"/>
            <w:shd w:val="clear" w:color="auto" w:fill="F1F2F2"/>
          </w:tcPr>
          <w:p>
            <w:pPr>
              <w:spacing w:after="0"/>
              <w:rPr>
                <w:sz w:val="10"/>
                <w:szCs w:val="10"/>
                <w:color w:val="auto"/>
              </w:rPr>
            </w:pPr>
          </w:p>
        </w:tc>
        <w:tc>
          <w:tcPr>
            <w:tcW w:w="2760" w:type="dxa"/>
            <w:vAlign w:val="bottom"/>
            <w:vMerge w:val="continue"/>
            <w:shd w:val="clear" w:color="auto" w:fill="F1F2F2"/>
          </w:tcPr>
          <w:p>
            <w:pPr>
              <w:spacing w:after="0"/>
              <w:rPr>
                <w:sz w:val="10"/>
                <w:szCs w:val="10"/>
                <w:color w:val="auto"/>
              </w:rPr>
            </w:pPr>
          </w:p>
        </w:tc>
        <w:tc>
          <w:tcPr>
            <w:tcW w:w="780" w:type="dxa"/>
            <w:vAlign w:val="bottom"/>
            <w:vMerge w:val="continue"/>
            <w:shd w:val="clear" w:color="auto" w:fill="F1F2F2"/>
          </w:tcPr>
          <w:p>
            <w:pPr>
              <w:spacing w:after="0"/>
              <w:rPr>
                <w:sz w:val="10"/>
                <w:szCs w:val="10"/>
                <w:color w:val="auto"/>
              </w:rPr>
            </w:pPr>
          </w:p>
        </w:tc>
        <w:tc>
          <w:tcPr>
            <w:tcW w:w="3820" w:type="dxa"/>
            <w:vAlign w:val="bottom"/>
            <w:vMerge w:val="continue"/>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0" w:type="dxa"/>
            <w:vAlign w:val="bottom"/>
            <w:shd w:val="clear" w:color="auto" w:fill="F1F2F2"/>
          </w:tcPr>
          <w:p>
            <w:pPr>
              <w:spacing w:after="0"/>
              <w:rPr>
                <w:sz w:val="7"/>
                <w:szCs w:val="7"/>
                <w:color w:val="auto"/>
              </w:rPr>
            </w:pPr>
          </w:p>
        </w:tc>
        <w:tc>
          <w:tcPr>
            <w:tcW w:w="3060" w:type="dxa"/>
            <w:vAlign w:val="bottom"/>
            <w:vMerge w:val="continue"/>
            <w:shd w:val="clear" w:color="auto" w:fill="F1F2F2"/>
          </w:tcPr>
          <w:p>
            <w:pPr>
              <w:spacing w:after="0"/>
              <w:rPr>
                <w:sz w:val="7"/>
                <w:szCs w:val="7"/>
                <w:color w:val="auto"/>
              </w:rPr>
            </w:pPr>
          </w:p>
        </w:tc>
        <w:tc>
          <w:tcPr>
            <w:tcW w:w="520" w:type="dxa"/>
            <w:vAlign w:val="bottom"/>
            <w:shd w:val="clear" w:color="auto" w:fill="F1F2F2"/>
          </w:tcPr>
          <w:p>
            <w:pPr>
              <w:spacing w:after="0"/>
              <w:rPr>
                <w:sz w:val="7"/>
                <w:szCs w:val="7"/>
                <w:color w:val="auto"/>
              </w:rPr>
            </w:pPr>
          </w:p>
        </w:tc>
        <w:tc>
          <w:tcPr>
            <w:tcW w:w="276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38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20" w:type="dxa"/>
            <w:vAlign w:val="bottom"/>
            <w:shd w:val="clear" w:color="auto" w:fill="F1F2F2"/>
          </w:tcPr>
          <w:p>
            <w:pPr>
              <w:spacing w:after="0"/>
              <w:rPr>
                <w:sz w:val="16"/>
                <w:szCs w:val="16"/>
                <w:color w:val="auto"/>
              </w:rPr>
            </w:pPr>
          </w:p>
        </w:tc>
        <w:tc>
          <w:tcPr>
            <w:tcW w:w="3060" w:type="dxa"/>
            <w:vAlign w:val="bottom"/>
            <w:shd w:val="clear" w:color="auto" w:fill="F1F2F2"/>
          </w:tcPr>
          <w:p>
            <w:pPr>
              <w:spacing w:after="0"/>
              <w:rPr>
                <w:sz w:val="16"/>
                <w:szCs w:val="16"/>
                <w:color w:val="auto"/>
              </w:rPr>
            </w:pPr>
          </w:p>
        </w:tc>
        <w:tc>
          <w:tcPr>
            <w:tcW w:w="520" w:type="dxa"/>
            <w:vAlign w:val="bottom"/>
            <w:shd w:val="clear" w:color="auto" w:fill="F1F2F2"/>
          </w:tcPr>
          <w:p>
            <w:pPr>
              <w:spacing w:after="0"/>
              <w:rPr>
                <w:sz w:val="16"/>
                <w:szCs w:val="16"/>
                <w:color w:val="auto"/>
              </w:rPr>
            </w:pPr>
          </w:p>
        </w:tc>
        <w:tc>
          <w:tcPr>
            <w:tcW w:w="2760" w:type="dxa"/>
            <w:vAlign w:val="bottom"/>
            <w:shd w:val="clear" w:color="auto" w:fill="F1F2F2"/>
          </w:tcPr>
          <w:p>
            <w:pPr>
              <w:spacing w:after="0"/>
              <w:rPr>
                <w:sz w:val="16"/>
                <w:szCs w:val="16"/>
                <w:color w:val="auto"/>
              </w:rPr>
            </w:pPr>
          </w:p>
        </w:tc>
        <w:tc>
          <w:tcPr>
            <w:tcW w:w="780" w:type="dxa"/>
            <w:vAlign w:val="bottom"/>
            <w:shd w:val="clear" w:color="auto" w:fill="F1F2F2"/>
          </w:tcPr>
          <w:p>
            <w:pPr>
              <w:spacing w:after="0"/>
              <w:rPr>
                <w:sz w:val="16"/>
                <w:szCs w:val="16"/>
                <w:color w:val="auto"/>
              </w:rPr>
            </w:pPr>
          </w:p>
        </w:tc>
        <w:tc>
          <w:tcPr>
            <w:tcW w:w="38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selected the Compensation Peer Group using the following criteria:</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industry – building products, electrical components/equipment, and industrial machinery;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revenues of approximately 0.5 to 2.0 times our revenues;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business and product mix similar to ours;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international presence and operations.</w:t>
      </w:r>
    </w:p>
    <w:p>
      <w:pPr>
        <w:spacing w:after="0" w:line="15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In 2024, the Committee analyzed the Compensation Peer Group on the criteria above and made no adjustments. Lennox revenues are at the 53rd percentile of the peer group and market capitalization is at the 77th percentile,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83820</wp:posOffset>
            </wp:positionV>
            <wp:extent cx="3454400" cy="6686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544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In addition to comparing our NEO compensation to the compensation of our Compensation Peer Group, the Committee also references published compensation data and other studies of compensation trends and market practices (these data and practices, including our Compensation Peer Group, are collectively referred to as the “Market”).</w:t>
      </w:r>
    </w:p>
    <w:p>
      <w:pPr>
        <w:spacing w:after="0" w:line="108" w:lineRule="exact"/>
        <w:rPr>
          <w:sz w:val="20"/>
          <w:szCs w:val="20"/>
          <w:color w:val="auto"/>
        </w:rPr>
      </w:pPr>
    </w:p>
    <w:p>
      <w:pPr>
        <w:jc w:val="both"/>
        <w:ind w:right="220" w:firstLine="324"/>
        <w:spacing w:after="0" w:line="287" w:lineRule="auto"/>
        <w:rPr>
          <w:sz w:val="20"/>
          <w:szCs w:val="20"/>
          <w:color w:val="auto"/>
        </w:rPr>
      </w:pPr>
      <w:r>
        <w:rPr>
          <w:rFonts w:ascii="Arial" w:cs="Arial" w:eastAsia="Arial" w:hAnsi="Arial"/>
          <w:sz w:val="18"/>
          <w:szCs w:val="18"/>
          <w:color w:val="auto"/>
        </w:rPr>
        <w:t>Beyond traditional Market analysis, the Committee also utilizes various other compensation analyses to assist with its decision-making process. Below are examples of information the Committee reviews and considers, as appropriate, when making compensation decisions:</w:t>
      </w:r>
    </w:p>
    <w:p>
      <w:pPr>
        <w:spacing w:after="0" w:line="8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in” compensation summaries and pay histories for the CEO and other executive officers;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CEO realized pay analysis;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CEO pay versus performance analysis;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dilution and share utilization analysis, projections, and benchmarking;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equity compensation expense analysis;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short-term and long-term incentive design, metrics, and award type;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short-term and long-term incentive plan performance results.</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C60C35"/>
        </w:rPr>
        <w:t>Components and Analysis of 2024 Executive Compensatio</w:t>
      </w:r>
      <w:r>
        <w:rPr>
          <w:rFonts w:ascii="Arial" w:cs="Arial" w:eastAsia="Arial" w:hAnsi="Arial"/>
          <w:sz w:val="22"/>
          <w:szCs w:val="22"/>
          <w:b w:val="1"/>
          <w:bCs w:val="1"/>
          <w:color w:val="C6093B"/>
        </w:rPr>
        <w:t>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Base Salary</w:t>
      </w:r>
    </w:p>
    <w:p>
      <w:pPr>
        <w:spacing w:after="0" w:line="16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establishing each NEO’s annual base salary, the Committee considered Market data, each individual’s experience and responsibilities, our annual merit budget for all employees, achievement of performance objectives, internal equity, and recommendations provided by the CEO for his direct reports.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 regarding base salaries for each NEO: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20" w:type="dxa"/>
            <w:vAlign w:val="bottom"/>
            <w:shd w:val="clear" w:color="auto" w:fill="C60C35"/>
          </w:tcPr>
          <w:p>
            <w:pPr>
              <w:spacing w:after="0"/>
              <w:rPr>
                <w:sz w:val="16"/>
                <w:szCs w:val="16"/>
                <w:color w:val="auto"/>
              </w:rPr>
            </w:pPr>
          </w:p>
        </w:tc>
        <w:tc>
          <w:tcPr>
            <w:tcW w:w="182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Base Salary as of</w:t>
            </w:r>
          </w:p>
        </w:tc>
        <w:tc>
          <w:tcPr>
            <w:tcW w:w="1660" w:type="dxa"/>
            <w:vAlign w:val="bottom"/>
            <w:shd w:val="clear" w:color="auto" w:fill="C60C35"/>
          </w:tcPr>
          <w:p>
            <w:pPr>
              <w:jc w:val="right"/>
              <w:ind w:right="128"/>
              <w:spacing w:after="0"/>
              <w:rPr>
                <w:sz w:val="20"/>
                <w:szCs w:val="20"/>
                <w:color w:val="auto"/>
              </w:rPr>
            </w:pPr>
            <w:r>
              <w:rPr>
                <w:rFonts w:ascii="Arial" w:cs="Arial" w:eastAsia="Arial" w:hAnsi="Arial"/>
                <w:sz w:val="14"/>
                <w:szCs w:val="14"/>
                <w:b w:val="1"/>
                <w:bCs w:val="1"/>
                <w:color w:val="FFFFFF"/>
              </w:rPr>
              <w:t>Increase Effective</w:t>
            </w:r>
          </w:p>
        </w:tc>
        <w:tc>
          <w:tcPr>
            <w:tcW w:w="3140" w:type="dxa"/>
            <w:vAlign w:val="bottom"/>
            <w:gridSpan w:val="2"/>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Base Salary as of Base Salary Earned in</w:t>
            </w:r>
          </w:p>
        </w:tc>
      </w:tr>
      <w:tr>
        <w:trPr>
          <w:trHeight w:val="248"/>
        </w:trPr>
        <w:tc>
          <w:tcPr>
            <w:tcW w:w="462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820" w:type="dxa"/>
            <w:vAlign w:val="bottom"/>
            <w:tcBorders>
              <w:bottom w:val="single" w:sz="8" w:color="C60C35"/>
            </w:tcBorders>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January 1, 2024</w:t>
            </w:r>
          </w:p>
        </w:tc>
        <w:tc>
          <w:tcPr>
            <w:tcW w:w="1660" w:type="dxa"/>
            <w:vAlign w:val="bottom"/>
            <w:tcBorders>
              <w:bottom w:val="single" w:sz="8" w:color="C60C35"/>
            </w:tcBorders>
            <w:shd w:val="clear" w:color="auto" w:fill="C60C35"/>
          </w:tcPr>
          <w:p>
            <w:pPr>
              <w:jc w:val="right"/>
              <w:ind w:right="128"/>
              <w:spacing w:after="0"/>
              <w:rPr>
                <w:sz w:val="20"/>
                <w:szCs w:val="20"/>
                <w:color w:val="auto"/>
              </w:rPr>
            </w:pPr>
            <w:r>
              <w:rPr>
                <w:rFonts w:ascii="Arial" w:cs="Arial" w:eastAsia="Arial" w:hAnsi="Arial"/>
                <w:sz w:val="14"/>
                <w:szCs w:val="14"/>
                <w:b w:val="1"/>
                <w:bCs w:val="1"/>
                <w:color w:val="FFFFFF"/>
              </w:rPr>
              <w:t>April 1, 2024</w:t>
            </w:r>
          </w:p>
        </w:tc>
        <w:tc>
          <w:tcPr>
            <w:tcW w:w="1840" w:type="dxa"/>
            <w:vAlign w:val="bottom"/>
            <w:tcBorders>
              <w:bottom w:val="single" w:sz="8" w:color="C60C35"/>
            </w:tcBorders>
            <w:shd w:val="clear" w:color="auto" w:fill="C60C35"/>
          </w:tcPr>
          <w:p>
            <w:pPr>
              <w:jc w:val="right"/>
              <w:ind w:right="368"/>
              <w:spacing w:after="0"/>
              <w:rPr>
                <w:sz w:val="20"/>
                <w:szCs w:val="20"/>
                <w:color w:val="auto"/>
              </w:rPr>
            </w:pPr>
            <w:r>
              <w:rPr>
                <w:rFonts w:ascii="Arial" w:cs="Arial" w:eastAsia="Arial" w:hAnsi="Arial"/>
                <w:sz w:val="14"/>
                <w:szCs w:val="14"/>
                <w:b w:val="1"/>
                <w:bCs w:val="1"/>
                <w:color w:val="FFFFFF"/>
              </w:rPr>
              <w:t>April 1, 2024</w:t>
            </w:r>
            <w:r>
              <w:rPr>
                <w:rFonts w:ascii="Arial" w:cs="Arial" w:eastAsia="Arial" w:hAnsi="Arial"/>
                <w:sz w:val="18"/>
                <w:szCs w:val="18"/>
                <w:b w:val="1"/>
                <w:bCs w:val="1"/>
                <w:color w:val="FFFFFF"/>
                <w:vertAlign w:val="superscript"/>
              </w:rPr>
              <w:t>(1)</w:t>
            </w:r>
          </w:p>
        </w:tc>
        <w:tc>
          <w:tcPr>
            <w:tcW w:w="1300" w:type="dxa"/>
            <w:vAlign w:val="bottom"/>
            <w:tcBorders>
              <w:bottom w:val="single" w:sz="8" w:color="C60C35"/>
            </w:tcBorders>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2024</w:t>
            </w:r>
          </w:p>
        </w:tc>
      </w:tr>
      <w:tr>
        <w:trPr>
          <w:trHeight w:val="209"/>
        </w:trPr>
        <w:tc>
          <w:tcPr>
            <w:tcW w:w="46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82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$1,075,000</w:t>
            </w:r>
          </w:p>
        </w:tc>
        <w:tc>
          <w:tcPr>
            <w:tcW w:w="16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7.0 %</w:t>
            </w:r>
          </w:p>
        </w:tc>
        <w:tc>
          <w:tcPr>
            <w:tcW w:w="184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$1,150,000</w:t>
            </w:r>
          </w:p>
        </w:tc>
        <w:tc>
          <w:tcPr>
            <w:tcW w:w="13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$1,131,250</w:t>
            </w:r>
          </w:p>
        </w:tc>
      </w:tr>
      <w:tr>
        <w:trPr>
          <w:trHeight w:val="229"/>
        </w:trPr>
        <w:tc>
          <w:tcPr>
            <w:tcW w:w="4620" w:type="dxa"/>
            <w:vAlign w:val="bottom"/>
          </w:tcPr>
          <w:p>
            <w:pPr>
              <w:ind w:left="100"/>
              <w:spacing w:after="0"/>
              <w:rPr>
                <w:sz w:val="20"/>
                <w:szCs w:val="20"/>
                <w:color w:val="auto"/>
              </w:rPr>
            </w:pPr>
            <w:r>
              <w:rPr>
                <w:rFonts w:ascii="Arial" w:cs="Arial" w:eastAsia="Arial" w:hAnsi="Arial"/>
                <w:sz w:val="14"/>
                <w:szCs w:val="14"/>
                <w:color w:val="auto"/>
              </w:rPr>
              <w:t>Michael P. Quenzer</w:t>
            </w:r>
            <w:r>
              <w:rPr>
                <w:rFonts w:ascii="Arial" w:cs="Arial" w:eastAsia="Arial" w:hAnsi="Arial"/>
                <w:sz w:val="18"/>
                <w:szCs w:val="18"/>
                <w:color w:val="auto"/>
                <w:vertAlign w:val="superscript"/>
              </w:rPr>
              <w:t>(2)</w:t>
            </w:r>
          </w:p>
        </w:tc>
        <w:tc>
          <w:tcPr>
            <w:tcW w:w="1820" w:type="dxa"/>
            <w:vAlign w:val="bottom"/>
          </w:tcPr>
          <w:p>
            <w:pPr>
              <w:jc w:val="right"/>
              <w:ind w:right="188"/>
              <w:spacing w:after="0"/>
              <w:rPr>
                <w:sz w:val="20"/>
                <w:szCs w:val="20"/>
                <w:color w:val="auto"/>
              </w:rPr>
            </w:pPr>
            <w:r>
              <w:rPr>
                <w:rFonts w:ascii="Arial" w:cs="Arial" w:eastAsia="Arial" w:hAnsi="Arial"/>
                <w:sz w:val="14"/>
                <w:szCs w:val="14"/>
                <w:color w:val="auto"/>
              </w:rPr>
              <w:t>550,000</w:t>
            </w:r>
          </w:p>
        </w:tc>
        <w:tc>
          <w:tcPr>
            <w:tcW w:w="16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368"/>
              <w:spacing w:after="0"/>
              <w:rPr>
                <w:sz w:val="20"/>
                <w:szCs w:val="20"/>
                <w:color w:val="auto"/>
              </w:rPr>
            </w:pPr>
            <w:r>
              <w:rPr>
                <w:rFonts w:ascii="Arial" w:cs="Arial" w:eastAsia="Arial" w:hAnsi="Arial"/>
                <w:sz w:val="14"/>
                <w:szCs w:val="14"/>
                <w:color w:val="auto"/>
              </w:rPr>
              <w:t>550,000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550,000</w:t>
            </w:r>
          </w:p>
        </w:tc>
      </w:tr>
      <w:tr>
        <w:trPr>
          <w:trHeight w:val="210"/>
        </w:trPr>
        <w:tc>
          <w:tcPr>
            <w:tcW w:w="46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182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560,000</w:t>
            </w:r>
          </w:p>
        </w:tc>
        <w:tc>
          <w:tcPr>
            <w:tcW w:w="16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3.6 %</w:t>
            </w:r>
          </w:p>
        </w:tc>
        <w:tc>
          <w:tcPr>
            <w:tcW w:w="184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580,000</w:t>
            </w:r>
          </w:p>
        </w:tc>
        <w:tc>
          <w:tcPr>
            <w:tcW w:w="13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575,000</w:t>
            </w:r>
          </w:p>
        </w:tc>
      </w:tr>
      <w:tr>
        <w:trPr>
          <w:trHeight w:val="208"/>
        </w:trPr>
        <w:tc>
          <w:tcPr>
            <w:tcW w:w="462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1820" w:type="dxa"/>
            <w:vAlign w:val="bottom"/>
          </w:tcPr>
          <w:p>
            <w:pPr>
              <w:jc w:val="right"/>
              <w:ind w:right="188"/>
              <w:spacing w:after="0"/>
              <w:rPr>
                <w:sz w:val="20"/>
                <w:szCs w:val="20"/>
                <w:color w:val="auto"/>
              </w:rPr>
            </w:pPr>
            <w:r>
              <w:rPr>
                <w:rFonts w:ascii="Arial" w:cs="Arial" w:eastAsia="Arial" w:hAnsi="Arial"/>
                <w:sz w:val="14"/>
                <w:szCs w:val="14"/>
                <w:color w:val="auto"/>
              </w:rPr>
              <w:t>570,000</w:t>
            </w: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3.5 %</w:t>
            </w:r>
          </w:p>
        </w:tc>
        <w:tc>
          <w:tcPr>
            <w:tcW w:w="1840" w:type="dxa"/>
            <w:vAlign w:val="bottom"/>
          </w:tcPr>
          <w:p>
            <w:pPr>
              <w:jc w:val="right"/>
              <w:ind w:right="368"/>
              <w:spacing w:after="0"/>
              <w:rPr>
                <w:sz w:val="20"/>
                <w:szCs w:val="20"/>
                <w:color w:val="auto"/>
              </w:rPr>
            </w:pPr>
            <w:r>
              <w:rPr>
                <w:rFonts w:ascii="Arial" w:cs="Arial" w:eastAsia="Arial" w:hAnsi="Arial"/>
                <w:sz w:val="14"/>
                <w:szCs w:val="14"/>
                <w:color w:val="auto"/>
              </w:rPr>
              <w:t>590,000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585,000</w:t>
            </w:r>
          </w:p>
        </w:tc>
      </w:tr>
      <w:tr>
        <w:trPr>
          <w:trHeight w:val="22"/>
        </w:trPr>
        <w:tc>
          <w:tcPr>
            <w:tcW w:w="4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8"/>
        </w:trPr>
        <w:tc>
          <w:tcPr>
            <w:tcW w:w="4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182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550,000</w:t>
            </w:r>
          </w:p>
        </w:tc>
        <w:tc>
          <w:tcPr>
            <w:tcW w:w="166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3.6 %</w:t>
            </w:r>
          </w:p>
        </w:tc>
        <w:tc>
          <w:tcPr>
            <w:tcW w:w="184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570,000</w:t>
            </w:r>
          </w:p>
        </w:tc>
        <w:tc>
          <w:tcPr>
            <w:tcW w:w="13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565,000</w:t>
            </w:r>
          </w:p>
        </w:tc>
      </w:tr>
      <w:tr>
        <w:trPr>
          <w:trHeight w:val="22"/>
        </w:trPr>
        <w:tc>
          <w:tcPr>
            <w:tcW w:w="4620" w:type="dxa"/>
            <w:vAlign w:val="bottom"/>
            <w:shd w:val="clear" w:color="auto" w:fill="F1F2F2"/>
          </w:tcPr>
          <w:p>
            <w:pPr>
              <w:spacing w:after="0" w:line="20" w:lineRule="exact"/>
              <w:rPr>
                <w:sz w:val="1"/>
                <w:szCs w:val="1"/>
                <w:color w:val="auto"/>
              </w:rPr>
            </w:pPr>
          </w:p>
        </w:tc>
        <w:tc>
          <w:tcPr>
            <w:tcW w:w="1820" w:type="dxa"/>
            <w:vAlign w:val="bottom"/>
            <w:shd w:val="clear" w:color="auto" w:fill="F1F2F2"/>
          </w:tcPr>
          <w:p>
            <w:pPr>
              <w:spacing w:after="0" w:line="20" w:lineRule="exact"/>
              <w:rPr>
                <w:sz w:val="1"/>
                <w:szCs w:val="1"/>
                <w:color w:val="auto"/>
              </w:rPr>
            </w:pPr>
          </w:p>
        </w:tc>
        <w:tc>
          <w:tcPr>
            <w:tcW w:w="1660" w:type="dxa"/>
            <w:vAlign w:val="bottom"/>
            <w:shd w:val="clear" w:color="auto" w:fill="F1F2F2"/>
          </w:tcPr>
          <w:p>
            <w:pPr>
              <w:spacing w:after="0" w:line="20" w:lineRule="exact"/>
              <w:rPr>
                <w:sz w:val="1"/>
                <w:szCs w:val="1"/>
                <w:color w:val="auto"/>
              </w:rPr>
            </w:pPr>
          </w:p>
        </w:tc>
        <w:tc>
          <w:tcPr>
            <w:tcW w:w="1840" w:type="dxa"/>
            <w:vAlign w:val="bottom"/>
            <w:shd w:val="clear" w:color="auto" w:fill="F1F2F2"/>
          </w:tcPr>
          <w:p>
            <w:pPr>
              <w:spacing w:after="0" w:line="20" w:lineRule="exact"/>
              <w:rPr>
                <w:sz w:val="1"/>
                <w:szCs w:val="1"/>
                <w:color w:val="auto"/>
              </w:rPr>
            </w:pPr>
          </w:p>
        </w:tc>
        <w:tc>
          <w:tcPr>
            <w:tcW w:w="1300" w:type="dxa"/>
            <w:vAlign w:val="bottom"/>
            <w:shd w:val="clear" w:color="auto" w:fill="F1F2F2"/>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 salary remained the same at December 31, 2024 for all NEOs.</w:t>
      </w:r>
    </w:p>
    <w:p>
      <w:pPr>
        <w:spacing w:after="0" w:line="122" w:lineRule="exact"/>
        <w:rPr>
          <w:rFonts w:ascii="Arial" w:cs="Arial" w:eastAsia="Arial" w:hAnsi="Arial"/>
          <w:sz w:val="14"/>
          <w:szCs w:val="14"/>
          <w:color w:val="auto"/>
        </w:rPr>
      </w:pPr>
    </w:p>
    <w:p>
      <w:pPr>
        <w:ind w:left="340" w:right="420" w:hanging="332"/>
        <w:spacing w:after="0" w:line="305"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Quenzer was promoted to the CFO role effective January 1, 2024, at which time he received a 57% base salary increase. He did not receive a further base salary increase in April 2024.</w:t>
      </w:r>
    </w:p>
    <w:p>
      <w:pPr>
        <w:spacing w:after="0" w:line="148" w:lineRule="exact"/>
        <w:rPr>
          <w:sz w:val="20"/>
          <w:szCs w:val="20"/>
          <w:color w:val="auto"/>
        </w:rPr>
      </w:pPr>
    </w:p>
    <w:p>
      <w:pPr>
        <w:jc w:val="both"/>
        <w:ind w:right="460" w:firstLine="324"/>
        <w:spacing w:after="0" w:line="261" w:lineRule="auto"/>
        <w:rPr>
          <w:sz w:val="20"/>
          <w:szCs w:val="20"/>
          <w:color w:val="auto"/>
        </w:rPr>
      </w:pPr>
      <w:r>
        <w:rPr>
          <w:rFonts w:ascii="Arial" w:cs="Arial" w:eastAsia="Arial" w:hAnsi="Arial"/>
          <w:sz w:val="18"/>
          <w:szCs w:val="18"/>
          <w:color w:val="auto"/>
        </w:rPr>
        <w:t>In setting NEO base salaries, the Committee uses the 50th percentile of the market as a guideline and may adjust the base salaries based on a number of factors, which may include merit increases, the executive’s unique job responsibilities, management experience, individual contributions, number of years in his or her position, and market position of current salary.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Short-Term Incentive Program</w:t>
      </w:r>
    </w:p>
    <w:p>
      <w:pPr>
        <w:spacing w:after="0" w:line="156"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Our STI Program, as established under the Lennox International Inc. 2019 Equity and Incentive Compensation Plan, is an annual cash-based program for our NEOs designed to reward the successful performance of our Company, our business segments, and each individual NEO. In February 2024, the Committee approved financial metrics and performance goals required to be achieved for any payouts to be made under our STI Program. Under the STI Program, once the calculated STI amount is determined based on performance against the pre-approved goals, 25% of that amount may be modified up or down from 0% to 225% based on each NEO’s individual performance. However, the individual performance modifier may not increase the STI payout above 225% of the NEO’s STI target. The chart below illustrates how STI payouts are calculated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93345</wp:posOffset>
            </wp:positionV>
            <wp:extent cx="2408555" cy="650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08555" cy="650875"/>
                    </a:xfrm>
                    <a:prstGeom prst="rect">
                      <a:avLst/>
                    </a:prstGeom>
                    <a:noFill/>
                  </pic:spPr>
                </pic:pic>
              </a:graphicData>
            </a:graphic>
          </wp:anchor>
        </w:drawing>
      </w:r>
    </w:p>
    <w:p>
      <w:pPr>
        <w:spacing w:after="0" w:line="276" w:lineRule="exact"/>
        <w:rPr>
          <w:sz w:val="20"/>
          <w:szCs w:val="20"/>
          <w:color w:val="auto"/>
        </w:rPr>
      </w:pPr>
    </w:p>
    <w:tbl>
      <w:tblPr>
        <w:tblLayout w:type="fixed"/>
        <w:tblInd w:w="1010" w:type="dxa"/>
        <w:tblCellMar>
          <w:top w:w="0" w:type="dxa"/>
          <w:left w:w="0" w:type="dxa"/>
          <w:bottom w:w="0" w:type="dxa"/>
          <w:right w:w="0" w:type="dxa"/>
        </w:tblCellMar>
      </w:tblPr>
      <w:tr>
        <w:trPr>
          <w:trHeight w:val="207"/>
        </w:trPr>
        <w:tc>
          <w:tcPr>
            <w:tcW w:w="1480" w:type="dxa"/>
            <w:vAlign w:val="bottom"/>
            <w:tcBorders>
              <w:top w:val="single" w:sz="8" w:color="auto"/>
              <w:left w:val="single" w:sz="8" w:color="auto"/>
              <w:right w:val="single" w:sz="8" w:color="auto"/>
            </w:tcBorders>
            <w:vMerge w:val="restart"/>
            <w:shd w:val="clear" w:color="auto" w:fill="F1F2F2"/>
          </w:tcPr>
          <w:p>
            <w:pPr>
              <w:ind w:left="280"/>
              <w:spacing w:after="0"/>
              <w:rPr>
                <w:sz w:val="20"/>
                <w:szCs w:val="20"/>
                <w:color w:val="auto"/>
              </w:rPr>
            </w:pPr>
            <w:r>
              <w:rPr>
                <w:rFonts w:ascii="Arial" w:cs="Arial" w:eastAsia="Arial" w:hAnsi="Arial"/>
                <w:sz w:val="14"/>
                <w:szCs w:val="14"/>
                <w:color w:val="auto"/>
              </w:rPr>
              <w:t>Base Salary $</w:t>
            </w:r>
          </w:p>
        </w:tc>
        <w:tc>
          <w:tcPr>
            <w:tcW w:w="320" w:type="dxa"/>
            <w:vAlign w:val="bottom"/>
            <w:tcBorders>
              <w:right w:val="single" w:sz="8" w:color="auto"/>
            </w:tcBorders>
          </w:tcPr>
          <w:p>
            <w:pPr>
              <w:spacing w:after="0"/>
              <w:rPr>
                <w:sz w:val="17"/>
                <w:szCs w:val="17"/>
                <w:color w:val="auto"/>
              </w:rPr>
            </w:pPr>
          </w:p>
        </w:tc>
        <w:tc>
          <w:tcPr>
            <w:tcW w:w="1500" w:type="dxa"/>
            <w:vAlign w:val="bottom"/>
            <w:tcBorders>
              <w:top w:val="single" w:sz="8" w:color="auto"/>
              <w:right w:val="single" w:sz="8" w:color="auto"/>
            </w:tcBorders>
            <w:vMerge w:val="restart"/>
            <w:shd w:val="clear" w:color="auto" w:fill="F1F2F2"/>
          </w:tcPr>
          <w:p>
            <w:pPr>
              <w:ind w:left="320"/>
              <w:spacing w:after="0"/>
              <w:rPr>
                <w:sz w:val="20"/>
                <w:szCs w:val="20"/>
                <w:color w:val="auto"/>
              </w:rPr>
            </w:pPr>
            <w:r>
              <w:rPr>
                <w:rFonts w:ascii="Arial" w:cs="Arial" w:eastAsia="Arial" w:hAnsi="Arial"/>
                <w:sz w:val="14"/>
                <w:szCs w:val="14"/>
                <w:color w:val="auto"/>
              </w:rPr>
              <w:t>STI Target %</w:t>
            </w:r>
          </w:p>
        </w:tc>
        <w:tc>
          <w:tcPr>
            <w:tcW w:w="640" w:type="dxa"/>
            <w:vAlign w:val="bottom"/>
            <w:tcBorders>
              <w:right w:val="single" w:sz="8" w:color="auto"/>
            </w:tcBorders>
          </w:tcPr>
          <w:p>
            <w:pPr>
              <w:spacing w:after="0"/>
              <w:rPr>
                <w:sz w:val="17"/>
                <w:szCs w:val="17"/>
                <w:color w:val="auto"/>
              </w:rPr>
            </w:pPr>
          </w:p>
        </w:tc>
        <w:tc>
          <w:tcPr>
            <w:tcW w:w="1780" w:type="dxa"/>
            <w:vAlign w:val="bottom"/>
            <w:tcBorders>
              <w:top w:val="single" w:sz="8" w:color="auto"/>
              <w:right w:val="single" w:sz="8" w:color="auto"/>
            </w:tcBorders>
            <w:gridSpan w:val="2"/>
            <w:shd w:val="clear" w:color="auto" w:fill="F1F2F2"/>
          </w:tcPr>
          <w:p>
            <w:pPr>
              <w:jc w:val="center"/>
              <w:ind w:right="40"/>
              <w:spacing w:after="0"/>
              <w:rPr>
                <w:sz w:val="20"/>
                <w:szCs w:val="20"/>
                <w:color w:val="auto"/>
              </w:rPr>
            </w:pPr>
            <w:r>
              <w:rPr>
                <w:rFonts w:ascii="Arial" w:cs="Arial" w:eastAsia="Arial" w:hAnsi="Arial"/>
                <w:sz w:val="14"/>
                <w:szCs w:val="14"/>
                <w:color w:val="auto"/>
              </w:rPr>
              <w:t>Achieved Financial</w:t>
            </w:r>
          </w:p>
        </w:tc>
        <w:tc>
          <w:tcPr>
            <w:tcW w:w="44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right w:val="single" w:sz="8" w:color="auto"/>
            </w:tcBorders>
            <w:gridSpan w:val="2"/>
            <w:vMerge w:val="restart"/>
            <w:shd w:val="clear" w:color="auto" w:fill="F1F2F2"/>
          </w:tcPr>
          <w:p>
            <w:pPr>
              <w:jc w:val="center"/>
              <w:ind w:right="40"/>
              <w:spacing w:after="0"/>
              <w:rPr>
                <w:sz w:val="20"/>
                <w:szCs w:val="20"/>
                <w:color w:val="auto"/>
              </w:rPr>
            </w:pPr>
            <w:r>
              <w:rPr>
                <w:rFonts w:ascii="Arial" w:cs="Arial" w:eastAsia="Arial" w:hAnsi="Arial"/>
                <w:sz w:val="14"/>
                <w:szCs w:val="14"/>
                <w:color w:val="auto"/>
              </w:rPr>
              <w:t>STI Calculated</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vMerge w:val="continue"/>
            <w:shd w:val="clear" w:color="auto" w:fill="F1F2F2"/>
          </w:tcPr>
          <w:p>
            <w:pPr>
              <w:spacing w:after="0"/>
              <w:rPr>
                <w:sz w:val="7"/>
                <w:szCs w:val="7"/>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Webdings" w:cs="Webdings" w:eastAsia="Webdings" w:hAnsi="Webdings"/>
                <w:sz w:val="14"/>
                <w:szCs w:val="14"/>
                <w:b w:val="1"/>
                <w:bCs w:val="1"/>
                <w:color w:val="auto"/>
                <w:w w:val="99"/>
              </w:rPr>
              <w:t>r</w:t>
            </w:r>
          </w:p>
        </w:tc>
        <w:tc>
          <w:tcPr>
            <w:tcW w:w="1500" w:type="dxa"/>
            <w:vAlign w:val="bottom"/>
            <w:tcBorders>
              <w:right w:val="single" w:sz="8" w:color="auto"/>
            </w:tcBorders>
            <w:vMerge w:val="continue"/>
            <w:shd w:val="clear" w:color="auto" w:fill="F1F2F2"/>
          </w:tcPr>
          <w:p>
            <w:pPr>
              <w:spacing w:after="0"/>
              <w:rPr>
                <w:sz w:val="7"/>
                <w:szCs w:val="7"/>
                <w:color w:val="auto"/>
              </w:rPr>
            </w:pPr>
          </w:p>
        </w:tc>
        <w:tc>
          <w:tcPr>
            <w:tcW w:w="640" w:type="dxa"/>
            <w:vAlign w:val="bottom"/>
            <w:tcBorders>
              <w:right w:val="single" w:sz="8" w:color="auto"/>
            </w:tcBorders>
            <w:vMerge w:val="restart"/>
          </w:tcPr>
          <w:p>
            <w:pPr>
              <w:ind w:left="340"/>
              <w:spacing w:after="0"/>
              <w:rPr>
                <w:sz w:val="20"/>
                <w:szCs w:val="20"/>
                <w:color w:val="auto"/>
              </w:rPr>
            </w:pPr>
            <w:r>
              <w:rPr>
                <w:rFonts w:ascii="Webdings" w:cs="Webdings" w:eastAsia="Webdings" w:hAnsi="Webdings"/>
                <w:sz w:val="14"/>
                <w:szCs w:val="14"/>
                <w:b w:val="1"/>
                <w:bCs w:val="1"/>
                <w:color w:val="auto"/>
              </w:rPr>
              <w:t>r</w:t>
            </w:r>
          </w:p>
        </w:tc>
        <w:tc>
          <w:tcPr>
            <w:tcW w:w="1780" w:type="dxa"/>
            <w:vAlign w:val="bottom"/>
            <w:tcBorders>
              <w:right w:val="single" w:sz="8" w:color="auto"/>
            </w:tcBorders>
            <w:gridSpan w:val="2"/>
            <w:vMerge w:val="restart"/>
            <w:shd w:val="clear" w:color="auto" w:fill="F1F2F2"/>
          </w:tcPr>
          <w:p>
            <w:pPr>
              <w:jc w:val="center"/>
              <w:ind w:right="40"/>
              <w:spacing w:after="0"/>
              <w:rPr>
                <w:sz w:val="20"/>
                <w:szCs w:val="20"/>
                <w:color w:val="auto"/>
              </w:rPr>
            </w:pPr>
            <w:r>
              <w:rPr>
                <w:rFonts w:ascii="Arial" w:cs="Arial" w:eastAsia="Arial" w:hAnsi="Arial"/>
                <w:sz w:val="14"/>
                <w:szCs w:val="14"/>
                <w:color w:val="auto"/>
              </w:rPr>
              <w:t>Performance Factor</w:t>
            </w:r>
          </w:p>
        </w:tc>
        <w:tc>
          <w:tcPr>
            <w:tcW w:w="44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gridSpan w:val="2"/>
            <w:vMerge w:val="continue"/>
            <w:shd w:val="clear" w:color="auto" w:fill="F1F2F2"/>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tcBorders>
              <w:left w:val="single" w:sz="8" w:color="auto"/>
              <w:right w:val="single" w:sz="8" w:color="auto"/>
            </w:tcBorders>
            <w:vMerge w:val="continue"/>
            <w:shd w:val="clear" w:color="auto" w:fill="F1F2F2"/>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shd w:val="clear" w:color="auto" w:fill="F1F2F2"/>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gridSpan w:val="2"/>
            <w:vMerge w:val="continue"/>
            <w:shd w:val="clear" w:color="auto" w:fill="F1F2F2"/>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gridSpan w:val="2"/>
            <w:vMerge w:val="restart"/>
            <w:shd w:val="clear" w:color="auto" w:fill="F1F2F2"/>
          </w:tcPr>
          <w:p>
            <w:pPr>
              <w:jc w:val="center"/>
              <w:ind w:right="40"/>
              <w:spacing w:after="0"/>
              <w:rPr>
                <w:sz w:val="20"/>
                <w:szCs w:val="20"/>
                <w:color w:val="auto"/>
              </w:rPr>
            </w:pPr>
            <w:r>
              <w:rPr>
                <w:rFonts w:ascii="Arial" w:cs="Arial" w:eastAsia="Arial" w:hAnsi="Arial"/>
                <w:sz w:val="14"/>
                <w:szCs w:val="14"/>
                <w:color w:val="auto"/>
              </w:rPr>
              <w:t>Amount $</w:t>
            </w: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80" w:type="dxa"/>
            <w:vAlign w:val="bottom"/>
            <w:tcBorders>
              <w:left w:val="single" w:sz="8" w:color="auto"/>
              <w:right w:val="single" w:sz="8" w:color="auto"/>
            </w:tcBorders>
            <w:shd w:val="clear" w:color="auto" w:fill="F1F2F2"/>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shd w:val="clear" w:color="auto" w:fill="F1F2F2"/>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(0% - 225%)</w:t>
            </w:r>
          </w:p>
        </w:tc>
        <w:tc>
          <w:tcPr>
            <w:tcW w:w="44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gridSpan w:val="2"/>
            <w:vMerge w:val="continue"/>
            <w:shd w:val="clear" w:color="auto" w:fill="F1F2F2"/>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80" w:type="dxa"/>
            <w:vAlign w:val="bottom"/>
            <w:tcBorders>
              <w:left w:val="single" w:sz="8" w:color="auto"/>
              <w:bottom w:val="single" w:sz="8" w:color="auto"/>
              <w:right w:val="single" w:sz="8" w:color="auto"/>
            </w:tcBorders>
            <w:shd w:val="clear" w:color="auto" w:fill="F1F2F2"/>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shd w:val="clear" w:color="auto" w:fill="F1F2F2"/>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780" w:type="dxa"/>
            <w:vAlign w:val="bottom"/>
            <w:tcBorders>
              <w:bottom w:val="single" w:sz="8" w:color="auto"/>
              <w:right w:val="single" w:sz="8" w:color="auto"/>
            </w:tcBorders>
            <w:gridSpan w:val="2"/>
            <w:vMerge w:val="continue"/>
            <w:shd w:val="clear" w:color="auto" w:fill="F1F2F2"/>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980" w:type="dxa"/>
            <w:vAlign w:val="bottom"/>
            <w:tcBorders>
              <w:bottom w:val="single" w:sz="8" w:color="auto"/>
              <w:right w:val="single" w:sz="8" w:color="F1F2F2"/>
            </w:tcBorders>
            <w:shd w:val="clear" w:color="auto" w:fill="F1F2F2"/>
          </w:tcPr>
          <w:p>
            <w:pPr>
              <w:spacing w:after="0"/>
              <w:rPr>
                <w:sz w:val="8"/>
                <w:szCs w:val="8"/>
                <w:color w:val="auto"/>
              </w:rPr>
            </w:pPr>
          </w:p>
        </w:tc>
        <w:tc>
          <w:tcPr>
            <w:tcW w:w="900" w:type="dxa"/>
            <w:vAlign w:val="bottom"/>
            <w:tcBorders>
              <w:bottom w:val="single" w:sz="8" w:color="auto"/>
              <w:right w:val="single" w:sz="8" w:color="auto"/>
            </w:tcBorders>
            <w:shd w:val="clear" w:color="auto" w:fill="F1F2F2"/>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300" w:type="dxa"/>
            <w:vAlign w:val="bottom"/>
            <w:gridSpan w:val="3"/>
          </w:tcPr>
          <w:p>
            <w:pPr>
              <w:jc w:val="center"/>
              <w:spacing w:after="0"/>
              <w:rPr>
                <w:sz w:val="20"/>
                <w:szCs w:val="20"/>
                <w:color w:val="auto"/>
              </w:rPr>
            </w:pPr>
            <w:r>
              <w:rPr>
                <w:rFonts w:ascii="Arial" w:cs="Arial" w:eastAsia="Arial" w:hAnsi="Arial"/>
                <w:sz w:val="14"/>
                <w:szCs w:val="14"/>
                <w:color w:val="auto"/>
              </w:rPr>
              <w:t xml:space="preserve">NEO STI </w:t>
            </w:r>
            <w:r>
              <w:rPr>
                <w:rFonts w:ascii="Arial" w:cs="Arial" w:eastAsia="Arial" w:hAnsi="Arial"/>
                <w:sz w:val="14"/>
                <w:szCs w:val="14"/>
                <w:u w:val="single" w:color="auto"/>
                <w:color w:val="auto"/>
              </w:rPr>
              <w:t>Target</w:t>
            </w:r>
            <w:r>
              <w:rPr>
                <w:rFonts w:ascii="Arial" w:cs="Arial" w:eastAsia="Arial" w:hAnsi="Arial"/>
                <w:sz w:val="14"/>
                <w:szCs w:val="14"/>
                <w:color w:val="auto"/>
              </w:rPr>
              <w:t xml:space="preserve"> $ Amount</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900" w:type="dxa"/>
            <w:vAlign w:val="bottom"/>
            <w:tcBorders>
              <w:right w:val="single" w:sz="8" w:color="F1F2F2"/>
            </w:tcBorders>
            <w:shd w:val="clear" w:color="auto" w:fill="F1F2F2"/>
          </w:tcPr>
          <w:p>
            <w:pPr>
              <w:spacing w:after="0"/>
              <w:rPr>
                <w:sz w:val="16"/>
                <w:szCs w:val="16"/>
                <w:color w:val="auto"/>
              </w:rPr>
            </w:pPr>
          </w:p>
        </w:tc>
        <w:tc>
          <w:tcPr>
            <w:tcW w:w="880" w:type="dxa"/>
            <w:vAlign w:val="bottom"/>
            <w:tcBorders>
              <w:right w:val="single" w:sz="8" w:color="auto"/>
            </w:tcBorders>
            <w:shd w:val="clear" w:color="auto" w:fill="F1F2F2"/>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2"/>
            <w:shd w:val="clear" w:color="auto" w:fill="F1F2F2"/>
          </w:tcPr>
          <w:p>
            <w:pPr>
              <w:jc w:val="center"/>
              <w:ind w:right="40"/>
              <w:spacing w:after="0"/>
              <w:rPr>
                <w:sz w:val="20"/>
                <w:szCs w:val="20"/>
                <w:color w:val="auto"/>
              </w:rPr>
            </w:pPr>
            <w:r>
              <w:rPr>
                <w:rFonts w:ascii="Arial" w:cs="Arial" w:eastAsia="Arial" w:hAnsi="Arial"/>
                <w:sz w:val="14"/>
                <w:szCs w:val="14"/>
                <w:color w:val="auto"/>
              </w:rPr>
              <w:t>25% of STI</w:t>
            </w:r>
          </w:p>
        </w:tc>
        <w:tc>
          <w:tcPr>
            <w:tcW w:w="3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gridSpan w:val="2"/>
            <w:vMerge w:val="restart"/>
            <w:shd w:val="clear" w:color="auto" w:fill="F1F2F2"/>
          </w:tcPr>
          <w:p>
            <w:pPr>
              <w:jc w:val="center"/>
              <w:ind w:right="40"/>
              <w:spacing w:after="0"/>
              <w:rPr>
                <w:sz w:val="20"/>
                <w:szCs w:val="20"/>
                <w:color w:val="auto"/>
              </w:rPr>
            </w:pPr>
            <w:r>
              <w:rPr>
                <w:rFonts w:ascii="Arial" w:cs="Arial" w:eastAsia="Arial" w:hAnsi="Arial"/>
                <w:sz w:val="14"/>
                <w:szCs w:val="14"/>
                <w:color w:val="auto"/>
              </w:rPr>
              <w:t>75% of STI</w:t>
            </w:r>
          </w:p>
        </w:tc>
        <w:tc>
          <w:tcPr>
            <w:tcW w:w="44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10"/>
                <w:szCs w:val="10"/>
                <w:b w:val="1"/>
                <w:bCs w:val="1"/>
                <w:color w:val="auto"/>
              </w:rPr>
              <w:t>«</w:t>
            </w:r>
          </w:p>
        </w:tc>
        <w:tc>
          <w:tcPr>
            <w:tcW w:w="1880" w:type="dxa"/>
            <w:vAlign w:val="bottom"/>
            <w:tcBorders>
              <w:right w:val="single" w:sz="8" w:color="auto"/>
            </w:tcBorders>
            <w:gridSpan w:val="2"/>
            <w:shd w:val="clear" w:color="auto" w:fill="F1F2F2"/>
          </w:tcPr>
          <w:p>
            <w:pPr>
              <w:jc w:val="center"/>
              <w:ind w:right="40"/>
              <w:spacing w:after="0"/>
              <w:rPr>
                <w:sz w:val="20"/>
                <w:szCs w:val="20"/>
                <w:color w:val="auto"/>
              </w:rPr>
            </w:pPr>
            <w:r>
              <w:rPr>
                <w:rFonts w:ascii="Arial" w:cs="Arial" w:eastAsia="Arial" w:hAnsi="Arial"/>
                <w:sz w:val="14"/>
                <w:szCs w:val="14"/>
                <w:color w:val="auto"/>
              </w:rPr>
              <w:t>Calculated Amount</w:t>
            </w:r>
          </w:p>
        </w:tc>
        <w:tc>
          <w:tcPr>
            <w:tcW w:w="30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vMerge w:val="restart"/>
            <w:shd w:val="clear" w:color="auto" w:fill="F1F2F2"/>
          </w:tcPr>
          <w:p>
            <w:pPr>
              <w:ind w:left="140"/>
              <w:spacing w:after="0"/>
              <w:rPr>
                <w:sz w:val="20"/>
                <w:szCs w:val="20"/>
                <w:color w:val="auto"/>
              </w:rPr>
            </w:pPr>
            <w:r>
              <w:rPr>
                <w:rFonts w:ascii="Arial" w:cs="Arial" w:eastAsia="Arial" w:hAnsi="Arial"/>
                <w:sz w:val="14"/>
                <w:szCs w:val="14"/>
                <w:color w:val="auto"/>
              </w:rPr>
              <w:t>STI Payout $</w:t>
            </w: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gridSpan w:val="2"/>
            <w:vMerge w:val="continue"/>
            <w:shd w:val="clear" w:color="auto" w:fill="F1F2F2"/>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gridSpan w:val="2"/>
            <w:vMerge w:val="restart"/>
            <w:shd w:val="clear" w:color="auto" w:fill="F1F2F2"/>
          </w:tcPr>
          <w:p>
            <w:pPr>
              <w:jc w:val="center"/>
              <w:ind w:right="40"/>
              <w:spacing w:after="0"/>
              <w:rPr>
                <w:sz w:val="20"/>
                <w:szCs w:val="20"/>
                <w:color w:val="auto"/>
              </w:rPr>
            </w:pPr>
            <w:r>
              <w:rPr>
                <w:rFonts w:ascii="Arial" w:cs="Arial" w:eastAsia="Arial" w:hAnsi="Arial"/>
                <w:sz w:val="14"/>
                <w:szCs w:val="14"/>
                <w:color w:val="auto"/>
              </w:rPr>
              <w:t>subject to Individual</w:t>
            </w:r>
          </w:p>
        </w:tc>
        <w:tc>
          <w:tcPr>
            <w:tcW w:w="3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gridSpan w:val="2"/>
            <w:vMerge w:val="restart"/>
            <w:shd w:val="clear" w:color="auto" w:fill="F1F2F2"/>
          </w:tcPr>
          <w:p>
            <w:pPr>
              <w:jc w:val="center"/>
              <w:ind w:right="40"/>
              <w:spacing w:after="0"/>
              <w:rPr>
                <w:sz w:val="20"/>
                <w:szCs w:val="20"/>
                <w:color w:val="auto"/>
              </w:rPr>
            </w:pPr>
            <w:r>
              <w:rPr>
                <w:rFonts w:ascii="Arial" w:cs="Arial" w:eastAsia="Arial" w:hAnsi="Arial"/>
                <w:sz w:val="14"/>
                <w:szCs w:val="14"/>
                <w:color w:val="auto"/>
              </w:rPr>
              <w:t>Calculated Amount</w:t>
            </w:r>
          </w:p>
        </w:tc>
        <w:tc>
          <w:tcPr>
            <w:tcW w:w="44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gridSpan w:val="2"/>
            <w:vMerge w:val="continue"/>
            <w:shd w:val="clear" w:color="auto" w:fill="F1F2F2"/>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gridSpan w:val="2"/>
            <w:vMerge w:val="continue"/>
            <w:shd w:val="clear" w:color="auto" w:fill="F1F2F2"/>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gridSpan w:val="2"/>
            <w:vMerge w:val="restart"/>
            <w:shd w:val="clear" w:color="auto" w:fill="F1F2F2"/>
          </w:tcPr>
          <w:p>
            <w:pPr>
              <w:jc w:val="center"/>
              <w:ind w:right="40"/>
              <w:spacing w:after="0"/>
              <w:rPr>
                <w:sz w:val="20"/>
                <w:szCs w:val="20"/>
                <w:color w:val="auto"/>
              </w:rPr>
            </w:pPr>
            <w:r>
              <w:rPr>
                <w:rFonts w:ascii="Arial" w:cs="Arial" w:eastAsia="Arial" w:hAnsi="Arial"/>
                <w:sz w:val="14"/>
                <w:szCs w:val="14"/>
                <w:color w:val="auto"/>
              </w:rPr>
              <w:t>Performance Modifier</w:t>
            </w:r>
          </w:p>
        </w:tc>
        <w:tc>
          <w:tcPr>
            <w:tcW w:w="3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900" w:type="dxa"/>
            <w:vAlign w:val="bottom"/>
            <w:tcBorders>
              <w:right w:val="single" w:sz="8" w:color="F1F2F2"/>
            </w:tcBorders>
            <w:shd w:val="clear" w:color="auto" w:fill="F1F2F2"/>
          </w:tcPr>
          <w:p>
            <w:pPr>
              <w:spacing w:after="0"/>
              <w:rPr>
                <w:sz w:val="6"/>
                <w:szCs w:val="6"/>
                <w:color w:val="auto"/>
              </w:rPr>
            </w:pPr>
          </w:p>
        </w:tc>
        <w:tc>
          <w:tcPr>
            <w:tcW w:w="880" w:type="dxa"/>
            <w:vAlign w:val="bottom"/>
            <w:tcBorders>
              <w:right w:val="single" w:sz="8" w:color="auto"/>
            </w:tcBorders>
            <w:shd w:val="clear" w:color="auto" w:fill="F1F2F2"/>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gridSpan w:val="2"/>
            <w:vMerge w:val="continue"/>
            <w:shd w:val="clear" w:color="auto" w:fill="F1F2F2"/>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900" w:type="dxa"/>
            <w:vAlign w:val="bottom"/>
            <w:tcBorders>
              <w:bottom w:val="single" w:sz="8" w:color="auto"/>
              <w:right w:val="single" w:sz="8" w:color="F1F2F2"/>
            </w:tcBorders>
            <w:shd w:val="clear" w:color="auto" w:fill="F1F2F2"/>
          </w:tcPr>
          <w:p>
            <w:pPr>
              <w:spacing w:after="0"/>
              <w:rPr>
                <w:sz w:val="16"/>
                <w:szCs w:val="16"/>
                <w:color w:val="auto"/>
              </w:rPr>
            </w:pPr>
          </w:p>
        </w:tc>
        <w:tc>
          <w:tcPr>
            <w:tcW w:w="880" w:type="dxa"/>
            <w:vAlign w:val="bottom"/>
            <w:tcBorders>
              <w:bottom w:val="single" w:sz="8" w:color="auto"/>
              <w:right w:val="single" w:sz="8" w:color="auto"/>
            </w:tcBorders>
            <w:shd w:val="clear" w:color="auto" w:fill="F1F2F2"/>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gridSpan w:val="2"/>
            <w:shd w:val="clear" w:color="auto" w:fill="F1F2F2"/>
          </w:tcPr>
          <w:p>
            <w:pPr>
              <w:jc w:val="center"/>
              <w:ind w:right="40"/>
              <w:spacing w:after="0"/>
              <w:rPr>
                <w:sz w:val="20"/>
                <w:szCs w:val="20"/>
                <w:color w:val="auto"/>
              </w:rPr>
            </w:pPr>
            <w:r>
              <w:rPr>
                <w:rFonts w:ascii="Arial" w:cs="Arial" w:eastAsia="Arial" w:hAnsi="Arial"/>
                <w:sz w:val="14"/>
                <w:szCs w:val="14"/>
                <w:color w:val="auto"/>
              </w:rPr>
              <w:t>(0% - 225%)</w:t>
            </w:r>
          </w:p>
        </w:tc>
        <w:tc>
          <w:tcPr>
            <w:tcW w:w="300" w:type="dxa"/>
            <w:vAlign w:val="bottom"/>
            <w:tcBorders>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shd w:val="clear" w:color="auto" w:fill="F1F2F2"/>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-339090</wp:posOffset>
            </wp:positionV>
            <wp:extent cx="4318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64" w:lineRule="exact"/>
        <w:rPr>
          <w:sz w:val="20"/>
          <w:szCs w:val="20"/>
          <w:color w:val="auto"/>
        </w:rPr>
      </w:pPr>
    </w:p>
    <w:p>
      <w:pPr>
        <w:ind w:right="200" w:firstLine="324"/>
        <w:spacing w:after="0" w:line="271" w:lineRule="auto"/>
        <w:rPr>
          <w:sz w:val="20"/>
          <w:szCs w:val="20"/>
          <w:color w:val="auto"/>
        </w:rPr>
      </w:pPr>
      <w:r>
        <w:rPr>
          <w:rFonts w:ascii="Arial" w:cs="Arial" w:eastAsia="Arial" w:hAnsi="Arial"/>
          <w:sz w:val="18"/>
          <w:szCs w:val="18"/>
          <w:u w:val="single" w:color="auto"/>
          <w:color w:val="auto"/>
        </w:rPr>
        <w:t>Financial Performance</w:t>
      </w:r>
      <w:r>
        <w:rPr>
          <w:rFonts w:ascii="Arial" w:cs="Arial" w:eastAsia="Arial" w:hAnsi="Arial"/>
          <w:sz w:val="18"/>
          <w:szCs w:val="18"/>
          <w:color w:val="auto"/>
        </w:rPr>
        <w:t>. The following table summarizes the 2024 STI Program performance goals and payout opportunities, along with Company and business segment performance for each metric as approved by the Committee.</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ind w:left="4920" w:right="2420" w:hanging="2155"/>
        <w:spacing w:after="0" w:line="281" w:lineRule="auto"/>
        <w:rPr>
          <w:sz w:val="20"/>
          <w:szCs w:val="20"/>
          <w:color w:val="auto"/>
        </w:rPr>
      </w:pPr>
      <w:r>
        <w:rPr>
          <w:rFonts w:ascii="Arial" w:cs="Arial" w:eastAsia="Arial" w:hAnsi="Arial"/>
          <w:sz w:val="18"/>
          <w:szCs w:val="18"/>
          <w:b w:val="1"/>
          <w:bCs w:val="1"/>
          <w:color w:val="auto"/>
        </w:rPr>
        <w:t>2024 Short-Term Incentive Program Summary – Financial Performance ($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Company NEOs</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 Alok Maskara, Michael P. Quenzer, Daniel M. Sessa, John D. Torres</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5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80" w:type="dxa"/>
            <w:vAlign w:val="bottom"/>
            <w:gridSpan w:val="3"/>
            <w:shd w:val="clear" w:color="auto" w:fill="C60C35"/>
          </w:tcPr>
          <w:p>
            <w:pPr>
              <w:jc w:val="right"/>
              <w:ind w:right="428"/>
              <w:spacing w:after="0"/>
              <w:rPr>
                <w:sz w:val="20"/>
                <w:szCs w:val="20"/>
                <w:color w:val="auto"/>
              </w:rPr>
            </w:pPr>
            <w:r>
              <w:rPr>
                <w:rFonts w:ascii="Arial" w:cs="Arial" w:eastAsia="Arial" w:hAnsi="Arial"/>
                <w:sz w:val="14"/>
                <w:szCs w:val="14"/>
                <w:b w:val="1"/>
                <w:bCs w:val="1"/>
                <w:color w:val="FFFFFF"/>
              </w:rPr>
              <w:t>Payout Opportunity as a % of Target</w:t>
            </w:r>
          </w:p>
        </w:tc>
        <w:tc>
          <w:tcPr>
            <w:tcW w:w="1420" w:type="dxa"/>
            <w:vAlign w:val="bottom"/>
          </w:tcPr>
          <w:p>
            <w:pPr>
              <w:spacing w:after="0"/>
              <w:rPr>
                <w:sz w:val="18"/>
                <w:szCs w:val="18"/>
                <w:color w:val="auto"/>
              </w:rPr>
            </w:pPr>
          </w:p>
        </w:tc>
      </w:tr>
      <w:tr>
        <w:trPr>
          <w:trHeight w:val="237"/>
        </w:trPr>
        <w:tc>
          <w:tcPr>
            <w:tcW w:w="5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50%</w:t>
            </w:r>
          </w:p>
        </w:tc>
        <w:tc>
          <w:tcPr>
            <w:tcW w:w="10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100%</w:t>
            </w:r>
          </w:p>
        </w:tc>
        <w:tc>
          <w:tcPr>
            <w:tcW w:w="1120" w:type="dxa"/>
            <w:vAlign w:val="bottom"/>
            <w:shd w:val="clear" w:color="auto" w:fill="C60C35"/>
          </w:tcPr>
          <w:p>
            <w:pPr>
              <w:jc w:val="center"/>
              <w:ind w:left="348"/>
              <w:spacing w:after="0"/>
              <w:rPr>
                <w:sz w:val="20"/>
                <w:szCs w:val="20"/>
                <w:color w:val="auto"/>
              </w:rPr>
            </w:pPr>
            <w:r>
              <w:rPr>
                <w:rFonts w:ascii="Arial" w:cs="Arial" w:eastAsia="Arial" w:hAnsi="Arial"/>
                <w:sz w:val="14"/>
                <w:szCs w:val="14"/>
                <w:b w:val="1"/>
                <w:bCs w:val="1"/>
                <w:color w:val="FFFFFF"/>
              </w:rPr>
              <w:t>225%</w:t>
            </w:r>
          </w:p>
        </w:tc>
        <w:tc>
          <w:tcPr>
            <w:tcW w:w="1420" w:type="dxa"/>
            <w:vAlign w:val="bottom"/>
          </w:tcPr>
          <w:p>
            <w:pPr>
              <w:spacing w:after="0"/>
              <w:rPr>
                <w:sz w:val="20"/>
                <w:szCs w:val="20"/>
                <w:color w:val="auto"/>
              </w:rPr>
            </w:pPr>
          </w:p>
        </w:tc>
      </w:tr>
      <w:tr>
        <w:trPr>
          <w:trHeight w:val="222"/>
        </w:trPr>
        <w:tc>
          <w:tcPr>
            <w:tcW w:w="538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9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Weight</w:t>
            </w:r>
          </w:p>
        </w:tc>
        <w:tc>
          <w:tcPr>
            <w:tcW w:w="12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   Threshold</w:t>
            </w:r>
          </w:p>
        </w:tc>
        <w:tc>
          <w:tcPr>
            <w:tcW w:w="10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Target</w:t>
            </w:r>
          </w:p>
        </w:tc>
        <w:tc>
          <w:tcPr>
            <w:tcW w:w="1120" w:type="dxa"/>
            <w:vAlign w:val="bottom"/>
            <w:shd w:val="clear" w:color="auto" w:fill="C60C35"/>
          </w:tcPr>
          <w:p>
            <w:pPr>
              <w:jc w:val="center"/>
              <w:ind w:left="348"/>
              <w:spacing w:after="0"/>
              <w:rPr>
                <w:sz w:val="20"/>
                <w:szCs w:val="20"/>
                <w:color w:val="auto"/>
              </w:rPr>
            </w:pPr>
            <w:r>
              <w:rPr>
                <w:rFonts w:ascii="Arial" w:cs="Arial" w:eastAsia="Arial" w:hAnsi="Arial"/>
                <w:sz w:val="14"/>
                <w:szCs w:val="14"/>
                <w:b w:val="1"/>
                <w:bCs w:val="1"/>
                <w:color w:val="FFFFFF"/>
              </w:rPr>
              <w:t>Maximum</w:t>
            </w:r>
          </w:p>
        </w:tc>
        <w:tc>
          <w:tcPr>
            <w:tcW w:w="142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Performance</w:t>
            </w:r>
          </w:p>
        </w:tc>
      </w:tr>
      <w:tr>
        <w:trPr>
          <w:trHeight w:val="70"/>
        </w:trPr>
        <w:tc>
          <w:tcPr>
            <w:tcW w:w="5380" w:type="dxa"/>
            <w:vAlign w:val="bottom"/>
            <w:shd w:val="clear" w:color="auto" w:fill="C60C35"/>
          </w:tcPr>
          <w:p>
            <w:pPr>
              <w:spacing w:after="0"/>
              <w:rPr>
                <w:sz w:val="6"/>
                <w:szCs w:val="6"/>
                <w:color w:val="auto"/>
              </w:rPr>
            </w:pPr>
          </w:p>
        </w:tc>
        <w:tc>
          <w:tcPr>
            <w:tcW w:w="900" w:type="dxa"/>
            <w:vAlign w:val="bottom"/>
            <w:shd w:val="clear" w:color="auto" w:fill="C60C35"/>
          </w:tcPr>
          <w:p>
            <w:pPr>
              <w:spacing w:after="0"/>
              <w:rPr>
                <w:sz w:val="6"/>
                <w:szCs w:val="6"/>
                <w:color w:val="auto"/>
              </w:rPr>
            </w:pPr>
          </w:p>
        </w:tc>
        <w:tc>
          <w:tcPr>
            <w:tcW w:w="1280" w:type="dxa"/>
            <w:vAlign w:val="bottom"/>
            <w:shd w:val="clear" w:color="auto" w:fill="C60C35"/>
          </w:tcPr>
          <w:p>
            <w:pPr>
              <w:spacing w:after="0"/>
              <w:rPr>
                <w:sz w:val="6"/>
                <w:szCs w:val="6"/>
                <w:color w:val="auto"/>
              </w:rPr>
            </w:pPr>
          </w:p>
        </w:tc>
        <w:tc>
          <w:tcPr>
            <w:tcW w:w="108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420" w:type="dxa"/>
            <w:vAlign w:val="bottom"/>
            <w:shd w:val="clear" w:color="auto" w:fill="C60C35"/>
          </w:tcPr>
          <w:p>
            <w:pPr>
              <w:spacing w:after="0"/>
              <w:rPr>
                <w:sz w:val="6"/>
                <w:szCs w:val="6"/>
                <w:color w:val="auto"/>
              </w:rPr>
            </w:pPr>
          </w:p>
        </w:tc>
      </w:tr>
      <w:tr>
        <w:trPr>
          <w:trHeight w:val="229"/>
        </w:trPr>
        <w:tc>
          <w:tcPr>
            <w:tcW w:w="53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Company Core Net Income</w:t>
            </w:r>
            <w:r>
              <w:rPr>
                <w:rFonts w:ascii="Arial" w:cs="Arial" w:eastAsia="Arial" w:hAnsi="Arial"/>
                <w:sz w:val="18"/>
                <w:szCs w:val="18"/>
                <w:color w:val="auto"/>
                <w:vertAlign w:val="superscript"/>
              </w:rPr>
              <w:t>(2)</w:t>
            </w:r>
          </w:p>
        </w:tc>
        <w:tc>
          <w:tcPr>
            <w:tcW w:w="900" w:type="dxa"/>
            <w:vAlign w:val="bottom"/>
            <w:shd w:val="clear" w:color="auto" w:fill="F1F2F2"/>
          </w:tcPr>
          <w:p>
            <w:pPr>
              <w:jc w:val="right"/>
              <w:ind w:right="228"/>
              <w:spacing w:after="0"/>
              <w:rPr>
                <w:sz w:val="20"/>
                <w:szCs w:val="20"/>
                <w:color w:val="auto"/>
              </w:rPr>
            </w:pPr>
            <w:r>
              <w:rPr>
                <w:rFonts w:ascii="Arial" w:cs="Arial" w:eastAsia="Arial" w:hAnsi="Arial"/>
                <w:sz w:val="14"/>
                <w:szCs w:val="14"/>
                <w:color w:val="auto"/>
              </w:rPr>
              <w:t>50%</w:t>
            </w:r>
          </w:p>
        </w:tc>
        <w:tc>
          <w:tcPr>
            <w:tcW w:w="12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$545,600</w:t>
            </w:r>
          </w:p>
        </w:tc>
        <w:tc>
          <w:tcPr>
            <w:tcW w:w="10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$682,000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$795,700</w:t>
            </w:r>
          </w:p>
        </w:tc>
        <w:tc>
          <w:tcPr>
            <w:tcW w:w="14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$808,396</w:t>
            </w:r>
          </w:p>
        </w:tc>
      </w:tr>
      <w:tr>
        <w:trPr>
          <w:trHeight w:val="229"/>
        </w:trPr>
        <w:tc>
          <w:tcPr>
            <w:tcW w:w="5380" w:type="dxa"/>
            <w:vAlign w:val="bottom"/>
          </w:tcPr>
          <w:p>
            <w:pPr>
              <w:ind w:left="100"/>
              <w:spacing w:after="0"/>
              <w:rPr>
                <w:sz w:val="20"/>
                <w:szCs w:val="20"/>
                <w:color w:val="auto"/>
              </w:rPr>
            </w:pPr>
            <w:r>
              <w:rPr>
                <w:rFonts w:ascii="Arial" w:cs="Arial" w:eastAsia="Arial" w:hAnsi="Arial"/>
                <w:sz w:val="14"/>
                <w:szCs w:val="14"/>
                <w:color w:val="auto"/>
              </w:rPr>
              <w:t>Company Free Cash Flow</w:t>
            </w:r>
            <w:r>
              <w:rPr>
                <w:rFonts w:ascii="Arial" w:cs="Arial" w:eastAsia="Arial" w:hAnsi="Arial"/>
                <w:sz w:val="18"/>
                <w:szCs w:val="18"/>
                <w:color w:val="auto"/>
                <w:vertAlign w:val="superscript"/>
              </w:rPr>
              <w:t>(3)</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30%</w:t>
            </w:r>
          </w:p>
        </w:tc>
        <w:tc>
          <w:tcPr>
            <w:tcW w:w="1280" w:type="dxa"/>
            <w:vAlign w:val="bottom"/>
          </w:tcPr>
          <w:p>
            <w:pPr>
              <w:jc w:val="right"/>
              <w:spacing w:after="0"/>
              <w:rPr>
                <w:sz w:val="20"/>
                <w:szCs w:val="20"/>
                <w:color w:val="auto"/>
              </w:rPr>
            </w:pPr>
            <w:r>
              <w:rPr>
                <w:rFonts w:ascii="Arial" w:cs="Arial" w:eastAsia="Arial" w:hAnsi="Arial"/>
                <w:sz w:val="14"/>
                <w:szCs w:val="14"/>
                <w:color w:val="auto"/>
              </w:rPr>
              <w:t>367,500</w:t>
            </w:r>
          </w:p>
        </w:tc>
        <w:tc>
          <w:tcPr>
            <w:tcW w:w="1080" w:type="dxa"/>
            <w:vAlign w:val="bottom"/>
          </w:tcPr>
          <w:p>
            <w:pPr>
              <w:jc w:val="right"/>
              <w:spacing w:after="0"/>
              <w:rPr>
                <w:sz w:val="20"/>
                <w:szCs w:val="20"/>
                <w:color w:val="auto"/>
              </w:rPr>
            </w:pPr>
            <w:r>
              <w:rPr>
                <w:rFonts w:ascii="Arial" w:cs="Arial" w:eastAsia="Arial" w:hAnsi="Arial"/>
                <w:sz w:val="14"/>
                <w:szCs w:val="14"/>
                <w:color w:val="auto"/>
              </w:rPr>
              <w:t>525,000</w:t>
            </w:r>
          </w:p>
        </w:tc>
        <w:tc>
          <w:tcPr>
            <w:tcW w:w="1120" w:type="dxa"/>
            <w:vAlign w:val="bottom"/>
          </w:tcPr>
          <w:p>
            <w:pPr>
              <w:jc w:val="right"/>
              <w:spacing w:after="0"/>
              <w:rPr>
                <w:sz w:val="20"/>
                <w:szCs w:val="20"/>
                <w:color w:val="auto"/>
              </w:rPr>
            </w:pPr>
            <w:r>
              <w:rPr>
                <w:rFonts w:ascii="Arial" w:cs="Arial" w:eastAsia="Arial" w:hAnsi="Arial"/>
                <w:sz w:val="14"/>
                <w:szCs w:val="14"/>
                <w:color w:val="auto"/>
              </w:rPr>
              <w:t>700,000</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784,190</w:t>
            </w:r>
          </w:p>
        </w:tc>
      </w:tr>
      <w:tr>
        <w:trPr>
          <w:trHeight w:val="230"/>
        </w:trPr>
        <w:tc>
          <w:tcPr>
            <w:tcW w:w="53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Company Core Revenue</w:t>
            </w:r>
            <w:r>
              <w:rPr>
                <w:rFonts w:ascii="Arial" w:cs="Arial" w:eastAsia="Arial" w:hAnsi="Arial"/>
                <w:sz w:val="18"/>
                <w:szCs w:val="18"/>
                <w:color w:val="auto"/>
                <w:vertAlign w:val="superscript"/>
              </w:rPr>
              <w:t>(4)</w:t>
            </w:r>
          </w:p>
        </w:tc>
        <w:tc>
          <w:tcPr>
            <w:tcW w:w="900" w:type="dxa"/>
            <w:vAlign w:val="bottom"/>
            <w:shd w:val="clear" w:color="auto" w:fill="F1F2F2"/>
          </w:tcPr>
          <w:p>
            <w:pPr>
              <w:jc w:val="right"/>
              <w:ind w:right="228"/>
              <w:spacing w:after="0"/>
              <w:rPr>
                <w:sz w:val="20"/>
                <w:szCs w:val="20"/>
                <w:color w:val="auto"/>
              </w:rPr>
            </w:pPr>
            <w:r>
              <w:rPr>
                <w:rFonts w:ascii="Arial" w:cs="Arial" w:eastAsia="Arial" w:hAnsi="Arial"/>
                <w:sz w:val="14"/>
                <w:szCs w:val="14"/>
                <w:color w:val="auto"/>
              </w:rPr>
              <w:t>20%</w:t>
            </w:r>
          </w:p>
        </w:tc>
        <w:tc>
          <w:tcPr>
            <w:tcW w:w="12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4,500,000</w:t>
            </w:r>
          </w:p>
        </w:tc>
        <w:tc>
          <w:tcPr>
            <w:tcW w:w="10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5,000,000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5,500,000</w:t>
            </w:r>
          </w:p>
        </w:tc>
        <w:tc>
          <w:tcPr>
            <w:tcW w:w="14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5,344,437</w:t>
            </w:r>
          </w:p>
        </w:tc>
      </w:tr>
      <w:tr>
        <w:trPr>
          <w:trHeight w:val="499"/>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 xml:space="preserve">Segment NEO </w:t>
            </w:r>
            <w:r>
              <w:rPr>
                <w:rFonts w:ascii="Arial" w:cs="Arial" w:eastAsia="Arial" w:hAnsi="Arial"/>
                <w:sz w:val="14"/>
                <w:szCs w:val="14"/>
                <w:color w:val="auto"/>
              </w:rPr>
              <w:t>: Gary S. Bedard</w:t>
            </w:r>
            <w:r>
              <w:rPr>
                <w:rFonts w:ascii="Arial" w:cs="Arial" w:eastAsia="Arial" w:hAnsi="Arial"/>
                <w:sz w:val="18"/>
                <w:szCs w:val="18"/>
                <w:color w:val="auto"/>
                <w:vertAlign w:val="superscript"/>
              </w:rPr>
              <w:t>(1)</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4"/>
        </w:trPr>
        <w:tc>
          <w:tcPr>
            <w:tcW w:w="5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80" w:type="dxa"/>
            <w:vAlign w:val="bottom"/>
            <w:gridSpan w:val="3"/>
            <w:shd w:val="clear" w:color="auto" w:fill="C60C35"/>
          </w:tcPr>
          <w:p>
            <w:pPr>
              <w:jc w:val="right"/>
              <w:ind w:right="428"/>
              <w:spacing w:after="0"/>
              <w:rPr>
                <w:sz w:val="20"/>
                <w:szCs w:val="20"/>
                <w:color w:val="auto"/>
              </w:rPr>
            </w:pPr>
            <w:r>
              <w:rPr>
                <w:rFonts w:ascii="Arial" w:cs="Arial" w:eastAsia="Arial" w:hAnsi="Arial"/>
                <w:sz w:val="14"/>
                <w:szCs w:val="14"/>
                <w:b w:val="1"/>
                <w:bCs w:val="1"/>
                <w:color w:val="FFFFFF"/>
              </w:rPr>
              <w:t>Payout Opportunity as a % of Target</w:t>
            </w:r>
          </w:p>
        </w:tc>
        <w:tc>
          <w:tcPr>
            <w:tcW w:w="1420" w:type="dxa"/>
            <w:vAlign w:val="bottom"/>
          </w:tcPr>
          <w:p>
            <w:pPr>
              <w:spacing w:after="0"/>
              <w:rPr>
                <w:sz w:val="18"/>
                <w:szCs w:val="18"/>
                <w:color w:val="auto"/>
              </w:rPr>
            </w:pPr>
          </w:p>
        </w:tc>
      </w:tr>
      <w:tr>
        <w:trPr>
          <w:trHeight w:val="237"/>
        </w:trPr>
        <w:tc>
          <w:tcPr>
            <w:tcW w:w="5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50%</w:t>
            </w:r>
          </w:p>
        </w:tc>
        <w:tc>
          <w:tcPr>
            <w:tcW w:w="10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100%</w:t>
            </w:r>
          </w:p>
        </w:tc>
        <w:tc>
          <w:tcPr>
            <w:tcW w:w="11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225%</w:t>
            </w:r>
          </w:p>
        </w:tc>
        <w:tc>
          <w:tcPr>
            <w:tcW w:w="1420" w:type="dxa"/>
            <w:vAlign w:val="bottom"/>
          </w:tcPr>
          <w:p>
            <w:pPr>
              <w:spacing w:after="0"/>
              <w:rPr>
                <w:sz w:val="20"/>
                <w:szCs w:val="20"/>
                <w:color w:val="auto"/>
              </w:rPr>
            </w:pPr>
          </w:p>
        </w:tc>
      </w:tr>
      <w:tr>
        <w:trPr>
          <w:trHeight w:val="222"/>
        </w:trPr>
        <w:tc>
          <w:tcPr>
            <w:tcW w:w="538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9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Weight</w:t>
            </w:r>
          </w:p>
        </w:tc>
        <w:tc>
          <w:tcPr>
            <w:tcW w:w="12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Threshold</w:t>
            </w:r>
          </w:p>
        </w:tc>
        <w:tc>
          <w:tcPr>
            <w:tcW w:w="10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Target</w:t>
            </w:r>
          </w:p>
        </w:tc>
        <w:tc>
          <w:tcPr>
            <w:tcW w:w="1120" w:type="dxa"/>
            <w:vAlign w:val="bottom"/>
            <w:shd w:val="clear" w:color="auto" w:fill="C60C35"/>
          </w:tcPr>
          <w:p>
            <w:pPr>
              <w:jc w:val="center"/>
              <w:ind w:left="348"/>
              <w:spacing w:after="0"/>
              <w:rPr>
                <w:sz w:val="20"/>
                <w:szCs w:val="20"/>
                <w:color w:val="auto"/>
              </w:rPr>
            </w:pPr>
            <w:r>
              <w:rPr>
                <w:rFonts w:ascii="Arial" w:cs="Arial" w:eastAsia="Arial" w:hAnsi="Arial"/>
                <w:sz w:val="14"/>
                <w:szCs w:val="14"/>
                <w:b w:val="1"/>
                <w:bCs w:val="1"/>
                <w:color w:val="FFFFFF"/>
              </w:rPr>
              <w:t>Maximum</w:t>
            </w:r>
          </w:p>
        </w:tc>
        <w:tc>
          <w:tcPr>
            <w:tcW w:w="142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Performance</w:t>
            </w:r>
          </w:p>
        </w:tc>
      </w:tr>
      <w:tr>
        <w:trPr>
          <w:trHeight w:val="70"/>
        </w:trPr>
        <w:tc>
          <w:tcPr>
            <w:tcW w:w="5380" w:type="dxa"/>
            <w:vAlign w:val="bottom"/>
            <w:shd w:val="clear" w:color="auto" w:fill="C60C35"/>
          </w:tcPr>
          <w:p>
            <w:pPr>
              <w:spacing w:after="0"/>
              <w:rPr>
                <w:sz w:val="6"/>
                <w:szCs w:val="6"/>
                <w:color w:val="auto"/>
              </w:rPr>
            </w:pPr>
          </w:p>
        </w:tc>
        <w:tc>
          <w:tcPr>
            <w:tcW w:w="900" w:type="dxa"/>
            <w:vAlign w:val="bottom"/>
            <w:shd w:val="clear" w:color="auto" w:fill="C60C35"/>
          </w:tcPr>
          <w:p>
            <w:pPr>
              <w:spacing w:after="0"/>
              <w:rPr>
                <w:sz w:val="6"/>
                <w:szCs w:val="6"/>
                <w:color w:val="auto"/>
              </w:rPr>
            </w:pPr>
          </w:p>
        </w:tc>
        <w:tc>
          <w:tcPr>
            <w:tcW w:w="1280" w:type="dxa"/>
            <w:vAlign w:val="bottom"/>
            <w:shd w:val="clear" w:color="auto" w:fill="C60C35"/>
          </w:tcPr>
          <w:p>
            <w:pPr>
              <w:spacing w:after="0"/>
              <w:rPr>
                <w:sz w:val="6"/>
                <w:szCs w:val="6"/>
                <w:color w:val="auto"/>
              </w:rPr>
            </w:pPr>
          </w:p>
        </w:tc>
        <w:tc>
          <w:tcPr>
            <w:tcW w:w="108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420" w:type="dxa"/>
            <w:vAlign w:val="bottom"/>
            <w:shd w:val="clear" w:color="auto" w:fill="C60C35"/>
          </w:tcPr>
          <w:p>
            <w:pPr>
              <w:spacing w:after="0"/>
              <w:rPr>
                <w:sz w:val="6"/>
                <w:szCs w:val="6"/>
                <w:color w:val="auto"/>
              </w:rPr>
            </w:pPr>
          </w:p>
        </w:tc>
      </w:tr>
      <w:tr>
        <w:trPr>
          <w:trHeight w:val="229"/>
        </w:trPr>
        <w:tc>
          <w:tcPr>
            <w:tcW w:w="53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HCS Segment Profit</w:t>
            </w:r>
            <w:r>
              <w:rPr>
                <w:rFonts w:ascii="Arial" w:cs="Arial" w:eastAsia="Arial" w:hAnsi="Arial"/>
                <w:sz w:val="18"/>
                <w:szCs w:val="18"/>
                <w:color w:val="auto"/>
                <w:vertAlign w:val="superscript"/>
              </w:rPr>
              <w:t>(5)</w:t>
            </w:r>
          </w:p>
        </w:tc>
        <w:tc>
          <w:tcPr>
            <w:tcW w:w="900" w:type="dxa"/>
            <w:vAlign w:val="bottom"/>
            <w:shd w:val="clear" w:color="auto" w:fill="F1F2F2"/>
          </w:tcPr>
          <w:p>
            <w:pPr>
              <w:jc w:val="right"/>
              <w:ind w:right="228"/>
              <w:spacing w:after="0"/>
              <w:rPr>
                <w:sz w:val="20"/>
                <w:szCs w:val="20"/>
                <w:color w:val="auto"/>
              </w:rPr>
            </w:pPr>
            <w:r>
              <w:rPr>
                <w:rFonts w:ascii="Arial" w:cs="Arial" w:eastAsia="Arial" w:hAnsi="Arial"/>
                <w:sz w:val="14"/>
                <w:szCs w:val="14"/>
                <w:color w:val="auto"/>
              </w:rPr>
              <w:t>50%</w:t>
            </w:r>
          </w:p>
        </w:tc>
        <w:tc>
          <w:tcPr>
            <w:tcW w:w="12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$549,100</w:t>
            </w:r>
          </w:p>
        </w:tc>
        <w:tc>
          <w:tcPr>
            <w:tcW w:w="10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$668,400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$760,700</w:t>
            </w:r>
          </w:p>
        </w:tc>
        <w:tc>
          <w:tcPr>
            <w:tcW w:w="14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$758,906</w:t>
            </w:r>
          </w:p>
        </w:tc>
      </w:tr>
      <w:tr>
        <w:trPr>
          <w:trHeight w:val="230"/>
        </w:trPr>
        <w:tc>
          <w:tcPr>
            <w:tcW w:w="5380" w:type="dxa"/>
            <w:vAlign w:val="bottom"/>
          </w:tcPr>
          <w:p>
            <w:pPr>
              <w:ind w:left="100"/>
              <w:spacing w:after="0"/>
              <w:rPr>
                <w:sz w:val="20"/>
                <w:szCs w:val="20"/>
                <w:color w:val="auto"/>
              </w:rPr>
            </w:pPr>
            <w:r>
              <w:rPr>
                <w:rFonts w:ascii="Arial" w:cs="Arial" w:eastAsia="Arial" w:hAnsi="Arial"/>
                <w:sz w:val="14"/>
                <w:szCs w:val="14"/>
                <w:color w:val="auto"/>
              </w:rPr>
              <w:t>HCS Segment Controllable Cash Flow</w:t>
            </w:r>
            <w:r>
              <w:rPr>
                <w:rFonts w:ascii="Arial" w:cs="Arial" w:eastAsia="Arial" w:hAnsi="Arial"/>
                <w:sz w:val="18"/>
                <w:szCs w:val="18"/>
                <w:color w:val="auto"/>
                <w:vertAlign w:val="superscript"/>
              </w:rPr>
              <w:t>(6)</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30%</w:t>
            </w:r>
          </w:p>
        </w:tc>
        <w:tc>
          <w:tcPr>
            <w:tcW w:w="1280" w:type="dxa"/>
            <w:vAlign w:val="bottom"/>
          </w:tcPr>
          <w:p>
            <w:pPr>
              <w:jc w:val="right"/>
              <w:spacing w:after="0"/>
              <w:rPr>
                <w:sz w:val="20"/>
                <w:szCs w:val="20"/>
                <w:color w:val="auto"/>
              </w:rPr>
            </w:pPr>
            <w:r>
              <w:rPr>
                <w:rFonts w:ascii="Arial" w:cs="Arial" w:eastAsia="Arial" w:hAnsi="Arial"/>
                <w:sz w:val="14"/>
                <w:szCs w:val="14"/>
                <w:color w:val="auto"/>
              </w:rPr>
              <w:t>463,400</w:t>
            </w:r>
          </w:p>
        </w:tc>
        <w:tc>
          <w:tcPr>
            <w:tcW w:w="1080" w:type="dxa"/>
            <w:vAlign w:val="bottom"/>
          </w:tcPr>
          <w:p>
            <w:pPr>
              <w:jc w:val="right"/>
              <w:spacing w:after="0"/>
              <w:rPr>
                <w:sz w:val="20"/>
                <w:szCs w:val="20"/>
                <w:color w:val="auto"/>
              </w:rPr>
            </w:pPr>
            <w:r>
              <w:rPr>
                <w:rFonts w:ascii="Arial" w:cs="Arial" w:eastAsia="Arial" w:hAnsi="Arial"/>
                <w:sz w:val="14"/>
                <w:szCs w:val="14"/>
                <w:color w:val="auto"/>
              </w:rPr>
              <w:t>662,000</w:t>
            </w:r>
          </w:p>
        </w:tc>
        <w:tc>
          <w:tcPr>
            <w:tcW w:w="1120" w:type="dxa"/>
            <w:vAlign w:val="bottom"/>
          </w:tcPr>
          <w:p>
            <w:pPr>
              <w:jc w:val="right"/>
              <w:spacing w:after="0"/>
              <w:rPr>
                <w:sz w:val="20"/>
                <w:szCs w:val="20"/>
                <w:color w:val="auto"/>
              </w:rPr>
            </w:pPr>
            <w:r>
              <w:rPr>
                <w:rFonts w:ascii="Arial" w:cs="Arial" w:eastAsia="Arial" w:hAnsi="Arial"/>
                <w:sz w:val="14"/>
                <w:szCs w:val="14"/>
                <w:color w:val="auto"/>
              </w:rPr>
              <w:t>832,100</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770,817</w:t>
            </w:r>
          </w:p>
        </w:tc>
      </w:tr>
      <w:tr>
        <w:trPr>
          <w:trHeight w:val="229"/>
        </w:trPr>
        <w:tc>
          <w:tcPr>
            <w:tcW w:w="53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HCS Segment Revenue</w:t>
            </w:r>
            <w:r>
              <w:rPr>
                <w:rFonts w:ascii="Arial" w:cs="Arial" w:eastAsia="Arial" w:hAnsi="Arial"/>
                <w:sz w:val="18"/>
                <w:szCs w:val="18"/>
                <w:color w:val="auto"/>
                <w:vertAlign w:val="superscript"/>
              </w:rPr>
              <w:t>(7)</w:t>
            </w:r>
          </w:p>
        </w:tc>
        <w:tc>
          <w:tcPr>
            <w:tcW w:w="900" w:type="dxa"/>
            <w:vAlign w:val="bottom"/>
            <w:shd w:val="clear" w:color="auto" w:fill="F1F2F2"/>
          </w:tcPr>
          <w:p>
            <w:pPr>
              <w:jc w:val="right"/>
              <w:ind w:right="228"/>
              <w:spacing w:after="0"/>
              <w:rPr>
                <w:sz w:val="20"/>
                <w:szCs w:val="20"/>
                <w:color w:val="auto"/>
              </w:rPr>
            </w:pPr>
            <w:r>
              <w:rPr>
                <w:rFonts w:ascii="Arial" w:cs="Arial" w:eastAsia="Arial" w:hAnsi="Arial"/>
                <w:sz w:val="14"/>
                <w:szCs w:val="14"/>
                <w:color w:val="auto"/>
              </w:rPr>
              <w:t>20%</w:t>
            </w:r>
          </w:p>
        </w:tc>
        <w:tc>
          <w:tcPr>
            <w:tcW w:w="12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3,055,500</w:t>
            </w:r>
          </w:p>
        </w:tc>
        <w:tc>
          <w:tcPr>
            <w:tcW w:w="10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3,395,000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3,734,500</w:t>
            </w:r>
          </w:p>
        </w:tc>
        <w:tc>
          <w:tcPr>
            <w:tcW w:w="14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3,656,305</w:t>
            </w:r>
          </w:p>
        </w:tc>
      </w:tr>
    </w:tbl>
    <w:p>
      <w:pPr>
        <w:spacing w:after="0" w:line="126" w:lineRule="exact"/>
        <w:rPr>
          <w:sz w:val="20"/>
          <w:szCs w:val="20"/>
          <w:color w:val="auto"/>
        </w:rPr>
      </w:pPr>
    </w:p>
    <w:p>
      <w:pPr>
        <w:ind w:left="340" w:hanging="332"/>
        <w:spacing w:after="0" w:line="276"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Messrs. Maskara, Quenzer, Sessa, and Torres were measured 100% on overall Company financial performance, which resulted in a calculated award of 217% of target. As the President of our Home Comfort Solutions segment, Mr. Bedard’s award was measured 50% on Home Comfort Solutions financial performance and 50% on overall Company financial performance. Home Comfort Solutions financial performance resulted in a factor of 205% of target, which when blended with the Company’s factor of 217% of target, resulted in a calculated award of 211% of target for Mr. Bedard.</w:t>
      </w:r>
    </w:p>
    <w:p>
      <w:pPr>
        <w:spacing w:after="0" w:line="69"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income from continuing operations, adjusted for loss on sale of previous dispositions.</w:t>
      </w:r>
    </w:p>
    <w:p>
      <w:pPr>
        <w:spacing w:after="0" w:line="109" w:lineRule="exact"/>
        <w:rPr>
          <w:rFonts w:ascii="Arial" w:cs="Arial" w:eastAsia="Arial" w:hAnsi="Arial"/>
          <w:sz w:val="14"/>
          <w:szCs w:val="14"/>
          <w:color w:val="auto"/>
        </w:rPr>
      </w:pPr>
    </w:p>
    <w:p>
      <w:pPr>
        <w:ind w:left="340" w:right="12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Company free cash flow, a non-GAAP financial measure, is net cash provided by operating activities less purchases of property, plant, and equipment plus proceeds from disposal of property, plant, and equipment, and adjusted for certain other items.</w:t>
      </w:r>
    </w:p>
    <w:p>
      <w:pPr>
        <w:spacing w:after="0" w:line="49" w:lineRule="exact"/>
        <w:rPr>
          <w:rFonts w:ascii="Arial" w:cs="Arial" w:eastAsia="Arial" w:hAnsi="Arial"/>
          <w:sz w:val="14"/>
          <w:szCs w:val="14"/>
          <w:color w:val="auto"/>
        </w:rPr>
      </w:pPr>
    </w:p>
    <w:p>
      <w:pPr>
        <w:ind w:left="340" w:right="34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Company core revenue, a non-GAAP financial measure, is net revenues for the Company, less net revenues from non-core businesses, and adjusted for certain other items.       </w:t>
      </w:r>
    </w:p>
    <w:p>
      <w:pPr>
        <w:spacing w:after="0" w:line="36" w:lineRule="exact"/>
        <w:rPr>
          <w:rFonts w:ascii="Arial" w:cs="Arial" w:eastAsia="Arial" w:hAnsi="Arial"/>
          <w:sz w:val="14"/>
          <w:szCs w:val="14"/>
          <w:color w:val="auto"/>
        </w:rPr>
      </w:pPr>
    </w:p>
    <w:p>
      <w:pPr>
        <w:ind w:left="340" w:right="38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HCS segment profit, a non-GAAP financial measure, is earnings from continuing operations for the applicable segment, before interest expense, other expenses, and income taxes, adjusted for loss on sale of previous dispositions and certain other items, and adjusted to include Allied Air commercial results.</w:t>
      </w:r>
    </w:p>
    <w:p>
      <w:pPr>
        <w:spacing w:after="0" w:line="49" w:lineRule="exact"/>
        <w:rPr>
          <w:rFonts w:ascii="Arial" w:cs="Arial" w:eastAsia="Arial" w:hAnsi="Arial"/>
          <w:sz w:val="14"/>
          <w:szCs w:val="14"/>
          <w:color w:val="auto"/>
        </w:rPr>
      </w:pPr>
    </w:p>
    <w:p>
      <w:pPr>
        <w:ind w:left="340" w:right="60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HCS segment controllable cash flow, a non-GAAP financial measure, is HCS segment profit, defined above, less purchases of property, plant, and equipment plus proceeds from disposal of property, plant, and equipment, plus or minus changes in accounts receivable, inventory, accounts payable, and certain other items.</w:t>
      </w:r>
    </w:p>
    <w:p>
      <w:pPr>
        <w:spacing w:after="0" w:line="103"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HCS segment revenue, a non-GAAP financial measure, adjusted for certain other items, and adjusted to include Allied Air commercial results.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Goal Setting.</w:t>
      </w:r>
      <w:r>
        <w:rPr>
          <w:rFonts w:ascii="Arial" w:cs="Arial" w:eastAsia="Arial" w:hAnsi="Arial"/>
          <w:sz w:val="18"/>
          <w:szCs w:val="18"/>
          <w:color w:val="auto"/>
        </w:rPr>
        <w:t xml:space="preserve"> The Board is focused on setting targets that align with investor expectations. For 2024:</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Company core net income goal at target was set up 6.4% from 2023 actual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Company free cash flow goal at target was set up 7.5% from 2023 actual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Company core revenue goal at target was set up 5.6% from 2023 actual results.</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Performance goals at maximum payout are appropriately stretched to help ensure stockholder alignment. Record Company performance in 2024 resulted in STI payout of 217% of target (for NEOs whose opportunity was based 100% on Company-wide performance goals) and total shareholder return of 37%.</w:t>
      </w:r>
    </w:p>
    <w:p>
      <w:pPr>
        <w:spacing w:after="0" w:line="128"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u w:val="single" w:color="auto"/>
          <w:color w:val="auto"/>
        </w:rPr>
        <w:t>Individual Performance</w:t>
      </w:r>
      <w:r>
        <w:rPr>
          <w:rFonts w:ascii="Arial" w:cs="Arial" w:eastAsia="Arial" w:hAnsi="Arial"/>
          <w:sz w:val="18"/>
          <w:szCs w:val="18"/>
          <w:color w:val="auto"/>
        </w:rPr>
        <w:t>. Once the calculated STI amount is determined based on performance against the pre-approved earnings, cash flow, and revenue goals, 25% of that amount may be modified up or down from 0% to 225% based on each NEO’s individual performance. When determining whether to modify an NEO’s calculated STI amount, the Committee considered each NEO’s performance against specific financial, operational, and strategic objectives, as well as each NEO’s contribution to our sustainability goals. The Company’s sustainability goals include reducing</w:t>
      </w: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5" w:name="page46"/>
    <w:bookmarkEnd w:id="45"/>
    <w:p>
      <w:pPr>
        <w:ind w:right="160"/>
        <w:spacing w:after="0" w:line="252" w:lineRule="auto"/>
        <w:rPr>
          <w:sz w:val="20"/>
          <w:szCs w:val="20"/>
          <w:color w:val="auto"/>
        </w:rPr>
      </w:pPr>
      <w:r>
        <w:rPr>
          <w:rFonts w:ascii="Arial" w:cs="Arial" w:eastAsia="Arial" w:hAnsi="Arial"/>
          <w:sz w:val="18"/>
          <w:szCs w:val="18"/>
          <w:color w:val="auto"/>
        </w:rPr>
        <w:t>the environmental impact of our products and operations, reducing the number of safety incidents in our operations, and enhancing the inclusiveness of our workforce. The CEO reviewed with the Committee the individual performance of each NEO (other than himself). Based on exceptional performance during the year and the resulting payout above target, the Committee did not modify the STI payouts for any of the NEOs.</w:t>
      </w:r>
    </w:p>
    <w:p>
      <w:pPr>
        <w:spacing w:after="0" w:line="116" w:lineRule="exact"/>
        <w:rPr>
          <w:sz w:val="20"/>
          <w:szCs w:val="20"/>
          <w:color w:val="auto"/>
        </w:rPr>
      </w:pPr>
    </w:p>
    <w:p>
      <w:pPr>
        <w:jc w:val="both"/>
        <w:ind w:right="140" w:firstLine="324"/>
        <w:spacing w:after="0" w:line="261" w:lineRule="auto"/>
        <w:rPr>
          <w:sz w:val="20"/>
          <w:szCs w:val="20"/>
          <w:color w:val="auto"/>
        </w:rPr>
      </w:pPr>
      <w:r>
        <w:rPr>
          <w:rFonts w:ascii="Arial" w:cs="Arial" w:eastAsia="Arial" w:hAnsi="Arial"/>
          <w:sz w:val="18"/>
          <w:szCs w:val="18"/>
          <w:u w:val="single" w:color="auto"/>
          <w:color w:val="auto"/>
        </w:rPr>
        <w:t>Targets and Payouts</w:t>
      </w:r>
      <w:r>
        <w:rPr>
          <w:rFonts w:ascii="Arial" w:cs="Arial" w:eastAsia="Arial" w:hAnsi="Arial"/>
          <w:sz w:val="18"/>
          <w:szCs w:val="18"/>
          <w:color w:val="auto"/>
        </w:rPr>
        <w:t>. Under the STI Program, target payout opportunities are determined as a percentage of base salary earned during the year. The target payout opportunities are based on market data using the 50th percentile as a guideline. Each NEO’s target percentage fits within this guideline and was unchanged for 2024.</w:t>
      </w:r>
    </w:p>
    <w:p>
      <w:pPr>
        <w:spacing w:after="0" w:line="108"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Based on analysis of the market data and internal equity considerations, the Committee (or with respect to the CEO, the independent Board members) set the following STI targets for 2024. Based on financial and individual performance, the Committee (or with respect to the CEO, the independent Board members) approved the following 2024 payouts for each NEO: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2024 Short-Term Incentive Targets and Payouts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60C35"/>
          </w:tcPr>
          <w:p>
            <w:pPr>
              <w:spacing w:after="0"/>
              <w:rPr>
                <w:sz w:val="18"/>
                <w:szCs w:val="18"/>
                <w:color w:val="auto"/>
              </w:rPr>
            </w:pPr>
          </w:p>
        </w:tc>
        <w:tc>
          <w:tcPr>
            <w:tcW w:w="216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2024 STI Target</w:t>
            </w:r>
          </w:p>
        </w:tc>
        <w:tc>
          <w:tcPr>
            <w:tcW w:w="860" w:type="dxa"/>
            <w:vAlign w:val="bottom"/>
            <w:shd w:val="clear" w:color="auto" w:fill="C60C35"/>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shd w:val="clear" w:color="auto" w:fill="C60C35"/>
          </w:tcPr>
          <w:p>
            <w:pPr>
              <w:jc w:val="right"/>
              <w:ind w:right="28"/>
              <w:spacing w:after="0"/>
              <w:rPr>
                <w:sz w:val="20"/>
                <w:szCs w:val="20"/>
                <w:color w:val="auto"/>
              </w:rPr>
            </w:pPr>
            <w:r>
              <w:rPr>
                <w:rFonts w:ascii="Arial" w:cs="Arial" w:eastAsia="Arial" w:hAnsi="Arial"/>
                <w:sz w:val="14"/>
                <w:szCs w:val="14"/>
                <w:b w:val="1"/>
                <w:bCs w:val="1"/>
                <w:color w:val="FFFFFF"/>
              </w:rPr>
              <w:t>2024 STI Payout</w:t>
            </w:r>
          </w:p>
        </w:tc>
        <w:tc>
          <w:tcPr>
            <w:tcW w:w="980" w:type="dxa"/>
            <w:vAlign w:val="bottom"/>
            <w:shd w:val="clear" w:color="auto" w:fill="C60C35"/>
          </w:tcPr>
          <w:p>
            <w:pPr>
              <w:spacing w:after="0"/>
              <w:rPr>
                <w:sz w:val="18"/>
                <w:szCs w:val="18"/>
                <w:color w:val="auto"/>
              </w:rPr>
            </w:pPr>
          </w:p>
        </w:tc>
      </w:tr>
      <w:tr>
        <w:trPr>
          <w:trHeight w:val="241"/>
        </w:trPr>
        <w:tc>
          <w:tcPr>
            <w:tcW w:w="498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2160" w:type="dxa"/>
            <w:vAlign w:val="bottom"/>
            <w:shd w:val="clear" w:color="auto" w:fill="C60C35"/>
          </w:tcPr>
          <w:p>
            <w:pPr>
              <w:jc w:val="right"/>
              <w:ind w:right="368"/>
              <w:spacing w:after="0"/>
              <w:rPr>
                <w:sz w:val="20"/>
                <w:szCs w:val="20"/>
                <w:color w:val="auto"/>
              </w:rPr>
            </w:pPr>
            <w:r>
              <w:rPr>
                <w:rFonts w:ascii="Arial" w:cs="Arial" w:eastAsia="Arial" w:hAnsi="Arial"/>
                <w:sz w:val="14"/>
                <w:szCs w:val="14"/>
                <w:b w:val="1"/>
                <w:bCs w:val="1"/>
                <w:color w:val="FFFFFF"/>
              </w:rPr>
              <w:t>% of Base Salary</w:t>
            </w:r>
          </w:p>
        </w:tc>
        <w:tc>
          <w:tcPr>
            <w:tcW w:w="860" w:type="dxa"/>
            <w:vAlign w:val="bottom"/>
            <w:shd w:val="clear" w:color="auto" w:fill="C60C35"/>
          </w:tcPr>
          <w:p>
            <w:pPr>
              <w:jc w:val="right"/>
              <w:ind w:right="528"/>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spacing w:after="0"/>
              <w:rPr>
                <w:sz w:val="20"/>
                <w:szCs w:val="20"/>
                <w:color w:val="auto"/>
              </w:rPr>
            </w:pPr>
          </w:p>
        </w:tc>
        <w:tc>
          <w:tcPr>
            <w:tcW w:w="2160" w:type="dxa"/>
            <w:vAlign w:val="bottom"/>
            <w:shd w:val="clear" w:color="auto" w:fill="C60C35"/>
          </w:tcPr>
          <w:p>
            <w:pPr>
              <w:jc w:val="right"/>
              <w:ind w:right="388"/>
              <w:spacing w:after="0"/>
              <w:rPr>
                <w:sz w:val="20"/>
                <w:szCs w:val="20"/>
                <w:color w:val="auto"/>
              </w:rPr>
            </w:pPr>
            <w:r>
              <w:rPr>
                <w:rFonts w:ascii="Arial" w:cs="Arial" w:eastAsia="Arial" w:hAnsi="Arial"/>
                <w:sz w:val="14"/>
                <w:szCs w:val="14"/>
                <w:b w:val="1"/>
                <w:bCs w:val="1"/>
                <w:color w:val="FFFFFF"/>
              </w:rPr>
              <w:t>   % of Target</w:t>
            </w:r>
          </w:p>
        </w:tc>
        <w:tc>
          <w:tcPr>
            <w:tcW w:w="980" w:type="dxa"/>
            <w:vAlign w:val="bottom"/>
            <w:shd w:val="clear" w:color="auto" w:fill="C60C35"/>
          </w:tcPr>
          <w:p>
            <w:pPr>
              <w:jc w:val="right"/>
              <w:ind w:right="668"/>
              <w:spacing w:after="0"/>
              <w:rPr>
                <w:sz w:val="20"/>
                <w:szCs w:val="20"/>
                <w:color w:val="auto"/>
              </w:rPr>
            </w:pPr>
            <w:r>
              <w:rPr>
                <w:rFonts w:ascii="Arial" w:cs="Arial" w:eastAsia="Arial" w:hAnsi="Arial"/>
                <w:sz w:val="14"/>
                <w:szCs w:val="14"/>
                <w:b w:val="1"/>
                <w:bCs w:val="1"/>
                <w:color w:val="FFFFFF"/>
              </w:rPr>
              <w:t>$</w:t>
            </w:r>
          </w:p>
        </w:tc>
      </w:tr>
      <w:tr>
        <w:trPr>
          <w:trHeight w:val="69"/>
        </w:trPr>
        <w:tc>
          <w:tcPr>
            <w:tcW w:w="4980" w:type="dxa"/>
            <w:vAlign w:val="bottom"/>
            <w:shd w:val="clear" w:color="auto" w:fill="C60C35"/>
          </w:tcPr>
          <w:p>
            <w:pPr>
              <w:spacing w:after="0"/>
              <w:rPr>
                <w:sz w:val="6"/>
                <w:szCs w:val="6"/>
                <w:color w:val="auto"/>
              </w:rPr>
            </w:pPr>
          </w:p>
        </w:tc>
        <w:tc>
          <w:tcPr>
            <w:tcW w:w="2160" w:type="dxa"/>
            <w:vAlign w:val="bottom"/>
            <w:shd w:val="clear" w:color="auto" w:fill="C60C35"/>
          </w:tcPr>
          <w:p>
            <w:pPr>
              <w:spacing w:after="0"/>
              <w:rPr>
                <w:sz w:val="6"/>
                <w:szCs w:val="6"/>
                <w:color w:val="auto"/>
              </w:rPr>
            </w:pPr>
          </w:p>
        </w:tc>
        <w:tc>
          <w:tcPr>
            <w:tcW w:w="860" w:type="dxa"/>
            <w:vAlign w:val="bottom"/>
            <w:shd w:val="clear" w:color="auto" w:fill="C60C35"/>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shd w:val="clear" w:color="auto" w:fill="C60C35"/>
          </w:tcPr>
          <w:p>
            <w:pPr>
              <w:spacing w:after="0"/>
              <w:rPr>
                <w:sz w:val="6"/>
                <w:szCs w:val="6"/>
                <w:color w:val="auto"/>
              </w:rPr>
            </w:pPr>
          </w:p>
        </w:tc>
        <w:tc>
          <w:tcPr>
            <w:tcW w:w="980" w:type="dxa"/>
            <w:vAlign w:val="bottom"/>
            <w:shd w:val="clear" w:color="auto" w:fill="C60C35"/>
          </w:tcPr>
          <w:p>
            <w:pPr>
              <w:spacing w:after="0"/>
              <w:rPr>
                <w:sz w:val="6"/>
                <w:szCs w:val="6"/>
                <w:color w:val="auto"/>
              </w:rPr>
            </w:pPr>
          </w:p>
        </w:tc>
      </w:tr>
      <w:tr>
        <w:trPr>
          <w:trHeight w:val="210"/>
        </w:trPr>
        <w:tc>
          <w:tcPr>
            <w:tcW w:w="49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216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120 %</w:t>
            </w:r>
          </w:p>
        </w:tc>
        <w:tc>
          <w:tcPr>
            <w:tcW w:w="8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$1,357,500</w:t>
            </w:r>
          </w:p>
        </w:tc>
        <w:tc>
          <w:tcPr>
            <w:tcW w:w="2260" w:type="dxa"/>
            <w:vAlign w:val="bottom"/>
            <w:tcBorders>
              <w:bottom w:val="single" w:sz="8" w:color="F1F2F2"/>
            </w:tcBorders>
            <w:gridSpan w:val="2"/>
            <w:shd w:val="clear" w:color="auto" w:fill="F1F2F2"/>
          </w:tcPr>
          <w:p>
            <w:pPr>
              <w:jc w:val="right"/>
              <w:ind w:right="388"/>
              <w:spacing w:after="0"/>
              <w:rPr>
                <w:sz w:val="20"/>
                <w:szCs w:val="20"/>
                <w:color w:val="auto"/>
              </w:rPr>
            </w:pPr>
            <w:r>
              <w:rPr>
                <w:rFonts w:ascii="Arial" w:cs="Arial" w:eastAsia="Arial" w:hAnsi="Arial"/>
                <w:sz w:val="14"/>
                <w:szCs w:val="14"/>
                <w:color w:val="auto"/>
              </w:rPr>
              <w:t>217 %</w:t>
            </w:r>
          </w:p>
        </w:tc>
        <w:tc>
          <w:tcPr>
            <w:tcW w:w="9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$2,948,762</w:t>
            </w:r>
          </w:p>
        </w:tc>
      </w:tr>
      <w:tr>
        <w:trPr>
          <w:trHeight w:val="208"/>
        </w:trPr>
        <w:tc>
          <w:tcPr>
            <w:tcW w:w="498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75 %</w:t>
            </w:r>
          </w:p>
        </w:tc>
        <w:tc>
          <w:tcPr>
            <w:tcW w:w="860" w:type="dxa"/>
            <w:vAlign w:val="bottom"/>
          </w:tcPr>
          <w:p>
            <w:pPr>
              <w:jc w:val="right"/>
              <w:spacing w:after="0"/>
              <w:rPr>
                <w:sz w:val="20"/>
                <w:szCs w:val="20"/>
                <w:color w:val="auto"/>
              </w:rPr>
            </w:pPr>
            <w:r>
              <w:rPr>
                <w:rFonts w:ascii="Arial" w:cs="Arial" w:eastAsia="Arial" w:hAnsi="Arial"/>
                <w:sz w:val="14"/>
                <w:szCs w:val="14"/>
                <w:color w:val="auto"/>
              </w:rPr>
              <w:t>412,500</w:t>
            </w:r>
          </w:p>
        </w:tc>
        <w:tc>
          <w:tcPr>
            <w:tcW w:w="2260" w:type="dxa"/>
            <w:vAlign w:val="bottom"/>
            <w:gridSpan w:val="2"/>
          </w:tcPr>
          <w:p>
            <w:pPr>
              <w:jc w:val="right"/>
              <w:ind w:right="388"/>
              <w:spacing w:after="0"/>
              <w:rPr>
                <w:sz w:val="20"/>
                <w:szCs w:val="20"/>
                <w:color w:val="auto"/>
              </w:rPr>
            </w:pPr>
            <w:r>
              <w:rPr>
                <w:rFonts w:ascii="Arial" w:cs="Arial" w:eastAsia="Arial" w:hAnsi="Arial"/>
                <w:sz w:val="14"/>
                <w:szCs w:val="14"/>
                <w:color w:val="auto"/>
              </w:rPr>
              <w:t>217 %</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896,033</w:t>
            </w:r>
          </w:p>
        </w:tc>
      </w:tr>
      <w:tr>
        <w:trPr>
          <w:trHeight w:val="22"/>
        </w:trPr>
        <w:tc>
          <w:tcPr>
            <w:tcW w:w="4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49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216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75 %</w:t>
            </w:r>
          </w:p>
        </w:tc>
        <w:tc>
          <w:tcPr>
            <w:tcW w:w="8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431,250</w:t>
            </w:r>
          </w:p>
        </w:tc>
        <w:tc>
          <w:tcPr>
            <w:tcW w:w="2260" w:type="dxa"/>
            <w:vAlign w:val="bottom"/>
            <w:tcBorders>
              <w:bottom w:val="single" w:sz="8" w:color="F1F2F2"/>
            </w:tcBorders>
            <w:gridSpan w:val="2"/>
            <w:shd w:val="clear" w:color="auto" w:fill="F1F2F2"/>
          </w:tcPr>
          <w:p>
            <w:pPr>
              <w:jc w:val="right"/>
              <w:ind w:right="388"/>
              <w:spacing w:after="0"/>
              <w:rPr>
                <w:sz w:val="20"/>
                <w:szCs w:val="20"/>
                <w:color w:val="auto"/>
              </w:rPr>
            </w:pPr>
            <w:r>
              <w:rPr>
                <w:rFonts w:ascii="Arial" w:cs="Arial" w:eastAsia="Arial" w:hAnsi="Arial"/>
                <w:sz w:val="14"/>
                <w:szCs w:val="14"/>
                <w:color w:val="auto"/>
              </w:rPr>
              <w:t>211 %</w:t>
            </w:r>
          </w:p>
        </w:tc>
        <w:tc>
          <w:tcPr>
            <w:tcW w:w="9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909,334</w:t>
            </w:r>
          </w:p>
        </w:tc>
      </w:tr>
      <w:tr>
        <w:trPr>
          <w:trHeight w:val="208"/>
        </w:trPr>
        <w:tc>
          <w:tcPr>
            <w:tcW w:w="498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75 %</w:t>
            </w:r>
          </w:p>
        </w:tc>
        <w:tc>
          <w:tcPr>
            <w:tcW w:w="860" w:type="dxa"/>
            <w:vAlign w:val="bottom"/>
          </w:tcPr>
          <w:p>
            <w:pPr>
              <w:jc w:val="right"/>
              <w:spacing w:after="0"/>
              <w:rPr>
                <w:sz w:val="20"/>
                <w:szCs w:val="20"/>
                <w:color w:val="auto"/>
              </w:rPr>
            </w:pPr>
            <w:r>
              <w:rPr>
                <w:rFonts w:ascii="Arial" w:cs="Arial" w:eastAsia="Arial" w:hAnsi="Arial"/>
                <w:sz w:val="14"/>
                <w:szCs w:val="14"/>
                <w:color w:val="auto"/>
              </w:rPr>
              <w:t>438,750</w:t>
            </w:r>
          </w:p>
        </w:tc>
        <w:tc>
          <w:tcPr>
            <w:tcW w:w="2260" w:type="dxa"/>
            <w:vAlign w:val="bottom"/>
            <w:gridSpan w:val="2"/>
          </w:tcPr>
          <w:p>
            <w:pPr>
              <w:jc w:val="right"/>
              <w:ind w:right="388"/>
              <w:spacing w:after="0"/>
              <w:rPr>
                <w:sz w:val="20"/>
                <w:szCs w:val="20"/>
                <w:color w:val="auto"/>
              </w:rPr>
            </w:pPr>
            <w:r>
              <w:rPr>
                <w:rFonts w:ascii="Arial" w:cs="Arial" w:eastAsia="Arial" w:hAnsi="Arial"/>
                <w:sz w:val="14"/>
                <w:szCs w:val="14"/>
                <w:color w:val="auto"/>
              </w:rPr>
              <w:t>217 %</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953,053</w:t>
            </w:r>
          </w:p>
        </w:tc>
      </w:tr>
      <w:tr>
        <w:trPr>
          <w:trHeight w:val="22"/>
        </w:trPr>
        <w:tc>
          <w:tcPr>
            <w:tcW w:w="4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8"/>
        </w:trPr>
        <w:tc>
          <w:tcPr>
            <w:tcW w:w="49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216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75 %</w:t>
            </w:r>
          </w:p>
        </w:tc>
        <w:tc>
          <w:tcPr>
            <w:tcW w:w="860" w:type="dxa"/>
            <w:vAlign w:val="bottom"/>
            <w:shd w:val="clear" w:color="auto" w:fill="F1F2F2"/>
          </w:tcPr>
          <w:p>
            <w:pPr>
              <w:jc w:val="right"/>
              <w:spacing w:after="0"/>
              <w:rPr>
                <w:sz w:val="20"/>
                <w:szCs w:val="20"/>
                <w:color w:val="auto"/>
              </w:rPr>
            </w:pPr>
            <w:r>
              <w:rPr>
                <w:rFonts w:ascii="Arial" w:cs="Arial" w:eastAsia="Arial" w:hAnsi="Arial"/>
                <w:sz w:val="14"/>
                <w:szCs w:val="14"/>
                <w:color w:val="auto"/>
              </w:rPr>
              <w:t>423,750</w:t>
            </w:r>
          </w:p>
        </w:tc>
        <w:tc>
          <w:tcPr>
            <w:tcW w:w="2260" w:type="dxa"/>
            <w:vAlign w:val="bottom"/>
            <w:gridSpan w:val="2"/>
            <w:shd w:val="clear" w:color="auto" w:fill="F1F2F2"/>
          </w:tcPr>
          <w:p>
            <w:pPr>
              <w:jc w:val="right"/>
              <w:ind w:right="388"/>
              <w:spacing w:after="0"/>
              <w:rPr>
                <w:sz w:val="20"/>
                <w:szCs w:val="20"/>
                <w:color w:val="auto"/>
              </w:rPr>
            </w:pPr>
            <w:r>
              <w:rPr>
                <w:rFonts w:ascii="Arial" w:cs="Arial" w:eastAsia="Arial" w:hAnsi="Arial"/>
                <w:sz w:val="14"/>
                <w:szCs w:val="14"/>
                <w:color w:val="auto"/>
              </w:rPr>
              <w:t>217 %</w:t>
            </w:r>
          </w:p>
        </w:tc>
        <w:tc>
          <w:tcPr>
            <w:tcW w:w="98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920,470</w:t>
            </w:r>
          </w:p>
        </w:tc>
      </w:tr>
      <w:tr>
        <w:trPr>
          <w:trHeight w:val="22"/>
        </w:trPr>
        <w:tc>
          <w:tcPr>
            <w:tcW w:w="4980" w:type="dxa"/>
            <w:vAlign w:val="bottom"/>
            <w:shd w:val="clear" w:color="auto" w:fill="F1F2F2"/>
          </w:tcPr>
          <w:p>
            <w:pPr>
              <w:spacing w:after="0" w:line="20" w:lineRule="exact"/>
              <w:rPr>
                <w:sz w:val="1"/>
                <w:szCs w:val="1"/>
                <w:color w:val="auto"/>
              </w:rPr>
            </w:pPr>
          </w:p>
        </w:tc>
        <w:tc>
          <w:tcPr>
            <w:tcW w:w="2160" w:type="dxa"/>
            <w:vAlign w:val="bottom"/>
            <w:shd w:val="clear" w:color="auto" w:fill="F1F2F2"/>
          </w:tcPr>
          <w:p>
            <w:pPr>
              <w:spacing w:after="0" w:line="20" w:lineRule="exact"/>
              <w:rPr>
                <w:sz w:val="1"/>
                <w:szCs w:val="1"/>
                <w:color w:val="auto"/>
              </w:rPr>
            </w:pPr>
          </w:p>
        </w:tc>
        <w:tc>
          <w:tcPr>
            <w:tcW w:w="860" w:type="dxa"/>
            <w:vAlign w:val="bottom"/>
            <w:shd w:val="clear" w:color="auto" w:fill="F1F2F2"/>
          </w:tcPr>
          <w:p>
            <w:pPr>
              <w:spacing w:after="0" w:line="20" w:lineRule="exact"/>
              <w:rPr>
                <w:sz w:val="1"/>
                <w:szCs w:val="1"/>
                <w:color w:val="auto"/>
              </w:rPr>
            </w:pPr>
          </w:p>
        </w:tc>
        <w:tc>
          <w:tcPr>
            <w:tcW w:w="100" w:type="dxa"/>
            <w:vAlign w:val="bottom"/>
            <w:shd w:val="clear" w:color="auto" w:fill="F1F2F2"/>
          </w:tcPr>
          <w:p>
            <w:pPr>
              <w:spacing w:after="0" w:line="20" w:lineRule="exact"/>
              <w:rPr>
                <w:sz w:val="1"/>
                <w:szCs w:val="1"/>
                <w:color w:val="auto"/>
              </w:rPr>
            </w:pPr>
          </w:p>
        </w:tc>
        <w:tc>
          <w:tcPr>
            <w:tcW w:w="2160" w:type="dxa"/>
            <w:vAlign w:val="bottom"/>
            <w:shd w:val="clear" w:color="auto" w:fill="F1F2F2"/>
          </w:tcPr>
          <w:p>
            <w:pPr>
              <w:spacing w:after="0" w:line="20" w:lineRule="exact"/>
              <w:rPr>
                <w:sz w:val="1"/>
                <w:szCs w:val="1"/>
                <w:color w:val="auto"/>
              </w:rPr>
            </w:pPr>
          </w:p>
        </w:tc>
        <w:tc>
          <w:tcPr>
            <w:tcW w:w="980" w:type="dxa"/>
            <w:vAlign w:val="bottom"/>
            <w:shd w:val="clear" w:color="auto" w:fill="F1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-916305</wp:posOffset>
            </wp:positionV>
            <wp:extent cx="38830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50"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short-term incentive payments made to the NEOs for 2024, which were approved by the Committee on February 28, 2025, and paid on March 14, 2025, are included in the 2024 Summary Compensation Table under “Non-Equity Incentive Plan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Long-Term Incentive Program</w:t>
      </w:r>
    </w:p>
    <w:p>
      <w:pPr>
        <w:spacing w:after="0" w:line="156"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LTI Program is designed to incentivize those employees who have principal responsibility for our long-term profitability. We believe participation in our LTI Program aligns the interests of our NEOs with the interests of our stockholders.</w:t>
      </w:r>
    </w:p>
    <w:p>
      <w:pPr>
        <w:spacing w:after="0" w:line="8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We use a mix of PSUs, RSUs, and stock appreciation rights (“SARs”) in our LTI Program. PSUs and SARs reward performance, as</w:t>
      </w:r>
    </w:p>
    <w:p>
      <w:pPr>
        <w:spacing w:after="0" w:line="14"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measured by achievement of specified financial objectives for PSUs and stock price growth for SARs. RSUs help us retain key members of management through time-based vesting. The Committee allocated the mix of elements in our LTI Program in a manner designed to drive Company performance, retain key talent, and provide competitive compensation.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Lennox long-term incentive award allocations for our NEOs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154940</wp:posOffset>
            </wp:positionV>
            <wp:extent cx="1971675" cy="18516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7167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ind w:right="300" w:firstLine="324"/>
        <w:spacing w:after="0" w:line="261" w:lineRule="auto"/>
        <w:rPr>
          <w:sz w:val="20"/>
          <w:szCs w:val="20"/>
          <w:color w:val="auto"/>
        </w:rPr>
      </w:pPr>
      <w:r>
        <w:rPr>
          <w:rFonts w:ascii="Arial" w:cs="Arial" w:eastAsia="Arial" w:hAnsi="Arial"/>
          <w:sz w:val="18"/>
          <w:szCs w:val="18"/>
          <w:color w:val="auto"/>
        </w:rPr>
        <w:t>The Committee determines the grant date for all long-term incentive awards, which is three trading days following the fourth quarter earnings release. The Committee sets the exercise price of our SARs at 100% of fair market value, which is defined as the average of the high and low NYSE trading prices of our common stock on the date of grant.</w:t>
      </w:r>
    </w:p>
    <w:p>
      <w:pPr>
        <w:spacing w:after="0" w:line="108"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The target award values under our LTI Program are based on Market data for similar positions using the 50th percentile as a guideline. The number of shares available for grant under the 2019 Equity and Incentive Compensation Plan is also considered. The Committee established the target award values at or near the 50th percentile of the Market for all NEOs. When determining the award for each NEO, the Committee and independent Board members considered the NEO’s time in position, individual performance and potential, impact on the financial performance of the Company, and internal equity.</w:t>
      </w:r>
    </w:p>
    <w:p>
      <w:pPr>
        <w:spacing w:after="0" w:line="136"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Once the Committee determined the target long-term incentive award values for each NEO for the grants, 50% of the value was provided as PSUs, 30% as RSUs, and 20% as SARs.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target award values and number of awards granted for each NEO: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shd w:val="clear" w:color="auto" w:fill="C60C35"/>
          </w:tcPr>
          <w:p>
            <w:pPr>
              <w:spacing w:after="0"/>
              <w:rPr>
                <w:sz w:val="18"/>
                <w:szCs w:val="18"/>
                <w:color w:val="auto"/>
              </w:rPr>
            </w:pPr>
          </w:p>
        </w:tc>
        <w:tc>
          <w:tcPr>
            <w:tcW w:w="4480" w:type="dxa"/>
            <w:vAlign w:val="bottom"/>
            <w:gridSpan w:val="4"/>
            <w:shd w:val="clear" w:color="auto" w:fill="C60C35"/>
          </w:tcPr>
          <w:p>
            <w:pPr>
              <w:jc w:val="right"/>
              <w:ind w:right="608"/>
              <w:spacing w:after="0"/>
              <w:rPr>
                <w:sz w:val="20"/>
                <w:szCs w:val="20"/>
                <w:color w:val="auto"/>
              </w:rPr>
            </w:pPr>
            <w:r>
              <w:rPr>
                <w:rFonts w:ascii="Arial" w:cs="Arial" w:eastAsia="Arial" w:hAnsi="Arial"/>
                <w:sz w:val="14"/>
                <w:szCs w:val="14"/>
                <w:b w:val="1"/>
                <w:bCs w:val="1"/>
                <w:color w:val="FFFFFF"/>
              </w:rPr>
              <w:t>Target Award Value for February 2024 Awards</w:t>
            </w:r>
          </w:p>
        </w:tc>
        <w:tc>
          <w:tcPr>
            <w:tcW w:w="160" w:type="dxa"/>
            <w:vAlign w:val="bottom"/>
          </w:tcPr>
          <w:p>
            <w:pPr>
              <w:spacing w:after="0"/>
              <w:rPr>
                <w:sz w:val="18"/>
                <w:szCs w:val="18"/>
                <w:color w:val="auto"/>
              </w:rPr>
            </w:pPr>
          </w:p>
        </w:tc>
        <w:tc>
          <w:tcPr>
            <w:tcW w:w="3620" w:type="dxa"/>
            <w:vAlign w:val="bottom"/>
            <w:gridSpan w:val="3"/>
            <w:shd w:val="clear" w:color="auto" w:fill="C60C35"/>
          </w:tcPr>
          <w:p>
            <w:pPr>
              <w:jc w:val="right"/>
              <w:spacing w:after="0"/>
              <w:rPr>
                <w:sz w:val="20"/>
                <w:szCs w:val="20"/>
                <w:color w:val="auto"/>
              </w:rPr>
            </w:pPr>
            <w:r>
              <w:rPr>
                <w:rFonts w:ascii="Arial" w:cs="Arial" w:eastAsia="Arial" w:hAnsi="Arial"/>
                <w:sz w:val="14"/>
                <w:szCs w:val="14"/>
                <w:b w:val="1"/>
                <w:bCs w:val="1"/>
                <w:color w:val="FFFFFF"/>
              </w:rPr>
              <w:t>Number of Awards Granted in February 2024</w:t>
            </w:r>
          </w:p>
        </w:tc>
        <w:tc>
          <w:tcPr>
            <w:tcW w:w="600" w:type="dxa"/>
            <w:vAlign w:val="bottom"/>
            <w:shd w:val="clear" w:color="auto" w:fill="C60C35"/>
          </w:tcPr>
          <w:p>
            <w:pPr>
              <w:spacing w:after="0"/>
              <w:rPr>
                <w:sz w:val="18"/>
                <w:szCs w:val="18"/>
                <w:color w:val="auto"/>
              </w:rPr>
            </w:pPr>
          </w:p>
        </w:tc>
      </w:tr>
      <w:tr>
        <w:trPr>
          <w:trHeight w:val="344"/>
        </w:trPr>
        <w:tc>
          <w:tcPr>
            <w:tcW w:w="238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12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PSUs</w:t>
            </w:r>
          </w:p>
        </w:tc>
        <w:tc>
          <w:tcPr>
            <w:tcW w:w="112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RSUs</w:t>
            </w:r>
          </w:p>
        </w:tc>
        <w:tc>
          <w:tcPr>
            <w:tcW w:w="1300" w:type="dxa"/>
            <w:vAlign w:val="bottom"/>
            <w:tcBorders>
              <w:bottom w:val="single" w:sz="8" w:color="C60C35"/>
            </w:tcBorders>
            <w:shd w:val="clear" w:color="auto" w:fill="C60C35"/>
          </w:tcPr>
          <w:p>
            <w:pPr>
              <w:jc w:val="right"/>
              <w:ind w:right="128"/>
              <w:spacing w:after="0"/>
              <w:rPr>
                <w:sz w:val="20"/>
                <w:szCs w:val="20"/>
                <w:color w:val="auto"/>
              </w:rPr>
            </w:pPr>
            <w:r>
              <w:rPr>
                <w:rFonts w:ascii="Arial" w:cs="Arial" w:eastAsia="Arial" w:hAnsi="Arial"/>
                <w:sz w:val="14"/>
                <w:szCs w:val="14"/>
                <w:b w:val="1"/>
                <w:bCs w:val="1"/>
                <w:color w:val="FFFFFF"/>
              </w:rPr>
              <w:t>SARs</w:t>
            </w:r>
          </w:p>
        </w:tc>
        <w:tc>
          <w:tcPr>
            <w:tcW w:w="9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Total</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FFFFFF"/>
                <w:w w:val="85"/>
              </w:rPr>
              <w:t> </w:t>
            </w: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PSUs</w:t>
            </w:r>
            <w:r>
              <w:rPr>
                <w:rFonts w:ascii="Arial" w:cs="Arial" w:eastAsia="Arial" w:hAnsi="Arial"/>
                <w:sz w:val="18"/>
                <w:szCs w:val="18"/>
                <w:b w:val="1"/>
                <w:bCs w:val="1"/>
                <w:color w:val="FFFFFF"/>
                <w:vertAlign w:val="superscript"/>
              </w:rPr>
              <w:t>(1)</w:t>
            </w:r>
          </w:p>
        </w:tc>
        <w:tc>
          <w:tcPr>
            <w:tcW w:w="102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(1)</w:t>
            </w:r>
          </w:p>
        </w:tc>
        <w:tc>
          <w:tcPr>
            <w:tcW w:w="1560" w:type="dxa"/>
            <w:vAlign w:val="bottom"/>
            <w:tcBorders>
              <w:bottom w:val="single" w:sz="8" w:color="C60C35"/>
            </w:tcBorders>
            <w:shd w:val="clear" w:color="auto" w:fill="C60C35"/>
          </w:tcPr>
          <w:p>
            <w:pPr>
              <w:jc w:val="right"/>
              <w:ind w:right="488"/>
              <w:spacing w:after="0"/>
              <w:rPr>
                <w:sz w:val="20"/>
                <w:szCs w:val="20"/>
                <w:color w:val="auto"/>
              </w:rPr>
            </w:pPr>
            <w:r>
              <w:rPr>
                <w:rFonts w:ascii="Arial" w:cs="Arial" w:eastAsia="Arial" w:hAnsi="Arial"/>
                <w:sz w:val="14"/>
                <w:szCs w:val="14"/>
                <w:b w:val="1"/>
                <w:bCs w:val="1"/>
                <w:color w:val="FFFFFF"/>
              </w:rPr>
              <w:t>SARs</w:t>
            </w:r>
            <w:r>
              <w:rPr>
                <w:rFonts w:ascii="Arial" w:cs="Arial" w:eastAsia="Arial" w:hAnsi="Arial"/>
                <w:sz w:val="18"/>
                <w:szCs w:val="18"/>
                <w:b w:val="1"/>
                <w:bCs w:val="1"/>
                <w:color w:val="FFFFFF"/>
                <w:vertAlign w:val="superscript"/>
              </w:rPr>
              <w:t>(2)</w:t>
            </w:r>
          </w:p>
        </w:tc>
        <w:tc>
          <w:tcPr>
            <w:tcW w:w="600" w:type="dxa"/>
            <w:vAlign w:val="bottom"/>
            <w:tcBorders>
              <w:bottom w:val="single" w:sz="8" w:color="C60C35"/>
            </w:tcBorders>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23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$2,850,000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$1,710,000</w:t>
            </w:r>
          </w:p>
        </w:tc>
        <w:tc>
          <w:tcPr>
            <w:tcW w:w="130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$1,140,000</w:t>
            </w:r>
          </w:p>
        </w:tc>
        <w:tc>
          <w:tcPr>
            <w:tcW w:w="94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$5,700,000</w:t>
            </w:r>
          </w:p>
        </w:tc>
        <w:tc>
          <w:tcPr>
            <w:tcW w:w="160" w:type="dxa"/>
            <w:vAlign w:val="bottom"/>
            <w:shd w:val="clear" w:color="auto" w:fill="F1F2F2"/>
          </w:tcPr>
          <w:p>
            <w:pPr>
              <w:spacing w:after="0"/>
              <w:rPr>
                <w:sz w:val="19"/>
                <w:szCs w:val="19"/>
                <w:color w:val="auto"/>
              </w:rPr>
            </w:pP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6,482</w:t>
            </w:r>
          </w:p>
        </w:tc>
        <w:tc>
          <w:tcPr>
            <w:tcW w:w="10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3,889</w:t>
            </w:r>
          </w:p>
        </w:tc>
        <w:tc>
          <w:tcPr>
            <w:tcW w:w="1560" w:type="dxa"/>
            <w:vAlign w:val="bottom"/>
            <w:shd w:val="clear" w:color="auto" w:fill="F1F2F2"/>
          </w:tcPr>
          <w:p>
            <w:pPr>
              <w:jc w:val="right"/>
              <w:ind w:right="488"/>
              <w:spacing w:after="0"/>
              <w:rPr>
                <w:sz w:val="20"/>
                <w:szCs w:val="20"/>
                <w:color w:val="auto"/>
              </w:rPr>
            </w:pPr>
            <w:r>
              <w:rPr>
                <w:rFonts w:ascii="Arial" w:cs="Arial" w:eastAsia="Arial" w:hAnsi="Arial"/>
                <w:sz w:val="14"/>
                <w:szCs w:val="14"/>
                <w:color w:val="auto"/>
              </w:rPr>
              <w:t>8,360</w:t>
            </w:r>
          </w:p>
        </w:tc>
        <w:tc>
          <w:tcPr>
            <w:tcW w:w="6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18,731</w:t>
            </w:r>
          </w:p>
        </w:tc>
      </w:tr>
      <w:tr>
        <w:trPr>
          <w:trHeight w:val="222"/>
        </w:trPr>
        <w:tc>
          <w:tcPr>
            <w:tcW w:w="238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1120" w:type="dxa"/>
            <w:vAlign w:val="bottom"/>
          </w:tcPr>
          <w:p>
            <w:pPr>
              <w:jc w:val="right"/>
              <w:spacing w:after="0"/>
              <w:rPr>
                <w:sz w:val="20"/>
                <w:szCs w:val="20"/>
                <w:color w:val="auto"/>
              </w:rPr>
            </w:pPr>
            <w:r>
              <w:rPr>
                <w:rFonts w:ascii="Arial" w:cs="Arial" w:eastAsia="Arial" w:hAnsi="Arial"/>
                <w:sz w:val="14"/>
                <w:szCs w:val="14"/>
                <w:color w:val="auto"/>
              </w:rPr>
              <w:t>500,000</w:t>
            </w:r>
          </w:p>
        </w:tc>
        <w:tc>
          <w:tcPr>
            <w:tcW w:w="1120" w:type="dxa"/>
            <w:vAlign w:val="bottom"/>
          </w:tcPr>
          <w:p>
            <w:pPr>
              <w:jc w:val="right"/>
              <w:spacing w:after="0"/>
              <w:rPr>
                <w:sz w:val="20"/>
                <w:szCs w:val="20"/>
                <w:color w:val="auto"/>
              </w:rPr>
            </w:pPr>
            <w:r>
              <w:rPr>
                <w:rFonts w:ascii="Arial" w:cs="Arial" w:eastAsia="Arial" w:hAnsi="Arial"/>
                <w:sz w:val="14"/>
                <w:szCs w:val="14"/>
                <w:color w:val="auto"/>
              </w:rPr>
              <w:t>300,000</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200,000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1,000,000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1,137</w:t>
            </w:r>
          </w:p>
        </w:tc>
        <w:tc>
          <w:tcPr>
            <w:tcW w:w="1020" w:type="dxa"/>
            <w:vAlign w:val="bottom"/>
          </w:tcPr>
          <w:p>
            <w:pPr>
              <w:jc w:val="right"/>
              <w:spacing w:after="0"/>
              <w:rPr>
                <w:sz w:val="20"/>
                <w:szCs w:val="20"/>
                <w:color w:val="auto"/>
              </w:rPr>
            </w:pPr>
            <w:r>
              <w:rPr>
                <w:rFonts w:ascii="Arial" w:cs="Arial" w:eastAsia="Arial" w:hAnsi="Arial"/>
                <w:sz w:val="14"/>
                <w:szCs w:val="14"/>
                <w:color w:val="auto"/>
              </w:rPr>
              <w:t>682</w:t>
            </w:r>
          </w:p>
        </w:tc>
        <w:tc>
          <w:tcPr>
            <w:tcW w:w="1560" w:type="dxa"/>
            <w:vAlign w:val="bottom"/>
          </w:tcPr>
          <w:p>
            <w:pPr>
              <w:jc w:val="right"/>
              <w:ind w:right="488"/>
              <w:spacing w:after="0"/>
              <w:rPr>
                <w:sz w:val="20"/>
                <w:szCs w:val="20"/>
                <w:color w:val="auto"/>
              </w:rPr>
            </w:pPr>
            <w:r>
              <w:rPr>
                <w:rFonts w:ascii="Arial" w:cs="Arial" w:eastAsia="Arial" w:hAnsi="Arial"/>
                <w:sz w:val="14"/>
                <w:szCs w:val="14"/>
                <w:color w:val="auto"/>
              </w:rPr>
              <w:t>1,467</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3,286</w:t>
            </w:r>
          </w:p>
        </w:tc>
      </w:tr>
      <w:tr>
        <w:trPr>
          <w:trHeight w:val="237"/>
        </w:trPr>
        <w:tc>
          <w:tcPr>
            <w:tcW w:w="23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650,000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390,000</w:t>
            </w:r>
          </w:p>
        </w:tc>
        <w:tc>
          <w:tcPr>
            <w:tcW w:w="130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260,000</w:t>
            </w:r>
          </w:p>
        </w:tc>
        <w:tc>
          <w:tcPr>
            <w:tcW w:w="94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1,300,000</w:t>
            </w:r>
          </w:p>
        </w:tc>
        <w:tc>
          <w:tcPr>
            <w:tcW w:w="160" w:type="dxa"/>
            <w:vAlign w:val="bottom"/>
            <w:shd w:val="clear" w:color="auto" w:fill="F1F2F2"/>
          </w:tcPr>
          <w:p>
            <w:pPr>
              <w:spacing w:after="0"/>
              <w:rPr>
                <w:sz w:val="20"/>
                <w:szCs w:val="20"/>
                <w:color w:val="auto"/>
              </w:rPr>
            </w:pP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1,478</w:t>
            </w:r>
          </w:p>
        </w:tc>
        <w:tc>
          <w:tcPr>
            <w:tcW w:w="10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887</w:t>
            </w:r>
          </w:p>
        </w:tc>
        <w:tc>
          <w:tcPr>
            <w:tcW w:w="1560" w:type="dxa"/>
            <w:vAlign w:val="bottom"/>
            <w:shd w:val="clear" w:color="auto" w:fill="F1F2F2"/>
          </w:tcPr>
          <w:p>
            <w:pPr>
              <w:jc w:val="right"/>
              <w:ind w:right="488"/>
              <w:spacing w:after="0"/>
              <w:rPr>
                <w:sz w:val="20"/>
                <w:szCs w:val="20"/>
                <w:color w:val="auto"/>
              </w:rPr>
            </w:pPr>
            <w:r>
              <w:rPr>
                <w:rFonts w:ascii="Arial" w:cs="Arial" w:eastAsia="Arial" w:hAnsi="Arial"/>
                <w:sz w:val="14"/>
                <w:szCs w:val="14"/>
                <w:color w:val="auto"/>
              </w:rPr>
              <w:t>1,907</w:t>
            </w:r>
          </w:p>
        </w:tc>
        <w:tc>
          <w:tcPr>
            <w:tcW w:w="6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4,272</w:t>
            </w:r>
          </w:p>
        </w:tc>
      </w:tr>
      <w:tr>
        <w:trPr>
          <w:trHeight w:val="222"/>
        </w:trPr>
        <w:tc>
          <w:tcPr>
            <w:tcW w:w="238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1120" w:type="dxa"/>
            <w:vAlign w:val="bottom"/>
          </w:tcPr>
          <w:p>
            <w:pPr>
              <w:jc w:val="right"/>
              <w:spacing w:after="0"/>
              <w:rPr>
                <w:sz w:val="20"/>
                <w:szCs w:val="20"/>
                <w:color w:val="auto"/>
              </w:rPr>
            </w:pPr>
            <w:r>
              <w:rPr>
                <w:rFonts w:ascii="Arial" w:cs="Arial" w:eastAsia="Arial" w:hAnsi="Arial"/>
                <w:sz w:val="14"/>
                <w:szCs w:val="14"/>
                <w:color w:val="auto"/>
              </w:rPr>
              <w:t>600,000</w:t>
            </w:r>
          </w:p>
        </w:tc>
        <w:tc>
          <w:tcPr>
            <w:tcW w:w="1120" w:type="dxa"/>
            <w:vAlign w:val="bottom"/>
          </w:tcPr>
          <w:p>
            <w:pPr>
              <w:jc w:val="right"/>
              <w:spacing w:after="0"/>
              <w:rPr>
                <w:sz w:val="20"/>
                <w:szCs w:val="20"/>
                <w:color w:val="auto"/>
              </w:rPr>
            </w:pPr>
            <w:r>
              <w:rPr>
                <w:rFonts w:ascii="Arial" w:cs="Arial" w:eastAsia="Arial" w:hAnsi="Arial"/>
                <w:sz w:val="14"/>
                <w:szCs w:val="14"/>
                <w:color w:val="auto"/>
              </w:rPr>
              <w:t>360,000</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240,000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1,200,000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1,365</w:t>
            </w:r>
          </w:p>
        </w:tc>
        <w:tc>
          <w:tcPr>
            <w:tcW w:w="1020" w:type="dxa"/>
            <w:vAlign w:val="bottom"/>
          </w:tcPr>
          <w:p>
            <w:pPr>
              <w:jc w:val="right"/>
              <w:spacing w:after="0"/>
              <w:rPr>
                <w:sz w:val="20"/>
                <w:szCs w:val="20"/>
                <w:color w:val="auto"/>
              </w:rPr>
            </w:pPr>
            <w:r>
              <w:rPr>
                <w:rFonts w:ascii="Arial" w:cs="Arial" w:eastAsia="Arial" w:hAnsi="Arial"/>
                <w:sz w:val="14"/>
                <w:szCs w:val="14"/>
                <w:color w:val="auto"/>
              </w:rPr>
              <w:t>819</w:t>
            </w:r>
          </w:p>
        </w:tc>
        <w:tc>
          <w:tcPr>
            <w:tcW w:w="1560" w:type="dxa"/>
            <w:vAlign w:val="bottom"/>
          </w:tcPr>
          <w:p>
            <w:pPr>
              <w:jc w:val="right"/>
              <w:ind w:right="488"/>
              <w:spacing w:after="0"/>
              <w:rPr>
                <w:sz w:val="20"/>
                <w:szCs w:val="20"/>
                <w:color w:val="auto"/>
              </w:rPr>
            </w:pPr>
            <w:r>
              <w:rPr>
                <w:rFonts w:ascii="Arial" w:cs="Arial" w:eastAsia="Arial" w:hAnsi="Arial"/>
                <w:sz w:val="14"/>
                <w:szCs w:val="14"/>
                <w:color w:val="auto"/>
              </w:rPr>
              <w:t>1,760</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3,944</w:t>
            </w:r>
          </w:p>
        </w:tc>
      </w:tr>
      <w:tr>
        <w:trPr>
          <w:trHeight w:val="237"/>
        </w:trPr>
        <w:tc>
          <w:tcPr>
            <w:tcW w:w="23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600,000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360,000</w:t>
            </w:r>
          </w:p>
        </w:tc>
        <w:tc>
          <w:tcPr>
            <w:tcW w:w="130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240,000</w:t>
            </w:r>
          </w:p>
        </w:tc>
        <w:tc>
          <w:tcPr>
            <w:tcW w:w="94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1,200,000</w:t>
            </w:r>
          </w:p>
        </w:tc>
        <w:tc>
          <w:tcPr>
            <w:tcW w:w="160" w:type="dxa"/>
            <w:vAlign w:val="bottom"/>
            <w:shd w:val="clear" w:color="auto" w:fill="F1F2F2"/>
          </w:tcPr>
          <w:p>
            <w:pPr>
              <w:spacing w:after="0"/>
              <w:rPr>
                <w:sz w:val="20"/>
                <w:szCs w:val="20"/>
                <w:color w:val="auto"/>
              </w:rPr>
            </w:pP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1,365</w:t>
            </w:r>
          </w:p>
        </w:tc>
        <w:tc>
          <w:tcPr>
            <w:tcW w:w="10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819</w:t>
            </w:r>
          </w:p>
        </w:tc>
        <w:tc>
          <w:tcPr>
            <w:tcW w:w="1560" w:type="dxa"/>
            <w:vAlign w:val="bottom"/>
            <w:shd w:val="clear" w:color="auto" w:fill="F1F2F2"/>
          </w:tcPr>
          <w:p>
            <w:pPr>
              <w:jc w:val="right"/>
              <w:ind w:right="488"/>
              <w:spacing w:after="0"/>
              <w:rPr>
                <w:sz w:val="20"/>
                <w:szCs w:val="20"/>
                <w:color w:val="auto"/>
              </w:rPr>
            </w:pPr>
            <w:r>
              <w:rPr>
                <w:rFonts w:ascii="Arial" w:cs="Arial" w:eastAsia="Arial" w:hAnsi="Arial"/>
                <w:sz w:val="14"/>
                <w:szCs w:val="14"/>
                <w:color w:val="auto"/>
              </w:rPr>
              <w:t>1,760</w:t>
            </w:r>
          </w:p>
        </w:tc>
        <w:tc>
          <w:tcPr>
            <w:tcW w:w="6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3,944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-916305</wp:posOffset>
            </wp:positionV>
            <wp:extent cx="55632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60" w:lineRule="exact"/>
        <w:rPr>
          <w:sz w:val="20"/>
          <w:szCs w:val="20"/>
          <w:color w:val="auto"/>
        </w:rPr>
      </w:pPr>
    </w:p>
    <w:p>
      <w:pPr>
        <w:ind w:left="340" w:right="220" w:hanging="332"/>
        <w:spacing w:after="0" w:line="305"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number of PSUs and RSUs was determined by dividing the corresponding target award value by the closing price of our common stock on the NYSE averaged over the 15 calendar days ending on February 1, 2024 ($439.649).</w:t>
      </w:r>
    </w:p>
    <w:p>
      <w:pPr>
        <w:spacing w:after="0" w:line="49"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number of SARs granted was determined by dividing the corresponding target award value by the Black-Scholes value of our common stock based on the 15 calendar day average closing price of our common stock as of February 1, 2024 ($136.370).</w:t>
      </w:r>
    </w:p>
    <w:p>
      <w:pPr>
        <w:spacing w:after="0" w:line="27"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u w:val="single" w:color="auto"/>
          <w:color w:val="auto"/>
        </w:rPr>
        <w:t>PSUs</w:t>
      </w:r>
      <w:r>
        <w:rPr>
          <w:rFonts w:ascii="Arial" w:cs="Arial" w:eastAsia="Arial" w:hAnsi="Arial"/>
          <w:sz w:val="18"/>
          <w:szCs w:val="18"/>
          <w:color w:val="auto"/>
        </w:rPr>
        <w:t xml:space="preserve">. To maintain our strong focus on long-term Company performance, 50% of the February 2024 long-term incentive award was granted in the form of PSUs. PSUs generally vest at the end of a three-year performance period. If at least the threshold performance level has been achieved at the end of the performance period, the PSUs are distributed in the form of Company common stock based on the performance achieved. </w:t>
      </w:r>
      <w:r>
        <w:rPr>
          <w:rFonts w:ascii="Arial" w:cs="Arial" w:eastAsia="Arial" w:hAnsi="Arial"/>
          <w:sz w:val="18"/>
          <w:szCs w:val="18"/>
          <w:b w:val="1"/>
          <w:bCs w:val="1"/>
          <w:color w:val="auto"/>
        </w:rPr>
        <w:t>If threshold performance is not achieved, the entire award is forfeited.</w:t>
      </w:r>
      <w:r>
        <w:rPr>
          <w:rFonts w:ascii="Arial" w:cs="Arial" w:eastAsia="Arial" w:hAnsi="Arial"/>
          <w:sz w:val="18"/>
          <w:szCs w:val="18"/>
          <w:color w:val="auto"/>
        </w:rPr>
        <w:t xml:space="preserve"> Dividends are not earned or paid on PSU awards during the three-year performance period. The Committee determines the three-year measurement criteria annually, selecting financial metrics and setting performance goals designed to enhance stockholder value. The Committee certifies the financial performance levels following the end of the performance period and the Company distributes any earned shares.</w:t>
      </w:r>
    </w:p>
    <w:p>
      <w:pPr>
        <w:spacing w:after="0" w:line="135" w:lineRule="exact"/>
        <w:rPr>
          <w:sz w:val="20"/>
          <w:szCs w:val="20"/>
          <w:color w:val="auto"/>
        </w:rPr>
      </w:pPr>
    </w:p>
    <w:p>
      <w:pPr>
        <w:ind w:right="20" w:firstLine="324"/>
        <w:spacing w:after="0" w:line="266" w:lineRule="auto"/>
        <w:rPr>
          <w:sz w:val="20"/>
          <w:szCs w:val="20"/>
          <w:color w:val="auto"/>
        </w:rPr>
      </w:pPr>
      <w:r>
        <w:rPr>
          <w:rFonts w:ascii="Arial" w:cs="Arial" w:eastAsia="Arial" w:hAnsi="Arial"/>
          <w:sz w:val="17"/>
          <w:szCs w:val="17"/>
          <w:color w:val="auto"/>
        </w:rPr>
        <w:t>The key attributes of the PSUs granted in February 2024 are summarized in the following table. The Committee established the Return on Invested Capital (“ROIC”) performance goals based on its assessment of desired return relative to the cost of capital as well as historical and projected ROIC outcomes. Similarly, the Committee set Company core net income growth performance goals based on historical results, projected outcomes of that measure, and expected market conditions. While specific forward-looking performance goals are not included in the table below in light of competitive sensitivities, the following chart broadly describes the performance required to achieve a target payout.</w:t>
      </w: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C60C35"/>
        </w:rPr>
        <w:t>February 2024 PSU Grant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(for the January 1, 2024 – December 31, 2026 Performance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720" w:type="dxa"/>
            <w:vAlign w:val="bottom"/>
            <w:shd w:val="clear" w:color="auto" w:fill="C60C35"/>
          </w:tcPr>
          <w:p>
            <w:pPr>
              <w:ind w:left="200"/>
              <w:spacing w:after="0"/>
              <w:rPr>
                <w:sz w:val="20"/>
                <w:szCs w:val="20"/>
                <w:color w:val="auto"/>
              </w:rPr>
            </w:pPr>
            <w:r>
              <w:rPr>
                <w:rFonts w:ascii="Arial" w:cs="Arial" w:eastAsia="Arial" w:hAnsi="Arial"/>
                <w:sz w:val="14"/>
                <w:szCs w:val="14"/>
                <w:b w:val="1"/>
                <w:bCs w:val="1"/>
                <w:color w:val="FFFFFF"/>
              </w:rPr>
              <w:t>Weight</w:t>
            </w:r>
          </w:p>
        </w:tc>
        <w:tc>
          <w:tcPr>
            <w:tcW w:w="22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Rationale for Selection</w:t>
            </w:r>
          </w:p>
        </w:tc>
        <w:tc>
          <w:tcPr>
            <w:tcW w:w="206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Measurement Period</w:t>
            </w:r>
          </w:p>
        </w:tc>
        <w:tc>
          <w:tcPr>
            <w:tcW w:w="1320" w:type="dxa"/>
            <w:vAlign w:val="bottom"/>
            <w:shd w:val="clear" w:color="auto" w:fill="C60C35"/>
          </w:tcPr>
          <w:p>
            <w:pPr>
              <w:jc w:val="right"/>
              <w:ind w:right="328"/>
              <w:spacing w:after="0"/>
              <w:rPr>
                <w:sz w:val="20"/>
                <w:szCs w:val="20"/>
                <w:color w:val="auto"/>
              </w:rPr>
            </w:pPr>
            <w:r>
              <w:rPr>
                <w:rFonts w:ascii="Arial" w:cs="Arial" w:eastAsia="Arial" w:hAnsi="Arial"/>
                <w:sz w:val="14"/>
                <w:szCs w:val="14"/>
                <w:b w:val="1"/>
                <w:bCs w:val="1"/>
                <w:color w:val="FFFFFF"/>
              </w:rPr>
              <w:t>Threshold</w:t>
            </w:r>
          </w:p>
        </w:tc>
        <w:tc>
          <w:tcPr>
            <w:tcW w:w="1140" w:type="dxa"/>
            <w:vAlign w:val="bottom"/>
            <w:shd w:val="clear" w:color="auto" w:fill="C60C35"/>
          </w:tcPr>
          <w:p>
            <w:pPr>
              <w:jc w:val="center"/>
              <w:ind w:right="328"/>
              <w:spacing w:after="0"/>
              <w:rPr>
                <w:sz w:val="20"/>
                <w:szCs w:val="20"/>
                <w:color w:val="auto"/>
              </w:rPr>
            </w:pPr>
            <w:r>
              <w:rPr>
                <w:rFonts w:ascii="Arial" w:cs="Arial" w:eastAsia="Arial" w:hAnsi="Arial"/>
                <w:sz w:val="14"/>
                <w:szCs w:val="14"/>
                <w:b w:val="1"/>
                <w:bCs w:val="1"/>
                <w:color w:val="FFFFFF"/>
                <w:w w:val="98"/>
              </w:rPr>
              <w:t>Target</w:t>
            </w:r>
          </w:p>
        </w:tc>
        <w:tc>
          <w:tcPr>
            <w:tcW w:w="1040" w:type="dxa"/>
            <w:vAlign w:val="bottom"/>
            <w:shd w:val="clear" w:color="auto" w:fill="C60C35"/>
          </w:tcPr>
          <w:p>
            <w:pPr>
              <w:jc w:val="right"/>
              <w:ind w:right="308"/>
              <w:spacing w:after="0"/>
              <w:rPr>
                <w:sz w:val="20"/>
                <w:szCs w:val="20"/>
                <w:color w:val="auto"/>
              </w:rPr>
            </w:pPr>
            <w:r>
              <w:rPr>
                <w:rFonts w:ascii="Arial" w:cs="Arial" w:eastAsia="Arial" w:hAnsi="Arial"/>
                <w:sz w:val="14"/>
                <w:szCs w:val="14"/>
                <w:b w:val="1"/>
                <w:bCs w:val="1"/>
                <w:color w:val="FFFFFF"/>
                <w:w w:val="99"/>
              </w:rPr>
              <w:t>Maximum</w:t>
            </w:r>
          </w:p>
        </w:tc>
      </w:tr>
      <w:tr>
        <w:trPr>
          <w:trHeight w:val="67"/>
        </w:trPr>
        <w:tc>
          <w:tcPr>
            <w:tcW w:w="2500" w:type="dxa"/>
            <w:vAlign w:val="bottom"/>
            <w:shd w:val="clear" w:color="auto" w:fill="C60C35"/>
          </w:tcPr>
          <w:p>
            <w:pPr>
              <w:spacing w:after="0"/>
              <w:rPr>
                <w:sz w:val="5"/>
                <w:szCs w:val="5"/>
                <w:color w:val="auto"/>
              </w:rPr>
            </w:pPr>
          </w:p>
        </w:tc>
        <w:tc>
          <w:tcPr>
            <w:tcW w:w="720" w:type="dxa"/>
            <w:vAlign w:val="bottom"/>
            <w:shd w:val="clear" w:color="auto" w:fill="C60C35"/>
          </w:tcPr>
          <w:p>
            <w:pPr>
              <w:spacing w:after="0"/>
              <w:rPr>
                <w:sz w:val="5"/>
                <w:szCs w:val="5"/>
                <w:color w:val="auto"/>
              </w:rPr>
            </w:pPr>
          </w:p>
        </w:tc>
        <w:tc>
          <w:tcPr>
            <w:tcW w:w="2280" w:type="dxa"/>
            <w:vAlign w:val="bottom"/>
            <w:shd w:val="clear" w:color="auto" w:fill="C60C35"/>
          </w:tcPr>
          <w:p>
            <w:pPr>
              <w:spacing w:after="0"/>
              <w:rPr>
                <w:sz w:val="5"/>
                <w:szCs w:val="5"/>
                <w:color w:val="auto"/>
              </w:rPr>
            </w:pPr>
          </w:p>
        </w:tc>
        <w:tc>
          <w:tcPr>
            <w:tcW w:w="2060" w:type="dxa"/>
            <w:vAlign w:val="bottom"/>
            <w:shd w:val="clear" w:color="auto" w:fill="C60C35"/>
          </w:tcPr>
          <w:p>
            <w:pPr>
              <w:spacing w:after="0"/>
              <w:rPr>
                <w:sz w:val="5"/>
                <w:szCs w:val="5"/>
                <w:color w:val="auto"/>
              </w:rPr>
            </w:pPr>
          </w:p>
        </w:tc>
        <w:tc>
          <w:tcPr>
            <w:tcW w:w="3500" w:type="dxa"/>
            <w:vAlign w:val="bottom"/>
            <w:gridSpan w:val="3"/>
            <w:shd w:val="clear" w:color="auto" w:fill="C60C35"/>
          </w:tcPr>
          <w:p>
            <w:pPr>
              <w:spacing w:after="0"/>
              <w:rPr>
                <w:sz w:val="5"/>
                <w:szCs w:val="5"/>
                <w:color w:val="auto"/>
              </w:rPr>
            </w:pPr>
          </w:p>
        </w:tc>
      </w:tr>
      <w:tr>
        <w:trPr>
          <w:trHeight w:val="234"/>
        </w:trPr>
        <w:tc>
          <w:tcPr>
            <w:tcW w:w="2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ROIC</w:t>
            </w:r>
          </w:p>
        </w:tc>
        <w:tc>
          <w:tcPr>
            <w:tcW w:w="720" w:type="dxa"/>
            <w:vAlign w:val="bottom"/>
            <w:shd w:val="clear" w:color="auto" w:fill="F1F2F2"/>
          </w:tcPr>
          <w:p>
            <w:pPr>
              <w:ind w:left="200"/>
              <w:spacing w:after="0"/>
              <w:rPr>
                <w:sz w:val="20"/>
                <w:szCs w:val="20"/>
                <w:color w:val="auto"/>
              </w:rPr>
            </w:pPr>
            <w:r>
              <w:rPr>
                <w:rFonts w:ascii="Arial" w:cs="Arial" w:eastAsia="Arial" w:hAnsi="Arial"/>
                <w:sz w:val="14"/>
                <w:szCs w:val="14"/>
                <w:color w:val="auto"/>
              </w:rPr>
              <w:t>50%</w:t>
            </w:r>
          </w:p>
        </w:tc>
        <w:tc>
          <w:tcPr>
            <w:tcW w:w="22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Measures efficient use of capital:</w:t>
            </w:r>
          </w:p>
        </w:tc>
        <w:tc>
          <w:tcPr>
            <w:tcW w:w="206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3-year weighted average (20%</w:t>
            </w:r>
          </w:p>
        </w:tc>
        <w:tc>
          <w:tcPr>
            <w:tcW w:w="3500" w:type="dxa"/>
            <w:vAlign w:val="bottom"/>
            <w:gridSpan w:val="3"/>
            <w:shd w:val="clear" w:color="auto" w:fill="F1F2F2"/>
          </w:tcPr>
          <w:p>
            <w:pPr>
              <w:jc w:val="center"/>
              <w:ind w:right="68"/>
              <w:spacing w:after="0"/>
              <w:rPr>
                <w:sz w:val="20"/>
                <w:szCs w:val="20"/>
                <w:color w:val="auto"/>
              </w:rPr>
            </w:pPr>
            <w:r>
              <w:rPr>
                <w:rFonts w:ascii="Arial" w:cs="Arial" w:eastAsia="Arial" w:hAnsi="Arial"/>
                <w:sz w:val="14"/>
                <w:szCs w:val="14"/>
                <w:color w:val="auto"/>
              </w:rPr>
              <w:t>No payout occurs unless ROIC exceeds the</w:t>
            </w:r>
          </w:p>
        </w:tc>
      </w:tr>
      <w:tr>
        <w:trPr>
          <w:trHeight w:val="176"/>
        </w:trPr>
        <w:tc>
          <w:tcPr>
            <w:tcW w:w="2500" w:type="dxa"/>
            <w:vAlign w:val="bottom"/>
            <w:shd w:val="clear" w:color="auto" w:fill="F1F2F2"/>
          </w:tcPr>
          <w:p>
            <w:pPr>
              <w:spacing w:after="0"/>
              <w:rPr>
                <w:sz w:val="15"/>
                <w:szCs w:val="15"/>
                <w:color w:val="auto"/>
              </w:rPr>
            </w:pPr>
          </w:p>
        </w:tc>
        <w:tc>
          <w:tcPr>
            <w:tcW w:w="720" w:type="dxa"/>
            <w:vAlign w:val="bottom"/>
            <w:shd w:val="clear" w:color="auto" w:fill="F1F2F2"/>
          </w:tcPr>
          <w:p>
            <w:pPr>
              <w:spacing w:after="0"/>
              <w:rPr>
                <w:sz w:val="15"/>
                <w:szCs w:val="15"/>
                <w:color w:val="auto"/>
              </w:rPr>
            </w:pPr>
          </w:p>
        </w:tc>
        <w:tc>
          <w:tcPr>
            <w:tcW w:w="22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higher ROIC correlates to greater</w:t>
            </w:r>
          </w:p>
        </w:tc>
        <w:tc>
          <w:tcPr>
            <w:tcW w:w="206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lowest year, 40% other two</w:t>
            </w:r>
          </w:p>
        </w:tc>
        <w:tc>
          <w:tcPr>
            <w:tcW w:w="3500" w:type="dxa"/>
            <w:vAlign w:val="bottom"/>
            <w:gridSpan w:val="3"/>
            <w:shd w:val="clear" w:color="auto" w:fill="F1F2F2"/>
          </w:tcPr>
          <w:p>
            <w:pPr>
              <w:jc w:val="center"/>
              <w:ind w:right="88"/>
              <w:spacing w:after="0"/>
              <w:rPr>
                <w:sz w:val="20"/>
                <w:szCs w:val="20"/>
                <w:color w:val="auto"/>
              </w:rPr>
            </w:pPr>
            <w:r>
              <w:rPr>
                <w:rFonts w:ascii="Arial" w:cs="Arial" w:eastAsia="Arial" w:hAnsi="Arial"/>
                <w:sz w:val="14"/>
                <w:szCs w:val="14"/>
                <w:color w:val="auto"/>
              </w:rPr>
              <w:t>Company’s estimated cost of capital. Target payout</w:t>
            </w:r>
          </w:p>
        </w:tc>
      </w:tr>
      <w:tr>
        <w:trPr>
          <w:trHeight w:val="176"/>
        </w:trPr>
        <w:tc>
          <w:tcPr>
            <w:tcW w:w="2500" w:type="dxa"/>
            <w:vAlign w:val="bottom"/>
            <w:shd w:val="clear" w:color="auto" w:fill="F1F2F2"/>
          </w:tcPr>
          <w:p>
            <w:pPr>
              <w:spacing w:after="0"/>
              <w:rPr>
                <w:sz w:val="15"/>
                <w:szCs w:val="15"/>
                <w:color w:val="auto"/>
              </w:rPr>
            </w:pPr>
          </w:p>
        </w:tc>
        <w:tc>
          <w:tcPr>
            <w:tcW w:w="720" w:type="dxa"/>
            <w:vAlign w:val="bottom"/>
            <w:shd w:val="clear" w:color="auto" w:fill="F1F2F2"/>
          </w:tcPr>
          <w:p>
            <w:pPr>
              <w:spacing w:after="0"/>
              <w:rPr>
                <w:sz w:val="15"/>
                <w:szCs w:val="15"/>
                <w:color w:val="auto"/>
              </w:rPr>
            </w:pPr>
          </w:p>
        </w:tc>
        <w:tc>
          <w:tcPr>
            <w:tcW w:w="22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cash flow</w:t>
            </w:r>
          </w:p>
        </w:tc>
        <w:tc>
          <w:tcPr>
            <w:tcW w:w="206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years)</w:t>
            </w:r>
          </w:p>
        </w:tc>
        <w:tc>
          <w:tcPr>
            <w:tcW w:w="3500" w:type="dxa"/>
            <w:vAlign w:val="bottom"/>
            <w:gridSpan w:val="3"/>
            <w:shd w:val="clear" w:color="auto" w:fill="F1F2F2"/>
          </w:tcPr>
          <w:p>
            <w:pPr>
              <w:jc w:val="center"/>
              <w:ind w:right="88"/>
              <w:spacing w:after="0"/>
              <w:rPr>
                <w:sz w:val="20"/>
                <w:szCs w:val="20"/>
                <w:color w:val="auto"/>
              </w:rPr>
            </w:pPr>
            <w:r>
              <w:rPr>
                <w:rFonts w:ascii="Arial" w:cs="Arial" w:eastAsia="Arial" w:hAnsi="Arial"/>
                <w:sz w:val="14"/>
                <w:szCs w:val="14"/>
                <w:color w:val="auto"/>
              </w:rPr>
              <w:t>occurs at approximately three times the Company’s</w:t>
            </w:r>
          </w:p>
        </w:tc>
      </w:tr>
      <w:tr>
        <w:trPr>
          <w:trHeight w:val="192"/>
        </w:trPr>
        <w:tc>
          <w:tcPr>
            <w:tcW w:w="2500" w:type="dxa"/>
            <w:vAlign w:val="bottom"/>
            <w:tcBorders>
              <w:bottom w:val="single" w:sz="8" w:color="F1F2F2"/>
            </w:tcBorders>
            <w:shd w:val="clear" w:color="auto" w:fill="F1F2F2"/>
          </w:tcPr>
          <w:p>
            <w:pPr>
              <w:spacing w:after="0"/>
              <w:rPr>
                <w:sz w:val="16"/>
                <w:szCs w:val="16"/>
                <w:color w:val="auto"/>
              </w:rPr>
            </w:pPr>
          </w:p>
        </w:tc>
        <w:tc>
          <w:tcPr>
            <w:tcW w:w="720" w:type="dxa"/>
            <w:vAlign w:val="bottom"/>
            <w:tcBorders>
              <w:bottom w:val="single" w:sz="8" w:color="F1F2F2"/>
            </w:tcBorders>
            <w:shd w:val="clear" w:color="auto" w:fill="F1F2F2"/>
          </w:tcPr>
          <w:p>
            <w:pPr>
              <w:spacing w:after="0"/>
              <w:rPr>
                <w:sz w:val="16"/>
                <w:szCs w:val="16"/>
                <w:color w:val="auto"/>
              </w:rPr>
            </w:pPr>
          </w:p>
        </w:tc>
        <w:tc>
          <w:tcPr>
            <w:tcW w:w="2280" w:type="dxa"/>
            <w:vAlign w:val="bottom"/>
            <w:tcBorders>
              <w:bottom w:val="single" w:sz="8" w:color="F1F2F2"/>
            </w:tcBorders>
            <w:shd w:val="clear" w:color="auto" w:fill="F1F2F2"/>
          </w:tcPr>
          <w:p>
            <w:pPr>
              <w:spacing w:after="0"/>
              <w:rPr>
                <w:sz w:val="16"/>
                <w:szCs w:val="16"/>
                <w:color w:val="auto"/>
              </w:rPr>
            </w:pPr>
          </w:p>
        </w:tc>
        <w:tc>
          <w:tcPr>
            <w:tcW w:w="2060" w:type="dxa"/>
            <w:vAlign w:val="bottom"/>
            <w:tcBorders>
              <w:bottom w:val="single" w:sz="8" w:color="F1F2F2"/>
            </w:tcBorders>
            <w:shd w:val="clear" w:color="auto" w:fill="F1F2F2"/>
          </w:tcPr>
          <w:p>
            <w:pPr>
              <w:spacing w:after="0"/>
              <w:rPr>
                <w:sz w:val="16"/>
                <w:szCs w:val="16"/>
                <w:color w:val="auto"/>
              </w:rPr>
            </w:pPr>
          </w:p>
        </w:tc>
        <w:tc>
          <w:tcPr>
            <w:tcW w:w="2460" w:type="dxa"/>
            <w:vAlign w:val="bottom"/>
            <w:tcBorders>
              <w:bottom w:val="single" w:sz="8" w:color="F1F2F2"/>
            </w:tcBorders>
            <w:gridSpan w:val="2"/>
            <w:shd w:val="clear" w:color="auto" w:fill="F1F2F2"/>
          </w:tcPr>
          <w:p>
            <w:pPr>
              <w:jc w:val="center"/>
              <w:ind w:left="808"/>
              <w:spacing w:after="0"/>
              <w:rPr>
                <w:sz w:val="20"/>
                <w:szCs w:val="20"/>
                <w:color w:val="auto"/>
              </w:rPr>
            </w:pPr>
            <w:r>
              <w:rPr>
                <w:rFonts w:ascii="Arial" w:cs="Arial" w:eastAsia="Arial" w:hAnsi="Arial"/>
                <w:sz w:val="14"/>
                <w:szCs w:val="14"/>
                <w:color w:val="auto"/>
              </w:rPr>
              <w:t>estimated cost of capital</w:t>
            </w:r>
          </w:p>
        </w:tc>
        <w:tc>
          <w:tcPr>
            <w:tcW w:w="1040" w:type="dxa"/>
            <w:vAlign w:val="bottom"/>
            <w:tcBorders>
              <w:bottom w:val="single" w:sz="8" w:color="F1F2F2"/>
            </w:tcBorders>
            <w:shd w:val="clear" w:color="auto" w:fill="F1F2F2"/>
          </w:tcPr>
          <w:p>
            <w:pPr>
              <w:spacing w:after="0"/>
              <w:rPr>
                <w:sz w:val="16"/>
                <w:szCs w:val="16"/>
                <w:color w:val="auto"/>
              </w:rPr>
            </w:pPr>
          </w:p>
        </w:tc>
      </w:tr>
      <w:tr>
        <w:trPr>
          <w:trHeight w:val="274"/>
        </w:trPr>
        <w:tc>
          <w:tcPr>
            <w:tcW w:w="2500" w:type="dxa"/>
            <w:vAlign w:val="bottom"/>
          </w:tcPr>
          <w:p>
            <w:pPr>
              <w:ind w:left="100"/>
              <w:spacing w:after="0"/>
              <w:rPr>
                <w:sz w:val="20"/>
                <w:szCs w:val="20"/>
                <w:color w:val="auto"/>
              </w:rPr>
            </w:pPr>
            <w:r>
              <w:rPr>
                <w:rFonts w:ascii="Arial" w:cs="Arial" w:eastAsia="Arial" w:hAnsi="Arial"/>
                <w:sz w:val="14"/>
                <w:szCs w:val="14"/>
                <w:color w:val="auto"/>
              </w:rPr>
              <w:t>Company Core Net Income</w:t>
            </w:r>
            <w:r>
              <w:rPr>
                <w:rFonts w:ascii="Arial" w:cs="Arial" w:eastAsia="Arial" w:hAnsi="Arial"/>
                <w:sz w:val="18"/>
                <w:szCs w:val="18"/>
                <w:color w:val="auto"/>
                <w:vertAlign w:val="superscript"/>
              </w:rPr>
              <w:t>(1)</w:t>
            </w:r>
          </w:p>
        </w:tc>
        <w:tc>
          <w:tcPr>
            <w:tcW w:w="720" w:type="dxa"/>
            <w:vAlign w:val="bottom"/>
          </w:tcPr>
          <w:p>
            <w:pPr>
              <w:ind w:left="200"/>
              <w:spacing w:after="0"/>
              <w:rPr>
                <w:sz w:val="20"/>
                <w:szCs w:val="20"/>
                <w:color w:val="auto"/>
              </w:rPr>
            </w:pPr>
            <w:r>
              <w:rPr>
                <w:rFonts w:ascii="Arial" w:cs="Arial" w:eastAsia="Arial" w:hAnsi="Arial"/>
                <w:sz w:val="14"/>
                <w:szCs w:val="14"/>
                <w:color w:val="auto"/>
              </w:rPr>
              <w:t>50%</w:t>
            </w:r>
          </w:p>
        </w:tc>
        <w:tc>
          <w:tcPr>
            <w:tcW w:w="2280" w:type="dxa"/>
            <w:vAlign w:val="bottom"/>
          </w:tcPr>
          <w:p>
            <w:pPr>
              <w:jc w:val="center"/>
              <w:spacing w:after="0"/>
              <w:rPr>
                <w:sz w:val="20"/>
                <w:szCs w:val="20"/>
                <w:color w:val="auto"/>
              </w:rPr>
            </w:pPr>
            <w:r>
              <w:rPr>
                <w:rFonts w:ascii="Arial" w:cs="Arial" w:eastAsia="Arial" w:hAnsi="Arial"/>
                <w:sz w:val="14"/>
                <w:szCs w:val="14"/>
                <w:color w:val="auto"/>
              </w:rPr>
              <w:t>Measures profitability: higher</w:t>
            </w:r>
          </w:p>
        </w:tc>
        <w:tc>
          <w:tcPr>
            <w:tcW w:w="2060" w:type="dxa"/>
            <w:vAlign w:val="bottom"/>
          </w:tcPr>
          <w:p>
            <w:pPr>
              <w:jc w:val="center"/>
              <w:spacing w:after="0"/>
              <w:rPr>
                <w:sz w:val="20"/>
                <w:szCs w:val="20"/>
                <w:color w:val="auto"/>
              </w:rPr>
            </w:pPr>
            <w:r>
              <w:rPr>
                <w:rFonts w:ascii="Arial" w:cs="Arial" w:eastAsia="Arial" w:hAnsi="Arial"/>
                <w:sz w:val="14"/>
                <w:szCs w:val="14"/>
                <w:color w:val="auto"/>
              </w:rPr>
              <w:t>3-year compound annual</w:t>
            </w:r>
          </w:p>
        </w:tc>
        <w:tc>
          <w:tcPr>
            <w:tcW w:w="3500" w:type="dxa"/>
            <w:vAlign w:val="bottom"/>
            <w:gridSpan w:val="3"/>
          </w:tcPr>
          <w:p>
            <w:pPr>
              <w:jc w:val="center"/>
              <w:ind w:right="68"/>
              <w:spacing w:after="0"/>
              <w:rPr>
                <w:sz w:val="20"/>
                <w:szCs w:val="20"/>
                <w:color w:val="auto"/>
              </w:rPr>
            </w:pPr>
            <w:r>
              <w:rPr>
                <w:rFonts w:ascii="Arial" w:cs="Arial" w:eastAsia="Arial" w:hAnsi="Arial"/>
                <w:sz w:val="14"/>
                <w:szCs w:val="14"/>
                <w:color w:val="auto"/>
              </w:rPr>
              <w:t>Target payout requires high single digit Company</w:t>
            </w:r>
          </w:p>
        </w:tc>
      </w:tr>
      <w:tr>
        <w:trPr>
          <w:trHeight w:val="175"/>
        </w:trPr>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rPr>
              <w:t>Company core net income</w:t>
            </w:r>
          </w:p>
        </w:tc>
        <w:tc>
          <w:tcPr>
            <w:tcW w:w="2060" w:type="dxa"/>
            <w:vAlign w:val="bottom"/>
          </w:tcPr>
          <w:p>
            <w:pPr>
              <w:jc w:val="center"/>
              <w:spacing w:after="0"/>
              <w:rPr>
                <w:sz w:val="20"/>
                <w:szCs w:val="20"/>
                <w:color w:val="auto"/>
              </w:rPr>
            </w:pPr>
            <w:r>
              <w:rPr>
                <w:rFonts w:ascii="Arial" w:cs="Arial" w:eastAsia="Arial" w:hAnsi="Arial"/>
                <w:sz w:val="14"/>
                <w:szCs w:val="14"/>
                <w:color w:val="auto"/>
              </w:rPr>
              <w:t>growth rate</w:t>
            </w:r>
          </w:p>
        </w:tc>
        <w:tc>
          <w:tcPr>
            <w:tcW w:w="3500" w:type="dxa"/>
            <w:vAlign w:val="bottom"/>
            <w:gridSpan w:val="3"/>
          </w:tcPr>
          <w:p>
            <w:pPr>
              <w:jc w:val="center"/>
              <w:ind w:right="68"/>
              <w:spacing w:after="0"/>
              <w:rPr>
                <w:sz w:val="20"/>
                <w:szCs w:val="20"/>
                <w:color w:val="auto"/>
              </w:rPr>
            </w:pPr>
            <w:r>
              <w:rPr>
                <w:rFonts w:ascii="Arial" w:cs="Arial" w:eastAsia="Arial" w:hAnsi="Arial"/>
                <w:sz w:val="14"/>
                <w:szCs w:val="14"/>
                <w:color w:val="auto"/>
              </w:rPr>
              <w:t>core net income compound annual growth rate</w:t>
            </w:r>
          </w:p>
        </w:tc>
      </w:tr>
      <w:tr>
        <w:trPr>
          <w:trHeight w:val="176"/>
        </w:trPr>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rPr>
              <w:t>correlates with higher earnings per</w:t>
            </w:r>
          </w:p>
        </w:tc>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0"/>
        </w:trPr>
        <w:tc>
          <w:tcPr>
            <w:tcW w:w="2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rPr>
              <w:t>share</w:t>
            </w:r>
          </w:p>
        </w:tc>
        <w:tc>
          <w:tcPr>
            <w:tcW w:w="2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2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5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Payout as a % of Target Award</w:t>
            </w:r>
          </w:p>
        </w:tc>
        <w:tc>
          <w:tcPr>
            <w:tcW w:w="720" w:type="dxa"/>
            <w:vAlign w:val="bottom"/>
            <w:shd w:val="clear" w:color="auto" w:fill="F1F2F2"/>
          </w:tcPr>
          <w:p>
            <w:pPr>
              <w:spacing w:after="0"/>
              <w:rPr>
                <w:sz w:val="19"/>
                <w:szCs w:val="19"/>
                <w:color w:val="auto"/>
              </w:rPr>
            </w:pPr>
          </w:p>
        </w:tc>
        <w:tc>
          <w:tcPr>
            <w:tcW w:w="2280" w:type="dxa"/>
            <w:vAlign w:val="bottom"/>
            <w:shd w:val="clear" w:color="auto" w:fill="F1F2F2"/>
          </w:tcPr>
          <w:p>
            <w:pPr>
              <w:spacing w:after="0"/>
              <w:rPr>
                <w:sz w:val="19"/>
                <w:szCs w:val="19"/>
                <w:color w:val="auto"/>
              </w:rPr>
            </w:pPr>
          </w:p>
        </w:tc>
        <w:tc>
          <w:tcPr>
            <w:tcW w:w="2060" w:type="dxa"/>
            <w:vAlign w:val="bottom"/>
            <w:shd w:val="clear" w:color="auto" w:fill="F1F2F2"/>
          </w:tcPr>
          <w:p>
            <w:pPr>
              <w:spacing w:after="0"/>
              <w:rPr>
                <w:sz w:val="19"/>
                <w:szCs w:val="19"/>
                <w:color w:val="auto"/>
              </w:rPr>
            </w:pPr>
          </w:p>
        </w:tc>
        <w:tc>
          <w:tcPr>
            <w:tcW w:w="132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50%</w:t>
            </w:r>
          </w:p>
        </w:tc>
        <w:tc>
          <w:tcPr>
            <w:tcW w:w="1140" w:type="dxa"/>
            <w:vAlign w:val="bottom"/>
            <w:shd w:val="clear" w:color="auto" w:fill="F1F2F2"/>
          </w:tcPr>
          <w:p>
            <w:pPr>
              <w:jc w:val="right"/>
              <w:ind w:right="188"/>
              <w:spacing w:after="0"/>
              <w:rPr>
                <w:sz w:val="20"/>
                <w:szCs w:val="20"/>
                <w:color w:val="auto"/>
              </w:rPr>
            </w:pPr>
            <w:r>
              <w:rPr>
                <w:rFonts w:ascii="Arial" w:cs="Arial" w:eastAsia="Arial" w:hAnsi="Arial"/>
                <w:sz w:val="14"/>
                <w:szCs w:val="14"/>
                <w:b w:val="1"/>
                <w:bCs w:val="1"/>
                <w:color w:val="auto"/>
              </w:rPr>
              <w:t>100%</w:t>
            </w:r>
          </w:p>
        </w:tc>
        <w:tc>
          <w:tcPr>
            <w:tcW w:w="1040" w:type="dxa"/>
            <w:vAlign w:val="bottom"/>
            <w:shd w:val="clear" w:color="auto" w:fill="F1F2F2"/>
          </w:tcPr>
          <w:p>
            <w:pPr>
              <w:jc w:val="right"/>
              <w:ind w:right="68"/>
              <w:spacing w:after="0"/>
              <w:rPr>
                <w:sz w:val="20"/>
                <w:szCs w:val="20"/>
                <w:color w:val="auto"/>
              </w:rPr>
            </w:pPr>
            <w:r>
              <w:rPr>
                <w:rFonts w:ascii="Arial" w:cs="Arial" w:eastAsia="Arial" w:hAnsi="Arial"/>
                <w:sz w:val="14"/>
                <w:szCs w:val="14"/>
                <w:b w:val="1"/>
                <w:bCs w:val="1"/>
                <w:color w:val="auto"/>
              </w:rPr>
              <w:t>200%</w:t>
            </w:r>
          </w:p>
        </w:tc>
      </w:tr>
    </w:tbl>
    <w:p>
      <w:pPr>
        <w:spacing w:after="0" w:line="126" w:lineRule="exact"/>
        <w:rPr>
          <w:sz w:val="20"/>
          <w:szCs w:val="20"/>
          <w:color w:val="auto"/>
        </w:rPr>
      </w:pPr>
    </w:p>
    <w:p>
      <w:pPr>
        <w:ind w:left="340" w:right="40" w:hanging="332"/>
        <w:spacing w:after="0" w:line="28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income from continuing operations, adjusted for restructuring charges, certain legal charges and contingency adjustments, unrealized gains and losses on unsettled futures contracts, impairments on assets held for sale, gain on sale of businesses, non-core business results, and certain other items.</w:t>
      </w:r>
    </w:p>
    <w:p>
      <w:pPr>
        <w:spacing w:after="0" w:line="163" w:lineRule="exact"/>
        <w:rPr>
          <w:sz w:val="20"/>
          <w:szCs w:val="20"/>
          <w:color w:val="auto"/>
        </w:rPr>
      </w:pPr>
    </w:p>
    <w:p>
      <w:pPr>
        <w:ind w:right="200" w:firstLine="324"/>
        <w:spacing w:after="0" w:line="271" w:lineRule="auto"/>
        <w:rPr>
          <w:sz w:val="20"/>
          <w:szCs w:val="20"/>
          <w:color w:val="auto"/>
        </w:rPr>
      </w:pPr>
      <w:r>
        <w:rPr>
          <w:rFonts w:ascii="Arial" w:cs="Arial" w:eastAsia="Arial" w:hAnsi="Arial"/>
          <w:sz w:val="18"/>
          <w:szCs w:val="18"/>
          <w:color w:val="auto"/>
        </w:rPr>
        <w:t>The PSUs granted in 2024 are included in the 2024 Grants of Plan Based Awards table in the “Estimated Future Payouts Under Equity Incentive Plan Awards” columns.</w:t>
      </w:r>
    </w:p>
    <w:p>
      <w:pPr>
        <w:spacing w:after="0" w:line="100"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u w:val="single" w:color="auto"/>
          <w:color w:val="auto"/>
        </w:rPr>
        <w:t>December 2021 PSU Grant</w:t>
      </w:r>
      <w:r>
        <w:rPr>
          <w:rFonts w:ascii="Arial" w:cs="Arial" w:eastAsia="Arial" w:hAnsi="Arial"/>
          <w:sz w:val="18"/>
          <w:szCs w:val="18"/>
          <w:color w:val="auto"/>
        </w:rPr>
        <w:t>. The key attributes of the PSUs granted in December 2021, which vested on December 31, 2024, are summarized in the following table along with the financial performance goals and payout opportunities versus performance. In 2024, NEOs earned a payout of 200% of target for the PSUs granted in December 2021. The payout value is reflected in the 2024 Option Exercises and Stock Vested Table in the “Stock Awards - Value Realized on Vesting” column.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December 2021 PSU Grant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(for the January 1, 2022 – December 31, 2024 Performance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940" w:type="dxa"/>
            <w:vAlign w:val="bottom"/>
            <w:shd w:val="clear" w:color="auto" w:fill="C60C35"/>
          </w:tcPr>
          <w:p>
            <w:pPr>
              <w:jc w:val="center"/>
              <w:ind w:left="28"/>
              <w:spacing w:after="0"/>
              <w:rPr>
                <w:sz w:val="20"/>
                <w:szCs w:val="20"/>
                <w:color w:val="auto"/>
              </w:rPr>
            </w:pPr>
            <w:r>
              <w:rPr>
                <w:rFonts w:ascii="Arial" w:cs="Arial" w:eastAsia="Arial" w:hAnsi="Arial"/>
                <w:sz w:val="14"/>
                <w:szCs w:val="14"/>
                <w:b w:val="1"/>
                <w:bCs w:val="1"/>
                <w:color w:val="FFFFFF"/>
              </w:rPr>
              <w:t>Weight</w:t>
            </w:r>
          </w:p>
        </w:tc>
        <w:tc>
          <w:tcPr>
            <w:tcW w:w="3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Measurement Period</w:t>
            </w:r>
          </w:p>
        </w:tc>
        <w:tc>
          <w:tcPr>
            <w:tcW w:w="114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Threshold</w:t>
            </w:r>
          </w:p>
        </w:tc>
        <w:tc>
          <w:tcPr>
            <w:tcW w:w="860" w:type="dxa"/>
            <w:vAlign w:val="bottom"/>
            <w:shd w:val="clear" w:color="auto" w:fill="C60C35"/>
          </w:tcPr>
          <w:p>
            <w:pPr>
              <w:jc w:val="right"/>
              <w:ind w:right="208"/>
              <w:spacing w:after="0"/>
              <w:rPr>
                <w:sz w:val="20"/>
                <w:szCs w:val="20"/>
                <w:color w:val="auto"/>
              </w:rPr>
            </w:pPr>
            <w:r>
              <w:rPr>
                <w:rFonts w:ascii="Arial" w:cs="Arial" w:eastAsia="Arial" w:hAnsi="Arial"/>
                <w:sz w:val="14"/>
                <w:szCs w:val="14"/>
                <w:b w:val="1"/>
                <w:bCs w:val="1"/>
                <w:color w:val="FFFFFF"/>
              </w:rPr>
              <w:t>Target</w:t>
            </w:r>
          </w:p>
        </w:tc>
        <w:tc>
          <w:tcPr>
            <w:tcW w:w="112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Maximum</w:t>
            </w:r>
          </w:p>
        </w:tc>
        <w:tc>
          <w:tcPr>
            <w:tcW w:w="1420" w:type="dxa"/>
            <w:vAlign w:val="bottom"/>
            <w:shd w:val="clear" w:color="auto" w:fill="C60C35"/>
          </w:tcPr>
          <w:p>
            <w:pPr>
              <w:jc w:val="right"/>
              <w:ind w:right="268"/>
              <w:spacing w:after="0"/>
              <w:rPr>
                <w:sz w:val="20"/>
                <w:szCs w:val="20"/>
                <w:color w:val="auto"/>
              </w:rPr>
            </w:pPr>
            <w:r>
              <w:rPr>
                <w:rFonts w:ascii="Arial" w:cs="Arial" w:eastAsia="Arial" w:hAnsi="Arial"/>
                <w:sz w:val="14"/>
                <w:szCs w:val="14"/>
                <w:b w:val="1"/>
                <w:bCs w:val="1"/>
                <w:color w:val="FFFFFF"/>
              </w:rPr>
              <w:t>Performance</w:t>
            </w:r>
          </w:p>
        </w:tc>
      </w:tr>
      <w:tr>
        <w:trPr>
          <w:trHeight w:val="67"/>
        </w:trPr>
        <w:tc>
          <w:tcPr>
            <w:tcW w:w="2660" w:type="dxa"/>
            <w:vAlign w:val="bottom"/>
            <w:shd w:val="clear" w:color="auto" w:fill="C60C35"/>
          </w:tcPr>
          <w:p>
            <w:pPr>
              <w:spacing w:after="0"/>
              <w:rPr>
                <w:sz w:val="5"/>
                <w:szCs w:val="5"/>
                <w:color w:val="auto"/>
              </w:rPr>
            </w:pPr>
          </w:p>
        </w:tc>
        <w:tc>
          <w:tcPr>
            <w:tcW w:w="940" w:type="dxa"/>
            <w:vAlign w:val="bottom"/>
            <w:shd w:val="clear" w:color="auto" w:fill="C60C35"/>
          </w:tcPr>
          <w:p>
            <w:pPr>
              <w:spacing w:after="0"/>
              <w:rPr>
                <w:sz w:val="5"/>
                <w:szCs w:val="5"/>
                <w:color w:val="auto"/>
              </w:rPr>
            </w:pPr>
          </w:p>
        </w:tc>
        <w:tc>
          <w:tcPr>
            <w:tcW w:w="3100" w:type="dxa"/>
            <w:vAlign w:val="bottom"/>
            <w:shd w:val="clear" w:color="auto" w:fill="C60C35"/>
          </w:tcPr>
          <w:p>
            <w:pPr>
              <w:spacing w:after="0"/>
              <w:rPr>
                <w:sz w:val="5"/>
                <w:szCs w:val="5"/>
                <w:color w:val="auto"/>
              </w:rPr>
            </w:pPr>
          </w:p>
        </w:tc>
        <w:tc>
          <w:tcPr>
            <w:tcW w:w="1140" w:type="dxa"/>
            <w:vAlign w:val="bottom"/>
            <w:shd w:val="clear" w:color="auto" w:fill="C60C35"/>
          </w:tcPr>
          <w:p>
            <w:pPr>
              <w:spacing w:after="0"/>
              <w:rPr>
                <w:sz w:val="5"/>
                <w:szCs w:val="5"/>
                <w:color w:val="auto"/>
              </w:rPr>
            </w:pPr>
          </w:p>
        </w:tc>
        <w:tc>
          <w:tcPr>
            <w:tcW w:w="860" w:type="dxa"/>
            <w:vAlign w:val="bottom"/>
            <w:shd w:val="clear" w:color="auto" w:fill="C60C35"/>
          </w:tcPr>
          <w:p>
            <w:pPr>
              <w:spacing w:after="0"/>
              <w:rPr>
                <w:sz w:val="5"/>
                <w:szCs w:val="5"/>
                <w:color w:val="auto"/>
              </w:rPr>
            </w:pPr>
          </w:p>
        </w:tc>
        <w:tc>
          <w:tcPr>
            <w:tcW w:w="1120" w:type="dxa"/>
            <w:vAlign w:val="bottom"/>
            <w:shd w:val="clear" w:color="auto" w:fill="C60C35"/>
          </w:tcPr>
          <w:p>
            <w:pPr>
              <w:spacing w:after="0"/>
              <w:rPr>
                <w:sz w:val="5"/>
                <w:szCs w:val="5"/>
                <w:color w:val="auto"/>
              </w:rPr>
            </w:pPr>
          </w:p>
        </w:tc>
        <w:tc>
          <w:tcPr>
            <w:tcW w:w="1420" w:type="dxa"/>
            <w:vAlign w:val="bottom"/>
            <w:shd w:val="clear" w:color="auto" w:fill="C60C35"/>
          </w:tcPr>
          <w:p>
            <w:pPr>
              <w:spacing w:after="0"/>
              <w:rPr>
                <w:sz w:val="5"/>
                <w:szCs w:val="5"/>
                <w:color w:val="auto"/>
              </w:rPr>
            </w:pPr>
          </w:p>
        </w:tc>
      </w:tr>
      <w:tr>
        <w:trPr>
          <w:trHeight w:val="247"/>
        </w:trPr>
        <w:tc>
          <w:tcPr>
            <w:tcW w:w="26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ROIC</w:t>
            </w:r>
            <w:r>
              <w:rPr>
                <w:rFonts w:ascii="Arial" w:cs="Arial" w:eastAsia="Arial" w:hAnsi="Arial"/>
                <w:sz w:val="9"/>
                <w:szCs w:val="9"/>
                <w:color w:val="auto"/>
              </w:rPr>
              <w:t>(1)</w:t>
            </w:r>
          </w:p>
        </w:tc>
        <w:tc>
          <w:tcPr>
            <w:tcW w:w="940" w:type="dxa"/>
            <w:vAlign w:val="bottom"/>
            <w:shd w:val="clear" w:color="auto" w:fill="F1F2F2"/>
          </w:tcPr>
          <w:p>
            <w:pPr>
              <w:jc w:val="center"/>
              <w:ind w:left="8"/>
              <w:spacing w:after="0"/>
              <w:rPr>
                <w:sz w:val="20"/>
                <w:szCs w:val="20"/>
                <w:color w:val="auto"/>
              </w:rPr>
            </w:pPr>
            <w:r>
              <w:rPr>
                <w:rFonts w:ascii="Arial" w:cs="Arial" w:eastAsia="Arial" w:hAnsi="Arial"/>
                <w:sz w:val="14"/>
                <w:szCs w:val="14"/>
                <w:color w:val="auto"/>
              </w:rPr>
              <w:t>50%</w:t>
            </w:r>
          </w:p>
        </w:tc>
        <w:tc>
          <w:tcPr>
            <w:tcW w:w="310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3-year weighted average (20% lowest year,</w:t>
            </w:r>
          </w:p>
        </w:tc>
        <w:tc>
          <w:tcPr>
            <w:tcW w:w="114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20%</w:t>
            </w:r>
          </w:p>
        </w:tc>
        <w:tc>
          <w:tcPr>
            <w:tcW w:w="8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30%</w:t>
            </w:r>
          </w:p>
        </w:tc>
        <w:tc>
          <w:tcPr>
            <w:tcW w:w="112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40%</w:t>
            </w:r>
          </w:p>
        </w:tc>
        <w:tc>
          <w:tcPr>
            <w:tcW w:w="14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48.4 %</w:t>
            </w:r>
          </w:p>
        </w:tc>
      </w:tr>
      <w:tr>
        <w:trPr>
          <w:trHeight w:val="192"/>
        </w:trPr>
        <w:tc>
          <w:tcPr>
            <w:tcW w:w="2660" w:type="dxa"/>
            <w:vAlign w:val="bottom"/>
            <w:tcBorders>
              <w:bottom w:val="single" w:sz="8" w:color="F1F2F2"/>
            </w:tcBorders>
            <w:shd w:val="clear" w:color="auto" w:fill="F1F2F2"/>
          </w:tcPr>
          <w:p>
            <w:pPr>
              <w:spacing w:after="0"/>
              <w:rPr>
                <w:sz w:val="16"/>
                <w:szCs w:val="16"/>
                <w:color w:val="auto"/>
              </w:rPr>
            </w:pPr>
          </w:p>
        </w:tc>
        <w:tc>
          <w:tcPr>
            <w:tcW w:w="940" w:type="dxa"/>
            <w:vAlign w:val="bottom"/>
            <w:tcBorders>
              <w:bottom w:val="single" w:sz="8" w:color="F1F2F2"/>
            </w:tcBorders>
            <w:shd w:val="clear" w:color="auto" w:fill="F1F2F2"/>
          </w:tcPr>
          <w:p>
            <w:pPr>
              <w:spacing w:after="0"/>
              <w:rPr>
                <w:sz w:val="16"/>
                <w:szCs w:val="16"/>
                <w:color w:val="auto"/>
              </w:rPr>
            </w:pPr>
          </w:p>
        </w:tc>
        <w:tc>
          <w:tcPr>
            <w:tcW w:w="310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40% other two years)</w:t>
            </w:r>
          </w:p>
        </w:tc>
        <w:tc>
          <w:tcPr>
            <w:tcW w:w="1140" w:type="dxa"/>
            <w:vAlign w:val="bottom"/>
            <w:tcBorders>
              <w:bottom w:val="single" w:sz="8" w:color="F1F2F2"/>
            </w:tcBorders>
            <w:shd w:val="clear" w:color="auto" w:fill="F1F2F2"/>
          </w:tcPr>
          <w:p>
            <w:pPr>
              <w:spacing w:after="0"/>
              <w:rPr>
                <w:sz w:val="16"/>
                <w:szCs w:val="16"/>
                <w:color w:val="auto"/>
              </w:rPr>
            </w:pPr>
          </w:p>
        </w:tc>
        <w:tc>
          <w:tcPr>
            <w:tcW w:w="860" w:type="dxa"/>
            <w:vAlign w:val="bottom"/>
            <w:tcBorders>
              <w:bottom w:val="single" w:sz="8" w:color="F1F2F2"/>
            </w:tcBorders>
            <w:shd w:val="clear" w:color="auto" w:fill="F1F2F2"/>
          </w:tcPr>
          <w:p>
            <w:pPr>
              <w:spacing w:after="0"/>
              <w:rPr>
                <w:sz w:val="16"/>
                <w:szCs w:val="16"/>
                <w:color w:val="auto"/>
              </w:rPr>
            </w:pPr>
          </w:p>
        </w:tc>
        <w:tc>
          <w:tcPr>
            <w:tcW w:w="1120" w:type="dxa"/>
            <w:vAlign w:val="bottom"/>
            <w:tcBorders>
              <w:bottom w:val="single" w:sz="8" w:color="F1F2F2"/>
            </w:tcBorders>
            <w:shd w:val="clear" w:color="auto" w:fill="F1F2F2"/>
          </w:tcPr>
          <w:p>
            <w:pPr>
              <w:spacing w:after="0"/>
              <w:rPr>
                <w:sz w:val="16"/>
                <w:szCs w:val="16"/>
                <w:color w:val="auto"/>
              </w:rPr>
            </w:pPr>
          </w:p>
        </w:tc>
        <w:tc>
          <w:tcPr>
            <w:tcW w:w="1420" w:type="dxa"/>
            <w:vAlign w:val="bottom"/>
            <w:tcBorders>
              <w:bottom w:val="single" w:sz="8" w:color="F1F2F2"/>
            </w:tcBorders>
            <w:shd w:val="clear" w:color="auto" w:fill="F1F2F2"/>
          </w:tcPr>
          <w:p>
            <w:pPr>
              <w:spacing w:after="0"/>
              <w:rPr>
                <w:sz w:val="16"/>
                <w:szCs w:val="16"/>
                <w:color w:val="auto"/>
              </w:rPr>
            </w:pPr>
          </w:p>
        </w:tc>
      </w:tr>
      <w:tr>
        <w:trPr>
          <w:trHeight w:val="208"/>
        </w:trPr>
        <w:tc>
          <w:tcPr>
            <w:tcW w:w="2660" w:type="dxa"/>
            <w:vAlign w:val="bottom"/>
          </w:tcPr>
          <w:p>
            <w:pPr>
              <w:ind w:left="100"/>
              <w:spacing w:after="0"/>
              <w:rPr>
                <w:sz w:val="20"/>
                <w:szCs w:val="20"/>
                <w:color w:val="auto"/>
              </w:rPr>
            </w:pPr>
            <w:r>
              <w:rPr>
                <w:rFonts w:ascii="Arial" w:cs="Arial" w:eastAsia="Arial" w:hAnsi="Arial"/>
                <w:sz w:val="14"/>
                <w:szCs w:val="14"/>
                <w:color w:val="auto"/>
              </w:rPr>
              <w:t>Company Core Net Income</w:t>
            </w:r>
            <w:r>
              <w:rPr>
                <w:rFonts w:ascii="Arial" w:cs="Arial" w:eastAsia="Arial" w:hAnsi="Arial"/>
                <w:sz w:val="9"/>
                <w:szCs w:val="9"/>
                <w:color w:val="auto"/>
              </w:rPr>
              <w:t>(2)</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rPr>
              <w:t>50%</w:t>
            </w:r>
          </w:p>
        </w:tc>
        <w:tc>
          <w:tcPr>
            <w:tcW w:w="3100" w:type="dxa"/>
            <w:vAlign w:val="bottom"/>
          </w:tcPr>
          <w:p>
            <w:pPr>
              <w:jc w:val="center"/>
              <w:spacing w:after="0"/>
              <w:rPr>
                <w:sz w:val="20"/>
                <w:szCs w:val="20"/>
                <w:color w:val="auto"/>
              </w:rPr>
            </w:pPr>
            <w:r>
              <w:rPr>
                <w:rFonts w:ascii="Arial" w:cs="Arial" w:eastAsia="Arial" w:hAnsi="Arial"/>
                <w:sz w:val="14"/>
                <w:szCs w:val="14"/>
                <w:color w:val="auto"/>
              </w:rPr>
              <w:t>3-year compound annual growth rate</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20.1 %</w:t>
            </w:r>
          </w:p>
        </w:tc>
      </w:tr>
      <w:tr>
        <w:trPr>
          <w:trHeight w:val="22"/>
        </w:trPr>
        <w:tc>
          <w:tcPr>
            <w:tcW w:w="2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26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Payout as a % of Target Award</w:t>
            </w:r>
          </w:p>
        </w:tc>
        <w:tc>
          <w:tcPr>
            <w:tcW w:w="940" w:type="dxa"/>
            <w:vAlign w:val="bottom"/>
            <w:shd w:val="clear" w:color="auto" w:fill="F1F2F2"/>
          </w:tcPr>
          <w:p>
            <w:pPr>
              <w:spacing w:after="0"/>
              <w:rPr>
                <w:sz w:val="19"/>
                <w:szCs w:val="19"/>
                <w:color w:val="auto"/>
              </w:rPr>
            </w:pPr>
          </w:p>
        </w:tc>
        <w:tc>
          <w:tcPr>
            <w:tcW w:w="3100" w:type="dxa"/>
            <w:vAlign w:val="bottom"/>
            <w:shd w:val="clear" w:color="auto" w:fill="F1F2F2"/>
          </w:tcPr>
          <w:p>
            <w:pPr>
              <w:spacing w:after="0"/>
              <w:rPr>
                <w:sz w:val="19"/>
                <w:szCs w:val="19"/>
                <w:color w:val="auto"/>
              </w:rPr>
            </w:pPr>
          </w:p>
        </w:tc>
        <w:tc>
          <w:tcPr>
            <w:tcW w:w="114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50%</w:t>
            </w:r>
          </w:p>
        </w:tc>
        <w:tc>
          <w:tcPr>
            <w:tcW w:w="86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100%</w:t>
            </w:r>
          </w:p>
        </w:tc>
        <w:tc>
          <w:tcPr>
            <w:tcW w:w="1120" w:type="dxa"/>
            <w:vAlign w:val="bottom"/>
            <w:shd w:val="clear" w:color="auto" w:fill="F1F2F2"/>
          </w:tcPr>
          <w:p>
            <w:pPr>
              <w:jc w:val="right"/>
              <w:ind w:right="108"/>
              <w:spacing w:after="0"/>
              <w:rPr>
                <w:sz w:val="20"/>
                <w:szCs w:val="20"/>
                <w:color w:val="auto"/>
              </w:rPr>
            </w:pPr>
            <w:r>
              <w:rPr>
                <w:rFonts w:ascii="Arial" w:cs="Arial" w:eastAsia="Arial" w:hAnsi="Arial"/>
                <w:sz w:val="14"/>
                <w:szCs w:val="14"/>
                <w:b w:val="1"/>
                <w:bCs w:val="1"/>
                <w:color w:val="auto"/>
              </w:rPr>
              <w:t>200%</w:t>
            </w:r>
          </w:p>
        </w:tc>
        <w:tc>
          <w:tcPr>
            <w:tcW w:w="142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200.0 %</w:t>
            </w:r>
          </w:p>
        </w:tc>
      </w:tr>
    </w:tbl>
    <w:p>
      <w:pPr>
        <w:spacing w:after="0" w:line="139" w:lineRule="exact"/>
        <w:rPr>
          <w:sz w:val="20"/>
          <w:szCs w:val="20"/>
          <w:color w:val="auto"/>
        </w:rPr>
      </w:pPr>
    </w:p>
    <w:p>
      <w:pPr>
        <w:ind w:left="340" w:right="180" w:hanging="332"/>
        <w:spacing w:after="0" w:line="28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Net operating profit after tax, a component of ROIC and a non-GAAP financial measure used for incentive compensation purposes, is income from continuing operations, adjusted for restructuring charges, impairments on assets held for sale, gain on sale of businesses, non-core business results, certain legal charges and contingency adjustments, unrealized gains and losses on unsettled futures contracts, pension settlement charges, and certain other items.</w:t>
      </w:r>
    </w:p>
    <w:p>
      <w:pPr>
        <w:spacing w:after="0" w:line="51" w:lineRule="exact"/>
        <w:rPr>
          <w:rFonts w:ascii="Arial" w:cs="Arial" w:eastAsia="Arial" w:hAnsi="Arial"/>
          <w:sz w:val="14"/>
          <w:szCs w:val="14"/>
          <w:color w:val="auto"/>
        </w:rPr>
      </w:pPr>
    </w:p>
    <w:p>
      <w:pPr>
        <w:ind w:left="340" w:right="40" w:hanging="332"/>
        <w:spacing w:after="0" w:line="28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income from continuing operations, adjusted for restructuring charges, certain legal charges and contingency adjustments, unrealized gains and losses on unsettled futures contracts, impairments on assets held for sale, gain on sale of businesses, non-core business results, and certain other items.</w:t>
      </w:r>
    </w:p>
    <w:p>
      <w:pPr>
        <w:spacing w:after="0" w:line="163" w:lineRule="exact"/>
        <w:rPr>
          <w:sz w:val="20"/>
          <w:szCs w:val="20"/>
          <w:color w:val="auto"/>
        </w:rPr>
      </w:pPr>
    </w:p>
    <w:p>
      <w:pPr>
        <w:jc w:val="both"/>
        <w:ind w:right="320" w:firstLine="324"/>
        <w:spacing w:after="0" w:line="247" w:lineRule="auto"/>
        <w:rPr>
          <w:sz w:val="20"/>
          <w:szCs w:val="20"/>
          <w:color w:val="auto"/>
        </w:rPr>
      </w:pPr>
      <w:r>
        <w:rPr>
          <w:rFonts w:ascii="Arial" w:cs="Arial" w:eastAsia="Arial" w:hAnsi="Arial"/>
          <w:sz w:val="18"/>
          <w:szCs w:val="18"/>
          <w:u w:val="single" w:color="auto"/>
          <w:color w:val="auto"/>
        </w:rPr>
        <w:t>RSUs</w:t>
      </w:r>
      <w:r>
        <w:rPr>
          <w:rFonts w:ascii="Arial" w:cs="Arial" w:eastAsia="Arial" w:hAnsi="Arial"/>
          <w:sz w:val="18"/>
          <w:szCs w:val="18"/>
          <w:color w:val="auto"/>
        </w:rPr>
        <w:t>. To support our leadership retention objectives, 30% of the February 2024 LTI award was granted in the form of RSUs. RSUs generally vest and are distributed in shares of Company common stock three years following the date of grant if the recipient remains an employee of the Company and all other conditions of the award are met. Dividends are not earned or paid on RSUs during the three-year vesting period. The number of shares granted to our NEOs in 2024 is included in the 2024 Grants of Plan-Based Awards Table in the “All Other Stock Awards: Number of Shares of Stock or Units” column.</w:t>
      </w:r>
    </w:p>
    <w:p>
      <w:pPr>
        <w:spacing w:after="0" w:line="123"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To incentivize NEOs to grow our business and deliver increased returns to our stockholders, 20% of the February 2024 LTI award was granted in the form of SARs. SARs vest in one-third increments on each anniversary of the date of grant. Upon the exercise of vested SARs, the increase between the fair market value of our common stock on the date of grant and the fair market value on the date of the SAR exercise is paid in Company common stock. The grant date fair value and the SAR exercise price are determined on the date of grant. SARs granted in February 2024 expire seven years from the date of grant. The number of SARs granted to our NEOs in 2024 is included in the 2024 Grants of Plan-Based Awards Table in the “All Other Option Awards: Number of Securities Underlying Options” column.</w:t>
      </w: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C60C35"/>
        </w:rPr>
        <w:t>Other Compensation Practices, Policies and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Stock Ownership Guidelines</w:t>
      </w:r>
    </w:p>
    <w:p>
      <w:pPr>
        <w:spacing w:after="0" w:line="169" w:lineRule="exact"/>
        <w:rPr>
          <w:sz w:val="20"/>
          <w:szCs w:val="20"/>
          <w:color w:val="auto"/>
        </w:rPr>
      </w:pPr>
    </w:p>
    <w:p>
      <w:pPr>
        <w:ind w:right="620" w:firstLine="324"/>
        <w:spacing w:after="0" w:line="271" w:lineRule="auto"/>
        <w:rPr>
          <w:sz w:val="20"/>
          <w:szCs w:val="20"/>
          <w:color w:val="auto"/>
        </w:rPr>
      </w:pPr>
      <w:r>
        <w:rPr>
          <w:rFonts w:ascii="Arial" w:cs="Arial" w:eastAsia="Arial" w:hAnsi="Arial"/>
          <w:sz w:val="18"/>
          <w:szCs w:val="18"/>
          <w:color w:val="auto"/>
        </w:rPr>
        <w:t>The Company has stock ownership guidelines for the CEO and other NEOs. We believe stock ownership by executives aligns the interests of executives with the interests of our stockholders and motivates executives to build long-term stockholder value.</w:t>
      </w:r>
    </w:p>
    <w:p>
      <w:pPr>
        <w:spacing w:after="0" w:line="100"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The following chart sets forth, as of December 31, 2024, for each NEO, the stock ownership requirements as a multiple of base salary, the total number of shares and unvested RSUs counted toward the stock ownership requirements, and the value of the shares and unvested RSUs as a multiple of base salary. NEOs must retain their net shares until they have met their ownership requirements. All NEOs who were serving as executive officers as of December 31, 2024, met the stock ownership guidelines as of such date, except for Mr. Quenzer who first became subject to these guidelines in 2024. NEOs are given five years from the date of appointment as an NEO to meet the guidelines.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00" w:type="dxa"/>
            <w:vAlign w:val="bottom"/>
            <w:shd w:val="clear" w:color="auto" w:fill="C60C35"/>
          </w:tcPr>
          <w:p>
            <w:pPr>
              <w:spacing w:after="0"/>
              <w:rPr>
                <w:sz w:val="15"/>
                <w:szCs w:val="15"/>
                <w:color w:val="auto"/>
              </w:rPr>
            </w:pPr>
          </w:p>
        </w:tc>
        <w:tc>
          <w:tcPr>
            <w:tcW w:w="1780" w:type="dxa"/>
            <w:vAlign w:val="bottom"/>
            <w:shd w:val="clear" w:color="auto" w:fill="C60C35"/>
          </w:tcPr>
          <w:p>
            <w:pPr>
              <w:jc w:val="right"/>
              <w:ind w:right="68"/>
              <w:spacing w:after="0"/>
              <w:rPr>
                <w:sz w:val="20"/>
                <w:szCs w:val="20"/>
                <w:color w:val="auto"/>
              </w:rPr>
            </w:pPr>
            <w:r>
              <w:rPr>
                <w:rFonts w:ascii="Arial" w:cs="Arial" w:eastAsia="Arial" w:hAnsi="Arial"/>
                <w:sz w:val="14"/>
                <w:szCs w:val="14"/>
                <w:b w:val="1"/>
                <w:bCs w:val="1"/>
                <w:color w:val="FFFFFF"/>
              </w:rPr>
              <w:t>Ownership</w:t>
            </w:r>
          </w:p>
        </w:tc>
        <w:tc>
          <w:tcPr>
            <w:tcW w:w="1660" w:type="dxa"/>
            <w:vAlign w:val="bottom"/>
            <w:shd w:val="clear" w:color="auto" w:fill="C60C35"/>
          </w:tcPr>
          <w:p>
            <w:pPr>
              <w:spacing w:after="0"/>
              <w:rPr>
                <w:sz w:val="15"/>
                <w:szCs w:val="15"/>
                <w:color w:val="auto"/>
              </w:rPr>
            </w:pPr>
          </w:p>
        </w:tc>
        <w:tc>
          <w:tcPr>
            <w:tcW w:w="16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Stock Ownership as</w:t>
            </w:r>
          </w:p>
        </w:tc>
      </w:tr>
      <w:tr>
        <w:trPr>
          <w:trHeight w:val="175"/>
        </w:trPr>
        <w:tc>
          <w:tcPr>
            <w:tcW w:w="6100" w:type="dxa"/>
            <w:vAlign w:val="bottom"/>
            <w:shd w:val="clear" w:color="auto" w:fill="C60C35"/>
          </w:tcPr>
          <w:p>
            <w:pPr>
              <w:spacing w:after="0"/>
              <w:rPr>
                <w:sz w:val="15"/>
                <w:szCs w:val="15"/>
                <w:color w:val="auto"/>
              </w:rPr>
            </w:pPr>
          </w:p>
        </w:tc>
        <w:tc>
          <w:tcPr>
            <w:tcW w:w="3440" w:type="dxa"/>
            <w:vAlign w:val="bottom"/>
            <w:gridSpan w:val="2"/>
            <w:shd w:val="clear" w:color="auto" w:fill="C60C35"/>
          </w:tcPr>
          <w:p>
            <w:pPr>
              <w:jc w:val="right"/>
              <w:ind w:right="68"/>
              <w:spacing w:after="0"/>
              <w:rPr>
                <w:sz w:val="20"/>
                <w:szCs w:val="20"/>
                <w:color w:val="auto"/>
              </w:rPr>
            </w:pPr>
            <w:r>
              <w:rPr>
                <w:rFonts w:ascii="Arial" w:cs="Arial" w:eastAsia="Arial" w:hAnsi="Arial"/>
                <w:sz w:val="14"/>
                <w:szCs w:val="14"/>
                <w:b w:val="1"/>
                <w:bCs w:val="1"/>
                <w:color w:val="FFFFFF"/>
              </w:rPr>
              <w:t>Requirement as a Total Number of Shares</w:t>
            </w:r>
          </w:p>
        </w:tc>
        <w:tc>
          <w:tcPr>
            <w:tcW w:w="16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Multiple of Base</w:t>
            </w:r>
          </w:p>
        </w:tc>
      </w:tr>
      <w:tr>
        <w:trPr>
          <w:trHeight w:val="196"/>
        </w:trPr>
        <w:tc>
          <w:tcPr>
            <w:tcW w:w="61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C60C35"/>
          </w:tcPr>
          <w:p>
            <w:pPr>
              <w:jc w:val="right"/>
              <w:ind w:right="68"/>
              <w:spacing w:after="0"/>
              <w:rPr>
                <w:sz w:val="20"/>
                <w:szCs w:val="20"/>
                <w:color w:val="auto"/>
              </w:rPr>
            </w:pPr>
            <w:r>
              <w:rPr>
                <w:rFonts w:ascii="Arial" w:cs="Arial" w:eastAsia="Arial" w:hAnsi="Arial"/>
                <w:sz w:val="14"/>
                <w:szCs w:val="14"/>
                <w:b w:val="1"/>
                <w:bCs w:val="1"/>
                <w:color w:val="FFFFFF"/>
              </w:rPr>
              <w:t>Multiple of Base Salary</w:t>
            </w:r>
          </w:p>
        </w:tc>
        <w:tc>
          <w:tcPr>
            <w:tcW w:w="1660" w:type="dxa"/>
            <w:vAlign w:val="bottom"/>
            <w:shd w:val="clear" w:color="auto" w:fill="C60C35"/>
          </w:tcPr>
          <w:p>
            <w:pPr>
              <w:jc w:val="right"/>
              <w:ind w:right="68"/>
              <w:spacing w:after="0"/>
              <w:rPr>
                <w:sz w:val="20"/>
                <w:szCs w:val="20"/>
                <w:color w:val="auto"/>
              </w:rPr>
            </w:pPr>
            <w:r>
              <w:rPr>
                <w:rFonts w:ascii="Arial" w:cs="Arial" w:eastAsia="Arial" w:hAnsi="Arial"/>
                <w:sz w:val="14"/>
                <w:szCs w:val="14"/>
                <w:b w:val="1"/>
                <w:bCs w:val="1"/>
                <w:color w:val="FFFFFF"/>
              </w:rPr>
              <w:t>and Unvested RSUs</w:t>
            </w:r>
          </w:p>
        </w:tc>
        <w:tc>
          <w:tcPr>
            <w:tcW w:w="16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Salary</w:t>
            </w:r>
            <w:r>
              <w:rPr>
                <w:rFonts w:ascii="Arial" w:cs="Arial" w:eastAsia="Arial" w:hAnsi="Arial"/>
                <w:sz w:val="9"/>
                <w:szCs w:val="9"/>
                <w:b w:val="1"/>
                <w:bCs w:val="1"/>
                <w:color w:val="FFFFFF"/>
              </w:rPr>
              <w:t>(1)</w:t>
            </w:r>
          </w:p>
        </w:tc>
      </w:tr>
      <w:tr>
        <w:trPr>
          <w:trHeight w:val="70"/>
        </w:trPr>
        <w:tc>
          <w:tcPr>
            <w:tcW w:w="6100" w:type="dxa"/>
            <w:vAlign w:val="bottom"/>
            <w:shd w:val="clear" w:color="auto" w:fill="C60C35"/>
          </w:tcPr>
          <w:p>
            <w:pPr>
              <w:spacing w:after="0"/>
              <w:rPr>
                <w:sz w:val="6"/>
                <w:szCs w:val="6"/>
                <w:color w:val="auto"/>
              </w:rPr>
            </w:pPr>
          </w:p>
        </w:tc>
        <w:tc>
          <w:tcPr>
            <w:tcW w:w="1780" w:type="dxa"/>
            <w:vAlign w:val="bottom"/>
            <w:shd w:val="clear" w:color="auto" w:fill="C60C35"/>
          </w:tcPr>
          <w:p>
            <w:pPr>
              <w:spacing w:after="0"/>
              <w:rPr>
                <w:sz w:val="6"/>
                <w:szCs w:val="6"/>
                <w:color w:val="auto"/>
              </w:rPr>
            </w:pPr>
          </w:p>
        </w:tc>
        <w:tc>
          <w:tcPr>
            <w:tcW w:w="1660" w:type="dxa"/>
            <w:vAlign w:val="bottom"/>
            <w:shd w:val="clear" w:color="auto" w:fill="C60C35"/>
          </w:tcPr>
          <w:p>
            <w:pPr>
              <w:spacing w:after="0"/>
              <w:rPr>
                <w:sz w:val="6"/>
                <w:szCs w:val="6"/>
                <w:color w:val="auto"/>
              </w:rPr>
            </w:pPr>
          </w:p>
        </w:tc>
        <w:tc>
          <w:tcPr>
            <w:tcW w:w="1680" w:type="dxa"/>
            <w:vAlign w:val="bottom"/>
            <w:shd w:val="clear" w:color="auto" w:fill="C60C35"/>
          </w:tcPr>
          <w:p>
            <w:pPr>
              <w:spacing w:after="0"/>
              <w:rPr>
                <w:sz w:val="6"/>
                <w:szCs w:val="6"/>
                <w:color w:val="auto"/>
              </w:rPr>
            </w:pPr>
          </w:p>
        </w:tc>
      </w:tr>
      <w:tr>
        <w:trPr>
          <w:trHeight w:val="210"/>
        </w:trPr>
        <w:tc>
          <w:tcPr>
            <w:tcW w:w="61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78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6X</w:t>
            </w:r>
          </w:p>
        </w:tc>
        <w:tc>
          <w:tcPr>
            <w:tcW w:w="166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12,861</w:t>
            </w:r>
          </w:p>
        </w:tc>
        <w:tc>
          <w:tcPr>
            <w:tcW w:w="16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6.0X</w:t>
            </w:r>
          </w:p>
        </w:tc>
      </w:tr>
      <w:tr>
        <w:trPr>
          <w:trHeight w:val="208"/>
        </w:trPr>
        <w:tc>
          <w:tcPr>
            <w:tcW w:w="610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3X</w:t>
            </w: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2,460</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2.4X</w:t>
            </w:r>
          </w:p>
        </w:tc>
      </w:tr>
      <w:tr>
        <w:trPr>
          <w:trHeight w:val="22"/>
        </w:trPr>
        <w:tc>
          <w:tcPr>
            <w:tcW w:w="6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61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178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3X</w:t>
            </w:r>
          </w:p>
        </w:tc>
        <w:tc>
          <w:tcPr>
            <w:tcW w:w="166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19,600</w:t>
            </w:r>
          </w:p>
        </w:tc>
        <w:tc>
          <w:tcPr>
            <w:tcW w:w="16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18.1X</w:t>
            </w:r>
          </w:p>
        </w:tc>
      </w:tr>
      <w:tr>
        <w:trPr>
          <w:trHeight w:val="208"/>
        </w:trPr>
        <w:tc>
          <w:tcPr>
            <w:tcW w:w="610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3X</w:t>
            </w: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31,634</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28.8X</w:t>
            </w:r>
          </w:p>
        </w:tc>
      </w:tr>
      <w:tr>
        <w:trPr>
          <w:trHeight w:val="22"/>
        </w:trPr>
        <w:tc>
          <w:tcPr>
            <w:tcW w:w="6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8"/>
        </w:trPr>
        <w:tc>
          <w:tcPr>
            <w:tcW w:w="61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178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3X</w:t>
            </w:r>
          </w:p>
        </w:tc>
        <w:tc>
          <w:tcPr>
            <w:tcW w:w="16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4,269</w:t>
            </w:r>
          </w:p>
        </w:tc>
        <w:tc>
          <w:tcPr>
            <w:tcW w:w="168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4.0X</w:t>
            </w:r>
          </w:p>
        </w:tc>
      </w:tr>
      <w:tr>
        <w:trPr>
          <w:trHeight w:val="22"/>
        </w:trPr>
        <w:tc>
          <w:tcPr>
            <w:tcW w:w="6100" w:type="dxa"/>
            <w:vAlign w:val="bottom"/>
            <w:shd w:val="clear" w:color="auto" w:fill="F1F2F2"/>
          </w:tcPr>
          <w:p>
            <w:pPr>
              <w:spacing w:after="0" w:line="20" w:lineRule="exact"/>
              <w:rPr>
                <w:sz w:val="1"/>
                <w:szCs w:val="1"/>
                <w:color w:val="auto"/>
              </w:rPr>
            </w:pPr>
          </w:p>
        </w:tc>
        <w:tc>
          <w:tcPr>
            <w:tcW w:w="1780" w:type="dxa"/>
            <w:vAlign w:val="bottom"/>
            <w:shd w:val="clear" w:color="auto" w:fill="F1F2F2"/>
          </w:tcPr>
          <w:p>
            <w:pPr>
              <w:spacing w:after="0" w:line="20" w:lineRule="exact"/>
              <w:rPr>
                <w:sz w:val="1"/>
                <w:szCs w:val="1"/>
                <w:color w:val="auto"/>
              </w:rPr>
            </w:pPr>
          </w:p>
        </w:tc>
        <w:tc>
          <w:tcPr>
            <w:tcW w:w="1660" w:type="dxa"/>
            <w:vAlign w:val="bottom"/>
            <w:shd w:val="clear" w:color="auto" w:fill="F1F2F2"/>
          </w:tcPr>
          <w:p>
            <w:pPr>
              <w:spacing w:after="0" w:line="20" w:lineRule="exact"/>
              <w:rPr>
                <w:sz w:val="1"/>
                <w:szCs w:val="1"/>
                <w:color w:val="auto"/>
              </w:rPr>
            </w:pPr>
          </w:p>
        </w:tc>
        <w:tc>
          <w:tcPr>
            <w:tcW w:w="1680" w:type="dxa"/>
            <w:vAlign w:val="bottom"/>
            <w:shd w:val="clear" w:color="auto" w:fill="F1F2F2"/>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Based on the average daily closing price for 2024 of $536.86.</w:t>
      </w:r>
    </w:p>
    <w:p>
      <w:pPr>
        <w:spacing w:after="0" w:line="221"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8"/>
          <w:szCs w:val="18"/>
          <w:color w:val="auto"/>
        </w:rPr>
        <w:t>The Committee oversees and administers the stock ownership guidelines. If an NEO fails to comply with the guidelines, the Committee will determine any appropriate corrective measures to be taken.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Clawback Policy</w:t>
      </w:r>
    </w:p>
    <w:p>
      <w:pPr>
        <w:spacing w:after="0" w:line="156" w:lineRule="exact"/>
        <w:rPr>
          <w:sz w:val="20"/>
          <w:szCs w:val="20"/>
          <w:color w:val="auto"/>
        </w:rPr>
      </w:pPr>
    </w:p>
    <w:p>
      <w:pPr>
        <w:ind w:right="380" w:firstLine="324"/>
        <w:spacing w:after="0" w:line="283" w:lineRule="auto"/>
        <w:rPr>
          <w:sz w:val="20"/>
          <w:szCs w:val="20"/>
          <w:color w:val="auto"/>
        </w:rPr>
      </w:pPr>
      <w:r>
        <w:rPr>
          <w:rFonts w:ascii="Arial" w:cs="Arial" w:eastAsia="Arial" w:hAnsi="Arial"/>
          <w:sz w:val="17"/>
          <w:szCs w:val="17"/>
          <w:color w:val="auto"/>
        </w:rPr>
        <w:t>Under this policy, in the event of a restatement of our Company’s financial results, the Company will recover certain excess incentive compensation paid to executive officers and resulting from attainment of a financial reporting measure during the three completed fiscal years prior to the date the restatement is required. A copy of the policy is available on our website at www.investor.lennox.com.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Prohibition on Hedging / Pledging Policy</w:t>
      </w:r>
    </w:p>
    <w:p>
      <w:pPr>
        <w:spacing w:after="0" w:line="16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Company’s Insider Trading Policy prohibits directors, NEOs, all other employees, and each of their designees from trading in any interest, security, or position relating to the future price of Company securities, such as a put, call, swap, short sale, hedge, or any other type of derivative security. It also prohibits directors, NEOs, and all other employees from holding Company securities in a margin account or pledging Company securities as collateral for a loan.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Benefit Programs</w:t>
      </w:r>
    </w:p>
    <w:p>
      <w:pPr>
        <w:spacing w:after="0" w:line="156"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To attract top executive talent and as a market-competitive practice, we provide certain benefit programs to our NEOs that are in addition to those provided to our other employees. The following table summarizes the additional benefit programs in place during 2024 and the purpose of each program.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Benefit Programs Offered to NEOs in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Plan</w:t>
            </w:r>
          </w:p>
        </w:tc>
        <w:tc>
          <w:tcPr>
            <w:tcW w:w="1840" w:type="dxa"/>
            <w:vAlign w:val="bottom"/>
            <w:shd w:val="clear" w:color="auto" w:fill="C60C35"/>
          </w:tcPr>
          <w:p>
            <w:pPr>
              <w:ind w:left="140"/>
              <w:spacing w:after="0"/>
              <w:rPr>
                <w:sz w:val="20"/>
                <w:szCs w:val="20"/>
                <w:color w:val="auto"/>
              </w:rPr>
            </w:pPr>
            <w:r>
              <w:rPr>
                <w:rFonts w:ascii="Arial" w:cs="Arial" w:eastAsia="Arial" w:hAnsi="Arial"/>
                <w:sz w:val="14"/>
                <w:szCs w:val="14"/>
                <w:b w:val="1"/>
                <w:bCs w:val="1"/>
                <w:color w:val="FFFFFF"/>
              </w:rPr>
              <w:t>Type</w:t>
            </w:r>
          </w:p>
        </w:tc>
        <w:tc>
          <w:tcPr>
            <w:tcW w:w="6740" w:type="dxa"/>
            <w:vAlign w:val="bottom"/>
            <w:shd w:val="clear" w:color="auto" w:fill="C60C35"/>
          </w:tcPr>
          <w:p>
            <w:pPr>
              <w:ind w:left="300"/>
              <w:spacing w:after="0"/>
              <w:rPr>
                <w:sz w:val="20"/>
                <w:szCs w:val="20"/>
                <w:color w:val="auto"/>
              </w:rPr>
            </w:pPr>
            <w:r>
              <w:rPr>
                <w:rFonts w:ascii="Arial" w:cs="Arial" w:eastAsia="Arial" w:hAnsi="Arial"/>
                <w:sz w:val="14"/>
                <w:szCs w:val="14"/>
                <w:b w:val="1"/>
                <w:bCs w:val="1"/>
                <w:color w:val="FFFFFF"/>
              </w:rPr>
              <w:t>Purpose</w:t>
            </w:r>
          </w:p>
        </w:tc>
      </w:tr>
      <w:tr>
        <w:trPr>
          <w:trHeight w:val="67"/>
        </w:trPr>
        <w:tc>
          <w:tcPr>
            <w:tcW w:w="2660" w:type="dxa"/>
            <w:vAlign w:val="bottom"/>
            <w:shd w:val="clear" w:color="auto" w:fill="C60C35"/>
          </w:tcPr>
          <w:p>
            <w:pPr>
              <w:spacing w:after="0"/>
              <w:rPr>
                <w:sz w:val="5"/>
                <w:szCs w:val="5"/>
                <w:color w:val="auto"/>
              </w:rPr>
            </w:pPr>
          </w:p>
        </w:tc>
        <w:tc>
          <w:tcPr>
            <w:tcW w:w="1840" w:type="dxa"/>
            <w:vAlign w:val="bottom"/>
            <w:shd w:val="clear" w:color="auto" w:fill="C60C35"/>
          </w:tcPr>
          <w:p>
            <w:pPr>
              <w:spacing w:after="0"/>
              <w:rPr>
                <w:sz w:val="5"/>
                <w:szCs w:val="5"/>
                <w:color w:val="auto"/>
              </w:rPr>
            </w:pPr>
          </w:p>
        </w:tc>
        <w:tc>
          <w:tcPr>
            <w:tcW w:w="6740" w:type="dxa"/>
            <w:vAlign w:val="bottom"/>
            <w:shd w:val="clear" w:color="auto" w:fill="C60C35"/>
          </w:tcPr>
          <w:p>
            <w:pPr>
              <w:spacing w:after="0"/>
              <w:rPr>
                <w:sz w:val="5"/>
                <w:szCs w:val="5"/>
                <w:color w:val="auto"/>
              </w:rPr>
            </w:pPr>
          </w:p>
        </w:tc>
      </w:tr>
      <w:tr>
        <w:trPr>
          <w:trHeight w:val="234"/>
        </w:trPr>
        <w:tc>
          <w:tcPr>
            <w:tcW w:w="26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Supplemental Restoration</w:t>
            </w:r>
          </w:p>
        </w:tc>
        <w:tc>
          <w:tcPr>
            <w:tcW w:w="1840" w:type="dxa"/>
            <w:vAlign w:val="bottom"/>
            <w:shd w:val="clear" w:color="auto" w:fill="F1F2F2"/>
          </w:tcPr>
          <w:p>
            <w:pPr>
              <w:ind w:left="140"/>
              <w:spacing w:after="0"/>
              <w:rPr>
                <w:sz w:val="20"/>
                <w:szCs w:val="20"/>
                <w:color w:val="auto"/>
              </w:rPr>
            </w:pPr>
            <w:r>
              <w:rPr>
                <w:rFonts w:ascii="Arial" w:cs="Arial" w:eastAsia="Arial" w:hAnsi="Arial"/>
                <w:sz w:val="14"/>
                <w:szCs w:val="14"/>
                <w:color w:val="auto"/>
              </w:rPr>
              <w:t>Non-Qualified Defined</w:t>
            </w:r>
          </w:p>
        </w:tc>
        <w:tc>
          <w:tcPr>
            <w:tcW w:w="6740" w:type="dxa"/>
            <w:vAlign w:val="bottom"/>
            <w:shd w:val="clear" w:color="auto" w:fill="F1F2F2"/>
          </w:tcPr>
          <w:p>
            <w:pPr>
              <w:ind w:left="300"/>
              <w:spacing w:after="0"/>
              <w:rPr>
                <w:sz w:val="20"/>
                <w:szCs w:val="20"/>
                <w:color w:val="auto"/>
              </w:rPr>
            </w:pPr>
            <w:r>
              <w:rPr>
                <w:rFonts w:ascii="Arial" w:cs="Arial" w:eastAsia="Arial" w:hAnsi="Arial"/>
                <w:sz w:val="14"/>
                <w:szCs w:val="14"/>
                <w:color w:val="auto"/>
              </w:rPr>
              <w:t>Provide market-competitive retirement benefit by allowing contributions that could not otherwise</w:t>
            </w:r>
          </w:p>
        </w:tc>
      </w:tr>
      <w:tr>
        <w:trPr>
          <w:trHeight w:val="190"/>
        </w:trPr>
        <w:tc>
          <w:tcPr>
            <w:tcW w:w="26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Retirement Plan</w:t>
            </w:r>
          </w:p>
        </w:tc>
        <w:tc>
          <w:tcPr>
            <w:tcW w:w="1840" w:type="dxa"/>
            <w:vAlign w:val="bottom"/>
            <w:shd w:val="clear" w:color="auto" w:fill="F1F2F2"/>
          </w:tcPr>
          <w:p>
            <w:pPr>
              <w:ind w:left="140"/>
              <w:spacing w:after="0"/>
              <w:rPr>
                <w:sz w:val="20"/>
                <w:szCs w:val="20"/>
                <w:color w:val="auto"/>
              </w:rPr>
            </w:pPr>
            <w:r>
              <w:rPr>
                <w:rFonts w:ascii="Arial" w:cs="Arial" w:eastAsia="Arial" w:hAnsi="Arial"/>
                <w:sz w:val="14"/>
                <w:szCs w:val="14"/>
                <w:color w:val="auto"/>
              </w:rPr>
              <w:t>Contribution</w:t>
            </w:r>
          </w:p>
        </w:tc>
        <w:tc>
          <w:tcPr>
            <w:tcW w:w="6740" w:type="dxa"/>
            <w:vAlign w:val="bottom"/>
            <w:shd w:val="clear" w:color="auto" w:fill="F1F2F2"/>
          </w:tcPr>
          <w:p>
            <w:pPr>
              <w:ind w:left="300"/>
              <w:spacing w:after="0"/>
              <w:rPr>
                <w:sz w:val="20"/>
                <w:szCs w:val="20"/>
                <w:color w:val="auto"/>
              </w:rPr>
            </w:pPr>
            <w:r>
              <w:rPr>
                <w:rFonts w:ascii="Arial" w:cs="Arial" w:eastAsia="Arial" w:hAnsi="Arial"/>
                <w:sz w:val="14"/>
                <w:szCs w:val="14"/>
                <w:color w:val="auto"/>
              </w:rPr>
              <w:t>occur because of limitations on compensation under federal tax rules</w:t>
            </w:r>
          </w:p>
        </w:tc>
      </w:tr>
      <w:tr>
        <w:trPr>
          <w:trHeight w:val="35"/>
        </w:trPr>
        <w:tc>
          <w:tcPr>
            <w:tcW w:w="2660" w:type="dxa"/>
            <w:vAlign w:val="bottom"/>
            <w:shd w:val="clear" w:color="auto" w:fill="F1F2F2"/>
          </w:tcPr>
          <w:p>
            <w:pPr>
              <w:spacing w:after="0"/>
              <w:rPr>
                <w:sz w:val="3"/>
                <w:szCs w:val="3"/>
                <w:color w:val="auto"/>
              </w:rPr>
            </w:pPr>
          </w:p>
        </w:tc>
        <w:tc>
          <w:tcPr>
            <w:tcW w:w="1840" w:type="dxa"/>
            <w:vAlign w:val="bottom"/>
            <w:shd w:val="clear" w:color="auto" w:fill="F1F2F2"/>
          </w:tcPr>
          <w:p>
            <w:pPr>
              <w:spacing w:after="0"/>
              <w:rPr>
                <w:sz w:val="3"/>
                <w:szCs w:val="3"/>
                <w:color w:val="auto"/>
              </w:rPr>
            </w:pPr>
          </w:p>
        </w:tc>
        <w:tc>
          <w:tcPr>
            <w:tcW w:w="6740" w:type="dxa"/>
            <w:vAlign w:val="bottom"/>
            <w:shd w:val="clear" w:color="auto" w:fill="F1F2F2"/>
          </w:tcPr>
          <w:p>
            <w:pPr>
              <w:spacing w:after="0"/>
              <w:rPr>
                <w:sz w:val="3"/>
                <w:szCs w:val="3"/>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Plan</w:t>
            </w:r>
          </w:p>
        </w:tc>
        <w:tc>
          <w:tcPr>
            <w:tcW w:w="1960" w:type="dxa"/>
            <w:vAlign w:val="bottom"/>
            <w:shd w:val="clear" w:color="auto" w:fill="C60C35"/>
          </w:tcPr>
          <w:p>
            <w:pPr>
              <w:ind w:left="140"/>
              <w:spacing w:after="0"/>
              <w:rPr>
                <w:sz w:val="20"/>
                <w:szCs w:val="20"/>
                <w:color w:val="auto"/>
              </w:rPr>
            </w:pPr>
            <w:r>
              <w:rPr>
                <w:rFonts w:ascii="Arial" w:cs="Arial" w:eastAsia="Arial" w:hAnsi="Arial"/>
                <w:sz w:val="14"/>
                <w:szCs w:val="14"/>
                <w:b w:val="1"/>
                <w:bCs w:val="1"/>
                <w:color w:val="FFFFFF"/>
              </w:rPr>
              <w:t>Type</w:t>
            </w:r>
          </w:p>
        </w:tc>
        <w:tc>
          <w:tcPr>
            <w:tcW w:w="6620" w:type="dxa"/>
            <w:vAlign w:val="bottom"/>
            <w:shd w:val="clear" w:color="auto" w:fill="C60C35"/>
          </w:tcPr>
          <w:p>
            <w:pPr>
              <w:ind w:left="180"/>
              <w:spacing w:after="0"/>
              <w:rPr>
                <w:sz w:val="20"/>
                <w:szCs w:val="20"/>
                <w:color w:val="auto"/>
              </w:rPr>
            </w:pPr>
            <w:r>
              <w:rPr>
                <w:rFonts w:ascii="Arial" w:cs="Arial" w:eastAsia="Arial" w:hAnsi="Arial"/>
                <w:sz w:val="14"/>
                <w:szCs w:val="14"/>
                <w:b w:val="1"/>
                <w:bCs w:val="1"/>
                <w:color w:val="FFFFFF"/>
              </w:rPr>
              <w:t>Purpose</w:t>
            </w:r>
          </w:p>
        </w:tc>
      </w:tr>
      <w:tr>
        <w:trPr>
          <w:trHeight w:val="67"/>
        </w:trPr>
        <w:tc>
          <w:tcPr>
            <w:tcW w:w="2660" w:type="dxa"/>
            <w:vAlign w:val="bottom"/>
            <w:shd w:val="clear" w:color="auto" w:fill="C60C35"/>
          </w:tcPr>
          <w:p>
            <w:pPr>
              <w:spacing w:after="0"/>
              <w:rPr>
                <w:sz w:val="5"/>
                <w:szCs w:val="5"/>
                <w:color w:val="auto"/>
              </w:rPr>
            </w:pPr>
          </w:p>
        </w:tc>
        <w:tc>
          <w:tcPr>
            <w:tcW w:w="1960" w:type="dxa"/>
            <w:vAlign w:val="bottom"/>
            <w:shd w:val="clear" w:color="auto" w:fill="C60C35"/>
          </w:tcPr>
          <w:p>
            <w:pPr>
              <w:spacing w:after="0"/>
              <w:rPr>
                <w:sz w:val="5"/>
                <w:szCs w:val="5"/>
                <w:color w:val="auto"/>
              </w:rPr>
            </w:pPr>
          </w:p>
        </w:tc>
        <w:tc>
          <w:tcPr>
            <w:tcW w:w="6620" w:type="dxa"/>
            <w:vAlign w:val="bottom"/>
            <w:shd w:val="clear" w:color="auto" w:fill="C60C35"/>
          </w:tcPr>
          <w:p>
            <w:pPr>
              <w:spacing w:after="0"/>
              <w:rPr>
                <w:sz w:val="5"/>
                <w:szCs w:val="5"/>
                <w:color w:val="auto"/>
              </w:rPr>
            </w:pPr>
          </w:p>
        </w:tc>
      </w:tr>
      <w:tr>
        <w:trPr>
          <w:trHeight w:val="193"/>
        </w:trPr>
        <w:tc>
          <w:tcPr>
            <w:tcW w:w="2660" w:type="dxa"/>
            <w:vAlign w:val="bottom"/>
          </w:tcPr>
          <w:p>
            <w:pPr>
              <w:ind w:left="100"/>
              <w:spacing w:after="0"/>
              <w:rPr>
                <w:sz w:val="20"/>
                <w:szCs w:val="20"/>
                <w:color w:val="auto"/>
              </w:rPr>
            </w:pPr>
            <w:r>
              <w:rPr>
                <w:rFonts w:ascii="Arial" w:cs="Arial" w:eastAsia="Arial" w:hAnsi="Arial"/>
                <w:sz w:val="14"/>
                <w:szCs w:val="14"/>
                <w:color w:val="auto"/>
              </w:rPr>
              <w:t>Life Insurance Plan</w:t>
            </w:r>
          </w:p>
        </w:tc>
        <w:tc>
          <w:tcPr>
            <w:tcW w:w="1960" w:type="dxa"/>
            <w:vAlign w:val="bottom"/>
          </w:tcPr>
          <w:p>
            <w:pPr>
              <w:ind w:left="140"/>
              <w:spacing w:after="0"/>
              <w:rPr>
                <w:sz w:val="20"/>
                <w:szCs w:val="20"/>
                <w:color w:val="auto"/>
              </w:rPr>
            </w:pPr>
            <w:r>
              <w:rPr>
                <w:rFonts w:ascii="Arial" w:cs="Arial" w:eastAsia="Arial" w:hAnsi="Arial"/>
                <w:sz w:val="14"/>
                <w:szCs w:val="14"/>
                <w:color w:val="auto"/>
              </w:rPr>
              <w:t>Company-Sponsored Life</w:t>
            </w:r>
          </w:p>
        </w:tc>
        <w:tc>
          <w:tcPr>
            <w:tcW w:w="6620" w:type="dxa"/>
            <w:vAlign w:val="bottom"/>
          </w:tcPr>
          <w:p>
            <w:pPr>
              <w:ind w:left="180"/>
              <w:spacing w:after="0"/>
              <w:rPr>
                <w:sz w:val="20"/>
                <w:szCs w:val="20"/>
                <w:color w:val="auto"/>
              </w:rPr>
            </w:pPr>
            <w:r>
              <w:rPr>
                <w:rFonts w:ascii="Arial" w:cs="Arial" w:eastAsia="Arial" w:hAnsi="Arial"/>
                <w:sz w:val="14"/>
                <w:szCs w:val="14"/>
                <w:color w:val="auto"/>
              </w:rPr>
              <w:t>Provide market-competitive life insurance benefits. $3 million in coverage for our CEO. NEO plan</w:t>
            </w:r>
          </w:p>
        </w:tc>
      </w:tr>
      <w:tr>
        <w:trPr>
          <w:trHeight w:val="190"/>
        </w:trPr>
        <w:tc>
          <w:tcPr>
            <w:tcW w:w="2660" w:type="dxa"/>
            <w:vAlign w:val="bottom"/>
          </w:tcPr>
          <w:p>
            <w:pPr>
              <w:spacing w:after="0"/>
              <w:rPr>
                <w:sz w:val="16"/>
                <w:szCs w:val="16"/>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Insurance</w:t>
            </w:r>
          </w:p>
        </w:tc>
        <w:tc>
          <w:tcPr>
            <w:tcW w:w="6620" w:type="dxa"/>
            <w:vAlign w:val="bottom"/>
          </w:tcPr>
          <w:p>
            <w:pPr>
              <w:ind w:left="180"/>
              <w:spacing w:after="0"/>
              <w:rPr>
                <w:sz w:val="20"/>
                <w:szCs w:val="20"/>
                <w:color w:val="auto"/>
              </w:rPr>
            </w:pPr>
            <w:r>
              <w:rPr>
                <w:rFonts w:ascii="Arial" w:cs="Arial" w:eastAsia="Arial" w:hAnsi="Arial"/>
                <w:sz w:val="14"/>
                <w:szCs w:val="14"/>
                <w:color w:val="auto"/>
              </w:rPr>
              <w:t>includes base salary plus most recent bonus paid with a minimum of $1 million</w:t>
            </w:r>
          </w:p>
        </w:tc>
      </w:tr>
      <w:tr>
        <w:trPr>
          <w:trHeight w:val="22"/>
        </w:trPr>
        <w:tc>
          <w:tcPr>
            <w:tcW w:w="2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47"/>
        </w:trPr>
        <w:tc>
          <w:tcPr>
            <w:tcW w:w="26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Supplemental Retirement Plan</w:t>
            </w:r>
          </w:p>
        </w:tc>
        <w:tc>
          <w:tcPr>
            <w:tcW w:w="1960" w:type="dxa"/>
            <w:vAlign w:val="bottom"/>
            <w:shd w:val="clear" w:color="auto" w:fill="F1F2F2"/>
          </w:tcPr>
          <w:p>
            <w:pPr>
              <w:ind w:left="140"/>
              <w:spacing w:after="0"/>
              <w:rPr>
                <w:sz w:val="20"/>
                <w:szCs w:val="20"/>
                <w:color w:val="auto"/>
              </w:rPr>
            </w:pPr>
            <w:r>
              <w:rPr>
                <w:rFonts w:ascii="Arial" w:cs="Arial" w:eastAsia="Arial" w:hAnsi="Arial"/>
                <w:sz w:val="14"/>
                <w:szCs w:val="14"/>
                <w:color w:val="auto"/>
              </w:rPr>
              <w:t>Non-Qualified Defined</w:t>
            </w:r>
          </w:p>
        </w:tc>
        <w:tc>
          <w:tcPr>
            <w:tcW w:w="6620" w:type="dxa"/>
            <w:vAlign w:val="bottom"/>
            <w:shd w:val="clear" w:color="auto" w:fill="F1F2F2"/>
          </w:tcPr>
          <w:p>
            <w:pPr>
              <w:ind w:left="180"/>
              <w:spacing w:after="0"/>
              <w:rPr>
                <w:sz w:val="20"/>
                <w:szCs w:val="20"/>
                <w:color w:val="auto"/>
              </w:rPr>
            </w:pPr>
            <w:r>
              <w:rPr>
                <w:rFonts w:ascii="Arial" w:cs="Arial" w:eastAsia="Arial" w:hAnsi="Arial"/>
                <w:sz w:val="14"/>
                <w:szCs w:val="14"/>
                <w:color w:val="auto"/>
              </w:rPr>
              <w:t>Closed legacy plan</w:t>
            </w:r>
          </w:p>
        </w:tc>
      </w:tr>
      <w:tr>
        <w:trPr>
          <w:trHeight w:val="190"/>
        </w:trPr>
        <w:tc>
          <w:tcPr>
            <w:tcW w:w="2660" w:type="dxa"/>
            <w:vAlign w:val="bottom"/>
            <w:shd w:val="clear" w:color="auto" w:fill="F1F2F2"/>
          </w:tcPr>
          <w:p>
            <w:pPr>
              <w:spacing w:after="0"/>
              <w:rPr>
                <w:sz w:val="16"/>
                <w:szCs w:val="16"/>
                <w:color w:val="auto"/>
              </w:rPr>
            </w:pPr>
          </w:p>
        </w:tc>
        <w:tc>
          <w:tcPr>
            <w:tcW w:w="1960" w:type="dxa"/>
            <w:vAlign w:val="bottom"/>
            <w:shd w:val="clear" w:color="auto" w:fill="F1F2F2"/>
          </w:tcPr>
          <w:p>
            <w:pPr>
              <w:ind w:left="140"/>
              <w:spacing w:after="0"/>
              <w:rPr>
                <w:sz w:val="20"/>
                <w:szCs w:val="20"/>
                <w:color w:val="auto"/>
              </w:rPr>
            </w:pPr>
            <w:r>
              <w:rPr>
                <w:rFonts w:ascii="Arial" w:cs="Arial" w:eastAsia="Arial" w:hAnsi="Arial"/>
                <w:sz w:val="14"/>
                <w:szCs w:val="14"/>
                <w:color w:val="auto"/>
              </w:rPr>
              <w:t>Benefit</w:t>
            </w:r>
          </w:p>
        </w:tc>
        <w:tc>
          <w:tcPr>
            <w:tcW w:w="6620" w:type="dxa"/>
            <w:vAlign w:val="bottom"/>
            <w:shd w:val="clear" w:color="auto" w:fill="F1F2F2"/>
          </w:tcPr>
          <w:p>
            <w:pPr>
              <w:spacing w:after="0"/>
              <w:rPr>
                <w:sz w:val="16"/>
                <w:szCs w:val="16"/>
                <w:color w:val="auto"/>
              </w:rPr>
            </w:pPr>
          </w:p>
        </w:tc>
      </w:tr>
      <w:tr>
        <w:trPr>
          <w:trHeight w:val="22"/>
        </w:trPr>
        <w:tc>
          <w:tcPr>
            <w:tcW w:w="2660" w:type="dxa"/>
            <w:vAlign w:val="bottom"/>
            <w:shd w:val="clear" w:color="auto" w:fill="F1F2F2"/>
          </w:tcPr>
          <w:p>
            <w:pPr>
              <w:spacing w:after="0" w:line="20" w:lineRule="exact"/>
              <w:rPr>
                <w:sz w:val="1"/>
                <w:szCs w:val="1"/>
                <w:color w:val="auto"/>
              </w:rPr>
            </w:pPr>
          </w:p>
        </w:tc>
        <w:tc>
          <w:tcPr>
            <w:tcW w:w="1960" w:type="dxa"/>
            <w:vAlign w:val="bottom"/>
            <w:shd w:val="clear" w:color="auto" w:fill="F1F2F2"/>
          </w:tcPr>
          <w:p>
            <w:pPr>
              <w:spacing w:after="0" w:line="20" w:lineRule="exact"/>
              <w:rPr>
                <w:sz w:val="1"/>
                <w:szCs w:val="1"/>
                <w:color w:val="auto"/>
              </w:rPr>
            </w:pPr>
          </w:p>
        </w:tc>
        <w:tc>
          <w:tcPr>
            <w:tcW w:w="6620" w:type="dxa"/>
            <w:vAlign w:val="bottom"/>
            <w:shd w:val="clear" w:color="auto" w:fill="F1F2F2"/>
          </w:tcPr>
          <w:p>
            <w:pPr>
              <w:spacing w:after="0" w:line="20" w:lineRule="exact"/>
              <w:rPr>
                <w:sz w:val="1"/>
                <w:szCs w:val="1"/>
                <w:color w:val="auto"/>
              </w:rPr>
            </w:pPr>
          </w:p>
        </w:tc>
      </w:tr>
    </w:tbl>
    <w:p>
      <w:pPr>
        <w:spacing w:after="0" w:line="184"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In 2018, the Committee closed the defined benefit Supplemental Retirement Plan to new participants and approved a defined contribution restoration plan for individuals who become eligible executive officers on or after January 1, 2019. The Committee made these changes to better align the Company’s non-qualified retirement benefit with current market practices. The CEO does not participate in the closed Supplemental Retirement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Annual Perquisites</w:t>
      </w:r>
    </w:p>
    <w:p>
      <w:pPr>
        <w:spacing w:after="0" w:line="156"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believe providing reasonable perquisites is a market-competitive practice to attract and retain top executive talent. Rather than offering individual perquisites, however, we provide a monthly cash stipend to each of our NEOs to allow more flexibility and choice. Our NEOs have full discretion on how the cash stipend is spent and it is not tracked by the Company after the money is paid. In addition, we offer the installation of Company products and equipment at each NEO’s home to promote our brand to business and personal guests. The value of the Company products, equipment, and related installation is included as taxable income to each NEO.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Employment Agreements</w:t>
      </w:r>
    </w:p>
    <w:p>
      <w:pPr>
        <w:spacing w:after="0" w:line="15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employment agreements with each NEO as reviewed and approved by the Committee. We believe employment agreements are helpful in attracting and retaining top executive talent and for financial and business planning purposes. Our employment agreements and the potential payments and benefits to which each NEO would be entitled in the event of termination of employment are discussed in the “Potential Payments Upon Termination or Change in Control” section.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Change in Control Severance Plan</w:t>
      </w:r>
    </w:p>
    <w:p>
      <w:pPr>
        <w:spacing w:after="0" w:line="156" w:lineRule="exact"/>
        <w:rPr>
          <w:sz w:val="20"/>
          <w:szCs w:val="20"/>
          <w:color w:val="auto"/>
        </w:rPr>
      </w:pPr>
    </w:p>
    <w:p>
      <w:pPr>
        <w:ind w:right="320" w:firstLine="324"/>
        <w:spacing w:after="0" w:line="247" w:lineRule="auto"/>
        <w:rPr>
          <w:sz w:val="20"/>
          <w:szCs w:val="20"/>
          <w:color w:val="auto"/>
        </w:rPr>
      </w:pPr>
      <w:r>
        <w:rPr>
          <w:rFonts w:ascii="Arial" w:cs="Arial" w:eastAsia="Arial" w:hAnsi="Arial"/>
          <w:sz w:val="18"/>
          <w:szCs w:val="18"/>
          <w:color w:val="auto"/>
        </w:rPr>
        <w:t>We believe change-in-control (“CIC”) benefits are necessary to (1) retain key executives during periods of uncertainty; (2) enable executives to objectively evaluate, negotiate, and execute a CIC transaction; (3) encourage executives to remain focused on running the business rather than seeking other employment in the event of a possible CIC; (4) preserve stockholder value by providing continuity of management during a transition period; and (5) provide benefit to the Company in the form of restrictive covenants, such as non-compete and non-solicitation provisions.</w:t>
      </w:r>
    </w:p>
    <w:p>
      <w:pPr>
        <w:spacing w:after="0" w:line="136" w:lineRule="exact"/>
        <w:rPr>
          <w:sz w:val="20"/>
          <w:szCs w:val="20"/>
          <w:color w:val="auto"/>
        </w:rPr>
      </w:pPr>
    </w:p>
    <w:p>
      <w:pPr>
        <w:ind w:right="620" w:firstLine="324"/>
        <w:spacing w:after="0" w:line="271" w:lineRule="auto"/>
        <w:rPr>
          <w:sz w:val="20"/>
          <w:szCs w:val="20"/>
          <w:color w:val="auto"/>
        </w:rPr>
      </w:pPr>
      <w:r>
        <w:rPr>
          <w:rFonts w:ascii="Arial" w:cs="Arial" w:eastAsia="Arial" w:hAnsi="Arial"/>
          <w:sz w:val="18"/>
          <w:szCs w:val="18"/>
          <w:color w:val="auto"/>
        </w:rPr>
        <w:t>In December 2022, the Company and its NEOs terminated each NEO’s existing CIC agreement and the Company adopted a CIC Severance Plan (as summarized below), which included the following changes to better align with market practices:</w:t>
      </w:r>
    </w:p>
    <w:p>
      <w:pPr>
        <w:spacing w:after="0" w:line="10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Replaced single-trigger equity vesting with double-trigger equity vesting;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Eliminated excise tax gross-ups;</w:t>
      </w:r>
    </w:p>
    <w:p>
      <w:pPr>
        <w:spacing w:after="0" w:line="157" w:lineRule="exact"/>
        <w:rPr>
          <w:rFonts w:ascii="Arial" w:cs="Arial" w:eastAsia="Arial" w:hAnsi="Arial"/>
          <w:sz w:val="18"/>
          <w:szCs w:val="18"/>
          <w:color w:val="auto"/>
        </w:rPr>
      </w:pPr>
    </w:p>
    <w:p>
      <w:pPr>
        <w:ind w:left="660" w:right="380" w:hanging="328"/>
        <w:spacing w:after="0" w:line="27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Reduced cash severance for NEOs (other than the CEO) from three times base pay and target bonus to two times base pay and target bonus;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Eliminated 15% of base salary payment in lieu of outplacement services, and replaced it with actual outplacement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Eliminated 45% of base salary payment in lieu of perquisites;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Eliminated incremental age and years of service benefit under Supplemental Retirement Plan;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Reduced NEO (other than the CEO) health care coverage from 36 months to 24 months.</w:t>
      </w:r>
    </w:p>
    <w:p>
      <w:pPr>
        <w:spacing w:after="0" w:line="158" w:lineRule="exact"/>
        <w:rPr>
          <w:sz w:val="20"/>
          <w:szCs w:val="20"/>
          <w:color w:val="auto"/>
        </w:rPr>
      </w:pPr>
    </w:p>
    <w:p>
      <w:pPr>
        <w:ind w:right="700" w:firstLine="324"/>
        <w:spacing w:after="0" w:line="271" w:lineRule="auto"/>
        <w:rPr>
          <w:sz w:val="20"/>
          <w:szCs w:val="20"/>
          <w:color w:val="auto"/>
        </w:rPr>
      </w:pPr>
      <w:r>
        <w:rPr>
          <w:rFonts w:ascii="Arial" w:cs="Arial" w:eastAsia="Arial" w:hAnsi="Arial"/>
          <w:sz w:val="18"/>
          <w:szCs w:val="18"/>
          <w:color w:val="auto"/>
        </w:rPr>
        <w:t>Our CIC Severance Plan and the potential payments and benefits to which each NEO would be entitled in the event of a CIC are discussed in the “Potential Payments Upon Termination or Change-in-Control” section in the Summary Compensation Table.</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C60C35"/>
        </w:rPr>
        <w:t>Equity Grant Practices</w:t>
      </w:r>
    </w:p>
    <w:p>
      <w:pPr>
        <w:spacing w:after="0" w:line="94"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Committee or, with respect to the CEO’s equity award, the Board, approves the monetary value of the equity compensation to be awarded to executive officers annually at their regularly-scheduled December meetings. The equity grant occurs on the third trading day after the Company issues its fourth quarter earnings release in January. The values approved in December are converted into shares, using the average daily closing price over fifteen calendar days prior to grant, with the fifteenth day being the first trading day after the Company’s fourth quarter earnings release. The SAR exercise price is equal to the average of the high and low NYSE trading prices of the common shares on the date of grant.</w:t>
      </w:r>
    </w:p>
    <w:p>
      <w:pPr>
        <w:spacing w:after="0" w:line="13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Committee does not take material nonpublic information into account when determining the timing and terms of LTI equity awards. Instead, the timing of grants is in accordance with the yearly compensation cycle, with awards granted at the start of the new fiscal year to incentivize the executives to deliver on the Company’s strategic objectives for the new fiscal year. The Company has not timed the disclosure of material nonpublic information to affect the value of executive compensation.</w:t>
      </w:r>
    </w:p>
    <w:p>
      <w:pPr>
        <w:spacing w:after="0" w:line="11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Company did not grant any SARs to NEOs of the Company in the last completed fiscal year during the period from four business days before to one business day after the filing of any of the Company’s Quarterly Reports on Form 10-Q, Annual Report on Form 10-K, or the filing or furnishing of any Current Report on Form 8-K that discloses material nonpublic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Tax and Accounting Implications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Deductibility of Executive Compensation</w:t>
      </w:r>
    </w:p>
    <w:p>
      <w:pPr>
        <w:spacing w:after="0" w:line="142"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Section 162(m) generally disallows a federal income tax deduction to publicly traded companies like Lennox for compensation in excess of $1 million per year paid to certain current and former executive officers. The Committee will continue to consider the income tax consequences to our Company when analyzing our executive compensation program. If granting awards or providing other executive compensation is consistent with Market data, our compensation philosophy or our strategic business goals, the Committee may provide executive compensation that is not fully deductible.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Non-Qualified Deferred Compensation</w:t>
      </w:r>
    </w:p>
    <w:p>
      <w:pPr>
        <w:spacing w:after="0" w:line="12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In addition to the closed non-qualified Supplemental Retirement Plan, the Company also maintains a frozen non-qualified Profit Sharing Restoration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Accounting for Stock-Based Awards</w:t>
      </w:r>
    </w:p>
    <w:p>
      <w:pPr>
        <w:spacing w:after="0" w:line="142" w:lineRule="exact"/>
        <w:rPr>
          <w:sz w:val="20"/>
          <w:szCs w:val="20"/>
          <w:color w:val="auto"/>
        </w:rPr>
      </w:pPr>
    </w:p>
    <w:p>
      <w:pPr>
        <w:jc w:val="both"/>
        <w:ind w:right="120" w:firstLine="324"/>
        <w:spacing w:after="0" w:line="301" w:lineRule="auto"/>
        <w:rPr>
          <w:sz w:val="20"/>
          <w:szCs w:val="20"/>
          <w:color w:val="auto"/>
        </w:rPr>
      </w:pPr>
      <w:r>
        <w:rPr>
          <w:rFonts w:ascii="Arial" w:cs="Arial" w:eastAsia="Arial" w:hAnsi="Arial"/>
          <w:sz w:val="17"/>
          <w:szCs w:val="17"/>
          <w:color w:val="auto"/>
        </w:rPr>
        <w:t>When developing NEO compensation, the Committee considers the accounting consequences (in accordance with the requirements of FASB ASC Topic 718) of the program design and award levels and structures the Company’s executive compensation program accordingly.</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Compensation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Annual Compensation Risk Assessment</w:t>
      </w:r>
    </w:p>
    <w:p>
      <w:pPr>
        <w:spacing w:after="0" w:line="15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Board reviews the Company’s compensation policies and practices to determine if risks arising from those policies and practices are reasonably likely to have a material adverse effect on the Company. All of the Company’s material incentive compensation plans are reviewed at least annually. Based on these reviews, the Board has not identified any risks arising from the compensation policies and practices that are reasonably likely to have a material adverse effect on the Company.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C60C35"/>
        </w:rPr>
        <w:t>Compensation Committee Report</w:t>
      </w:r>
    </w:p>
    <w:p>
      <w:pPr>
        <w:spacing w:after="0" w:line="9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Compensation and Human Resources Committee has reviewed and discussed the foregoing CD&amp;A with management. Based on this review and discussion, the Committee recommended to the Board that the CD&amp;A be included in this Proxy Statement and incorporated by reference in our Form 10-K.</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Submitted by the Compensation and Human Resources Committee of the Board:</w:t>
      </w:r>
    </w:p>
    <w:p>
      <w:pPr>
        <w:spacing w:after="0" w:line="95"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C60C35"/>
        </w:rPr>
        <w:t>Shane D. Wall (Chair)</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C60C35"/>
        </w:rPr>
        <w:t>John W. Norris, III</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C60C35"/>
        </w:rPr>
        <w:t>Soma Somasundaram</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C60C35"/>
        </w:rPr>
        <w:t>Gregory T. Swienton</w:t>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C60C35"/>
        </w:rPr>
        <w:t>March 20, 2025</w:t>
      </w: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C60C35"/>
        </w:rPr>
        <w:t>2024 Summary Compensation Table</w:t>
      </w:r>
    </w:p>
    <w:p>
      <w:pPr>
        <w:spacing w:after="0" w:line="108" w:lineRule="exact"/>
        <w:rPr>
          <w:sz w:val="20"/>
          <w:szCs w:val="20"/>
          <w:color w:val="auto"/>
        </w:rPr>
      </w:pPr>
    </w:p>
    <w:p>
      <w:pPr>
        <w:ind w:right="840" w:firstLine="324"/>
        <w:spacing w:after="0" w:line="287" w:lineRule="auto"/>
        <w:rPr>
          <w:sz w:val="20"/>
          <w:szCs w:val="20"/>
          <w:color w:val="auto"/>
        </w:rPr>
      </w:pPr>
      <w:r>
        <w:rPr>
          <w:rFonts w:ascii="Arial" w:cs="Arial" w:eastAsia="Arial" w:hAnsi="Arial"/>
          <w:sz w:val="18"/>
          <w:szCs w:val="18"/>
          <w:color w:val="auto"/>
        </w:rPr>
        <w:t>The following table provides information regarding the total compensation of each of the Company’s NEOs for the years ended December 31, 2024, 2023, and 2022, as applicable.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20" w:type="dxa"/>
            <w:vAlign w:val="bottom"/>
            <w:shd w:val="clear" w:color="auto" w:fill="C60C35"/>
          </w:tcPr>
          <w:p>
            <w:pPr>
              <w:spacing w:after="0"/>
              <w:rPr>
                <w:sz w:val="16"/>
                <w:szCs w:val="16"/>
                <w:color w:val="auto"/>
              </w:rPr>
            </w:pPr>
          </w:p>
        </w:tc>
        <w:tc>
          <w:tcPr>
            <w:tcW w:w="520" w:type="dxa"/>
            <w:vAlign w:val="bottom"/>
            <w:shd w:val="clear" w:color="auto" w:fill="C60C35"/>
          </w:tcPr>
          <w:p>
            <w:pPr>
              <w:spacing w:after="0"/>
              <w:rPr>
                <w:sz w:val="16"/>
                <w:szCs w:val="16"/>
                <w:color w:val="auto"/>
              </w:rPr>
            </w:pPr>
          </w:p>
        </w:tc>
        <w:tc>
          <w:tcPr>
            <w:tcW w:w="880" w:type="dxa"/>
            <w:vAlign w:val="bottom"/>
            <w:shd w:val="clear" w:color="auto" w:fill="C60C35"/>
          </w:tcPr>
          <w:p>
            <w:pPr>
              <w:spacing w:after="0"/>
              <w:rPr>
                <w:sz w:val="16"/>
                <w:szCs w:val="16"/>
                <w:color w:val="auto"/>
              </w:rPr>
            </w:pPr>
          </w:p>
        </w:tc>
        <w:tc>
          <w:tcPr>
            <w:tcW w:w="880" w:type="dxa"/>
            <w:vAlign w:val="bottom"/>
            <w:shd w:val="clear" w:color="auto" w:fill="C60C35"/>
          </w:tcPr>
          <w:p>
            <w:pPr>
              <w:spacing w:after="0"/>
              <w:rPr>
                <w:sz w:val="16"/>
                <w:szCs w:val="16"/>
                <w:color w:val="auto"/>
              </w:rPr>
            </w:pPr>
          </w:p>
        </w:tc>
        <w:tc>
          <w:tcPr>
            <w:tcW w:w="820" w:type="dxa"/>
            <w:vAlign w:val="bottom"/>
            <w:shd w:val="clear" w:color="auto" w:fill="C60C35"/>
          </w:tcPr>
          <w:p>
            <w:pPr>
              <w:spacing w:after="0"/>
              <w:rPr>
                <w:sz w:val="16"/>
                <w:szCs w:val="16"/>
                <w:color w:val="auto"/>
              </w:rPr>
            </w:pPr>
          </w:p>
        </w:tc>
        <w:tc>
          <w:tcPr>
            <w:tcW w:w="760" w:type="dxa"/>
            <w:vAlign w:val="bottom"/>
            <w:shd w:val="clear" w:color="auto" w:fill="C60C35"/>
          </w:tcPr>
          <w:p>
            <w:pPr>
              <w:spacing w:after="0"/>
              <w:rPr>
                <w:sz w:val="16"/>
                <w:szCs w:val="16"/>
                <w:color w:val="auto"/>
              </w:rPr>
            </w:pPr>
          </w:p>
        </w:tc>
        <w:tc>
          <w:tcPr>
            <w:tcW w:w="1320" w:type="dxa"/>
            <w:vAlign w:val="bottom"/>
            <w:shd w:val="clear" w:color="auto" w:fill="C60C35"/>
          </w:tcPr>
          <w:p>
            <w:pPr>
              <w:spacing w:after="0"/>
              <w:rPr>
                <w:sz w:val="16"/>
                <w:szCs w:val="16"/>
                <w:color w:val="auto"/>
              </w:rPr>
            </w:pPr>
          </w:p>
        </w:tc>
        <w:tc>
          <w:tcPr>
            <w:tcW w:w="1400" w:type="dxa"/>
            <w:vAlign w:val="bottom"/>
            <w:shd w:val="clear" w:color="auto" w:fill="C60C35"/>
          </w:tcPr>
          <w:p>
            <w:pPr>
              <w:jc w:val="right"/>
              <w:ind w:right="16"/>
              <w:spacing w:after="0"/>
              <w:rPr>
                <w:sz w:val="20"/>
                <w:szCs w:val="20"/>
                <w:color w:val="auto"/>
              </w:rPr>
            </w:pPr>
            <w:r>
              <w:rPr>
                <w:rFonts w:ascii="Arial" w:cs="Arial" w:eastAsia="Arial" w:hAnsi="Arial"/>
                <w:sz w:val="14"/>
                <w:szCs w:val="14"/>
                <w:b w:val="1"/>
                <w:bCs w:val="1"/>
                <w:color w:val="FFFFFF"/>
              </w:rPr>
              <w:t>Change in Pension</w:t>
            </w:r>
          </w:p>
        </w:tc>
        <w:tc>
          <w:tcPr>
            <w:tcW w:w="1400" w:type="dxa"/>
            <w:vAlign w:val="bottom"/>
            <w:shd w:val="clear" w:color="auto" w:fill="C60C35"/>
          </w:tcPr>
          <w:p>
            <w:pPr>
              <w:spacing w:after="0"/>
              <w:rPr>
                <w:sz w:val="16"/>
                <w:szCs w:val="16"/>
                <w:color w:val="auto"/>
              </w:rPr>
            </w:pPr>
          </w:p>
        </w:tc>
        <w:tc>
          <w:tcPr>
            <w:tcW w:w="940" w:type="dxa"/>
            <w:vAlign w:val="bottom"/>
            <w:shd w:val="clear" w:color="auto" w:fill="C60C3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60C35"/>
          </w:tcPr>
          <w:p>
            <w:pPr>
              <w:spacing w:after="0"/>
              <w:rPr>
                <w:sz w:val="14"/>
                <w:szCs w:val="14"/>
                <w:color w:val="auto"/>
              </w:rPr>
            </w:pPr>
          </w:p>
        </w:tc>
        <w:tc>
          <w:tcPr>
            <w:tcW w:w="520" w:type="dxa"/>
            <w:vAlign w:val="bottom"/>
            <w:shd w:val="clear" w:color="auto" w:fill="C60C35"/>
          </w:tcPr>
          <w:p>
            <w:pPr>
              <w:spacing w:after="0"/>
              <w:rPr>
                <w:sz w:val="14"/>
                <w:szCs w:val="14"/>
                <w:color w:val="auto"/>
              </w:rPr>
            </w:pPr>
          </w:p>
        </w:tc>
        <w:tc>
          <w:tcPr>
            <w:tcW w:w="880" w:type="dxa"/>
            <w:vAlign w:val="bottom"/>
            <w:shd w:val="clear" w:color="auto" w:fill="C60C35"/>
          </w:tcPr>
          <w:p>
            <w:pPr>
              <w:spacing w:after="0"/>
              <w:rPr>
                <w:sz w:val="14"/>
                <w:szCs w:val="14"/>
                <w:color w:val="auto"/>
              </w:rPr>
            </w:pPr>
          </w:p>
        </w:tc>
        <w:tc>
          <w:tcPr>
            <w:tcW w:w="880" w:type="dxa"/>
            <w:vAlign w:val="bottom"/>
            <w:shd w:val="clear" w:color="auto" w:fill="C60C35"/>
          </w:tcPr>
          <w:p>
            <w:pPr>
              <w:spacing w:after="0"/>
              <w:rPr>
                <w:sz w:val="14"/>
                <w:szCs w:val="14"/>
                <w:color w:val="auto"/>
              </w:rPr>
            </w:pPr>
          </w:p>
        </w:tc>
        <w:tc>
          <w:tcPr>
            <w:tcW w:w="820" w:type="dxa"/>
            <w:vAlign w:val="bottom"/>
            <w:shd w:val="clear" w:color="auto" w:fill="C60C35"/>
          </w:tcPr>
          <w:p>
            <w:pPr>
              <w:spacing w:after="0"/>
              <w:rPr>
                <w:sz w:val="14"/>
                <w:szCs w:val="14"/>
                <w:color w:val="auto"/>
              </w:rPr>
            </w:pPr>
          </w:p>
        </w:tc>
        <w:tc>
          <w:tcPr>
            <w:tcW w:w="760" w:type="dxa"/>
            <w:vAlign w:val="bottom"/>
            <w:shd w:val="clear" w:color="auto" w:fill="C60C35"/>
          </w:tcPr>
          <w:p>
            <w:pPr>
              <w:spacing w:after="0"/>
              <w:rPr>
                <w:sz w:val="14"/>
                <w:szCs w:val="14"/>
                <w:color w:val="auto"/>
              </w:rPr>
            </w:pPr>
          </w:p>
        </w:tc>
        <w:tc>
          <w:tcPr>
            <w:tcW w:w="1320" w:type="dxa"/>
            <w:vAlign w:val="bottom"/>
            <w:shd w:val="clear" w:color="auto" w:fill="C60C35"/>
          </w:tcPr>
          <w:p>
            <w:pPr>
              <w:spacing w:after="0"/>
              <w:rPr>
                <w:sz w:val="14"/>
                <w:szCs w:val="14"/>
                <w:color w:val="auto"/>
              </w:rPr>
            </w:pPr>
          </w:p>
        </w:tc>
        <w:tc>
          <w:tcPr>
            <w:tcW w:w="1400" w:type="dxa"/>
            <w:vAlign w:val="bottom"/>
            <w:shd w:val="clear" w:color="auto" w:fill="C60C35"/>
          </w:tcPr>
          <w:p>
            <w:pPr>
              <w:jc w:val="right"/>
              <w:ind w:right="16"/>
              <w:spacing w:after="0"/>
              <w:rPr>
                <w:sz w:val="20"/>
                <w:szCs w:val="20"/>
                <w:color w:val="auto"/>
              </w:rPr>
            </w:pPr>
            <w:r>
              <w:rPr>
                <w:rFonts w:ascii="Arial" w:cs="Arial" w:eastAsia="Arial" w:hAnsi="Arial"/>
                <w:sz w:val="14"/>
                <w:szCs w:val="14"/>
                <w:b w:val="1"/>
                <w:bCs w:val="1"/>
                <w:color w:val="FFFFFF"/>
              </w:rPr>
              <w:t>Value and</w:t>
            </w:r>
          </w:p>
        </w:tc>
        <w:tc>
          <w:tcPr>
            <w:tcW w:w="1400" w:type="dxa"/>
            <w:vAlign w:val="bottom"/>
            <w:shd w:val="clear" w:color="auto" w:fill="C60C35"/>
          </w:tcPr>
          <w:p>
            <w:pPr>
              <w:spacing w:after="0"/>
              <w:rPr>
                <w:sz w:val="14"/>
                <w:szCs w:val="14"/>
                <w:color w:val="auto"/>
              </w:rPr>
            </w:pPr>
          </w:p>
        </w:tc>
        <w:tc>
          <w:tcPr>
            <w:tcW w:w="94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60C35"/>
          </w:tcPr>
          <w:p>
            <w:pPr>
              <w:spacing w:after="0"/>
              <w:rPr>
                <w:sz w:val="15"/>
                <w:szCs w:val="15"/>
                <w:color w:val="auto"/>
              </w:rPr>
            </w:pPr>
          </w:p>
        </w:tc>
        <w:tc>
          <w:tcPr>
            <w:tcW w:w="520" w:type="dxa"/>
            <w:vAlign w:val="bottom"/>
            <w:shd w:val="clear" w:color="auto" w:fill="C60C35"/>
          </w:tcPr>
          <w:p>
            <w:pPr>
              <w:spacing w:after="0"/>
              <w:rPr>
                <w:sz w:val="15"/>
                <w:szCs w:val="15"/>
                <w:color w:val="auto"/>
              </w:rPr>
            </w:pPr>
          </w:p>
        </w:tc>
        <w:tc>
          <w:tcPr>
            <w:tcW w:w="880" w:type="dxa"/>
            <w:vAlign w:val="bottom"/>
            <w:shd w:val="clear" w:color="auto" w:fill="C60C35"/>
          </w:tcPr>
          <w:p>
            <w:pPr>
              <w:spacing w:after="0"/>
              <w:rPr>
                <w:sz w:val="15"/>
                <w:szCs w:val="15"/>
                <w:color w:val="auto"/>
              </w:rPr>
            </w:pPr>
          </w:p>
        </w:tc>
        <w:tc>
          <w:tcPr>
            <w:tcW w:w="880" w:type="dxa"/>
            <w:vAlign w:val="bottom"/>
            <w:shd w:val="clear" w:color="auto" w:fill="C60C35"/>
          </w:tcPr>
          <w:p>
            <w:pPr>
              <w:spacing w:after="0"/>
              <w:rPr>
                <w:sz w:val="15"/>
                <w:szCs w:val="15"/>
                <w:color w:val="auto"/>
              </w:rPr>
            </w:pPr>
          </w:p>
        </w:tc>
        <w:tc>
          <w:tcPr>
            <w:tcW w:w="820" w:type="dxa"/>
            <w:vAlign w:val="bottom"/>
            <w:shd w:val="clear" w:color="auto" w:fill="C60C35"/>
          </w:tcPr>
          <w:p>
            <w:pPr>
              <w:spacing w:after="0"/>
              <w:rPr>
                <w:sz w:val="15"/>
                <w:szCs w:val="15"/>
                <w:color w:val="auto"/>
              </w:rPr>
            </w:pPr>
          </w:p>
        </w:tc>
        <w:tc>
          <w:tcPr>
            <w:tcW w:w="760" w:type="dxa"/>
            <w:vAlign w:val="bottom"/>
            <w:shd w:val="clear" w:color="auto" w:fill="C60C35"/>
          </w:tcPr>
          <w:p>
            <w:pPr>
              <w:spacing w:after="0"/>
              <w:rPr>
                <w:sz w:val="15"/>
                <w:szCs w:val="15"/>
                <w:color w:val="auto"/>
              </w:rPr>
            </w:pPr>
          </w:p>
        </w:tc>
        <w:tc>
          <w:tcPr>
            <w:tcW w:w="1320" w:type="dxa"/>
            <w:vAlign w:val="bottom"/>
            <w:shd w:val="clear" w:color="auto" w:fill="C60C35"/>
          </w:tcPr>
          <w:p>
            <w:pPr>
              <w:spacing w:after="0"/>
              <w:rPr>
                <w:sz w:val="15"/>
                <w:szCs w:val="15"/>
                <w:color w:val="auto"/>
              </w:rPr>
            </w:pPr>
          </w:p>
        </w:tc>
        <w:tc>
          <w:tcPr>
            <w:tcW w:w="1400" w:type="dxa"/>
            <w:vAlign w:val="bottom"/>
            <w:shd w:val="clear" w:color="auto" w:fill="C60C35"/>
          </w:tcPr>
          <w:p>
            <w:pPr>
              <w:jc w:val="right"/>
              <w:ind w:right="16"/>
              <w:spacing w:after="0"/>
              <w:rPr>
                <w:sz w:val="20"/>
                <w:szCs w:val="20"/>
                <w:color w:val="auto"/>
              </w:rPr>
            </w:pPr>
            <w:r>
              <w:rPr>
                <w:rFonts w:ascii="Arial" w:cs="Arial" w:eastAsia="Arial" w:hAnsi="Arial"/>
                <w:sz w:val="14"/>
                <w:szCs w:val="14"/>
                <w:b w:val="1"/>
                <w:bCs w:val="1"/>
                <w:color w:val="FFFFFF"/>
              </w:rPr>
              <w:t>Nonqualified</w:t>
            </w:r>
          </w:p>
        </w:tc>
        <w:tc>
          <w:tcPr>
            <w:tcW w:w="1400" w:type="dxa"/>
            <w:vAlign w:val="bottom"/>
            <w:shd w:val="clear" w:color="auto" w:fill="C60C35"/>
          </w:tcPr>
          <w:p>
            <w:pPr>
              <w:spacing w:after="0"/>
              <w:rPr>
                <w:sz w:val="15"/>
                <w:szCs w:val="15"/>
                <w:color w:val="auto"/>
              </w:rPr>
            </w:pPr>
          </w:p>
        </w:tc>
        <w:tc>
          <w:tcPr>
            <w:tcW w:w="940" w:type="dxa"/>
            <w:vAlign w:val="bottom"/>
            <w:shd w:val="clear" w:color="auto" w:fill="C60C3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60C35"/>
          </w:tcPr>
          <w:p>
            <w:pPr>
              <w:spacing w:after="0"/>
              <w:rPr>
                <w:sz w:val="15"/>
                <w:szCs w:val="15"/>
                <w:color w:val="auto"/>
              </w:rPr>
            </w:pPr>
          </w:p>
        </w:tc>
        <w:tc>
          <w:tcPr>
            <w:tcW w:w="520" w:type="dxa"/>
            <w:vAlign w:val="bottom"/>
            <w:shd w:val="clear" w:color="auto" w:fill="C60C35"/>
          </w:tcPr>
          <w:p>
            <w:pPr>
              <w:spacing w:after="0"/>
              <w:rPr>
                <w:sz w:val="15"/>
                <w:szCs w:val="15"/>
                <w:color w:val="auto"/>
              </w:rPr>
            </w:pPr>
          </w:p>
        </w:tc>
        <w:tc>
          <w:tcPr>
            <w:tcW w:w="880" w:type="dxa"/>
            <w:vAlign w:val="bottom"/>
            <w:shd w:val="clear" w:color="auto" w:fill="C60C35"/>
          </w:tcPr>
          <w:p>
            <w:pPr>
              <w:spacing w:after="0"/>
              <w:rPr>
                <w:sz w:val="15"/>
                <w:szCs w:val="15"/>
                <w:color w:val="auto"/>
              </w:rPr>
            </w:pPr>
          </w:p>
        </w:tc>
        <w:tc>
          <w:tcPr>
            <w:tcW w:w="880" w:type="dxa"/>
            <w:vAlign w:val="bottom"/>
            <w:shd w:val="clear" w:color="auto" w:fill="C60C35"/>
          </w:tcPr>
          <w:p>
            <w:pPr>
              <w:spacing w:after="0"/>
              <w:rPr>
                <w:sz w:val="15"/>
                <w:szCs w:val="15"/>
                <w:color w:val="auto"/>
              </w:rPr>
            </w:pPr>
          </w:p>
        </w:tc>
        <w:tc>
          <w:tcPr>
            <w:tcW w:w="820" w:type="dxa"/>
            <w:vAlign w:val="bottom"/>
            <w:shd w:val="clear" w:color="auto" w:fill="C60C35"/>
          </w:tcPr>
          <w:p>
            <w:pPr>
              <w:spacing w:after="0"/>
              <w:rPr>
                <w:sz w:val="15"/>
                <w:szCs w:val="15"/>
                <w:color w:val="auto"/>
              </w:rPr>
            </w:pPr>
          </w:p>
        </w:tc>
        <w:tc>
          <w:tcPr>
            <w:tcW w:w="760" w:type="dxa"/>
            <w:vAlign w:val="bottom"/>
            <w:shd w:val="clear" w:color="auto" w:fill="C60C35"/>
          </w:tcPr>
          <w:p>
            <w:pPr>
              <w:spacing w:after="0"/>
              <w:rPr>
                <w:sz w:val="15"/>
                <w:szCs w:val="15"/>
                <w:color w:val="auto"/>
              </w:rPr>
            </w:pPr>
          </w:p>
        </w:tc>
        <w:tc>
          <w:tcPr>
            <w:tcW w:w="1320" w:type="dxa"/>
            <w:vAlign w:val="bottom"/>
            <w:shd w:val="clear" w:color="auto" w:fill="C60C35"/>
          </w:tcPr>
          <w:p>
            <w:pPr>
              <w:spacing w:after="0"/>
              <w:rPr>
                <w:sz w:val="15"/>
                <w:szCs w:val="15"/>
                <w:color w:val="auto"/>
              </w:rPr>
            </w:pPr>
          </w:p>
        </w:tc>
        <w:tc>
          <w:tcPr>
            <w:tcW w:w="1400" w:type="dxa"/>
            <w:vAlign w:val="bottom"/>
            <w:shd w:val="clear" w:color="auto" w:fill="C60C35"/>
          </w:tcPr>
          <w:p>
            <w:pPr>
              <w:jc w:val="right"/>
              <w:ind w:right="16"/>
              <w:spacing w:after="0"/>
              <w:rPr>
                <w:sz w:val="20"/>
                <w:szCs w:val="20"/>
                <w:color w:val="auto"/>
              </w:rPr>
            </w:pPr>
            <w:r>
              <w:rPr>
                <w:rFonts w:ascii="Arial" w:cs="Arial" w:eastAsia="Arial" w:hAnsi="Arial"/>
                <w:sz w:val="14"/>
                <w:szCs w:val="14"/>
                <w:b w:val="1"/>
                <w:bCs w:val="1"/>
                <w:color w:val="FFFFFF"/>
              </w:rPr>
              <w:t>Deferred</w:t>
            </w:r>
          </w:p>
        </w:tc>
        <w:tc>
          <w:tcPr>
            <w:tcW w:w="1400" w:type="dxa"/>
            <w:vAlign w:val="bottom"/>
            <w:shd w:val="clear" w:color="auto" w:fill="C60C35"/>
          </w:tcPr>
          <w:p>
            <w:pPr>
              <w:spacing w:after="0"/>
              <w:rPr>
                <w:sz w:val="15"/>
                <w:szCs w:val="15"/>
                <w:color w:val="auto"/>
              </w:rPr>
            </w:pPr>
          </w:p>
        </w:tc>
        <w:tc>
          <w:tcPr>
            <w:tcW w:w="940" w:type="dxa"/>
            <w:vAlign w:val="bottom"/>
            <w:shd w:val="clear" w:color="auto" w:fill="C60C3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60C35"/>
          </w:tcPr>
          <w:p>
            <w:pPr>
              <w:spacing w:after="0"/>
              <w:rPr>
                <w:sz w:val="15"/>
                <w:szCs w:val="15"/>
                <w:color w:val="auto"/>
              </w:rPr>
            </w:pPr>
          </w:p>
        </w:tc>
        <w:tc>
          <w:tcPr>
            <w:tcW w:w="520" w:type="dxa"/>
            <w:vAlign w:val="bottom"/>
            <w:shd w:val="clear" w:color="auto" w:fill="C60C35"/>
          </w:tcPr>
          <w:p>
            <w:pPr>
              <w:spacing w:after="0"/>
              <w:rPr>
                <w:sz w:val="15"/>
                <w:szCs w:val="15"/>
                <w:color w:val="auto"/>
              </w:rPr>
            </w:pPr>
          </w:p>
        </w:tc>
        <w:tc>
          <w:tcPr>
            <w:tcW w:w="880" w:type="dxa"/>
            <w:vAlign w:val="bottom"/>
            <w:shd w:val="clear" w:color="auto" w:fill="C60C35"/>
          </w:tcPr>
          <w:p>
            <w:pPr>
              <w:spacing w:after="0"/>
              <w:rPr>
                <w:sz w:val="15"/>
                <w:szCs w:val="15"/>
                <w:color w:val="auto"/>
              </w:rPr>
            </w:pPr>
          </w:p>
        </w:tc>
        <w:tc>
          <w:tcPr>
            <w:tcW w:w="880" w:type="dxa"/>
            <w:vAlign w:val="bottom"/>
            <w:shd w:val="clear" w:color="auto" w:fill="C60C35"/>
          </w:tcPr>
          <w:p>
            <w:pPr>
              <w:spacing w:after="0"/>
              <w:rPr>
                <w:sz w:val="15"/>
                <w:szCs w:val="15"/>
                <w:color w:val="auto"/>
              </w:rPr>
            </w:pPr>
          </w:p>
        </w:tc>
        <w:tc>
          <w:tcPr>
            <w:tcW w:w="820" w:type="dxa"/>
            <w:vAlign w:val="bottom"/>
            <w:shd w:val="clear" w:color="auto" w:fill="C60C35"/>
          </w:tcPr>
          <w:p>
            <w:pPr>
              <w:jc w:val="right"/>
              <w:ind w:right="15"/>
              <w:spacing w:after="0"/>
              <w:rPr>
                <w:sz w:val="20"/>
                <w:szCs w:val="20"/>
                <w:color w:val="auto"/>
              </w:rPr>
            </w:pPr>
            <w:r>
              <w:rPr>
                <w:rFonts w:ascii="Arial" w:cs="Arial" w:eastAsia="Arial" w:hAnsi="Arial"/>
                <w:sz w:val="14"/>
                <w:szCs w:val="14"/>
                <w:b w:val="1"/>
                <w:bCs w:val="1"/>
                <w:color w:val="FFFFFF"/>
              </w:rPr>
              <w:t>Stock</w:t>
            </w:r>
          </w:p>
        </w:tc>
        <w:tc>
          <w:tcPr>
            <w:tcW w:w="76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Option</w:t>
            </w:r>
          </w:p>
        </w:tc>
        <w:tc>
          <w:tcPr>
            <w:tcW w:w="13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Non-Equity</w:t>
            </w:r>
          </w:p>
        </w:tc>
        <w:tc>
          <w:tcPr>
            <w:tcW w:w="1400" w:type="dxa"/>
            <w:vAlign w:val="bottom"/>
            <w:shd w:val="clear" w:color="auto" w:fill="C60C35"/>
          </w:tcPr>
          <w:p>
            <w:pPr>
              <w:jc w:val="right"/>
              <w:ind w:right="16"/>
              <w:spacing w:after="0"/>
              <w:rPr>
                <w:sz w:val="20"/>
                <w:szCs w:val="20"/>
                <w:color w:val="auto"/>
              </w:rPr>
            </w:pPr>
            <w:r>
              <w:rPr>
                <w:rFonts w:ascii="Arial" w:cs="Arial" w:eastAsia="Arial" w:hAnsi="Arial"/>
                <w:sz w:val="14"/>
                <w:szCs w:val="14"/>
                <w:b w:val="1"/>
                <w:bCs w:val="1"/>
                <w:color w:val="FFFFFF"/>
              </w:rPr>
              <w:t>Compensation</w:t>
            </w:r>
          </w:p>
        </w:tc>
        <w:tc>
          <w:tcPr>
            <w:tcW w:w="1400" w:type="dxa"/>
            <w:vAlign w:val="bottom"/>
            <w:vMerge w:val="restart"/>
            <w:shd w:val="clear" w:color="auto" w:fill="C60C35"/>
          </w:tcPr>
          <w:p>
            <w:pPr>
              <w:jc w:val="right"/>
              <w:ind w:right="57"/>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C60C35"/>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20" w:type="dxa"/>
            <w:vAlign w:val="bottom"/>
            <w:vMerge w:val="restart"/>
            <w:shd w:val="clear" w:color="auto" w:fill="C60C35"/>
          </w:tcPr>
          <w:p>
            <w:pPr>
              <w:ind w:left="100"/>
              <w:spacing w:after="0"/>
              <w:rPr>
                <w:sz w:val="20"/>
                <w:szCs w:val="20"/>
                <w:color w:val="auto"/>
              </w:rPr>
            </w:pPr>
            <w:r>
              <w:rPr>
                <w:rFonts w:ascii="Arial" w:cs="Arial" w:eastAsia="Arial" w:hAnsi="Arial"/>
                <w:sz w:val="14"/>
                <w:szCs w:val="14"/>
                <w:b w:val="1"/>
                <w:bCs w:val="1"/>
                <w:color w:val="FFFFFF"/>
              </w:rPr>
              <w:t>Name and</w:t>
            </w:r>
          </w:p>
        </w:tc>
        <w:tc>
          <w:tcPr>
            <w:tcW w:w="520" w:type="dxa"/>
            <w:vAlign w:val="bottom"/>
            <w:shd w:val="clear" w:color="auto" w:fill="C60C35"/>
          </w:tcPr>
          <w:p>
            <w:pPr>
              <w:spacing w:after="0"/>
              <w:rPr>
                <w:sz w:val="5"/>
                <w:szCs w:val="5"/>
                <w:color w:val="auto"/>
              </w:rPr>
            </w:pPr>
          </w:p>
        </w:tc>
        <w:tc>
          <w:tcPr>
            <w:tcW w:w="880" w:type="dxa"/>
            <w:vAlign w:val="bottom"/>
            <w:vMerge w:val="restart"/>
            <w:shd w:val="clear" w:color="auto" w:fill="C60C35"/>
          </w:tcPr>
          <w:p>
            <w:pPr>
              <w:jc w:val="right"/>
              <w:ind w:right="56"/>
              <w:spacing w:after="0"/>
              <w:rPr>
                <w:sz w:val="20"/>
                <w:szCs w:val="20"/>
                <w:color w:val="auto"/>
              </w:rPr>
            </w:pPr>
            <w:r>
              <w:rPr>
                <w:rFonts w:ascii="Arial" w:cs="Arial" w:eastAsia="Arial" w:hAnsi="Arial"/>
                <w:sz w:val="14"/>
                <w:szCs w:val="14"/>
                <w:b w:val="1"/>
                <w:bCs w:val="1"/>
                <w:color w:val="FFFFFF"/>
              </w:rPr>
              <w:t>Salary</w:t>
            </w:r>
          </w:p>
        </w:tc>
        <w:tc>
          <w:tcPr>
            <w:tcW w:w="880" w:type="dxa"/>
            <w:vAlign w:val="bottom"/>
            <w:shd w:val="clear" w:color="auto" w:fill="C60C35"/>
          </w:tcPr>
          <w:p>
            <w:pPr>
              <w:spacing w:after="0"/>
              <w:rPr>
                <w:sz w:val="5"/>
                <w:szCs w:val="5"/>
                <w:color w:val="auto"/>
              </w:rPr>
            </w:pPr>
          </w:p>
        </w:tc>
        <w:tc>
          <w:tcPr>
            <w:tcW w:w="820" w:type="dxa"/>
            <w:vAlign w:val="bottom"/>
            <w:vMerge w:val="restart"/>
            <w:shd w:val="clear" w:color="auto" w:fill="C60C35"/>
          </w:tcPr>
          <w:p>
            <w:pPr>
              <w:jc w:val="right"/>
              <w:ind w:right="15"/>
              <w:spacing w:after="0"/>
              <w:rPr>
                <w:sz w:val="20"/>
                <w:szCs w:val="20"/>
                <w:color w:val="auto"/>
              </w:rPr>
            </w:pPr>
            <w:r>
              <w:rPr>
                <w:rFonts w:ascii="Arial" w:cs="Arial" w:eastAsia="Arial" w:hAnsi="Arial"/>
                <w:sz w:val="14"/>
                <w:szCs w:val="14"/>
                <w:b w:val="1"/>
                <w:bCs w:val="1"/>
                <w:color w:val="FFFFFF"/>
              </w:rPr>
              <w:t>Awards</w:t>
            </w:r>
          </w:p>
        </w:tc>
        <w:tc>
          <w:tcPr>
            <w:tcW w:w="760" w:type="dxa"/>
            <w:vAlign w:val="bottom"/>
            <w:vMerge w:val="restart"/>
            <w:shd w:val="clear" w:color="auto" w:fill="C60C35"/>
          </w:tcPr>
          <w:p>
            <w:pPr>
              <w:jc w:val="right"/>
              <w:spacing w:after="0"/>
              <w:rPr>
                <w:sz w:val="20"/>
                <w:szCs w:val="20"/>
                <w:color w:val="auto"/>
              </w:rPr>
            </w:pPr>
            <w:r>
              <w:rPr>
                <w:rFonts w:ascii="Arial" w:cs="Arial" w:eastAsia="Arial" w:hAnsi="Arial"/>
                <w:sz w:val="14"/>
                <w:szCs w:val="14"/>
                <w:b w:val="1"/>
                <w:bCs w:val="1"/>
                <w:color w:val="FFFFFF"/>
              </w:rPr>
              <w:t>Awards</w:t>
            </w:r>
          </w:p>
        </w:tc>
        <w:tc>
          <w:tcPr>
            <w:tcW w:w="1320" w:type="dxa"/>
            <w:vAlign w:val="bottom"/>
            <w:vMerge w:val="restart"/>
            <w:shd w:val="clear" w:color="auto" w:fill="C60C35"/>
          </w:tcPr>
          <w:p>
            <w:pPr>
              <w:jc w:val="right"/>
              <w:spacing w:after="0"/>
              <w:rPr>
                <w:sz w:val="20"/>
                <w:szCs w:val="20"/>
                <w:color w:val="auto"/>
              </w:rPr>
            </w:pPr>
            <w:r>
              <w:rPr>
                <w:rFonts w:ascii="Arial" w:cs="Arial" w:eastAsia="Arial" w:hAnsi="Arial"/>
                <w:sz w:val="14"/>
                <w:szCs w:val="14"/>
                <w:b w:val="1"/>
                <w:bCs w:val="1"/>
                <w:color w:val="FFFFFF"/>
              </w:rPr>
              <w:t>Incentive Plan</w:t>
            </w:r>
          </w:p>
        </w:tc>
        <w:tc>
          <w:tcPr>
            <w:tcW w:w="1400" w:type="dxa"/>
            <w:vAlign w:val="bottom"/>
            <w:vMerge w:val="restart"/>
            <w:shd w:val="clear" w:color="auto" w:fill="C60C35"/>
          </w:tcPr>
          <w:p>
            <w:pPr>
              <w:jc w:val="right"/>
              <w:ind w:right="16"/>
              <w:spacing w:after="0"/>
              <w:rPr>
                <w:sz w:val="20"/>
                <w:szCs w:val="20"/>
                <w:color w:val="auto"/>
              </w:rPr>
            </w:pPr>
            <w:r>
              <w:rPr>
                <w:rFonts w:ascii="Arial" w:cs="Arial" w:eastAsia="Arial" w:hAnsi="Arial"/>
                <w:sz w:val="14"/>
                <w:szCs w:val="14"/>
                <w:b w:val="1"/>
                <w:bCs w:val="1"/>
                <w:color w:val="FFFFFF"/>
              </w:rPr>
              <w:t>Earnings</w:t>
            </w:r>
          </w:p>
        </w:tc>
        <w:tc>
          <w:tcPr>
            <w:tcW w:w="1400" w:type="dxa"/>
            <w:vAlign w:val="bottom"/>
            <w:vMerge w:val="continue"/>
            <w:shd w:val="clear" w:color="auto" w:fill="C60C35"/>
          </w:tcPr>
          <w:p>
            <w:pPr>
              <w:spacing w:after="0"/>
              <w:rPr>
                <w:sz w:val="5"/>
                <w:szCs w:val="5"/>
                <w:color w:val="auto"/>
              </w:rPr>
            </w:pPr>
          </w:p>
        </w:tc>
        <w:tc>
          <w:tcPr>
            <w:tcW w:w="940" w:type="dxa"/>
            <w:vAlign w:val="bottom"/>
            <w:vMerge w:val="restart"/>
            <w:shd w:val="clear" w:color="auto" w:fill="C60C35"/>
          </w:tcPr>
          <w:p>
            <w:pPr>
              <w:jc w:val="right"/>
              <w:ind w:right="136"/>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4"/>
        </w:trPr>
        <w:tc>
          <w:tcPr>
            <w:tcW w:w="2320" w:type="dxa"/>
            <w:vAlign w:val="bottom"/>
            <w:vMerge w:val="continue"/>
            <w:shd w:val="clear" w:color="auto" w:fill="C60C35"/>
          </w:tcPr>
          <w:p>
            <w:pPr>
              <w:spacing w:after="0"/>
              <w:rPr>
                <w:sz w:val="12"/>
                <w:szCs w:val="12"/>
                <w:color w:val="auto"/>
              </w:rPr>
            </w:pPr>
          </w:p>
        </w:tc>
        <w:tc>
          <w:tcPr>
            <w:tcW w:w="520" w:type="dxa"/>
            <w:vAlign w:val="bottom"/>
            <w:vMerge w:val="restart"/>
            <w:shd w:val="clear" w:color="auto" w:fill="C60C35"/>
          </w:tcPr>
          <w:p>
            <w:pPr>
              <w:ind w:left="120"/>
              <w:spacing w:after="0"/>
              <w:rPr>
                <w:sz w:val="20"/>
                <w:szCs w:val="20"/>
                <w:color w:val="auto"/>
              </w:rPr>
            </w:pPr>
            <w:r>
              <w:rPr>
                <w:rFonts w:ascii="Arial" w:cs="Arial" w:eastAsia="Arial" w:hAnsi="Arial"/>
                <w:sz w:val="14"/>
                <w:szCs w:val="14"/>
                <w:b w:val="1"/>
                <w:bCs w:val="1"/>
                <w:color w:val="FFFFFF"/>
              </w:rPr>
              <w:t>Year</w:t>
            </w:r>
          </w:p>
        </w:tc>
        <w:tc>
          <w:tcPr>
            <w:tcW w:w="880" w:type="dxa"/>
            <w:vAlign w:val="bottom"/>
            <w:vMerge w:val="continue"/>
            <w:shd w:val="clear" w:color="auto" w:fill="C60C35"/>
          </w:tcPr>
          <w:p>
            <w:pPr>
              <w:spacing w:after="0"/>
              <w:rPr>
                <w:sz w:val="12"/>
                <w:szCs w:val="12"/>
                <w:color w:val="auto"/>
              </w:rPr>
            </w:pPr>
          </w:p>
        </w:tc>
        <w:tc>
          <w:tcPr>
            <w:tcW w:w="880" w:type="dxa"/>
            <w:vAlign w:val="bottom"/>
            <w:vMerge w:val="restart"/>
            <w:shd w:val="clear" w:color="auto" w:fill="C60C35"/>
          </w:tcPr>
          <w:p>
            <w:pPr>
              <w:jc w:val="right"/>
              <w:ind w:right="56"/>
              <w:spacing w:after="0"/>
              <w:rPr>
                <w:sz w:val="20"/>
                <w:szCs w:val="20"/>
                <w:color w:val="auto"/>
              </w:rPr>
            </w:pPr>
            <w:r>
              <w:rPr>
                <w:rFonts w:ascii="Arial" w:cs="Arial" w:eastAsia="Arial" w:hAnsi="Arial"/>
                <w:sz w:val="14"/>
                <w:szCs w:val="14"/>
                <w:b w:val="1"/>
                <w:bCs w:val="1"/>
                <w:color w:val="FFFFFF"/>
              </w:rPr>
              <w:t>Bonus ($)</w:t>
            </w:r>
          </w:p>
        </w:tc>
        <w:tc>
          <w:tcPr>
            <w:tcW w:w="820" w:type="dxa"/>
            <w:vAlign w:val="bottom"/>
            <w:vMerge w:val="continue"/>
            <w:shd w:val="clear" w:color="auto" w:fill="C60C35"/>
          </w:tcPr>
          <w:p>
            <w:pPr>
              <w:spacing w:after="0"/>
              <w:rPr>
                <w:sz w:val="12"/>
                <w:szCs w:val="12"/>
                <w:color w:val="auto"/>
              </w:rPr>
            </w:pPr>
          </w:p>
        </w:tc>
        <w:tc>
          <w:tcPr>
            <w:tcW w:w="760" w:type="dxa"/>
            <w:vAlign w:val="bottom"/>
            <w:vMerge w:val="continue"/>
            <w:shd w:val="clear" w:color="auto" w:fill="C60C35"/>
          </w:tcPr>
          <w:p>
            <w:pPr>
              <w:spacing w:after="0"/>
              <w:rPr>
                <w:sz w:val="12"/>
                <w:szCs w:val="12"/>
                <w:color w:val="auto"/>
              </w:rPr>
            </w:pPr>
          </w:p>
        </w:tc>
        <w:tc>
          <w:tcPr>
            <w:tcW w:w="1320" w:type="dxa"/>
            <w:vAlign w:val="bottom"/>
            <w:vMerge w:val="continue"/>
            <w:shd w:val="clear" w:color="auto" w:fill="C60C35"/>
          </w:tcPr>
          <w:p>
            <w:pPr>
              <w:spacing w:after="0"/>
              <w:rPr>
                <w:sz w:val="12"/>
                <w:szCs w:val="12"/>
                <w:color w:val="auto"/>
              </w:rPr>
            </w:pPr>
          </w:p>
        </w:tc>
        <w:tc>
          <w:tcPr>
            <w:tcW w:w="1400" w:type="dxa"/>
            <w:vAlign w:val="bottom"/>
            <w:vMerge w:val="continue"/>
            <w:shd w:val="clear" w:color="auto" w:fill="C60C35"/>
          </w:tcPr>
          <w:p>
            <w:pPr>
              <w:spacing w:after="0"/>
              <w:rPr>
                <w:sz w:val="12"/>
                <w:szCs w:val="12"/>
                <w:color w:val="auto"/>
              </w:rPr>
            </w:pPr>
          </w:p>
        </w:tc>
        <w:tc>
          <w:tcPr>
            <w:tcW w:w="1400" w:type="dxa"/>
            <w:vAlign w:val="bottom"/>
            <w:shd w:val="clear" w:color="auto" w:fill="C60C35"/>
          </w:tcPr>
          <w:p>
            <w:pPr>
              <w:jc w:val="right"/>
              <w:ind w:right="57"/>
              <w:spacing w:after="0" w:line="145" w:lineRule="exact"/>
              <w:rPr>
                <w:sz w:val="20"/>
                <w:szCs w:val="20"/>
                <w:color w:val="auto"/>
              </w:rPr>
            </w:pPr>
            <w:r>
              <w:rPr>
                <w:rFonts w:ascii="Arial" w:cs="Arial" w:eastAsia="Arial" w:hAnsi="Arial"/>
                <w:sz w:val="14"/>
                <w:szCs w:val="14"/>
                <w:b w:val="1"/>
                <w:bCs w:val="1"/>
                <w:color w:val="FFFFFF"/>
              </w:rPr>
              <w:t>Compensation ($)</w:t>
            </w:r>
          </w:p>
        </w:tc>
        <w:tc>
          <w:tcPr>
            <w:tcW w:w="940" w:type="dxa"/>
            <w:vAlign w:val="bottom"/>
            <w:vMerge w:val="continue"/>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Principal Position</w:t>
            </w:r>
          </w:p>
        </w:tc>
        <w:tc>
          <w:tcPr>
            <w:tcW w:w="520" w:type="dxa"/>
            <w:vAlign w:val="bottom"/>
            <w:vMerge w:val="continue"/>
            <w:shd w:val="clear" w:color="auto" w:fill="C60C35"/>
          </w:tcPr>
          <w:p>
            <w:pPr>
              <w:spacing w:after="0"/>
              <w:rPr>
                <w:sz w:val="16"/>
                <w:szCs w:val="16"/>
                <w:color w:val="auto"/>
              </w:rPr>
            </w:pPr>
          </w:p>
        </w:tc>
        <w:tc>
          <w:tcPr>
            <w:tcW w:w="880" w:type="dxa"/>
            <w:vAlign w:val="bottom"/>
            <w:shd w:val="clear" w:color="auto" w:fill="C60C35"/>
          </w:tcPr>
          <w:p>
            <w:pPr>
              <w:jc w:val="right"/>
              <w:ind w:right="16"/>
              <w:spacing w:after="0"/>
              <w:rPr>
                <w:sz w:val="20"/>
                <w:szCs w:val="20"/>
                <w:color w:val="auto"/>
              </w:rPr>
            </w:pPr>
            <w:r>
              <w:rPr>
                <w:rFonts w:ascii="Arial" w:cs="Arial" w:eastAsia="Arial" w:hAnsi="Arial"/>
                <w:sz w:val="14"/>
                <w:szCs w:val="14"/>
                <w:b w:val="1"/>
                <w:bCs w:val="1"/>
                <w:color w:val="FFFFFF"/>
              </w:rPr>
              <w:t>($)</w:t>
            </w:r>
          </w:p>
        </w:tc>
        <w:tc>
          <w:tcPr>
            <w:tcW w:w="880" w:type="dxa"/>
            <w:vAlign w:val="bottom"/>
            <w:vMerge w:val="continue"/>
            <w:shd w:val="clear" w:color="auto" w:fill="C60C35"/>
          </w:tcPr>
          <w:p>
            <w:pPr>
              <w:spacing w:after="0"/>
              <w:rPr>
                <w:sz w:val="16"/>
                <w:szCs w:val="16"/>
                <w:color w:val="auto"/>
              </w:rPr>
            </w:pPr>
          </w:p>
        </w:tc>
        <w:tc>
          <w:tcPr>
            <w:tcW w:w="820" w:type="dxa"/>
            <w:vAlign w:val="bottom"/>
            <w:shd w:val="clear" w:color="auto" w:fill="C60C35"/>
          </w:tcPr>
          <w:p>
            <w:pPr>
              <w:jc w:val="right"/>
              <w:ind w:right="15"/>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(1)</w:t>
            </w:r>
          </w:p>
        </w:tc>
        <w:tc>
          <w:tcPr>
            <w:tcW w:w="76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(2)</w:t>
            </w:r>
          </w:p>
        </w:tc>
        <w:tc>
          <w:tcPr>
            <w:tcW w:w="13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Compensation ($)</w:t>
            </w:r>
          </w:p>
        </w:tc>
        <w:tc>
          <w:tcPr>
            <w:tcW w:w="1400" w:type="dxa"/>
            <w:vAlign w:val="bottom"/>
            <w:shd w:val="clear" w:color="auto" w:fill="C60C35"/>
          </w:tcPr>
          <w:p>
            <w:pPr>
              <w:jc w:val="right"/>
              <w:ind w:right="16"/>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8"/>
                <w:szCs w:val="8"/>
                <w:b w:val="1"/>
                <w:bCs w:val="1"/>
                <w:color w:val="FFFFFF"/>
              </w:rPr>
              <w:t>(3)</w:t>
            </w:r>
          </w:p>
        </w:tc>
        <w:tc>
          <w:tcPr>
            <w:tcW w:w="1400" w:type="dxa"/>
            <w:vAlign w:val="bottom"/>
            <w:shd w:val="clear" w:color="auto" w:fill="C60C35"/>
          </w:tcPr>
          <w:p>
            <w:pPr>
              <w:jc w:val="right"/>
              <w:ind w:right="57"/>
              <w:spacing w:after="0"/>
              <w:rPr>
                <w:sz w:val="20"/>
                <w:szCs w:val="20"/>
                <w:color w:val="auto"/>
              </w:rPr>
            </w:pPr>
            <w:r>
              <w:rPr>
                <w:rFonts w:ascii="Arial" w:cs="Arial" w:eastAsia="Arial" w:hAnsi="Arial"/>
                <w:sz w:val="9"/>
                <w:szCs w:val="9"/>
                <w:b w:val="1"/>
                <w:bCs w:val="1"/>
                <w:color w:val="FFFFFF"/>
              </w:rPr>
              <w:t>(4)</w:t>
            </w:r>
          </w:p>
        </w:tc>
        <w:tc>
          <w:tcPr>
            <w:tcW w:w="940" w:type="dxa"/>
            <w:vAlign w:val="bottom"/>
            <w:shd w:val="clear" w:color="auto" w:fill="C60C35"/>
          </w:tcPr>
          <w:p>
            <w:pPr>
              <w:jc w:val="right"/>
              <w:ind w:right="96"/>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5"/>
        </w:trPr>
        <w:tc>
          <w:tcPr>
            <w:tcW w:w="23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Alok Maskara</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2024</w:t>
            </w:r>
          </w:p>
        </w:tc>
        <w:tc>
          <w:tcPr>
            <w:tcW w:w="88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1,131,250</w:t>
            </w:r>
          </w:p>
        </w:tc>
        <w:tc>
          <w:tcPr>
            <w:tcW w:w="88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ind w:right="55"/>
              <w:spacing w:after="0"/>
              <w:rPr>
                <w:sz w:val="20"/>
                <w:szCs w:val="20"/>
                <w:color w:val="auto"/>
              </w:rPr>
            </w:pPr>
            <w:r>
              <w:rPr>
                <w:rFonts w:ascii="Arial" w:cs="Arial" w:eastAsia="Arial" w:hAnsi="Arial"/>
                <w:sz w:val="13"/>
                <w:szCs w:val="13"/>
                <w:color w:val="auto"/>
              </w:rPr>
              <w:t>4,429,662</w:t>
            </w:r>
          </w:p>
        </w:tc>
        <w:tc>
          <w:tcPr>
            <w:tcW w:w="760" w:type="dxa"/>
            <w:vAlign w:val="bottom"/>
            <w:shd w:val="clear" w:color="auto" w:fill="F1F2F2"/>
          </w:tcPr>
          <w:p>
            <w:pPr>
              <w:jc w:val="right"/>
              <w:ind w:right="35"/>
              <w:spacing w:after="0"/>
              <w:rPr>
                <w:sz w:val="20"/>
                <w:szCs w:val="20"/>
                <w:color w:val="auto"/>
              </w:rPr>
            </w:pPr>
            <w:r>
              <w:rPr>
                <w:rFonts w:ascii="Arial" w:cs="Arial" w:eastAsia="Arial" w:hAnsi="Arial"/>
                <w:sz w:val="13"/>
                <w:szCs w:val="13"/>
                <w:color w:val="auto"/>
              </w:rPr>
              <w:t>1,125,423</w:t>
            </w:r>
          </w:p>
        </w:tc>
        <w:tc>
          <w:tcPr>
            <w:tcW w:w="132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2,948,762</w:t>
            </w:r>
          </w:p>
        </w:tc>
        <w:tc>
          <w:tcPr>
            <w:tcW w:w="140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272,814</w:t>
            </w:r>
          </w:p>
        </w:tc>
        <w:tc>
          <w:tcPr>
            <w:tcW w:w="94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9,907,911</w:t>
            </w:r>
          </w:p>
        </w:tc>
        <w:tc>
          <w:tcPr>
            <w:tcW w:w="0" w:type="dxa"/>
            <w:vAlign w:val="bottom"/>
          </w:tcPr>
          <w:p>
            <w:pPr>
              <w:spacing w:after="0"/>
              <w:rPr>
                <w:sz w:val="1"/>
                <w:szCs w:val="1"/>
                <w:color w:val="auto"/>
              </w:rPr>
            </w:pPr>
          </w:p>
        </w:tc>
      </w:tr>
      <w:tr>
        <w:trPr>
          <w:trHeight w:val="229"/>
        </w:trPr>
        <w:tc>
          <w:tcPr>
            <w:tcW w:w="232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President and Chief Executive Officer</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2023</w:t>
            </w:r>
          </w:p>
        </w:tc>
        <w:tc>
          <w:tcPr>
            <w:tcW w:w="88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1,064,750</w:t>
            </w:r>
          </w:p>
        </w:tc>
        <w:tc>
          <w:tcPr>
            <w:tcW w:w="88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2,729,934</w:t>
            </w:r>
          </w:p>
        </w:tc>
        <w:tc>
          <w:tcPr>
            <w:tcW w:w="140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1,188,979</w:t>
            </w:r>
          </w:p>
        </w:tc>
        <w:tc>
          <w:tcPr>
            <w:tcW w:w="94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4,983,663</w:t>
            </w:r>
          </w:p>
        </w:tc>
        <w:tc>
          <w:tcPr>
            <w:tcW w:w="0" w:type="dxa"/>
            <w:vAlign w:val="bottom"/>
          </w:tcPr>
          <w:p>
            <w:pPr>
              <w:spacing w:after="0"/>
              <w:rPr>
                <w:sz w:val="1"/>
                <w:szCs w:val="1"/>
                <w:color w:val="auto"/>
              </w:rPr>
            </w:pPr>
          </w:p>
        </w:tc>
      </w:tr>
      <w:tr>
        <w:trPr>
          <w:trHeight w:val="135"/>
        </w:trPr>
        <w:tc>
          <w:tcPr>
            <w:tcW w:w="2320" w:type="dxa"/>
            <w:vAlign w:val="bottom"/>
            <w:vMerge w:val="continue"/>
            <w:shd w:val="clear" w:color="auto" w:fill="F1F2F2"/>
          </w:tcPr>
          <w:p>
            <w:pPr>
              <w:spacing w:after="0"/>
              <w:rPr>
                <w:sz w:val="11"/>
                <w:szCs w:val="11"/>
                <w:color w:val="auto"/>
              </w:rPr>
            </w:pPr>
          </w:p>
        </w:tc>
        <w:tc>
          <w:tcPr>
            <w:tcW w:w="520" w:type="dxa"/>
            <w:vAlign w:val="bottom"/>
            <w:vMerge w:val="restart"/>
            <w:shd w:val="clear" w:color="auto" w:fill="F1F2F2"/>
          </w:tcPr>
          <w:p>
            <w:pPr>
              <w:ind w:left="120"/>
              <w:spacing w:after="0"/>
              <w:rPr>
                <w:sz w:val="20"/>
                <w:szCs w:val="20"/>
                <w:color w:val="auto"/>
              </w:rPr>
            </w:pPr>
            <w:r>
              <w:rPr>
                <w:rFonts w:ascii="Arial" w:cs="Arial" w:eastAsia="Arial" w:hAnsi="Arial"/>
                <w:sz w:val="13"/>
                <w:szCs w:val="13"/>
                <w:color w:val="auto"/>
              </w:rPr>
              <w:t>2022</w:t>
            </w:r>
          </w:p>
        </w:tc>
        <w:tc>
          <w:tcPr>
            <w:tcW w:w="880" w:type="dxa"/>
            <w:vAlign w:val="bottom"/>
            <w:vMerge w:val="restart"/>
            <w:shd w:val="clear" w:color="auto" w:fill="F1F2F2"/>
          </w:tcPr>
          <w:p>
            <w:pPr>
              <w:jc w:val="right"/>
              <w:ind w:right="56"/>
              <w:spacing w:after="0"/>
              <w:rPr>
                <w:sz w:val="20"/>
                <w:szCs w:val="20"/>
                <w:color w:val="auto"/>
              </w:rPr>
            </w:pPr>
            <w:r>
              <w:rPr>
                <w:rFonts w:ascii="Arial" w:cs="Arial" w:eastAsia="Arial" w:hAnsi="Arial"/>
                <w:sz w:val="13"/>
                <w:szCs w:val="13"/>
                <w:color w:val="auto"/>
              </w:rPr>
              <w:t>667,792</w:t>
            </w:r>
          </w:p>
        </w:tc>
        <w:tc>
          <w:tcPr>
            <w:tcW w:w="880" w:type="dxa"/>
            <w:vAlign w:val="bottom"/>
            <w:vMerge w:val="restart"/>
            <w:shd w:val="clear" w:color="auto" w:fill="F1F2F2"/>
          </w:tcPr>
          <w:p>
            <w:pPr>
              <w:jc w:val="right"/>
              <w:ind w:right="116"/>
              <w:spacing w:after="0"/>
              <w:rPr>
                <w:sz w:val="20"/>
                <w:szCs w:val="20"/>
                <w:color w:val="auto"/>
              </w:rPr>
            </w:pPr>
            <w:r>
              <w:rPr>
                <w:rFonts w:ascii="Arial" w:cs="Arial" w:eastAsia="Arial" w:hAnsi="Arial"/>
                <w:sz w:val="13"/>
                <w:szCs w:val="13"/>
                <w:color w:val="auto"/>
              </w:rPr>
              <w:t>1,000,000</w:t>
            </w:r>
          </w:p>
        </w:tc>
        <w:tc>
          <w:tcPr>
            <w:tcW w:w="820" w:type="dxa"/>
            <w:vAlign w:val="bottom"/>
            <w:vMerge w:val="restart"/>
            <w:shd w:val="clear" w:color="auto" w:fill="F1F2F2"/>
          </w:tcPr>
          <w:p>
            <w:pPr>
              <w:jc w:val="right"/>
              <w:ind w:right="55"/>
              <w:spacing w:after="0"/>
              <w:rPr>
                <w:sz w:val="20"/>
                <w:szCs w:val="20"/>
                <w:color w:val="auto"/>
              </w:rPr>
            </w:pPr>
            <w:r>
              <w:rPr>
                <w:rFonts w:ascii="Arial" w:cs="Arial" w:eastAsia="Arial" w:hAnsi="Arial"/>
                <w:sz w:val="13"/>
                <w:szCs w:val="13"/>
                <w:color w:val="auto"/>
              </w:rPr>
              <w:t>6,708,818</w:t>
            </w:r>
          </w:p>
        </w:tc>
        <w:tc>
          <w:tcPr>
            <w:tcW w:w="760" w:type="dxa"/>
            <w:vAlign w:val="bottom"/>
            <w:vMerge w:val="restart"/>
            <w:shd w:val="clear" w:color="auto" w:fill="F1F2F2"/>
          </w:tcPr>
          <w:p>
            <w:pPr>
              <w:jc w:val="right"/>
              <w:ind w:right="35"/>
              <w:spacing w:after="0"/>
              <w:rPr>
                <w:sz w:val="20"/>
                <w:szCs w:val="20"/>
                <w:color w:val="auto"/>
              </w:rPr>
            </w:pPr>
            <w:r>
              <w:rPr>
                <w:rFonts w:ascii="Arial" w:cs="Arial" w:eastAsia="Arial" w:hAnsi="Arial"/>
                <w:sz w:val="13"/>
                <w:szCs w:val="13"/>
                <w:color w:val="auto"/>
              </w:rPr>
              <w:t>971,133</w:t>
            </w:r>
          </w:p>
        </w:tc>
        <w:tc>
          <w:tcPr>
            <w:tcW w:w="1320" w:type="dxa"/>
            <w:vAlign w:val="bottom"/>
            <w:vMerge w:val="restart"/>
            <w:shd w:val="clear" w:color="auto" w:fill="F1F2F2"/>
          </w:tcPr>
          <w:p>
            <w:pPr>
              <w:jc w:val="right"/>
              <w:ind w:right="15"/>
              <w:spacing w:after="0"/>
              <w:rPr>
                <w:sz w:val="20"/>
                <w:szCs w:val="20"/>
                <w:color w:val="auto"/>
              </w:rPr>
            </w:pPr>
            <w:r>
              <w:rPr>
                <w:rFonts w:ascii="Arial" w:cs="Arial" w:eastAsia="Arial" w:hAnsi="Arial"/>
                <w:sz w:val="13"/>
                <w:szCs w:val="13"/>
                <w:color w:val="auto"/>
              </w:rPr>
              <w:t>472,476</w:t>
            </w:r>
          </w:p>
        </w:tc>
        <w:tc>
          <w:tcPr>
            <w:tcW w:w="1400" w:type="dxa"/>
            <w:vAlign w:val="bottom"/>
            <w:vMerge w:val="restart"/>
            <w:shd w:val="clear" w:color="auto" w:fill="F1F2F2"/>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277,560</w:t>
            </w:r>
          </w:p>
        </w:tc>
        <w:tc>
          <w:tcPr>
            <w:tcW w:w="940" w:type="dxa"/>
            <w:vAlign w:val="bottom"/>
            <w:vMerge w:val="restart"/>
            <w:shd w:val="clear" w:color="auto" w:fill="F1F2F2"/>
          </w:tcPr>
          <w:p>
            <w:pPr>
              <w:jc w:val="right"/>
              <w:ind w:right="136"/>
              <w:spacing w:after="0"/>
              <w:rPr>
                <w:sz w:val="20"/>
                <w:szCs w:val="20"/>
                <w:color w:val="auto"/>
              </w:rPr>
            </w:pPr>
            <w:r>
              <w:rPr>
                <w:rFonts w:ascii="Arial" w:cs="Arial" w:eastAsia="Arial" w:hAnsi="Arial"/>
                <w:sz w:val="13"/>
                <w:szCs w:val="13"/>
                <w:color w:val="auto"/>
              </w:rPr>
              <w:t>10,097,779</w:t>
            </w:r>
          </w:p>
        </w:tc>
        <w:tc>
          <w:tcPr>
            <w:tcW w:w="0" w:type="dxa"/>
            <w:vAlign w:val="bottom"/>
          </w:tcPr>
          <w:p>
            <w:pPr>
              <w:spacing w:after="0"/>
              <w:rPr>
                <w:sz w:val="1"/>
                <w:szCs w:val="1"/>
                <w:color w:val="auto"/>
              </w:rPr>
            </w:pPr>
          </w:p>
        </w:tc>
      </w:tr>
      <w:tr>
        <w:trPr>
          <w:trHeight w:val="135"/>
        </w:trPr>
        <w:tc>
          <w:tcPr>
            <w:tcW w:w="2320" w:type="dxa"/>
            <w:vAlign w:val="bottom"/>
            <w:shd w:val="clear" w:color="auto" w:fill="F1F2F2"/>
          </w:tcPr>
          <w:p>
            <w:pPr>
              <w:spacing w:after="0"/>
              <w:rPr>
                <w:sz w:val="11"/>
                <w:szCs w:val="11"/>
                <w:color w:val="auto"/>
              </w:rPr>
            </w:pPr>
          </w:p>
        </w:tc>
        <w:tc>
          <w:tcPr>
            <w:tcW w:w="520" w:type="dxa"/>
            <w:vAlign w:val="bottom"/>
            <w:vMerge w:val="continue"/>
            <w:shd w:val="clear" w:color="auto" w:fill="F1F2F2"/>
          </w:tcPr>
          <w:p>
            <w:pPr>
              <w:spacing w:after="0"/>
              <w:rPr>
                <w:sz w:val="11"/>
                <w:szCs w:val="11"/>
                <w:color w:val="auto"/>
              </w:rPr>
            </w:pPr>
          </w:p>
        </w:tc>
        <w:tc>
          <w:tcPr>
            <w:tcW w:w="880" w:type="dxa"/>
            <w:vAlign w:val="bottom"/>
            <w:vMerge w:val="continue"/>
            <w:shd w:val="clear" w:color="auto" w:fill="F1F2F2"/>
          </w:tcPr>
          <w:p>
            <w:pPr>
              <w:spacing w:after="0"/>
              <w:rPr>
                <w:sz w:val="11"/>
                <w:szCs w:val="11"/>
                <w:color w:val="auto"/>
              </w:rPr>
            </w:pPr>
          </w:p>
        </w:tc>
        <w:tc>
          <w:tcPr>
            <w:tcW w:w="880" w:type="dxa"/>
            <w:vAlign w:val="bottom"/>
            <w:vMerge w:val="continue"/>
            <w:shd w:val="clear" w:color="auto" w:fill="F1F2F2"/>
          </w:tcPr>
          <w:p>
            <w:pPr>
              <w:spacing w:after="0"/>
              <w:rPr>
                <w:sz w:val="11"/>
                <w:szCs w:val="11"/>
                <w:color w:val="auto"/>
              </w:rPr>
            </w:pPr>
          </w:p>
        </w:tc>
        <w:tc>
          <w:tcPr>
            <w:tcW w:w="820" w:type="dxa"/>
            <w:vAlign w:val="bottom"/>
            <w:vMerge w:val="continue"/>
            <w:shd w:val="clear" w:color="auto" w:fill="F1F2F2"/>
          </w:tcPr>
          <w:p>
            <w:pPr>
              <w:spacing w:after="0"/>
              <w:rPr>
                <w:sz w:val="11"/>
                <w:szCs w:val="11"/>
                <w:color w:val="auto"/>
              </w:rPr>
            </w:pPr>
          </w:p>
        </w:tc>
        <w:tc>
          <w:tcPr>
            <w:tcW w:w="760" w:type="dxa"/>
            <w:vAlign w:val="bottom"/>
            <w:vMerge w:val="continue"/>
            <w:shd w:val="clear" w:color="auto" w:fill="F1F2F2"/>
          </w:tcPr>
          <w:p>
            <w:pPr>
              <w:spacing w:after="0"/>
              <w:rPr>
                <w:sz w:val="11"/>
                <w:szCs w:val="11"/>
                <w:color w:val="auto"/>
              </w:rPr>
            </w:pPr>
          </w:p>
        </w:tc>
        <w:tc>
          <w:tcPr>
            <w:tcW w:w="1320" w:type="dxa"/>
            <w:vAlign w:val="bottom"/>
            <w:vMerge w:val="continue"/>
            <w:shd w:val="clear" w:color="auto" w:fill="F1F2F2"/>
          </w:tcPr>
          <w:p>
            <w:pPr>
              <w:spacing w:after="0"/>
              <w:rPr>
                <w:sz w:val="11"/>
                <w:szCs w:val="11"/>
                <w:color w:val="auto"/>
              </w:rPr>
            </w:pPr>
          </w:p>
        </w:tc>
        <w:tc>
          <w:tcPr>
            <w:tcW w:w="1400" w:type="dxa"/>
            <w:vAlign w:val="bottom"/>
            <w:vMerge w:val="continue"/>
            <w:shd w:val="clear" w:color="auto" w:fill="F1F2F2"/>
          </w:tcPr>
          <w:p>
            <w:pPr>
              <w:spacing w:after="0"/>
              <w:rPr>
                <w:sz w:val="11"/>
                <w:szCs w:val="11"/>
                <w:color w:val="auto"/>
              </w:rPr>
            </w:pPr>
          </w:p>
        </w:tc>
        <w:tc>
          <w:tcPr>
            <w:tcW w:w="1400" w:type="dxa"/>
            <w:vAlign w:val="bottom"/>
            <w:vMerge w:val="continue"/>
            <w:shd w:val="clear" w:color="auto" w:fill="F1F2F2"/>
          </w:tcPr>
          <w:p>
            <w:pPr>
              <w:spacing w:after="0"/>
              <w:rPr>
                <w:sz w:val="11"/>
                <w:szCs w:val="11"/>
                <w:color w:val="auto"/>
              </w:rPr>
            </w:pPr>
          </w:p>
        </w:tc>
        <w:tc>
          <w:tcPr>
            <w:tcW w:w="940" w:type="dxa"/>
            <w:vAlign w:val="bottom"/>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320" w:type="dxa"/>
            <w:vAlign w:val="bottom"/>
            <w:shd w:val="clear" w:color="auto" w:fill="F1F2F2"/>
          </w:tcPr>
          <w:p>
            <w:pPr>
              <w:spacing w:after="0"/>
              <w:rPr>
                <w:sz w:val="5"/>
                <w:szCs w:val="5"/>
                <w:color w:val="auto"/>
              </w:rPr>
            </w:pPr>
          </w:p>
        </w:tc>
        <w:tc>
          <w:tcPr>
            <w:tcW w:w="520" w:type="dxa"/>
            <w:vAlign w:val="bottom"/>
            <w:shd w:val="clear" w:color="auto" w:fill="F1F2F2"/>
          </w:tcPr>
          <w:p>
            <w:pPr>
              <w:spacing w:after="0"/>
              <w:rPr>
                <w:sz w:val="5"/>
                <w:szCs w:val="5"/>
                <w:color w:val="auto"/>
              </w:rPr>
            </w:pPr>
          </w:p>
        </w:tc>
        <w:tc>
          <w:tcPr>
            <w:tcW w:w="880" w:type="dxa"/>
            <w:vAlign w:val="bottom"/>
            <w:shd w:val="clear" w:color="auto" w:fill="F1F2F2"/>
          </w:tcPr>
          <w:p>
            <w:pPr>
              <w:spacing w:after="0"/>
              <w:rPr>
                <w:sz w:val="5"/>
                <w:szCs w:val="5"/>
                <w:color w:val="auto"/>
              </w:rPr>
            </w:pPr>
          </w:p>
        </w:tc>
        <w:tc>
          <w:tcPr>
            <w:tcW w:w="880" w:type="dxa"/>
            <w:vAlign w:val="bottom"/>
            <w:shd w:val="clear" w:color="auto" w:fill="F1F2F2"/>
          </w:tcPr>
          <w:p>
            <w:pPr>
              <w:spacing w:after="0"/>
              <w:rPr>
                <w:sz w:val="5"/>
                <w:szCs w:val="5"/>
                <w:color w:val="auto"/>
              </w:rPr>
            </w:pPr>
          </w:p>
        </w:tc>
        <w:tc>
          <w:tcPr>
            <w:tcW w:w="820" w:type="dxa"/>
            <w:vAlign w:val="bottom"/>
            <w:shd w:val="clear" w:color="auto" w:fill="F1F2F2"/>
          </w:tcPr>
          <w:p>
            <w:pPr>
              <w:spacing w:after="0"/>
              <w:rPr>
                <w:sz w:val="5"/>
                <w:szCs w:val="5"/>
                <w:color w:val="auto"/>
              </w:rPr>
            </w:pPr>
          </w:p>
        </w:tc>
        <w:tc>
          <w:tcPr>
            <w:tcW w:w="760" w:type="dxa"/>
            <w:vAlign w:val="bottom"/>
            <w:shd w:val="clear" w:color="auto" w:fill="F1F2F2"/>
          </w:tcPr>
          <w:p>
            <w:pPr>
              <w:spacing w:after="0"/>
              <w:rPr>
                <w:sz w:val="5"/>
                <w:szCs w:val="5"/>
                <w:color w:val="auto"/>
              </w:rPr>
            </w:pPr>
          </w:p>
        </w:tc>
        <w:tc>
          <w:tcPr>
            <w:tcW w:w="1320" w:type="dxa"/>
            <w:vAlign w:val="bottom"/>
            <w:shd w:val="clear" w:color="auto" w:fill="F1F2F2"/>
          </w:tcPr>
          <w:p>
            <w:pPr>
              <w:spacing w:after="0"/>
              <w:rPr>
                <w:sz w:val="5"/>
                <w:szCs w:val="5"/>
                <w:color w:val="auto"/>
              </w:rPr>
            </w:pPr>
          </w:p>
        </w:tc>
        <w:tc>
          <w:tcPr>
            <w:tcW w:w="1400" w:type="dxa"/>
            <w:vAlign w:val="bottom"/>
            <w:shd w:val="clear" w:color="auto" w:fill="F1F2F2"/>
          </w:tcPr>
          <w:p>
            <w:pPr>
              <w:spacing w:after="0"/>
              <w:rPr>
                <w:sz w:val="5"/>
                <w:szCs w:val="5"/>
                <w:color w:val="auto"/>
              </w:rPr>
            </w:pPr>
          </w:p>
        </w:tc>
        <w:tc>
          <w:tcPr>
            <w:tcW w:w="1400" w:type="dxa"/>
            <w:vAlign w:val="bottom"/>
            <w:shd w:val="clear" w:color="auto" w:fill="F1F2F2"/>
          </w:tcPr>
          <w:p>
            <w:pPr>
              <w:spacing w:after="0"/>
              <w:rPr>
                <w:sz w:val="5"/>
                <w:szCs w:val="5"/>
                <w:color w:val="auto"/>
              </w:rPr>
            </w:pPr>
          </w:p>
        </w:tc>
        <w:tc>
          <w:tcPr>
            <w:tcW w:w="94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00"/>
              <w:spacing w:after="0"/>
              <w:rPr>
                <w:sz w:val="20"/>
                <w:szCs w:val="20"/>
                <w:color w:val="auto"/>
              </w:rPr>
            </w:pPr>
            <w:r>
              <w:rPr>
                <w:rFonts w:ascii="Arial" w:cs="Arial" w:eastAsia="Arial" w:hAnsi="Arial"/>
                <w:sz w:val="13"/>
                <w:szCs w:val="13"/>
                <w:color w:val="auto"/>
              </w:rPr>
              <w:t>Michael P. Quenzer</w:t>
            </w:r>
          </w:p>
        </w:tc>
        <w:tc>
          <w:tcPr>
            <w:tcW w:w="520" w:type="dxa"/>
            <w:vAlign w:val="bottom"/>
          </w:tcPr>
          <w:p>
            <w:pPr>
              <w:ind w:left="120"/>
              <w:spacing w:after="0"/>
              <w:rPr>
                <w:sz w:val="20"/>
                <w:szCs w:val="20"/>
                <w:color w:val="auto"/>
              </w:rPr>
            </w:pPr>
            <w:r>
              <w:rPr>
                <w:rFonts w:ascii="Arial" w:cs="Arial" w:eastAsia="Arial" w:hAnsi="Arial"/>
                <w:sz w:val="13"/>
                <w:szCs w:val="13"/>
                <w:color w:val="auto"/>
              </w:rPr>
              <w:t>2024</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550,000</w:t>
            </w: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5"/>
              <w:spacing w:after="0"/>
              <w:rPr>
                <w:sz w:val="20"/>
                <w:szCs w:val="20"/>
                <w:color w:val="auto"/>
              </w:rPr>
            </w:pPr>
            <w:r>
              <w:rPr>
                <w:rFonts w:ascii="Arial" w:cs="Arial" w:eastAsia="Arial" w:hAnsi="Arial"/>
                <w:sz w:val="13"/>
                <w:szCs w:val="13"/>
                <w:color w:val="auto"/>
              </w:rPr>
              <w:t>776,931</w:t>
            </w: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197,488</w:t>
            </w:r>
          </w:p>
        </w:tc>
        <w:tc>
          <w:tcPr>
            <w:tcW w:w="1320" w:type="dxa"/>
            <w:vAlign w:val="bottom"/>
          </w:tcPr>
          <w:p>
            <w:pPr>
              <w:jc w:val="right"/>
              <w:ind w:right="15"/>
              <w:spacing w:after="0"/>
              <w:rPr>
                <w:sz w:val="20"/>
                <w:szCs w:val="20"/>
                <w:color w:val="auto"/>
              </w:rPr>
            </w:pPr>
            <w:r>
              <w:rPr>
                <w:rFonts w:ascii="Arial" w:cs="Arial" w:eastAsia="Arial" w:hAnsi="Arial"/>
                <w:sz w:val="13"/>
                <w:szCs w:val="13"/>
                <w:color w:val="auto"/>
              </w:rPr>
              <w:t>896,033</w:t>
            </w: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7"/>
              <w:spacing w:after="0"/>
              <w:rPr>
                <w:sz w:val="20"/>
                <w:szCs w:val="20"/>
                <w:color w:val="auto"/>
              </w:rPr>
            </w:pPr>
            <w:r>
              <w:rPr>
                <w:rFonts w:ascii="Arial" w:cs="Arial" w:eastAsia="Arial" w:hAnsi="Arial"/>
                <w:sz w:val="13"/>
                <w:szCs w:val="13"/>
                <w:color w:val="auto"/>
              </w:rPr>
              <w:t>83,876</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2,504,328</w:t>
            </w:r>
          </w:p>
        </w:tc>
        <w:tc>
          <w:tcPr>
            <w:tcW w:w="0" w:type="dxa"/>
            <w:vAlign w:val="bottom"/>
          </w:tcPr>
          <w:p>
            <w:pPr>
              <w:spacing w:after="0"/>
              <w:rPr>
                <w:sz w:val="1"/>
                <w:szCs w:val="1"/>
                <w:color w:val="auto"/>
              </w:rPr>
            </w:pPr>
          </w:p>
        </w:tc>
      </w:tr>
      <w:tr>
        <w:trPr>
          <w:trHeight w:val="280"/>
        </w:trPr>
        <w:tc>
          <w:tcPr>
            <w:tcW w:w="2320" w:type="dxa"/>
            <w:vAlign w:val="bottom"/>
          </w:tcPr>
          <w:p>
            <w:pPr>
              <w:ind w:left="100"/>
              <w:spacing w:after="0"/>
              <w:rPr>
                <w:sz w:val="20"/>
                <w:szCs w:val="20"/>
                <w:color w:val="auto"/>
              </w:rPr>
            </w:pPr>
            <w:r>
              <w:rPr>
                <w:rFonts w:ascii="Arial" w:cs="Arial" w:eastAsia="Arial" w:hAnsi="Arial"/>
                <w:sz w:val="13"/>
                <w:szCs w:val="13"/>
                <w:color w:val="auto"/>
              </w:rPr>
              <w:t>Executive Vice President, Chief</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00"/>
              <w:spacing w:after="0"/>
              <w:rPr>
                <w:sz w:val="20"/>
                <w:szCs w:val="20"/>
                <w:color w:val="auto"/>
              </w:rPr>
            </w:pPr>
            <w:r>
              <w:rPr>
                <w:rFonts w:ascii="Arial" w:cs="Arial" w:eastAsia="Arial" w:hAnsi="Arial"/>
                <w:sz w:val="13"/>
                <w:szCs w:val="13"/>
                <w:color w:val="auto"/>
              </w:rPr>
              <w:t>Financial Officer</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Gary S. Bedard</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2024</w:t>
            </w:r>
          </w:p>
        </w:tc>
        <w:tc>
          <w:tcPr>
            <w:tcW w:w="88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575,000</w:t>
            </w:r>
          </w:p>
        </w:tc>
        <w:tc>
          <w:tcPr>
            <w:tcW w:w="88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ind w:right="55"/>
              <w:spacing w:after="0"/>
              <w:rPr>
                <w:sz w:val="20"/>
                <w:szCs w:val="20"/>
                <w:color w:val="auto"/>
              </w:rPr>
            </w:pPr>
            <w:r>
              <w:rPr>
                <w:rFonts w:ascii="Arial" w:cs="Arial" w:eastAsia="Arial" w:hAnsi="Arial"/>
                <w:sz w:val="13"/>
                <w:szCs w:val="13"/>
                <w:color w:val="auto"/>
              </w:rPr>
              <w:t>1,010,138</w:t>
            </w:r>
          </w:p>
        </w:tc>
        <w:tc>
          <w:tcPr>
            <w:tcW w:w="760" w:type="dxa"/>
            <w:vAlign w:val="bottom"/>
            <w:shd w:val="clear" w:color="auto" w:fill="F1F2F2"/>
          </w:tcPr>
          <w:p>
            <w:pPr>
              <w:jc w:val="right"/>
              <w:ind w:right="35"/>
              <w:spacing w:after="0"/>
              <w:rPr>
                <w:sz w:val="20"/>
                <w:szCs w:val="20"/>
                <w:color w:val="auto"/>
              </w:rPr>
            </w:pPr>
            <w:r>
              <w:rPr>
                <w:rFonts w:ascii="Arial" w:cs="Arial" w:eastAsia="Arial" w:hAnsi="Arial"/>
                <w:sz w:val="13"/>
                <w:szCs w:val="13"/>
                <w:color w:val="auto"/>
              </w:rPr>
              <w:t>256,720</w:t>
            </w:r>
          </w:p>
        </w:tc>
        <w:tc>
          <w:tcPr>
            <w:tcW w:w="132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909,334</w:t>
            </w:r>
          </w:p>
        </w:tc>
        <w:tc>
          <w:tcPr>
            <w:tcW w:w="140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592,821</w:t>
            </w:r>
          </w:p>
        </w:tc>
        <w:tc>
          <w:tcPr>
            <w:tcW w:w="14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55,700</w:t>
            </w:r>
          </w:p>
        </w:tc>
        <w:tc>
          <w:tcPr>
            <w:tcW w:w="94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3,399,713</w:t>
            </w:r>
          </w:p>
        </w:tc>
        <w:tc>
          <w:tcPr>
            <w:tcW w:w="0" w:type="dxa"/>
            <w:vAlign w:val="bottom"/>
          </w:tcPr>
          <w:p>
            <w:pPr>
              <w:spacing w:after="0"/>
              <w:rPr>
                <w:sz w:val="1"/>
                <w:szCs w:val="1"/>
                <w:color w:val="auto"/>
              </w:rPr>
            </w:pPr>
          </w:p>
        </w:tc>
      </w:tr>
      <w:tr>
        <w:trPr>
          <w:trHeight w:val="229"/>
        </w:trPr>
        <w:tc>
          <w:tcPr>
            <w:tcW w:w="232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Executive Vice President and</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2023</w:t>
            </w:r>
          </w:p>
        </w:tc>
        <w:tc>
          <w:tcPr>
            <w:tcW w:w="88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548,750</w:t>
            </w:r>
          </w:p>
        </w:tc>
        <w:tc>
          <w:tcPr>
            <w:tcW w:w="88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680,724</w:t>
            </w:r>
          </w:p>
        </w:tc>
        <w:tc>
          <w:tcPr>
            <w:tcW w:w="140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470,174</w:t>
            </w:r>
          </w:p>
        </w:tc>
        <w:tc>
          <w:tcPr>
            <w:tcW w:w="14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54,847</w:t>
            </w:r>
          </w:p>
        </w:tc>
        <w:tc>
          <w:tcPr>
            <w:tcW w:w="94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1,754,495</w:t>
            </w:r>
          </w:p>
        </w:tc>
        <w:tc>
          <w:tcPr>
            <w:tcW w:w="0" w:type="dxa"/>
            <w:vAlign w:val="bottom"/>
          </w:tcPr>
          <w:p>
            <w:pPr>
              <w:spacing w:after="0"/>
              <w:rPr>
                <w:sz w:val="1"/>
                <w:szCs w:val="1"/>
                <w:color w:val="auto"/>
              </w:rPr>
            </w:pPr>
          </w:p>
        </w:tc>
      </w:tr>
      <w:tr>
        <w:trPr>
          <w:trHeight w:val="50"/>
        </w:trPr>
        <w:tc>
          <w:tcPr>
            <w:tcW w:w="2320" w:type="dxa"/>
            <w:vAlign w:val="bottom"/>
            <w:vMerge w:val="continue"/>
            <w:shd w:val="clear" w:color="auto" w:fill="F1F2F2"/>
          </w:tcPr>
          <w:p>
            <w:pPr>
              <w:spacing w:after="0"/>
              <w:rPr>
                <w:sz w:val="4"/>
                <w:szCs w:val="4"/>
                <w:color w:val="auto"/>
              </w:rPr>
            </w:pPr>
          </w:p>
        </w:tc>
        <w:tc>
          <w:tcPr>
            <w:tcW w:w="520" w:type="dxa"/>
            <w:vAlign w:val="bottom"/>
            <w:shd w:val="clear" w:color="auto" w:fill="F1F2F2"/>
          </w:tcPr>
          <w:p>
            <w:pPr>
              <w:spacing w:after="0"/>
              <w:rPr>
                <w:sz w:val="4"/>
                <w:szCs w:val="4"/>
                <w:color w:val="auto"/>
              </w:rPr>
            </w:pPr>
          </w:p>
        </w:tc>
        <w:tc>
          <w:tcPr>
            <w:tcW w:w="880" w:type="dxa"/>
            <w:vAlign w:val="bottom"/>
            <w:shd w:val="clear" w:color="auto" w:fill="F1F2F2"/>
          </w:tcPr>
          <w:p>
            <w:pPr>
              <w:spacing w:after="0"/>
              <w:rPr>
                <w:sz w:val="4"/>
                <w:szCs w:val="4"/>
                <w:color w:val="auto"/>
              </w:rPr>
            </w:pPr>
          </w:p>
        </w:tc>
        <w:tc>
          <w:tcPr>
            <w:tcW w:w="880" w:type="dxa"/>
            <w:vAlign w:val="bottom"/>
            <w:shd w:val="clear" w:color="auto" w:fill="F1F2F2"/>
          </w:tcPr>
          <w:p>
            <w:pPr>
              <w:spacing w:after="0"/>
              <w:rPr>
                <w:sz w:val="4"/>
                <w:szCs w:val="4"/>
                <w:color w:val="auto"/>
              </w:rPr>
            </w:pPr>
          </w:p>
        </w:tc>
        <w:tc>
          <w:tcPr>
            <w:tcW w:w="820" w:type="dxa"/>
            <w:vAlign w:val="bottom"/>
            <w:shd w:val="clear" w:color="auto" w:fill="F1F2F2"/>
          </w:tcPr>
          <w:p>
            <w:pPr>
              <w:spacing w:after="0"/>
              <w:rPr>
                <w:sz w:val="4"/>
                <w:szCs w:val="4"/>
                <w:color w:val="auto"/>
              </w:rPr>
            </w:pPr>
          </w:p>
        </w:tc>
        <w:tc>
          <w:tcPr>
            <w:tcW w:w="760" w:type="dxa"/>
            <w:vAlign w:val="bottom"/>
            <w:shd w:val="clear" w:color="auto" w:fill="F1F2F2"/>
          </w:tcPr>
          <w:p>
            <w:pPr>
              <w:spacing w:after="0"/>
              <w:rPr>
                <w:sz w:val="4"/>
                <w:szCs w:val="4"/>
                <w:color w:val="auto"/>
              </w:rPr>
            </w:pPr>
          </w:p>
        </w:tc>
        <w:tc>
          <w:tcPr>
            <w:tcW w:w="1320" w:type="dxa"/>
            <w:vAlign w:val="bottom"/>
            <w:shd w:val="clear" w:color="auto" w:fill="F1F2F2"/>
          </w:tcPr>
          <w:p>
            <w:pPr>
              <w:spacing w:after="0"/>
              <w:rPr>
                <w:sz w:val="4"/>
                <w:szCs w:val="4"/>
                <w:color w:val="auto"/>
              </w:rPr>
            </w:pPr>
          </w:p>
        </w:tc>
        <w:tc>
          <w:tcPr>
            <w:tcW w:w="1400" w:type="dxa"/>
            <w:vAlign w:val="bottom"/>
            <w:shd w:val="clear" w:color="auto" w:fill="F1F2F2"/>
          </w:tcPr>
          <w:p>
            <w:pPr>
              <w:spacing w:after="0"/>
              <w:rPr>
                <w:sz w:val="4"/>
                <w:szCs w:val="4"/>
                <w:color w:val="auto"/>
              </w:rPr>
            </w:pPr>
          </w:p>
        </w:tc>
        <w:tc>
          <w:tcPr>
            <w:tcW w:w="1400" w:type="dxa"/>
            <w:vAlign w:val="bottom"/>
            <w:shd w:val="clear" w:color="auto" w:fill="F1F2F2"/>
          </w:tcPr>
          <w:p>
            <w:pPr>
              <w:spacing w:after="0"/>
              <w:rPr>
                <w:sz w:val="4"/>
                <w:szCs w:val="4"/>
                <w:color w:val="auto"/>
              </w:rPr>
            </w:pPr>
          </w:p>
        </w:tc>
        <w:tc>
          <w:tcPr>
            <w:tcW w:w="940" w:type="dxa"/>
            <w:vAlign w:val="bottom"/>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President, Home Comfort Solutions</w:t>
            </w:r>
          </w:p>
        </w:tc>
        <w:tc>
          <w:tcPr>
            <w:tcW w:w="520" w:type="dxa"/>
            <w:vAlign w:val="bottom"/>
            <w:vMerge w:val="restart"/>
            <w:shd w:val="clear" w:color="auto" w:fill="F1F2F2"/>
          </w:tcPr>
          <w:p>
            <w:pPr>
              <w:ind w:left="120"/>
              <w:spacing w:after="0"/>
              <w:rPr>
                <w:sz w:val="20"/>
                <w:szCs w:val="20"/>
                <w:color w:val="auto"/>
              </w:rPr>
            </w:pPr>
            <w:r>
              <w:rPr>
                <w:rFonts w:ascii="Arial" w:cs="Arial" w:eastAsia="Arial" w:hAnsi="Arial"/>
                <w:sz w:val="13"/>
                <w:szCs w:val="13"/>
                <w:color w:val="auto"/>
              </w:rPr>
              <w:t>2022</w:t>
            </w:r>
          </w:p>
        </w:tc>
        <w:tc>
          <w:tcPr>
            <w:tcW w:w="880" w:type="dxa"/>
            <w:vAlign w:val="bottom"/>
            <w:vMerge w:val="restart"/>
            <w:shd w:val="clear" w:color="auto" w:fill="F1F2F2"/>
          </w:tcPr>
          <w:p>
            <w:pPr>
              <w:jc w:val="right"/>
              <w:ind w:right="56"/>
              <w:spacing w:after="0"/>
              <w:rPr>
                <w:sz w:val="20"/>
                <w:szCs w:val="20"/>
                <w:color w:val="auto"/>
              </w:rPr>
            </w:pPr>
            <w:r>
              <w:rPr>
                <w:rFonts w:ascii="Arial" w:cs="Arial" w:eastAsia="Arial" w:hAnsi="Arial"/>
                <w:sz w:val="13"/>
                <w:szCs w:val="13"/>
                <w:color w:val="auto"/>
              </w:rPr>
              <w:t>511,250</w:t>
            </w:r>
          </w:p>
        </w:tc>
        <w:tc>
          <w:tcPr>
            <w:tcW w:w="880" w:type="dxa"/>
            <w:vAlign w:val="bottom"/>
            <w:vMerge w:val="restart"/>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F1F2F2"/>
          </w:tcPr>
          <w:p>
            <w:pPr>
              <w:jc w:val="right"/>
              <w:ind w:right="55"/>
              <w:spacing w:after="0"/>
              <w:rPr>
                <w:sz w:val="20"/>
                <w:szCs w:val="20"/>
                <w:color w:val="auto"/>
              </w:rPr>
            </w:pPr>
            <w:r>
              <w:rPr>
                <w:rFonts w:ascii="Arial" w:cs="Arial" w:eastAsia="Arial" w:hAnsi="Arial"/>
                <w:sz w:val="13"/>
                <w:szCs w:val="13"/>
                <w:color w:val="auto"/>
              </w:rPr>
              <w:t>920,008</w:t>
            </w:r>
          </w:p>
        </w:tc>
        <w:tc>
          <w:tcPr>
            <w:tcW w:w="760" w:type="dxa"/>
            <w:vAlign w:val="bottom"/>
            <w:vMerge w:val="restart"/>
            <w:shd w:val="clear" w:color="auto" w:fill="F1F2F2"/>
          </w:tcPr>
          <w:p>
            <w:pPr>
              <w:jc w:val="right"/>
              <w:ind w:right="35"/>
              <w:spacing w:after="0"/>
              <w:rPr>
                <w:sz w:val="20"/>
                <w:szCs w:val="20"/>
                <w:color w:val="auto"/>
              </w:rPr>
            </w:pPr>
            <w:r>
              <w:rPr>
                <w:rFonts w:ascii="Arial" w:cs="Arial" w:eastAsia="Arial" w:hAnsi="Arial"/>
                <w:sz w:val="13"/>
                <w:szCs w:val="13"/>
                <w:color w:val="auto"/>
              </w:rPr>
              <w:t>233,054</w:t>
            </w:r>
          </w:p>
        </w:tc>
        <w:tc>
          <w:tcPr>
            <w:tcW w:w="1320" w:type="dxa"/>
            <w:vAlign w:val="bottom"/>
            <w:vMerge w:val="restart"/>
            <w:shd w:val="clear" w:color="auto" w:fill="F1F2F2"/>
          </w:tcPr>
          <w:p>
            <w:pPr>
              <w:jc w:val="right"/>
              <w:ind w:right="15"/>
              <w:spacing w:after="0"/>
              <w:rPr>
                <w:sz w:val="20"/>
                <w:szCs w:val="20"/>
                <w:color w:val="auto"/>
              </w:rPr>
            </w:pPr>
            <w:r>
              <w:rPr>
                <w:rFonts w:ascii="Arial" w:cs="Arial" w:eastAsia="Arial" w:hAnsi="Arial"/>
                <w:sz w:val="13"/>
                <w:szCs w:val="13"/>
                <w:color w:val="auto"/>
              </w:rPr>
              <w:t>525,003</w:t>
            </w:r>
          </w:p>
        </w:tc>
        <w:tc>
          <w:tcPr>
            <w:tcW w:w="1400" w:type="dxa"/>
            <w:vAlign w:val="bottom"/>
            <w:vMerge w:val="restart"/>
            <w:shd w:val="clear" w:color="auto" w:fill="F1F2F2"/>
          </w:tcPr>
          <w:p>
            <w:pPr>
              <w:jc w:val="right"/>
              <w:ind w:right="56"/>
              <w:spacing w:after="0"/>
              <w:rPr>
                <w:sz w:val="20"/>
                <w:szCs w:val="20"/>
                <w:color w:val="auto"/>
              </w:rPr>
            </w:pPr>
            <w:r>
              <w:rPr>
                <w:rFonts w:ascii="Arial" w:cs="Arial" w:eastAsia="Arial" w:hAnsi="Arial"/>
                <w:sz w:val="13"/>
                <w:szCs w:val="13"/>
                <w:color w:val="auto"/>
              </w:rPr>
              <w:t>348,349</w:t>
            </w:r>
          </w:p>
        </w:tc>
        <w:tc>
          <w:tcPr>
            <w:tcW w:w="140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48,511</w:t>
            </w:r>
          </w:p>
        </w:tc>
        <w:tc>
          <w:tcPr>
            <w:tcW w:w="940" w:type="dxa"/>
            <w:vAlign w:val="bottom"/>
            <w:vMerge w:val="restart"/>
            <w:shd w:val="clear" w:color="auto" w:fill="F1F2F2"/>
          </w:tcPr>
          <w:p>
            <w:pPr>
              <w:jc w:val="right"/>
              <w:ind w:right="136"/>
              <w:spacing w:after="0"/>
              <w:rPr>
                <w:sz w:val="20"/>
                <w:szCs w:val="20"/>
                <w:color w:val="auto"/>
              </w:rPr>
            </w:pPr>
            <w:r>
              <w:rPr>
                <w:rFonts w:ascii="Arial" w:cs="Arial" w:eastAsia="Arial" w:hAnsi="Arial"/>
                <w:sz w:val="13"/>
                <w:szCs w:val="13"/>
                <w:color w:val="auto"/>
              </w:rPr>
              <w:t>2,586,175</w:t>
            </w:r>
          </w:p>
        </w:tc>
        <w:tc>
          <w:tcPr>
            <w:tcW w:w="0" w:type="dxa"/>
            <w:vAlign w:val="bottom"/>
          </w:tcPr>
          <w:p>
            <w:pPr>
              <w:spacing w:after="0"/>
              <w:rPr>
                <w:sz w:val="1"/>
                <w:szCs w:val="1"/>
                <w:color w:val="auto"/>
              </w:rPr>
            </w:pPr>
          </w:p>
        </w:tc>
      </w:tr>
      <w:tr>
        <w:trPr>
          <w:trHeight w:val="54"/>
        </w:trPr>
        <w:tc>
          <w:tcPr>
            <w:tcW w:w="2320" w:type="dxa"/>
            <w:vAlign w:val="bottom"/>
            <w:shd w:val="clear" w:color="auto" w:fill="F1F2F2"/>
          </w:tcPr>
          <w:p>
            <w:pPr>
              <w:spacing w:after="0"/>
              <w:rPr>
                <w:sz w:val="4"/>
                <w:szCs w:val="4"/>
                <w:color w:val="auto"/>
              </w:rPr>
            </w:pPr>
          </w:p>
        </w:tc>
        <w:tc>
          <w:tcPr>
            <w:tcW w:w="520" w:type="dxa"/>
            <w:vAlign w:val="bottom"/>
            <w:vMerge w:val="continue"/>
            <w:shd w:val="clear" w:color="auto" w:fill="F1F2F2"/>
          </w:tcPr>
          <w:p>
            <w:pPr>
              <w:spacing w:after="0"/>
              <w:rPr>
                <w:sz w:val="4"/>
                <w:szCs w:val="4"/>
                <w:color w:val="auto"/>
              </w:rPr>
            </w:pPr>
          </w:p>
        </w:tc>
        <w:tc>
          <w:tcPr>
            <w:tcW w:w="880" w:type="dxa"/>
            <w:vAlign w:val="bottom"/>
            <w:vMerge w:val="continue"/>
            <w:shd w:val="clear" w:color="auto" w:fill="F1F2F2"/>
          </w:tcPr>
          <w:p>
            <w:pPr>
              <w:spacing w:after="0"/>
              <w:rPr>
                <w:sz w:val="4"/>
                <w:szCs w:val="4"/>
                <w:color w:val="auto"/>
              </w:rPr>
            </w:pPr>
          </w:p>
        </w:tc>
        <w:tc>
          <w:tcPr>
            <w:tcW w:w="880" w:type="dxa"/>
            <w:vAlign w:val="bottom"/>
            <w:vMerge w:val="continue"/>
            <w:shd w:val="clear" w:color="auto" w:fill="F1F2F2"/>
          </w:tcPr>
          <w:p>
            <w:pPr>
              <w:spacing w:after="0"/>
              <w:rPr>
                <w:sz w:val="4"/>
                <w:szCs w:val="4"/>
                <w:color w:val="auto"/>
              </w:rPr>
            </w:pPr>
          </w:p>
        </w:tc>
        <w:tc>
          <w:tcPr>
            <w:tcW w:w="820" w:type="dxa"/>
            <w:vAlign w:val="bottom"/>
            <w:vMerge w:val="continue"/>
            <w:shd w:val="clear" w:color="auto" w:fill="F1F2F2"/>
          </w:tcPr>
          <w:p>
            <w:pPr>
              <w:spacing w:after="0"/>
              <w:rPr>
                <w:sz w:val="4"/>
                <w:szCs w:val="4"/>
                <w:color w:val="auto"/>
              </w:rPr>
            </w:pPr>
          </w:p>
        </w:tc>
        <w:tc>
          <w:tcPr>
            <w:tcW w:w="760" w:type="dxa"/>
            <w:vAlign w:val="bottom"/>
            <w:vMerge w:val="continue"/>
            <w:shd w:val="clear" w:color="auto" w:fill="F1F2F2"/>
          </w:tcPr>
          <w:p>
            <w:pPr>
              <w:spacing w:after="0"/>
              <w:rPr>
                <w:sz w:val="4"/>
                <w:szCs w:val="4"/>
                <w:color w:val="auto"/>
              </w:rPr>
            </w:pPr>
          </w:p>
        </w:tc>
        <w:tc>
          <w:tcPr>
            <w:tcW w:w="1320" w:type="dxa"/>
            <w:vAlign w:val="bottom"/>
            <w:vMerge w:val="continue"/>
            <w:shd w:val="clear" w:color="auto" w:fill="F1F2F2"/>
          </w:tcPr>
          <w:p>
            <w:pPr>
              <w:spacing w:after="0"/>
              <w:rPr>
                <w:sz w:val="4"/>
                <w:szCs w:val="4"/>
                <w:color w:val="auto"/>
              </w:rPr>
            </w:pPr>
          </w:p>
        </w:tc>
        <w:tc>
          <w:tcPr>
            <w:tcW w:w="1400" w:type="dxa"/>
            <w:vAlign w:val="bottom"/>
            <w:vMerge w:val="continue"/>
            <w:shd w:val="clear" w:color="auto" w:fill="F1F2F2"/>
          </w:tcPr>
          <w:p>
            <w:pPr>
              <w:spacing w:after="0"/>
              <w:rPr>
                <w:sz w:val="4"/>
                <w:szCs w:val="4"/>
                <w:color w:val="auto"/>
              </w:rPr>
            </w:pPr>
          </w:p>
        </w:tc>
        <w:tc>
          <w:tcPr>
            <w:tcW w:w="1400" w:type="dxa"/>
            <w:vAlign w:val="bottom"/>
            <w:vMerge w:val="continue"/>
            <w:shd w:val="clear" w:color="auto" w:fill="F1F2F2"/>
          </w:tcPr>
          <w:p>
            <w:pPr>
              <w:spacing w:after="0"/>
              <w:rPr>
                <w:sz w:val="4"/>
                <w:szCs w:val="4"/>
                <w:color w:val="auto"/>
              </w:rPr>
            </w:pPr>
          </w:p>
        </w:tc>
        <w:tc>
          <w:tcPr>
            <w:tcW w:w="94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320" w:type="dxa"/>
            <w:vAlign w:val="bottom"/>
            <w:shd w:val="clear" w:color="auto" w:fill="F1F2F2"/>
          </w:tcPr>
          <w:p>
            <w:pPr>
              <w:spacing w:after="0"/>
              <w:rPr>
                <w:sz w:val="5"/>
                <w:szCs w:val="5"/>
                <w:color w:val="auto"/>
              </w:rPr>
            </w:pPr>
          </w:p>
        </w:tc>
        <w:tc>
          <w:tcPr>
            <w:tcW w:w="520" w:type="dxa"/>
            <w:vAlign w:val="bottom"/>
            <w:shd w:val="clear" w:color="auto" w:fill="F1F2F2"/>
          </w:tcPr>
          <w:p>
            <w:pPr>
              <w:spacing w:after="0"/>
              <w:rPr>
                <w:sz w:val="5"/>
                <w:szCs w:val="5"/>
                <w:color w:val="auto"/>
              </w:rPr>
            </w:pPr>
          </w:p>
        </w:tc>
        <w:tc>
          <w:tcPr>
            <w:tcW w:w="880" w:type="dxa"/>
            <w:vAlign w:val="bottom"/>
            <w:shd w:val="clear" w:color="auto" w:fill="F1F2F2"/>
          </w:tcPr>
          <w:p>
            <w:pPr>
              <w:spacing w:after="0"/>
              <w:rPr>
                <w:sz w:val="5"/>
                <w:szCs w:val="5"/>
                <w:color w:val="auto"/>
              </w:rPr>
            </w:pPr>
          </w:p>
        </w:tc>
        <w:tc>
          <w:tcPr>
            <w:tcW w:w="880" w:type="dxa"/>
            <w:vAlign w:val="bottom"/>
            <w:shd w:val="clear" w:color="auto" w:fill="F1F2F2"/>
          </w:tcPr>
          <w:p>
            <w:pPr>
              <w:spacing w:after="0"/>
              <w:rPr>
                <w:sz w:val="5"/>
                <w:szCs w:val="5"/>
                <w:color w:val="auto"/>
              </w:rPr>
            </w:pPr>
          </w:p>
        </w:tc>
        <w:tc>
          <w:tcPr>
            <w:tcW w:w="820" w:type="dxa"/>
            <w:vAlign w:val="bottom"/>
            <w:shd w:val="clear" w:color="auto" w:fill="F1F2F2"/>
          </w:tcPr>
          <w:p>
            <w:pPr>
              <w:spacing w:after="0"/>
              <w:rPr>
                <w:sz w:val="5"/>
                <w:szCs w:val="5"/>
                <w:color w:val="auto"/>
              </w:rPr>
            </w:pPr>
          </w:p>
        </w:tc>
        <w:tc>
          <w:tcPr>
            <w:tcW w:w="760" w:type="dxa"/>
            <w:vAlign w:val="bottom"/>
            <w:shd w:val="clear" w:color="auto" w:fill="F1F2F2"/>
          </w:tcPr>
          <w:p>
            <w:pPr>
              <w:spacing w:after="0"/>
              <w:rPr>
                <w:sz w:val="5"/>
                <w:szCs w:val="5"/>
                <w:color w:val="auto"/>
              </w:rPr>
            </w:pPr>
          </w:p>
        </w:tc>
        <w:tc>
          <w:tcPr>
            <w:tcW w:w="1320" w:type="dxa"/>
            <w:vAlign w:val="bottom"/>
            <w:shd w:val="clear" w:color="auto" w:fill="F1F2F2"/>
          </w:tcPr>
          <w:p>
            <w:pPr>
              <w:spacing w:after="0"/>
              <w:rPr>
                <w:sz w:val="5"/>
                <w:szCs w:val="5"/>
                <w:color w:val="auto"/>
              </w:rPr>
            </w:pPr>
          </w:p>
        </w:tc>
        <w:tc>
          <w:tcPr>
            <w:tcW w:w="1400" w:type="dxa"/>
            <w:vAlign w:val="bottom"/>
            <w:shd w:val="clear" w:color="auto" w:fill="F1F2F2"/>
          </w:tcPr>
          <w:p>
            <w:pPr>
              <w:spacing w:after="0"/>
              <w:rPr>
                <w:sz w:val="5"/>
                <w:szCs w:val="5"/>
                <w:color w:val="auto"/>
              </w:rPr>
            </w:pPr>
          </w:p>
        </w:tc>
        <w:tc>
          <w:tcPr>
            <w:tcW w:w="1400" w:type="dxa"/>
            <w:vAlign w:val="bottom"/>
            <w:shd w:val="clear" w:color="auto" w:fill="F1F2F2"/>
          </w:tcPr>
          <w:p>
            <w:pPr>
              <w:spacing w:after="0"/>
              <w:rPr>
                <w:sz w:val="5"/>
                <w:szCs w:val="5"/>
                <w:color w:val="auto"/>
              </w:rPr>
            </w:pPr>
          </w:p>
        </w:tc>
        <w:tc>
          <w:tcPr>
            <w:tcW w:w="94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00"/>
              <w:spacing w:after="0"/>
              <w:rPr>
                <w:sz w:val="20"/>
                <w:szCs w:val="20"/>
                <w:color w:val="auto"/>
              </w:rPr>
            </w:pPr>
            <w:r>
              <w:rPr>
                <w:rFonts w:ascii="Arial" w:cs="Arial" w:eastAsia="Arial" w:hAnsi="Arial"/>
                <w:sz w:val="13"/>
                <w:szCs w:val="13"/>
                <w:color w:val="auto"/>
              </w:rPr>
              <w:t>Daniel M. Sessa</w:t>
            </w:r>
          </w:p>
        </w:tc>
        <w:tc>
          <w:tcPr>
            <w:tcW w:w="520" w:type="dxa"/>
            <w:vAlign w:val="bottom"/>
          </w:tcPr>
          <w:p>
            <w:pPr>
              <w:ind w:left="120"/>
              <w:spacing w:after="0"/>
              <w:rPr>
                <w:sz w:val="20"/>
                <w:szCs w:val="20"/>
                <w:color w:val="auto"/>
              </w:rPr>
            </w:pPr>
            <w:r>
              <w:rPr>
                <w:rFonts w:ascii="Arial" w:cs="Arial" w:eastAsia="Arial" w:hAnsi="Arial"/>
                <w:sz w:val="13"/>
                <w:szCs w:val="13"/>
                <w:color w:val="auto"/>
              </w:rPr>
              <w:t>2024</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585,000</w:t>
            </w: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5"/>
              <w:spacing w:after="0"/>
              <w:rPr>
                <w:sz w:val="20"/>
                <w:szCs w:val="20"/>
                <w:color w:val="auto"/>
              </w:rPr>
            </w:pPr>
            <w:r>
              <w:rPr>
                <w:rFonts w:ascii="Arial" w:cs="Arial" w:eastAsia="Arial" w:hAnsi="Arial"/>
                <w:sz w:val="13"/>
                <w:szCs w:val="13"/>
                <w:color w:val="auto"/>
              </w:rPr>
              <w:t>932,830</w:t>
            </w: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236,931</w:t>
            </w:r>
          </w:p>
        </w:tc>
        <w:tc>
          <w:tcPr>
            <w:tcW w:w="1320" w:type="dxa"/>
            <w:vAlign w:val="bottom"/>
          </w:tcPr>
          <w:p>
            <w:pPr>
              <w:jc w:val="right"/>
              <w:ind w:right="15"/>
              <w:spacing w:after="0"/>
              <w:rPr>
                <w:sz w:val="20"/>
                <w:szCs w:val="20"/>
                <w:color w:val="auto"/>
              </w:rPr>
            </w:pPr>
            <w:r>
              <w:rPr>
                <w:rFonts w:ascii="Arial" w:cs="Arial" w:eastAsia="Arial" w:hAnsi="Arial"/>
                <w:sz w:val="13"/>
                <w:szCs w:val="13"/>
                <w:color w:val="auto"/>
              </w:rPr>
              <w:t>953,053</w:t>
            </w: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867,150</w:t>
            </w:r>
          </w:p>
        </w:tc>
        <w:tc>
          <w:tcPr>
            <w:tcW w:w="1400" w:type="dxa"/>
            <w:vAlign w:val="bottom"/>
          </w:tcPr>
          <w:p>
            <w:pPr>
              <w:jc w:val="right"/>
              <w:ind w:right="97"/>
              <w:spacing w:after="0"/>
              <w:rPr>
                <w:sz w:val="20"/>
                <w:szCs w:val="20"/>
                <w:color w:val="auto"/>
              </w:rPr>
            </w:pPr>
            <w:r>
              <w:rPr>
                <w:rFonts w:ascii="Arial" w:cs="Arial" w:eastAsia="Arial" w:hAnsi="Arial"/>
                <w:sz w:val="13"/>
                <w:szCs w:val="13"/>
                <w:color w:val="auto"/>
              </w:rPr>
              <w:t>50,768</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3,625,732</w:t>
            </w:r>
          </w:p>
        </w:tc>
        <w:tc>
          <w:tcPr>
            <w:tcW w:w="0" w:type="dxa"/>
            <w:vAlign w:val="bottom"/>
          </w:tcPr>
          <w:p>
            <w:pPr>
              <w:spacing w:after="0"/>
              <w:rPr>
                <w:sz w:val="1"/>
                <w:szCs w:val="1"/>
                <w:color w:val="auto"/>
              </w:rPr>
            </w:pPr>
          </w:p>
        </w:tc>
      </w:tr>
      <w:tr>
        <w:trPr>
          <w:trHeight w:val="229"/>
        </w:trPr>
        <w:tc>
          <w:tcPr>
            <w:tcW w:w="2320" w:type="dxa"/>
            <w:vAlign w:val="bottom"/>
            <w:vMerge w:val="restart"/>
          </w:tcPr>
          <w:p>
            <w:pPr>
              <w:ind w:left="100"/>
              <w:spacing w:after="0"/>
              <w:rPr>
                <w:sz w:val="20"/>
                <w:szCs w:val="20"/>
                <w:color w:val="auto"/>
              </w:rPr>
            </w:pPr>
            <w:r>
              <w:rPr>
                <w:rFonts w:ascii="Arial" w:cs="Arial" w:eastAsia="Arial" w:hAnsi="Arial"/>
                <w:sz w:val="13"/>
                <w:szCs w:val="13"/>
                <w:color w:val="auto"/>
                <w:w w:val="96"/>
              </w:rPr>
              <w:t>Executive Vice President, Chief Human</w:t>
            </w:r>
          </w:p>
        </w:tc>
        <w:tc>
          <w:tcPr>
            <w:tcW w:w="520" w:type="dxa"/>
            <w:vAlign w:val="bottom"/>
          </w:tcPr>
          <w:p>
            <w:pPr>
              <w:ind w:left="120"/>
              <w:spacing w:after="0"/>
              <w:rPr>
                <w:sz w:val="20"/>
                <w:szCs w:val="20"/>
                <w:color w:val="auto"/>
              </w:rPr>
            </w:pPr>
            <w:r>
              <w:rPr>
                <w:rFonts w:ascii="Arial" w:cs="Arial" w:eastAsia="Arial" w:hAnsi="Arial"/>
                <w:sz w:val="13"/>
                <w:szCs w:val="13"/>
                <w:color w:val="auto"/>
              </w:rPr>
              <w:t>2023</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566,250</w:t>
            </w: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5"/>
              <w:spacing w:after="0"/>
              <w:rPr>
                <w:sz w:val="20"/>
                <w:szCs w:val="20"/>
                <w:color w:val="auto"/>
              </w:rPr>
            </w:pPr>
            <w:r>
              <w:rPr>
                <w:rFonts w:ascii="Arial" w:cs="Arial" w:eastAsia="Arial" w:hAnsi="Arial"/>
                <w:sz w:val="13"/>
                <w:szCs w:val="13"/>
                <w:color w:val="auto"/>
              </w:rPr>
              <w:t>907,387</w:t>
            </w: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253,146</w:t>
            </w:r>
          </w:p>
        </w:tc>
        <w:tc>
          <w:tcPr>
            <w:tcW w:w="1400" w:type="dxa"/>
            <w:vAlign w:val="bottom"/>
          </w:tcPr>
          <w:p>
            <w:pPr>
              <w:jc w:val="right"/>
              <w:ind w:right="97"/>
              <w:spacing w:after="0"/>
              <w:rPr>
                <w:sz w:val="20"/>
                <w:szCs w:val="20"/>
                <w:color w:val="auto"/>
              </w:rPr>
            </w:pPr>
            <w:r>
              <w:rPr>
                <w:rFonts w:ascii="Arial" w:cs="Arial" w:eastAsia="Arial" w:hAnsi="Arial"/>
                <w:sz w:val="13"/>
                <w:szCs w:val="13"/>
                <w:color w:val="auto"/>
              </w:rPr>
              <w:t>49,800</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1,776,583</w:t>
            </w:r>
          </w:p>
        </w:tc>
        <w:tc>
          <w:tcPr>
            <w:tcW w:w="0" w:type="dxa"/>
            <w:vAlign w:val="bottom"/>
          </w:tcPr>
          <w:p>
            <w:pPr>
              <w:spacing w:after="0"/>
              <w:rPr>
                <w:sz w:val="1"/>
                <w:szCs w:val="1"/>
                <w:color w:val="auto"/>
              </w:rPr>
            </w:pPr>
          </w:p>
        </w:tc>
      </w:tr>
      <w:tr>
        <w:trPr>
          <w:trHeight w:val="50"/>
        </w:trPr>
        <w:tc>
          <w:tcPr>
            <w:tcW w:w="23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00"/>
              <w:spacing w:after="0"/>
              <w:rPr>
                <w:sz w:val="20"/>
                <w:szCs w:val="20"/>
                <w:color w:val="auto"/>
              </w:rPr>
            </w:pPr>
            <w:r>
              <w:rPr>
                <w:rFonts w:ascii="Arial" w:cs="Arial" w:eastAsia="Arial" w:hAnsi="Arial"/>
                <w:sz w:val="13"/>
                <w:szCs w:val="13"/>
                <w:color w:val="auto"/>
              </w:rPr>
              <w:t>Resources Officer</w:t>
            </w:r>
          </w:p>
        </w:tc>
        <w:tc>
          <w:tcPr>
            <w:tcW w:w="520" w:type="dxa"/>
            <w:vAlign w:val="bottom"/>
            <w:vMerge w:val="restart"/>
          </w:tcPr>
          <w:p>
            <w:pPr>
              <w:ind w:left="120"/>
              <w:spacing w:after="0"/>
              <w:rPr>
                <w:sz w:val="20"/>
                <w:szCs w:val="20"/>
                <w:color w:val="auto"/>
              </w:rPr>
            </w:pPr>
            <w:r>
              <w:rPr>
                <w:rFonts w:ascii="Arial" w:cs="Arial" w:eastAsia="Arial" w:hAnsi="Arial"/>
                <w:sz w:val="13"/>
                <w:szCs w:val="13"/>
                <w:color w:val="auto"/>
              </w:rPr>
              <w:t>2022</w:t>
            </w: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551,250</w:t>
            </w:r>
          </w:p>
        </w:tc>
        <w:tc>
          <w:tcPr>
            <w:tcW w:w="880" w:type="dxa"/>
            <w:vAlign w:val="bottom"/>
            <w:vMerge w:val="restart"/>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55"/>
              <w:spacing w:after="0"/>
              <w:rPr>
                <w:sz w:val="20"/>
                <w:szCs w:val="20"/>
                <w:color w:val="auto"/>
              </w:rPr>
            </w:pPr>
            <w:r>
              <w:rPr>
                <w:rFonts w:ascii="Arial" w:cs="Arial" w:eastAsia="Arial" w:hAnsi="Arial"/>
                <w:sz w:val="13"/>
                <w:szCs w:val="13"/>
                <w:color w:val="auto"/>
              </w:rPr>
              <w:t>881,746</w:t>
            </w:r>
          </w:p>
        </w:tc>
        <w:tc>
          <w:tcPr>
            <w:tcW w:w="760" w:type="dxa"/>
            <w:vAlign w:val="bottom"/>
            <w:vMerge w:val="restart"/>
          </w:tcPr>
          <w:p>
            <w:pPr>
              <w:jc w:val="right"/>
              <w:ind w:right="35"/>
              <w:spacing w:after="0"/>
              <w:rPr>
                <w:sz w:val="20"/>
                <w:szCs w:val="20"/>
                <w:color w:val="auto"/>
              </w:rPr>
            </w:pPr>
            <w:r>
              <w:rPr>
                <w:rFonts w:ascii="Arial" w:cs="Arial" w:eastAsia="Arial" w:hAnsi="Arial"/>
                <w:sz w:val="13"/>
                <w:szCs w:val="13"/>
                <w:color w:val="auto"/>
              </w:rPr>
              <w:t>223,373</w:t>
            </w:r>
          </w:p>
        </w:tc>
        <w:tc>
          <w:tcPr>
            <w:tcW w:w="1320" w:type="dxa"/>
            <w:vAlign w:val="bottom"/>
            <w:vMerge w:val="restart"/>
          </w:tcPr>
          <w:p>
            <w:pPr>
              <w:jc w:val="right"/>
              <w:ind w:right="15"/>
              <w:spacing w:after="0"/>
              <w:rPr>
                <w:sz w:val="20"/>
                <w:szCs w:val="20"/>
                <w:color w:val="auto"/>
              </w:rPr>
            </w:pPr>
            <w:r>
              <w:rPr>
                <w:rFonts w:ascii="Arial" w:cs="Arial" w:eastAsia="Arial" w:hAnsi="Arial"/>
                <w:sz w:val="13"/>
                <w:szCs w:val="13"/>
                <w:color w:val="auto"/>
              </w:rPr>
              <w:t>304,703</w:t>
            </w:r>
          </w:p>
        </w:tc>
        <w:tc>
          <w:tcPr>
            <w:tcW w:w="140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vMerge w:val="restart"/>
          </w:tcPr>
          <w:p>
            <w:pPr>
              <w:jc w:val="right"/>
              <w:ind w:right="97"/>
              <w:spacing w:after="0"/>
              <w:rPr>
                <w:sz w:val="20"/>
                <w:szCs w:val="20"/>
                <w:color w:val="auto"/>
              </w:rPr>
            </w:pPr>
            <w:r>
              <w:rPr>
                <w:rFonts w:ascii="Arial" w:cs="Arial" w:eastAsia="Arial" w:hAnsi="Arial"/>
                <w:sz w:val="13"/>
                <w:szCs w:val="13"/>
                <w:color w:val="auto"/>
              </w:rPr>
              <w:t>48,324</w:t>
            </w:r>
          </w:p>
        </w:tc>
        <w:tc>
          <w:tcPr>
            <w:tcW w:w="940" w:type="dxa"/>
            <w:vAlign w:val="bottom"/>
            <w:vMerge w:val="restart"/>
          </w:tcPr>
          <w:p>
            <w:pPr>
              <w:jc w:val="right"/>
              <w:ind w:right="136"/>
              <w:spacing w:after="0"/>
              <w:rPr>
                <w:sz w:val="20"/>
                <w:szCs w:val="20"/>
                <w:color w:val="auto"/>
              </w:rPr>
            </w:pPr>
            <w:r>
              <w:rPr>
                <w:rFonts w:ascii="Arial" w:cs="Arial" w:eastAsia="Arial" w:hAnsi="Arial"/>
                <w:sz w:val="13"/>
                <w:szCs w:val="13"/>
                <w:color w:val="auto"/>
              </w:rPr>
              <w:t>2,009,396</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John D. Torres</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2024</w:t>
            </w:r>
          </w:p>
        </w:tc>
        <w:tc>
          <w:tcPr>
            <w:tcW w:w="88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565,000</w:t>
            </w:r>
          </w:p>
        </w:tc>
        <w:tc>
          <w:tcPr>
            <w:tcW w:w="88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ind w:right="55"/>
              <w:spacing w:after="0"/>
              <w:rPr>
                <w:sz w:val="20"/>
                <w:szCs w:val="20"/>
                <w:color w:val="auto"/>
              </w:rPr>
            </w:pPr>
            <w:r>
              <w:rPr>
                <w:rFonts w:ascii="Arial" w:cs="Arial" w:eastAsia="Arial" w:hAnsi="Arial"/>
                <w:sz w:val="13"/>
                <w:szCs w:val="13"/>
                <w:color w:val="auto"/>
              </w:rPr>
              <w:t>932,830</w:t>
            </w:r>
          </w:p>
        </w:tc>
        <w:tc>
          <w:tcPr>
            <w:tcW w:w="760" w:type="dxa"/>
            <w:vAlign w:val="bottom"/>
            <w:shd w:val="clear" w:color="auto" w:fill="F1F2F2"/>
          </w:tcPr>
          <w:p>
            <w:pPr>
              <w:jc w:val="right"/>
              <w:ind w:right="35"/>
              <w:spacing w:after="0"/>
              <w:rPr>
                <w:sz w:val="20"/>
                <w:szCs w:val="20"/>
                <w:color w:val="auto"/>
              </w:rPr>
            </w:pPr>
            <w:r>
              <w:rPr>
                <w:rFonts w:ascii="Arial" w:cs="Arial" w:eastAsia="Arial" w:hAnsi="Arial"/>
                <w:sz w:val="13"/>
                <w:szCs w:val="13"/>
                <w:color w:val="auto"/>
              </w:rPr>
              <w:t>236,931</w:t>
            </w:r>
          </w:p>
        </w:tc>
        <w:tc>
          <w:tcPr>
            <w:tcW w:w="132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920,470</w:t>
            </w:r>
          </w:p>
        </w:tc>
        <w:tc>
          <w:tcPr>
            <w:tcW w:w="140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404,199</w:t>
            </w:r>
          </w:p>
        </w:tc>
        <w:tc>
          <w:tcPr>
            <w:tcW w:w="14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66,982</w:t>
            </w:r>
          </w:p>
        </w:tc>
        <w:tc>
          <w:tcPr>
            <w:tcW w:w="94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3,126,412</w:t>
            </w:r>
          </w:p>
        </w:tc>
        <w:tc>
          <w:tcPr>
            <w:tcW w:w="0" w:type="dxa"/>
            <w:vAlign w:val="bottom"/>
          </w:tcPr>
          <w:p>
            <w:pPr>
              <w:spacing w:after="0"/>
              <w:rPr>
                <w:sz w:val="1"/>
                <w:szCs w:val="1"/>
                <w:color w:val="auto"/>
              </w:rPr>
            </w:pPr>
          </w:p>
        </w:tc>
      </w:tr>
      <w:tr>
        <w:trPr>
          <w:trHeight w:val="229"/>
        </w:trPr>
        <w:tc>
          <w:tcPr>
            <w:tcW w:w="232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w w:val="96"/>
              </w:rPr>
              <w:t>Former Executive Vice President, Chief</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2023</w:t>
            </w:r>
          </w:p>
        </w:tc>
        <w:tc>
          <w:tcPr>
            <w:tcW w:w="88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547,500</w:t>
            </w:r>
          </w:p>
        </w:tc>
        <w:tc>
          <w:tcPr>
            <w:tcW w:w="88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877,341</w:t>
            </w:r>
          </w:p>
        </w:tc>
        <w:tc>
          <w:tcPr>
            <w:tcW w:w="1400" w:type="dxa"/>
            <w:vAlign w:val="bottom"/>
            <w:shd w:val="clear" w:color="auto" w:fill="F1F2F2"/>
          </w:tcPr>
          <w:p>
            <w:pPr>
              <w:jc w:val="right"/>
              <w:ind w:right="56"/>
              <w:spacing w:after="0"/>
              <w:rPr>
                <w:sz w:val="20"/>
                <w:szCs w:val="20"/>
                <w:color w:val="auto"/>
              </w:rPr>
            </w:pPr>
            <w:r>
              <w:rPr>
                <w:rFonts w:ascii="Arial" w:cs="Arial" w:eastAsia="Arial" w:hAnsi="Arial"/>
                <w:sz w:val="13"/>
                <w:szCs w:val="13"/>
                <w:color w:val="auto"/>
              </w:rPr>
              <w:t>273,516</w:t>
            </w:r>
          </w:p>
        </w:tc>
        <w:tc>
          <w:tcPr>
            <w:tcW w:w="14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49,800</w:t>
            </w:r>
          </w:p>
        </w:tc>
        <w:tc>
          <w:tcPr>
            <w:tcW w:w="94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1,748,157</w:t>
            </w:r>
          </w:p>
        </w:tc>
        <w:tc>
          <w:tcPr>
            <w:tcW w:w="0" w:type="dxa"/>
            <w:vAlign w:val="bottom"/>
          </w:tcPr>
          <w:p>
            <w:pPr>
              <w:spacing w:after="0"/>
              <w:rPr>
                <w:sz w:val="1"/>
                <w:szCs w:val="1"/>
                <w:color w:val="auto"/>
              </w:rPr>
            </w:pPr>
          </w:p>
        </w:tc>
      </w:tr>
      <w:tr>
        <w:trPr>
          <w:trHeight w:val="50"/>
        </w:trPr>
        <w:tc>
          <w:tcPr>
            <w:tcW w:w="2320" w:type="dxa"/>
            <w:vAlign w:val="bottom"/>
            <w:vMerge w:val="continue"/>
            <w:shd w:val="clear" w:color="auto" w:fill="F1F2F2"/>
          </w:tcPr>
          <w:p>
            <w:pPr>
              <w:spacing w:after="0"/>
              <w:rPr>
                <w:sz w:val="4"/>
                <w:szCs w:val="4"/>
                <w:color w:val="auto"/>
              </w:rPr>
            </w:pPr>
          </w:p>
        </w:tc>
        <w:tc>
          <w:tcPr>
            <w:tcW w:w="520" w:type="dxa"/>
            <w:vAlign w:val="bottom"/>
            <w:shd w:val="clear" w:color="auto" w:fill="F1F2F2"/>
          </w:tcPr>
          <w:p>
            <w:pPr>
              <w:spacing w:after="0"/>
              <w:rPr>
                <w:sz w:val="4"/>
                <w:szCs w:val="4"/>
                <w:color w:val="auto"/>
              </w:rPr>
            </w:pPr>
          </w:p>
        </w:tc>
        <w:tc>
          <w:tcPr>
            <w:tcW w:w="880" w:type="dxa"/>
            <w:vAlign w:val="bottom"/>
            <w:shd w:val="clear" w:color="auto" w:fill="F1F2F2"/>
          </w:tcPr>
          <w:p>
            <w:pPr>
              <w:spacing w:after="0"/>
              <w:rPr>
                <w:sz w:val="4"/>
                <w:szCs w:val="4"/>
                <w:color w:val="auto"/>
              </w:rPr>
            </w:pPr>
          </w:p>
        </w:tc>
        <w:tc>
          <w:tcPr>
            <w:tcW w:w="880" w:type="dxa"/>
            <w:vAlign w:val="bottom"/>
            <w:shd w:val="clear" w:color="auto" w:fill="F1F2F2"/>
          </w:tcPr>
          <w:p>
            <w:pPr>
              <w:spacing w:after="0"/>
              <w:rPr>
                <w:sz w:val="4"/>
                <w:szCs w:val="4"/>
                <w:color w:val="auto"/>
              </w:rPr>
            </w:pPr>
          </w:p>
        </w:tc>
        <w:tc>
          <w:tcPr>
            <w:tcW w:w="820" w:type="dxa"/>
            <w:vAlign w:val="bottom"/>
            <w:shd w:val="clear" w:color="auto" w:fill="F1F2F2"/>
          </w:tcPr>
          <w:p>
            <w:pPr>
              <w:spacing w:after="0"/>
              <w:rPr>
                <w:sz w:val="4"/>
                <w:szCs w:val="4"/>
                <w:color w:val="auto"/>
              </w:rPr>
            </w:pPr>
          </w:p>
        </w:tc>
        <w:tc>
          <w:tcPr>
            <w:tcW w:w="760" w:type="dxa"/>
            <w:vAlign w:val="bottom"/>
            <w:shd w:val="clear" w:color="auto" w:fill="F1F2F2"/>
          </w:tcPr>
          <w:p>
            <w:pPr>
              <w:spacing w:after="0"/>
              <w:rPr>
                <w:sz w:val="4"/>
                <w:szCs w:val="4"/>
                <w:color w:val="auto"/>
              </w:rPr>
            </w:pPr>
          </w:p>
        </w:tc>
        <w:tc>
          <w:tcPr>
            <w:tcW w:w="1320" w:type="dxa"/>
            <w:vAlign w:val="bottom"/>
            <w:shd w:val="clear" w:color="auto" w:fill="F1F2F2"/>
          </w:tcPr>
          <w:p>
            <w:pPr>
              <w:spacing w:after="0"/>
              <w:rPr>
                <w:sz w:val="4"/>
                <w:szCs w:val="4"/>
                <w:color w:val="auto"/>
              </w:rPr>
            </w:pPr>
          </w:p>
        </w:tc>
        <w:tc>
          <w:tcPr>
            <w:tcW w:w="1400" w:type="dxa"/>
            <w:vAlign w:val="bottom"/>
            <w:shd w:val="clear" w:color="auto" w:fill="F1F2F2"/>
          </w:tcPr>
          <w:p>
            <w:pPr>
              <w:spacing w:after="0"/>
              <w:rPr>
                <w:sz w:val="4"/>
                <w:szCs w:val="4"/>
                <w:color w:val="auto"/>
              </w:rPr>
            </w:pPr>
          </w:p>
        </w:tc>
        <w:tc>
          <w:tcPr>
            <w:tcW w:w="1400" w:type="dxa"/>
            <w:vAlign w:val="bottom"/>
            <w:shd w:val="clear" w:color="auto" w:fill="F1F2F2"/>
          </w:tcPr>
          <w:p>
            <w:pPr>
              <w:spacing w:after="0"/>
              <w:rPr>
                <w:sz w:val="4"/>
                <w:szCs w:val="4"/>
                <w:color w:val="auto"/>
              </w:rPr>
            </w:pPr>
          </w:p>
        </w:tc>
        <w:tc>
          <w:tcPr>
            <w:tcW w:w="940" w:type="dxa"/>
            <w:vAlign w:val="bottom"/>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Legal Officer and Corporate Secretary</w:t>
            </w:r>
          </w:p>
        </w:tc>
        <w:tc>
          <w:tcPr>
            <w:tcW w:w="520" w:type="dxa"/>
            <w:vAlign w:val="bottom"/>
            <w:vMerge w:val="restart"/>
            <w:shd w:val="clear" w:color="auto" w:fill="F1F2F2"/>
          </w:tcPr>
          <w:p>
            <w:pPr>
              <w:ind w:left="120"/>
              <w:spacing w:after="0"/>
              <w:rPr>
                <w:sz w:val="20"/>
                <w:szCs w:val="20"/>
                <w:color w:val="auto"/>
              </w:rPr>
            </w:pPr>
            <w:r>
              <w:rPr>
                <w:rFonts w:ascii="Arial" w:cs="Arial" w:eastAsia="Arial" w:hAnsi="Arial"/>
                <w:sz w:val="13"/>
                <w:szCs w:val="13"/>
                <w:color w:val="auto"/>
              </w:rPr>
              <w:t>2022</w:t>
            </w:r>
          </w:p>
        </w:tc>
        <w:tc>
          <w:tcPr>
            <w:tcW w:w="880" w:type="dxa"/>
            <w:vAlign w:val="bottom"/>
            <w:vMerge w:val="restart"/>
            <w:shd w:val="clear" w:color="auto" w:fill="F1F2F2"/>
          </w:tcPr>
          <w:p>
            <w:pPr>
              <w:jc w:val="right"/>
              <w:ind w:right="56"/>
              <w:spacing w:after="0"/>
              <w:rPr>
                <w:sz w:val="20"/>
                <w:szCs w:val="20"/>
                <w:color w:val="auto"/>
              </w:rPr>
            </w:pPr>
            <w:r>
              <w:rPr>
                <w:rFonts w:ascii="Arial" w:cs="Arial" w:eastAsia="Arial" w:hAnsi="Arial"/>
                <w:sz w:val="13"/>
                <w:szCs w:val="13"/>
                <w:color w:val="auto"/>
              </w:rPr>
              <w:t>536,250</w:t>
            </w:r>
          </w:p>
        </w:tc>
        <w:tc>
          <w:tcPr>
            <w:tcW w:w="880" w:type="dxa"/>
            <w:vAlign w:val="bottom"/>
            <w:vMerge w:val="restart"/>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F1F2F2"/>
          </w:tcPr>
          <w:p>
            <w:pPr>
              <w:jc w:val="right"/>
              <w:ind w:right="55"/>
              <w:spacing w:after="0"/>
              <w:rPr>
                <w:sz w:val="20"/>
                <w:szCs w:val="20"/>
                <w:color w:val="auto"/>
              </w:rPr>
            </w:pPr>
            <w:r>
              <w:rPr>
                <w:rFonts w:ascii="Arial" w:cs="Arial" w:eastAsia="Arial" w:hAnsi="Arial"/>
                <w:sz w:val="13"/>
                <w:szCs w:val="13"/>
                <w:color w:val="auto"/>
              </w:rPr>
              <w:t>843,238</w:t>
            </w:r>
          </w:p>
        </w:tc>
        <w:tc>
          <w:tcPr>
            <w:tcW w:w="760" w:type="dxa"/>
            <w:vAlign w:val="bottom"/>
            <w:vMerge w:val="restart"/>
            <w:shd w:val="clear" w:color="auto" w:fill="F1F2F2"/>
          </w:tcPr>
          <w:p>
            <w:pPr>
              <w:jc w:val="right"/>
              <w:ind w:right="35"/>
              <w:spacing w:after="0"/>
              <w:rPr>
                <w:sz w:val="20"/>
                <w:szCs w:val="20"/>
                <w:color w:val="auto"/>
              </w:rPr>
            </w:pPr>
            <w:r>
              <w:rPr>
                <w:rFonts w:ascii="Arial" w:cs="Arial" w:eastAsia="Arial" w:hAnsi="Arial"/>
                <w:sz w:val="13"/>
                <w:szCs w:val="13"/>
                <w:color w:val="auto"/>
              </w:rPr>
              <w:t>213,627</w:t>
            </w:r>
          </w:p>
        </w:tc>
        <w:tc>
          <w:tcPr>
            <w:tcW w:w="1320" w:type="dxa"/>
            <w:vAlign w:val="bottom"/>
            <w:vMerge w:val="restart"/>
            <w:shd w:val="clear" w:color="auto" w:fill="F1F2F2"/>
          </w:tcPr>
          <w:p>
            <w:pPr>
              <w:jc w:val="right"/>
              <w:ind w:right="15"/>
              <w:spacing w:after="0"/>
              <w:rPr>
                <w:sz w:val="20"/>
                <w:szCs w:val="20"/>
                <w:color w:val="auto"/>
              </w:rPr>
            </w:pPr>
            <w:r>
              <w:rPr>
                <w:rFonts w:ascii="Arial" w:cs="Arial" w:eastAsia="Arial" w:hAnsi="Arial"/>
                <w:sz w:val="13"/>
                <w:szCs w:val="13"/>
                <w:color w:val="auto"/>
              </w:rPr>
              <w:t>237,130</w:t>
            </w:r>
          </w:p>
        </w:tc>
        <w:tc>
          <w:tcPr>
            <w:tcW w:w="1400" w:type="dxa"/>
            <w:vAlign w:val="bottom"/>
            <w:vMerge w:val="restart"/>
            <w:shd w:val="clear" w:color="auto" w:fill="F1F2F2"/>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48,418</w:t>
            </w:r>
          </w:p>
        </w:tc>
        <w:tc>
          <w:tcPr>
            <w:tcW w:w="940" w:type="dxa"/>
            <w:vAlign w:val="bottom"/>
            <w:vMerge w:val="restart"/>
            <w:shd w:val="clear" w:color="auto" w:fill="F1F2F2"/>
          </w:tcPr>
          <w:p>
            <w:pPr>
              <w:jc w:val="right"/>
              <w:ind w:right="136"/>
              <w:spacing w:after="0"/>
              <w:rPr>
                <w:sz w:val="20"/>
                <w:szCs w:val="20"/>
                <w:color w:val="auto"/>
              </w:rPr>
            </w:pPr>
            <w:r>
              <w:rPr>
                <w:rFonts w:ascii="Arial" w:cs="Arial" w:eastAsia="Arial" w:hAnsi="Arial"/>
                <w:sz w:val="13"/>
                <w:szCs w:val="13"/>
                <w:color w:val="auto"/>
              </w:rPr>
              <w:t>1,878,663</w:t>
            </w:r>
          </w:p>
        </w:tc>
        <w:tc>
          <w:tcPr>
            <w:tcW w:w="0" w:type="dxa"/>
            <w:vAlign w:val="bottom"/>
          </w:tcPr>
          <w:p>
            <w:pPr>
              <w:spacing w:after="0"/>
              <w:rPr>
                <w:sz w:val="1"/>
                <w:szCs w:val="1"/>
                <w:color w:val="auto"/>
              </w:rPr>
            </w:pPr>
          </w:p>
        </w:tc>
      </w:tr>
      <w:tr>
        <w:trPr>
          <w:trHeight w:val="54"/>
        </w:trPr>
        <w:tc>
          <w:tcPr>
            <w:tcW w:w="2320" w:type="dxa"/>
            <w:vAlign w:val="bottom"/>
            <w:shd w:val="clear" w:color="auto" w:fill="F1F2F2"/>
          </w:tcPr>
          <w:p>
            <w:pPr>
              <w:spacing w:after="0"/>
              <w:rPr>
                <w:sz w:val="4"/>
                <w:szCs w:val="4"/>
                <w:color w:val="auto"/>
              </w:rPr>
            </w:pPr>
          </w:p>
        </w:tc>
        <w:tc>
          <w:tcPr>
            <w:tcW w:w="520" w:type="dxa"/>
            <w:vAlign w:val="bottom"/>
            <w:vMerge w:val="continue"/>
            <w:shd w:val="clear" w:color="auto" w:fill="F1F2F2"/>
          </w:tcPr>
          <w:p>
            <w:pPr>
              <w:spacing w:after="0"/>
              <w:rPr>
                <w:sz w:val="4"/>
                <w:szCs w:val="4"/>
                <w:color w:val="auto"/>
              </w:rPr>
            </w:pPr>
          </w:p>
        </w:tc>
        <w:tc>
          <w:tcPr>
            <w:tcW w:w="880" w:type="dxa"/>
            <w:vAlign w:val="bottom"/>
            <w:vMerge w:val="continue"/>
            <w:shd w:val="clear" w:color="auto" w:fill="F1F2F2"/>
          </w:tcPr>
          <w:p>
            <w:pPr>
              <w:spacing w:after="0"/>
              <w:rPr>
                <w:sz w:val="4"/>
                <w:szCs w:val="4"/>
                <w:color w:val="auto"/>
              </w:rPr>
            </w:pPr>
          </w:p>
        </w:tc>
        <w:tc>
          <w:tcPr>
            <w:tcW w:w="880" w:type="dxa"/>
            <w:vAlign w:val="bottom"/>
            <w:vMerge w:val="continue"/>
            <w:shd w:val="clear" w:color="auto" w:fill="F1F2F2"/>
          </w:tcPr>
          <w:p>
            <w:pPr>
              <w:spacing w:after="0"/>
              <w:rPr>
                <w:sz w:val="4"/>
                <w:szCs w:val="4"/>
                <w:color w:val="auto"/>
              </w:rPr>
            </w:pPr>
          </w:p>
        </w:tc>
        <w:tc>
          <w:tcPr>
            <w:tcW w:w="820" w:type="dxa"/>
            <w:vAlign w:val="bottom"/>
            <w:vMerge w:val="continue"/>
            <w:shd w:val="clear" w:color="auto" w:fill="F1F2F2"/>
          </w:tcPr>
          <w:p>
            <w:pPr>
              <w:spacing w:after="0"/>
              <w:rPr>
                <w:sz w:val="4"/>
                <w:szCs w:val="4"/>
                <w:color w:val="auto"/>
              </w:rPr>
            </w:pPr>
          </w:p>
        </w:tc>
        <w:tc>
          <w:tcPr>
            <w:tcW w:w="760" w:type="dxa"/>
            <w:vAlign w:val="bottom"/>
            <w:vMerge w:val="continue"/>
            <w:shd w:val="clear" w:color="auto" w:fill="F1F2F2"/>
          </w:tcPr>
          <w:p>
            <w:pPr>
              <w:spacing w:after="0"/>
              <w:rPr>
                <w:sz w:val="4"/>
                <w:szCs w:val="4"/>
                <w:color w:val="auto"/>
              </w:rPr>
            </w:pPr>
          </w:p>
        </w:tc>
        <w:tc>
          <w:tcPr>
            <w:tcW w:w="1320" w:type="dxa"/>
            <w:vAlign w:val="bottom"/>
            <w:vMerge w:val="continue"/>
            <w:shd w:val="clear" w:color="auto" w:fill="F1F2F2"/>
          </w:tcPr>
          <w:p>
            <w:pPr>
              <w:spacing w:after="0"/>
              <w:rPr>
                <w:sz w:val="4"/>
                <w:szCs w:val="4"/>
                <w:color w:val="auto"/>
              </w:rPr>
            </w:pPr>
          </w:p>
        </w:tc>
        <w:tc>
          <w:tcPr>
            <w:tcW w:w="1400" w:type="dxa"/>
            <w:vAlign w:val="bottom"/>
            <w:vMerge w:val="continue"/>
            <w:shd w:val="clear" w:color="auto" w:fill="F1F2F2"/>
          </w:tcPr>
          <w:p>
            <w:pPr>
              <w:spacing w:after="0"/>
              <w:rPr>
                <w:sz w:val="4"/>
                <w:szCs w:val="4"/>
                <w:color w:val="auto"/>
              </w:rPr>
            </w:pPr>
          </w:p>
        </w:tc>
        <w:tc>
          <w:tcPr>
            <w:tcW w:w="1400" w:type="dxa"/>
            <w:vAlign w:val="bottom"/>
            <w:vMerge w:val="continue"/>
            <w:shd w:val="clear" w:color="auto" w:fill="F1F2F2"/>
          </w:tcPr>
          <w:p>
            <w:pPr>
              <w:spacing w:after="0"/>
              <w:rPr>
                <w:sz w:val="4"/>
                <w:szCs w:val="4"/>
                <w:color w:val="auto"/>
              </w:rPr>
            </w:pPr>
          </w:p>
        </w:tc>
        <w:tc>
          <w:tcPr>
            <w:tcW w:w="94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320" w:type="dxa"/>
            <w:vAlign w:val="bottom"/>
            <w:shd w:val="clear" w:color="auto" w:fill="F1F2F2"/>
          </w:tcPr>
          <w:p>
            <w:pPr>
              <w:spacing w:after="0"/>
              <w:rPr>
                <w:sz w:val="5"/>
                <w:szCs w:val="5"/>
                <w:color w:val="auto"/>
              </w:rPr>
            </w:pPr>
          </w:p>
        </w:tc>
        <w:tc>
          <w:tcPr>
            <w:tcW w:w="520" w:type="dxa"/>
            <w:vAlign w:val="bottom"/>
            <w:shd w:val="clear" w:color="auto" w:fill="F1F2F2"/>
          </w:tcPr>
          <w:p>
            <w:pPr>
              <w:spacing w:after="0"/>
              <w:rPr>
                <w:sz w:val="5"/>
                <w:szCs w:val="5"/>
                <w:color w:val="auto"/>
              </w:rPr>
            </w:pPr>
          </w:p>
        </w:tc>
        <w:tc>
          <w:tcPr>
            <w:tcW w:w="880" w:type="dxa"/>
            <w:vAlign w:val="bottom"/>
            <w:shd w:val="clear" w:color="auto" w:fill="F1F2F2"/>
          </w:tcPr>
          <w:p>
            <w:pPr>
              <w:spacing w:after="0"/>
              <w:rPr>
                <w:sz w:val="5"/>
                <w:szCs w:val="5"/>
                <w:color w:val="auto"/>
              </w:rPr>
            </w:pPr>
          </w:p>
        </w:tc>
        <w:tc>
          <w:tcPr>
            <w:tcW w:w="880" w:type="dxa"/>
            <w:vAlign w:val="bottom"/>
            <w:shd w:val="clear" w:color="auto" w:fill="F1F2F2"/>
          </w:tcPr>
          <w:p>
            <w:pPr>
              <w:spacing w:after="0"/>
              <w:rPr>
                <w:sz w:val="5"/>
                <w:szCs w:val="5"/>
                <w:color w:val="auto"/>
              </w:rPr>
            </w:pPr>
          </w:p>
        </w:tc>
        <w:tc>
          <w:tcPr>
            <w:tcW w:w="820" w:type="dxa"/>
            <w:vAlign w:val="bottom"/>
            <w:shd w:val="clear" w:color="auto" w:fill="F1F2F2"/>
          </w:tcPr>
          <w:p>
            <w:pPr>
              <w:spacing w:after="0"/>
              <w:rPr>
                <w:sz w:val="5"/>
                <w:szCs w:val="5"/>
                <w:color w:val="auto"/>
              </w:rPr>
            </w:pPr>
          </w:p>
        </w:tc>
        <w:tc>
          <w:tcPr>
            <w:tcW w:w="760" w:type="dxa"/>
            <w:vAlign w:val="bottom"/>
            <w:shd w:val="clear" w:color="auto" w:fill="F1F2F2"/>
          </w:tcPr>
          <w:p>
            <w:pPr>
              <w:spacing w:after="0"/>
              <w:rPr>
                <w:sz w:val="5"/>
                <w:szCs w:val="5"/>
                <w:color w:val="auto"/>
              </w:rPr>
            </w:pPr>
          </w:p>
        </w:tc>
        <w:tc>
          <w:tcPr>
            <w:tcW w:w="1320" w:type="dxa"/>
            <w:vAlign w:val="bottom"/>
            <w:shd w:val="clear" w:color="auto" w:fill="F1F2F2"/>
          </w:tcPr>
          <w:p>
            <w:pPr>
              <w:spacing w:after="0"/>
              <w:rPr>
                <w:sz w:val="5"/>
                <w:szCs w:val="5"/>
                <w:color w:val="auto"/>
              </w:rPr>
            </w:pPr>
          </w:p>
        </w:tc>
        <w:tc>
          <w:tcPr>
            <w:tcW w:w="1400" w:type="dxa"/>
            <w:vAlign w:val="bottom"/>
            <w:shd w:val="clear" w:color="auto" w:fill="F1F2F2"/>
          </w:tcPr>
          <w:p>
            <w:pPr>
              <w:spacing w:after="0"/>
              <w:rPr>
                <w:sz w:val="5"/>
                <w:szCs w:val="5"/>
                <w:color w:val="auto"/>
              </w:rPr>
            </w:pPr>
          </w:p>
        </w:tc>
        <w:tc>
          <w:tcPr>
            <w:tcW w:w="1400" w:type="dxa"/>
            <w:vAlign w:val="bottom"/>
            <w:shd w:val="clear" w:color="auto" w:fill="F1F2F2"/>
          </w:tcPr>
          <w:p>
            <w:pPr>
              <w:spacing w:after="0"/>
              <w:rPr>
                <w:sz w:val="5"/>
                <w:szCs w:val="5"/>
                <w:color w:val="auto"/>
              </w:rPr>
            </w:pPr>
          </w:p>
        </w:tc>
        <w:tc>
          <w:tcPr>
            <w:tcW w:w="94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120" w:hanging="332"/>
        <w:spacing w:after="0" w:line="267"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of the aggregate amount of all stock awards for each year, in accordance with FASB ASC Topic 718, in connection with RSUs and PSUs granted under the 2019 Equity and Incentive Compensation Plan. Assumptions used in calculating these amounts are described in Note 15 of the Consolidated Financial Statements for the fiscal year ended December 31, 2024, included in our Form 10-K. Amounts for 2024 PSUs reflect the probable outcome for the awards on the grant date, valued at the date of grant in accordance with FASB ASC Topic 718. If the PSUs were valued at maximum performance levels, the total PSU value at grant would be as follows:</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00" w:type="dxa"/>
            <w:vAlign w:val="bottom"/>
            <w:shd w:val="clear" w:color="auto" w:fill="C60C35"/>
          </w:tcPr>
          <w:p>
            <w:pPr>
              <w:spacing w:after="0"/>
              <w:rPr>
                <w:sz w:val="18"/>
                <w:szCs w:val="18"/>
                <w:color w:val="auto"/>
              </w:rPr>
            </w:pPr>
          </w:p>
        </w:tc>
        <w:tc>
          <w:tcPr>
            <w:tcW w:w="4700" w:type="dxa"/>
            <w:vAlign w:val="bottom"/>
            <w:gridSpan w:val="3"/>
            <w:shd w:val="clear" w:color="auto" w:fill="C60C35"/>
          </w:tcPr>
          <w:p>
            <w:pPr>
              <w:jc w:val="right"/>
              <w:ind w:right="748"/>
              <w:spacing w:after="0"/>
              <w:rPr>
                <w:sz w:val="20"/>
                <w:szCs w:val="20"/>
                <w:color w:val="auto"/>
              </w:rPr>
            </w:pPr>
            <w:r>
              <w:rPr>
                <w:rFonts w:ascii="Arial" w:cs="Arial" w:eastAsia="Arial" w:hAnsi="Arial"/>
                <w:sz w:val="14"/>
                <w:szCs w:val="14"/>
                <w:b w:val="1"/>
                <w:bCs w:val="1"/>
                <w:color w:val="FFFFFF"/>
              </w:rPr>
              <w:t>PSU Value at Maximum Performance Levels ($)</w:t>
            </w:r>
          </w:p>
        </w:tc>
      </w:tr>
      <w:tr>
        <w:trPr>
          <w:trHeight w:val="281"/>
        </w:trPr>
        <w:tc>
          <w:tcPr>
            <w:tcW w:w="58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520" w:type="dxa"/>
            <w:vAlign w:val="bottom"/>
            <w:shd w:val="clear" w:color="auto" w:fill="C60C35"/>
          </w:tcPr>
          <w:p>
            <w:pPr>
              <w:jc w:val="right"/>
              <w:ind w:right="28"/>
              <w:spacing w:after="0"/>
              <w:rPr>
                <w:sz w:val="20"/>
                <w:szCs w:val="20"/>
                <w:color w:val="auto"/>
              </w:rPr>
            </w:pPr>
            <w:r>
              <w:rPr>
                <w:rFonts w:ascii="Arial" w:cs="Arial" w:eastAsia="Arial" w:hAnsi="Arial"/>
                <w:sz w:val="14"/>
                <w:szCs w:val="14"/>
                <w:b w:val="1"/>
                <w:bCs w:val="1"/>
                <w:color w:val="FFFFFF"/>
              </w:rPr>
              <w:t>2022</w:t>
            </w:r>
          </w:p>
        </w:tc>
        <w:tc>
          <w:tcPr>
            <w:tcW w:w="1920" w:type="dxa"/>
            <w:vAlign w:val="bottom"/>
            <w:shd w:val="clear" w:color="auto" w:fill="C60C35"/>
          </w:tcPr>
          <w:p>
            <w:pPr>
              <w:ind w:left="1100"/>
              <w:spacing w:after="0"/>
              <w:rPr>
                <w:sz w:val="20"/>
                <w:szCs w:val="20"/>
                <w:color w:val="auto"/>
              </w:rPr>
            </w:pPr>
            <w:r>
              <w:rPr>
                <w:rFonts w:ascii="Arial" w:cs="Arial" w:eastAsia="Arial" w:hAnsi="Arial"/>
                <w:sz w:val="14"/>
                <w:szCs w:val="14"/>
                <w:b w:val="1"/>
                <w:bCs w:val="1"/>
                <w:color w:val="FFFFFF"/>
              </w:rPr>
              <w:t>2023</w:t>
            </w:r>
          </w:p>
        </w:tc>
        <w:tc>
          <w:tcPr>
            <w:tcW w:w="1260" w:type="dxa"/>
            <w:vAlign w:val="bottom"/>
            <w:shd w:val="clear" w:color="auto" w:fill="C60C35"/>
          </w:tcPr>
          <w:p>
            <w:pPr>
              <w:jc w:val="right"/>
              <w:ind w:right="148"/>
              <w:spacing w:after="0"/>
              <w:rPr>
                <w:sz w:val="20"/>
                <w:szCs w:val="20"/>
                <w:color w:val="auto"/>
              </w:rPr>
            </w:pPr>
            <w:r>
              <w:rPr>
                <w:rFonts w:ascii="Arial" w:cs="Arial" w:eastAsia="Arial" w:hAnsi="Arial"/>
                <w:sz w:val="14"/>
                <w:szCs w:val="14"/>
                <w:b w:val="1"/>
                <w:bCs w:val="1"/>
                <w:color w:val="FFFFFF"/>
              </w:rPr>
              <w:t>2024</w:t>
            </w:r>
          </w:p>
        </w:tc>
      </w:tr>
      <w:tr>
        <w:trPr>
          <w:trHeight w:val="69"/>
        </w:trPr>
        <w:tc>
          <w:tcPr>
            <w:tcW w:w="5800" w:type="dxa"/>
            <w:vAlign w:val="bottom"/>
            <w:shd w:val="clear" w:color="auto" w:fill="C60C35"/>
          </w:tcPr>
          <w:p>
            <w:pPr>
              <w:spacing w:after="0"/>
              <w:rPr>
                <w:sz w:val="6"/>
                <w:szCs w:val="6"/>
                <w:color w:val="auto"/>
              </w:rPr>
            </w:pPr>
          </w:p>
        </w:tc>
        <w:tc>
          <w:tcPr>
            <w:tcW w:w="1520" w:type="dxa"/>
            <w:vAlign w:val="bottom"/>
            <w:shd w:val="clear" w:color="auto" w:fill="C60C35"/>
          </w:tcPr>
          <w:p>
            <w:pPr>
              <w:spacing w:after="0"/>
              <w:rPr>
                <w:sz w:val="6"/>
                <w:szCs w:val="6"/>
                <w:color w:val="auto"/>
              </w:rPr>
            </w:pPr>
          </w:p>
        </w:tc>
        <w:tc>
          <w:tcPr>
            <w:tcW w:w="1920" w:type="dxa"/>
            <w:vAlign w:val="bottom"/>
            <w:shd w:val="clear" w:color="auto" w:fill="C60C35"/>
          </w:tcPr>
          <w:p>
            <w:pPr>
              <w:spacing w:after="0"/>
              <w:rPr>
                <w:sz w:val="6"/>
                <w:szCs w:val="6"/>
                <w:color w:val="auto"/>
              </w:rPr>
            </w:pPr>
          </w:p>
        </w:tc>
        <w:tc>
          <w:tcPr>
            <w:tcW w:w="1260" w:type="dxa"/>
            <w:vAlign w:val="bottom"/>
            <w:shd w:val="clear" w:color="auto" w:fill="C60C35"/>
          </w:tcPr>
          <w:p>
            <w:pPr>
              <w:spacing w:after="0"/>
              <w:rPr>
                <w:sz w:val="6"/>
                <w:szCs w:val="6"/>
                <w:color w:val="auto"/>
              </w:rPr>
            </w:pPr>
          </w:p>
        </w:tc>
      </w:tr>
      <w:tr>
        <w:trPr>
          <w:trHeight w:val="203"/>
        </w:trPr>
        <w:tc>
          <w:tcPr>
            <w:tcW w:w="5800" w:type="dxa"/>
            <w:vAlign w:val="bottom"/>
            <w:shd w:val="clear" w:color="auto" w:fill="F1F2F2"/>
          </w:tcPr>
          <w:p>
            <w:pPr>
              <w:ind w:left="20"/>
              <w:spacing w:after="0"/>
              <w:rPr>
                <w:sz w:val="20"/>
                <w:szCs w:val="20"/>
                <w:color w:val="auto"/>
              </w:rPr>
            </w:pPr>
            <w:r>
              <w:rPr>
                <w:rFonts w:ascii="Arial" w:cs="Arial" w:eastAsia="Arial" w:hAnsi="Arial"/>
                <w:sz w:val="14"/>
                <w:szCs w:val="14"/>
                <w:color w:val="auto"/>
              </w:rPr>
              <w:t>Alok Maskara</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8,591,414</w:t>
            </w:r>
          </w:p>
        </w:tc>
        <w:tc>
          <w:tcPr>
            <w:tcW w:w="1920" w:type="dxa"/>
            <w:vAlign w:val="bottom"/>
            <w:shd w:val="clear" w:color="auto" w:fill="F1F2F2"/>
          </w:tcPr>
          <w:p>
            <w:pPr>
              <w:ind w:left="1320"/>
              <w:spacing w:after="0"/>
              <w:rPr>
                <w:sz w:val="20"/>
                <w:szCs w:val="20"/>
                <w:color w:val="auto"/>
              </w:rPr>
            </w:pPr>
            <w:r>
              <w:rPr>
                <w:rFonts w:ascii="Arial" w:cs="Arial" w:eastAsia="Arial" w:hAnsi="Arial"/>
                <w:sz w:val="14"/>
                <w:szCs w:val="14"/>
                <w:color w:val="auto"/>
              </w:rPr>
              <w:t>n/a</w:t>
            </w:r>
          </w:p>
        </w:tc>
        <w:tc>
          <w:tcPr>
            <w:tcW w:w="126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5,537,184</w:t>
            </w:r>
          </w:p>
        </w:tc>
      </w:tr>
      <w:tr>
        <w:trPr>
          <w:trHeight w:val="198"/>
        </w:trPr>
        <w:tc>
          <w:tcPr>
            <w:tcW w:w="5800" w:type="dxa"/>
            <w:vAlign w:val="bottom"/>
          </w:tcPr>
          <w:p>
            <w:pPr>
              <w:ind w:left="20"/>
              <w:spacing w:after="0"/>
              <w:rPr>
                <w:sz w:val="20"/>
                <w:szCs w:val="20"/>
                <w:color w:val="auto"/>
              </w:rPr>
            </w:pPr>
            <w:r>
              <w:rPr>
                <w:rFonts w:ascii="Arial" w:cs="Arial" w:eastAsia="Arial" w:hAnsi="Arial"/>
                <w:sz w:val="14"/>
                <w:szCs w:val="14"/>
                <w:color w:val="auto"/>
              </w:rPr>
              <w:t>Michael P. Quenzer</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ind w:left="13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971,271</w:t>
            </w:r>
          </w:p>
        </w:tc>
      </w:tr>
      <w:tr>
        <w:trPr>
          <w:trHeight w:val="207"/>
        </w:trPr>
        <w:tc>
          <w:tcPr>
            <w:tcW w:w="5800" w:type="dxa"/>
            <w:vAlign w:val="bottom"/>
            <w:shd w:val="clear" w:color="auto" w:fill="F1F2F2"/>
          </w:tcPr>
          <w:p>
            <w:pPr>
              <w:ind w:left="20"/>
              <w:spacing w:after="0"/>
              <w:rPr>
                <w:sz w:val="20"/>
                <w:szCs w:val="20"/>
                <w:color w:val="auto"/>
              </w:rPr>
            </w:pPr>
            <w:r>
              <w:rPr>
                <w:rFonts w:ascii="Arial" w:cs="Arial" w:eastAsia="Arial" w:hAnsi="Arial"/>
                <w:sz w:val="14"/>
                <w:szCs w:val="14"/>
                <w:color w:val="auto"/>
              </w:rPr>
              <w:t>Gary S. Bedard</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1,149,826</w:t>
            </w:r>
          </w:p>
        </w:tc>
        <w:tc>
          <w:tcPr>
            <w:tcW w:w="1920" w:type="dxa"/>
            <w:vAlign w:val="bottom"/>
            <w:shd w:val="clear" w:color="auto" w:fill="F1F2F2"/>
          </w:tcPr>
          <w:p>
            <w:pPr>
              <w:ind w:left="1320"/>
              <w:spacing w:after="0"/>
              <w:rPr>
                <w:sz w:val="20"/>
                <w:szCs w:val="20"/>
                <w:color w:val="auto"/>
              </w:rPr>
            </w:pPr>
            <w:r>
              <w:rPr>
                <w:rFonts w:ascii="Arial" w:cs="Arial" w:eastAsia="Arial" w:hAnsi="Arial"/>
                <w:sz w:val="14"/>
                <w:szCs w:val="14"/>
                <w:color w:val="auto"/>
              </w:rPr>
              <w:t>n/a</w:t>
            </w:r>
          </w:p>
        </w:tc>
        <w:tc>
          <w:tcPr>
            <w:tcW w:w="126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1,262,567</w:t>
            </w:r>
          </w:p>
        </w:tc>
      </w:tr>
      <w:tr>
        <w:trPr>
          <w:trHeight w:val="198"/>
        </w:trPr>
        <w:tc>
          <w:tcPr>
            <w:tcW w:w="5800" w:type="dxa"/>
            <w:vAlign w:val="bottom"/>
          </w:tcPr>
          <w:p>
            <w:pPr>
              <w:ind w:left="20"/>
              <w:spacing w:after="0"/>
              <w:rPr>
                <w:sz w:val="20"/>
                <w:szCs w:val="20"/>
                <w:color w:val="auto"/>
              </w:rPr>
            </w:pPr>
            <w:r>
              <w:rPr>
                <w:rFonts w:ascii="Arial" w:cs="Arial" w:eastAsia="Arial" w:hAnsi="Arial"/>
                <w:sz w:val="14"/>
                <w:szCs w:val="14"/>
                <w:color w:val="auto"/>
              </w:rPr>
              <w:t>Daniel M. Sessa</w:t>
            </w:r>
          </w:p>
        </w:tc>
        <w:tc>
          <w:tcPr>
            <w:tcW w:w="1520" w:type="dxa"/>
            <w:vAlign w:val="bottom"/>
          </w:tcPr>
          <w:p>
            <w:pPr>
              <w:jc w:val="right"/>
              <w:spacing w:after="0"/>
              <w:rPr>
                <w:sz w:val="20"/>
                <w:szCs w:val="20"/>
                <w:color w:val="auto"/>
              </w:rPr>
            </w:pPr>
            <w:r>
              <w:rPr>
                <w:rFonts w:ascii="Arial" w:cs="Arial" w:eastAsia="Arial" w:hAnsi="Arial"/>
                <w:sz w:val="14"/>
                <w:szCs w:val="14"/>
                <w:color w:val="auto"/>
              </w:rPr>
              <w:t>1,102,243</w:t>
            </w:r>
          </w:p>
        </w:tc>
        <w:tc>
          <w:tcPr>
            <w:tcW w:w="1920" w:type="dxa"/>
            <w:vAlign w:val="bottom"/>
          </w:tcPr>
          <w:p>
            <w:pPr>
              <w:ind w:left="1320"/>
              <w:spacing w:after="0"/>
              <w:rPr>
                <w:sz w:val="20"/>
                <w:szCs w:val="20"/>
                <w:color w:val="auto"/>
              </w:rPr>
            </w:pPr>
            <w:r>
              <w:rPr>
                <w:rFonts w:ascii="Arial" w:cs="Arial" w:eastAsia="Arial" w:hAnsi="Arial"/>
                <w:sz w:val="14"/>
                <w:szCs w:val="14"/>
                <w:color w:val="auto"/>
              </w:rPr>
              <w:t>n/a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1,166,038</w:t>
            </w:r>
          </w:p>
        </w:tc>
      </w:tr>
      <w:tr>
        <w:trPr>
          <w:trHeight w:val="207"/>
        </w:trPr>
        <w:tc>
          <w:tcPr>
            <w:tcW w:w="5800" w:type="dxa"/>
            <w:vAlign w:val="bottom"/>
            <w:shd w:val="clear" w:color="auto" w:fill="F1F2F2"/>
          </w:tcPr>
          <w:p>
            <w:pPr>
              <w:ind w:left="20"/>
              <w:spacing w:after="0"/>
              <w:rPr>
                <w:sz w:val="20"/>
                <w:szCs w:val="20"/>
                <w:color w:val="auto"/>
              </w:rPr>
            </w:pPr>
            <w:r>
              <w:rPr>
                <w:rFonts w:ascii="Arial" w:cs="Arial" w:eastAsia="Arial" w:hAnsi="Arial"/>
                <w:sz w:val="14"/>
                <w:szCs w:val="14"/>
                <w:color w:val="auto"/>
              </w:rPr>
              <w:t>John D. Torres</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1,054,170</w:t>
            </w:r>
          </w:p>
        </w:tc>
        <w:tc>
          <w:tcPr>
            <w:tcW w:w="1920" w:type="dxa"/>
            <w:vAlign w:val="bottom"/>
            <w:shd w:val="clear" w:color="auto" w:fill="F1F2F2"/>
          </w:tcPr>
          <w:p>
            <w:pPr>
              <w:ind w:left="1320"/>
              <w:spacing w:after="0"/>
              <w:rPr>
                <w:sz w:val="20"/>
                <w:szCs w:val="20"/>
                <w:color w:val="auto"/>
              </w:rPr>
            </w:pPr>
            <w:r>
              <w:rPr>
                <w:rFonts w:ascii="Arial" w:cs="Arial" w:eastAsia="Arial" w:hAnsi="Arial"/>
                <w:sz w:val="14"/>
                <w:szCs w:val="14"/>
                <w:color w:val="auto"/>
              </w:rPr>
              <w:t>n/a</w:t>
            </w:r>
          </w:p>
        </w:tc>
        <w:tc>
          <w:tcPr>
            <w:tcW w:w="126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1,166,038</w:t>
            </w:r>
          </w:p>
        </w:tc>
      </w:tr>
    </w:tbl>
    <w:p>
      <w:pPr>
        <w:spacing w:after="0" w:line="85" w:lineRule="exact"/>
        <w:rPr>
          <w:sz w:val="20"/>
          <w:szCs w:val="20"/>
          <w:color w:val="auto"/>
        </w:rPr>
      </w:pPr>
    </w:p>
    <w:p>
      <w:pPr>
        <w:jc w:val="both"/>
        <w:ind w:left="340" w:right="160" w:hanging="332"/>
        <w:spacing w:after="0" w:line="283"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of the aggregate amount of all SAR awards for each year, in accordance with FASB ASC Topic 718, in connection with SARs granted under the 2019 Equity and Incentive Compensation Plan. Assumptions used in calculating these amounts are included in Note 15 of the Consolidated Financial Statements for the fiscal year ended December 31, 2024, included in our Form 10-K.</w:t>
      </w:r>
    </w:p>
    <w:p>
      <w:pPr>
        <w:spacing w:after="0" w:line="64" w:lineRule="exact"/>
        <w:rPr>
          <w:rFonts w:ascii="Arial" w:cs="Arial" w:eastAsia="Arial" w:hAnsi="Arial"/>
          <w:sz w:val="14"/>
          <w:szCs w:val="14"/>
          <w:color w:val="auto"/>
        </w:rPr>
      </w:pPr>
    </w:p>
    <w:p>
      <w:pPr>
        <w:ind w:left="340" w:right="240" w:hanging="332"/>
        <w:spacing w:after="0" w:line="269"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shown represent the aggregate change in the actuarial present value of accumulated pension benefits that accrued during the applicable year under our closed defined benefit Supplemental Retirement Plan and frozen Consolidated Pension Plan, each as discussed under “Retirement Plans,” as a result of changes in the valuation discount rate, changes in compensation, and an additional one year of service, as applicable. Mr. Maskara and Mr. Quenzer do not participate in the Supplemental Retirement Plan or Consolidated Pension Plan. No above-market interest on nonqualified deferred compensation was earned.</w:t>
      </w: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2" w:name="page53"/>
    <w:bookmarkEnd w:id="52"/>
    <w:p>
      <w:pPr>
        <w:ind w:left="332" w:right="580" w:hanging="332"/>
        <w:spacing w:after="0" w:line="305" w:lineRule="auto"/>
        <w:tabs>
          <w:tab w:leader="none" w:pos="319"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shown include perquisites and other compensation. The following table identifies the amounts attributable to each category of perquisites and other compensation in 2024 for each NEO.</w:t>
      </w:r>
    </w:p>
    <w:p>
      <w:pPr>
        <w:spacing w:after="0" w:line="86"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1620" w:type="dxa"/>
            <w:vAlign w:val="bottom"/>
            <w:shd w:val="clear" w:color="auto" w:fill="C60C35"/>
          </w:tcPr>
          <w:p>
            <w:pPr>
              <w:spacing w:after="0"/>
              <w:rPr>
                <w:sz w:val="18"/>
                <w:szCs w:val="18"/>
                <w:color w:val="auto"/>
              </w:rPr>
            </w:pPr>
          </w:p>
        </w:tc>
        <w:tc>
          <w:tcPr>
            <w:tcW w:w="340" w:type="dxa"/>
            <w:vAlign w:val="bottom"/>
            <w:shd w:val="clear" w:color="auto" w:fill="C60C35"/>
          </w:tcPr>
          <w:p>
            <w:pPr>
              <w:spacing w:after="0"/>
              <w:rPr>
                <w:sz w:val="18"/>
                <w:szCs w:val="18"/>
                <w:color w:val="auto"/>
              </w:rPr>
            </w:pPr>
          </w:p>
        </w:tc>
        <w:tc>
          <w:tcPr>
            <w:tcW w:w="740" w:type="dxa"/>
            <w:vAlign w:val="bottom"/>
            <w:shd w:val="clear" w:color="auto" w:fill="C60C35"/>
          </w:tcPr>
          <w:p>
            <w:pPr>
              <w:spacing w:after="0"/>
              <w:rPr>
                <w:sz w:val="18"/>
                <w:szCs w:val="18"/>
                <w:color w:val="auto"/>
              </w:rPr>
            </w:pPr>
          </w:p>
        </w:tc>
        <w:tc>
          <w:tcPr>
            <w:tcW w:w="140" w:type="dxa"/>
            <w:vAlign w:val="bottom"/>
            <w:shd w:val="clear" w:color="auto" w:fill="C60C35"/>
          </w:tcPr>
          <w:p>
            <w:pPr>
              <w:spacing w:after="0"/>
              <w:rPr>
                <w:sz w:val="18"/>
                <w:szCs w:val="18"/>
                <w:color w:val="auto"/>
              </w:rPr>
            </w:pPr>
          </w:p>
        </w:tc>
        <w:tc>
          <w:tcPr>
            <w:tcW w:w="2680" w:type="dxa"/>
            <w:vAlign w:val="bottom"/>
            <w:gridSpan w:val="2"/>
            <w:shd w:val="clear" w:color="auto" w:fill="C60C35"/>
          </w:tcPr>
          <w:p>
            <w:pPr>
              <w:jc w:val="right"/>
              <w:ind w:right="888"/>
              <w:spacing w:after="0"/>
              <w:rPr>
                <w:sz w:val="20"/>
                <w:szCs w:val="20"/>
                <w:color w:val="auto"/>
              </w:rPr>
            </w:pPr>
            <w:r>
              <w:rPr>
                <w:rFonts w:ascii="Arial" w:cs="Arial" w:eastAsia="Arial" w:hAnsi="Arial"/>
                <w:sz w:val="14"/>
                <w:szCs w:val="14"/>
                <w:b w:val="1"/>
                <w:bCs w:val="1"/>
                <w:color w:val="FFFFFF"/>
              </w:rPr>
              <w:t>Perquisites</w:t>
            </w:r>
          </w:p>
        </w:tc>
        <w:tc>
          <w:tcPr>
            <w:tcW w:w="280" w:type="dxa"/>
            <w:vAlign w:val="bottom"/>
            <w:shd w:val="clear" w:color="auto" w:fill="C60C35"/>
          </w:tcPr>
          <w:p>
            <w:pPr>
              <w:spacing w:after="0"/>
              <w:rPr>
                <w:sz w:val="18"/>
                <w:szCs w:val="18"/>
                <w:color w:val="auto"/>
              </w:rPr>
            </w:pPr>
          </w:p>
        </w:tc>
        <w:tc>
          <w:tcPr>
            <w:tcW w:w="920" w:type="dxa"/>
            <w:vAlign w:val="bottom"/>
            <w:shd w:val="clear" w:color="auto" w:fill="C60C35"/>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60C35"/>
          </w:tcPr>
          <w:p>
            <w:pPr>
              <w:spacing w:after="0"/>
              <w:rPr>
                <w:sz w:val="18"/>
                <w:szCs w:val="18"/>
                <w:color w:val="auto"/>
              </w:rPr>
            </w:pPr>
          </w:p>
        </w:tc>
        <w:tc>
          <w:tcPr>
            <w:tcW w:w="2300" w:type="dxa"/>
            <w:vAlign w:val="bottom"/>
            <w:gridSpan w:val="3"/>
            <w:shd w:val="clear" w:color="auto" w:fill="C60C35"/>
          </w:tcPr>
          <w:p>
            <w:pPr>
              <w:jc w:val="right"/>
              <w:ind w:right="468"/>
              <w:spacing w:after="0"/>
              <w:rPr>
                <w:sz w:val="20"/>
                <w:szCs w:val="20"/>
                <w:color w:val="auto"/>
              </w:rPr>
            </w:pPr>
            <w:r>
              <w:rPr>
                <w:rFonts w:ascii="Arial" w:cs="Arial" w:eastAsia="Arial" w:hAnsi="Arial"/>
                <w:sz w:val="14"/>
                <w:szCs w:val="14"/>
                <w:b w:val="1"/>
                <w:bCs w:val="1"/>
                <w:color w:val="FFFFFF"/>
              </w:rPr>
              <w:t>Other Compensation</w:t>
            </w:r>
          </w:p>
        </w:tc>
        <w:tc>
          <w:tcPr>
            <w:tcW w:w="220" w:type="dxa"/>
            <w:vAlign w:val="bottom"/>
            <w:shd w:val="clear" w:color="auto" w:fill="C60C35"/>
          </w:tcPr>
          <w:p>
            <w:pPr>
              <w:spacing w:after="0"/>
              <w:rPr>
                <w:sz w:val="18"/>
                <w:szCs w:val="18"/>
                <w:color w:val="auto"/>
              </w:rPr>
            </w:pPr>
          </w:p>
        </w:tc>
        <w:tc>
          <w:tcPr>
            <w:tcW w:w="980" w:type="dxa"/>
            <w:vAlign w:val="bottom"/>
            <w:shd w:val="clear" w:color="auto" w:fill="C60C35"/>
          </w:tcPr>
          <w:p>
            <w:pPr>
              <w:spacing w:after="0"/>
              <w:rPr>
                <w:sz w:val="18"/>
                <w:szCs w:val="18"/>
                <w:color w:val="auto"/>
              </w:rPr>
            </w:pPr>
          </w:p>
        </w:tc>
      </w:tr>
      <w:tr>
        <w:trPr>
          <w:trHeight w:val="261"/>
        </w:trPr>
        <w:tc>
          <w:tcPr>
            <w:tcW w:w="1620" w:type="dxa"/>
            <w:vAlign w:val="bottom"/>
            <w:shd w:val="clear" w:color="auto" w:fill="C60C35"/>
          </w:tcPr>
          <w:p>
            <w:pPr>
              <w:spacing w:after="0"/>
              <w:rPr>
                <w:sz w:val="22"/>
                <w:szCs w:val="22"/>
                <w:color w:val="auto"/>
              </w:rPr>
            </w:pPr>
          </w:p>
        </w:tc>
        <w:tc>
          <w:tcPr>
            <w:tcW w:w="340" w:type="dxa"/>
            <w:vAlign w:val="bottom"/>
            <w:shd w:val="clear" w:color="auto" w:fill="C60C35"/>
          </w:tcPr>
          <w:p>
            <w:pPr>
              <w:spacing w:after="0"/>
              <w:rPr>
                <w:sz w:val="22"/>
                <w:szCs w:val="22"/>
                <w:color w:val="auto"/>
              </w:rPr>
            </w:pPr>
          </w:p>
        </w:tc>
        <w:tc>
          <w:tcPr>
            <w:tcW w:w="740" w:type="dxa"/>
            <w:vAlign w:val="bottom"/>
            <w:shd w:val="clear" w:color="auto" w:fill="C60C35"/>
          </w:tcPr>
          <w:p>
            <w:pPr>
              <w:spacing w:after="0"/>
              <w:rPr>
                <w:sz w:val="22"/>
                <w:szCs w:val="22"/>
                <w:color w:val="auto"/>
              </w:rPr>
            </w:pPr>
          </w:p>
        </w:tc>
        <w:tc>
          <w:tcPr>
            <w:tcW w:w="140" w:type="dxa"/>
            <w:vAlign w:val="bottom"/>
            <w:shd w:val="clear" w:color="auto" w:fill="C60C35"/>
          </w:tcPr>
          <w:p>
            <w:pPr>
              <w:spacing w:after="0"/>
              <w:rPr>
                <w:sz w:val="22"/>
                <w:szCs w:val="22"/>
                <w:color w:val="auto"/>
              </w:rPr>
            </w:pPr>
          </w:p>
        </w:tc>
        <w:tc>
          <w:tcPr>
            <w:tcW w:w="1400" w:type="dxa"/>
            <w:vAlign w:val="bottom"/>
            <w:shd w:val="clear" w:color="auto" w:fill="C60C35"/>
          </w:tcPr>
          <w:p>
            <w:pPr>
              <w:jc w:val="right"/>
              <w:ind w:right="468"/>
              <w:spacing w:after="0"/>
              <w:rPr>
                <w:sz w:val="20"/>
                <w:szCs w:val="20"/>
                <w:color w:val="auto"/>
              </w:rPr>
            </w:pPr>
            <w:r>
              <w:rPr>
                <w:rFonts w:ascii="Arial" w:cs="Arial" w:eastAsia="Arial" w:hAnsi="Arial"/>
                <w:sz w:val="14"/>
                <w:szCs w:val="14"/>
                <w:b w:val="1"/>
                <w:bCs w:val="1"/>
                <w:color w:val="FFFFFF"/>
              </w:rPr>
              <w:t>Company</w:t>
            </w:r>
          </w:p>
        </w:tc>
        <w:tc>
          <w:tcPr>
            <w:tcW w:w="1280" w:type="dxa"/>
            <w:vAlign w:val="bottom"/>
            <w:shd w:val="clear" w:color="auto" w:fill="C60C35"/>
          </w:tcPr>
          <w:p>
            <w:pPr>
              <w:spacing w:after="0"/>
              <w:rPr>
                <w:sz w:val="22"/>
                <w:szCs w:val="22"/>
                <w:color w:val="auto"/>
              </w:rPr>
            </w:pPr>
          </w:p>
        </w:tc>
        <w:tc>
          <w:tcPr>
            <w:tcW w:w="280" w:type="dxa"/>
            <w:vAlign w:val="bottom"/>
            <w:shd w:val="clear" w:color="auto" w:fill="C60C35"/>
          </w:tcPr>
          <w:p>
            <w:pPr>
              <w:spacing w:after="0"/>
              <w:rPr>
                <w:sz w:val="22"/>
                <w:szCs w:val="22"/>
                <w:color w:val="auto"/>
              </w:rPr>
            </w:pPr>
          </w:p>
        </w:tc>
        <w:tc>
          <w:tcPr>
            <w:tcW w:w="920" w:type="dxa"/>
            <w:vAlign w:val="bottom"/>
            <w:shd w:val="clear" w:color="auto" w:fill="C60C35"/>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shd w:val="clear" w:color="auto" w:fill="C60C35"/>
          </w:tcPr>
          <w:p>
            <w:pPr>
              <w:spacing w:after="0"/>
              <w:rPr>
                <w:sz w:val="22"/>
                <w:szCs w:val="22"/>
                <w:color w:val="auto"/>
              </w:rPr>
            </w:pPr>
          </w:p>
        </w:tc>
        <w:tc>
          <w:tcPr>
            <w:tcW w:w="1060" w:type="dxa"/>
            <w:vAlign w:val="bottom"/>
            <w:shd w:val="clear" w:color="auto" w:fill="C60C35"/>
          </w:tcPr>
          <w:p>
            <w:pPr>
              <w:jc w:val="center"/>
              <w:ind w:right="108"/>
              <w:spacing w:after="0"/>
              <w:rPr>
                <w:sz w:val="20"/>
                <w:szCs w:val="20"/>
                <w:color w:val="auto"/>
              </w:rPr>
            </w:pPr>
            <w:r>
              <w:rPr>
                <w:rFonts w:ascii="Arial" w:cs="Arial" w:eastAsia="Arial" w:hAnsi="Arial"/>
                <w:sz w:val="14"/>
                <w:szCs w:val="14"/>
                <w:b w:val="1"/>
                <w:bCs w:val="1"/>
                <w:color w:val="FFFFFF"/>
              </w:rPr>
              <w:t>Term Life</w:t>
            </w:r>
          </w:p>
        </w:tc>
        <w:tc>
          <w:tcPr>
            <w:tcW w:w="120" w:type="dxa"/>
            <w:vAlign w:val="bottom"/>
            <w:shd w:val="clear" w:color="auto" w:fill="C60C35"/>
          </w:tcPr>
          <w:p>
            <w:pPr>
              <w:spacing w:after="0"/>
              <w:rPr>
                <w:sz w:val="22"/>
                <w:szCs w:val="22"/>
                <w:color w:val="auto"/>
              </w:rPr>
            </w:pPr>
          </w:p>
        </w:tc>
        <w:tc>
          <w:tcPr>
            <w:tcW w:w="1120" w:type="dxa"/>
            <w:vAlign w:val="bottom"/>
            <w:shd w:val="clear" w:color="auto" w:fill="C60C35"/>
          </w:tcPr>
          <w:p>
            <w:pPr>
              <w:spacing w:after="0"/>
              <w:rPr>
                <w:sz w:val="22"/>
                <w:szCs w:val="22"/>
                <w:color w:val="auto"/>
              </w:rPr>
            </w:pPr>
          </w:p>
        </w:tc>
        <w:tc>
          <w:tcPr>
            <w:tcW w:w="220" w:type="dxa"/>
            <w:vAlign w:val="bottom"/>
            <w:shd w:val="clear" w:color="auto" w:fill="C60C35"/>
          </w:tcPr>
          <w:p>
            <w:pPr>
              <w:spacing w:after="0"/>
              <w:rPr>
                <w:sz w:val="22"/>
                <w:szCs w:val="22"/>
                <w:color w:val="auto"/>
              </w:rPr>
            </w:pPr>
          </w:p>
        </w:tc>
        <w:tc>
          <w:tcPr>
            <w:tcW w:w="980" w:type="dxa"/>
            <w:vAlign w:val="bottom"/>
            <w:shd w:val="clear" w:color="auto" w:fill="C60C35"/>
          </w:tcPr>
          <w:p>
            <w:pPr>
              <w:spacing w:after="0"/>
              <w:rPr>
                <w:sz w:val="22"/>
                <w:szCs w:val="22"/>
                <w:color w:val="auto"/>
              </w:rPr>
            </w:pPr>
          </w:p>
        </w:tc>
      </w:tr>
      <w:tr>
        <w:trPr>
          <w:trHeight w:val="162"/>
        </w:trPr>
        <w:tc>
          <w:tcPr>
            <w:tcW w:w="1620" w:type="dxa"/>
            <w:vAlign w:val="bottom"/>
            <w:shd w:val="clear" w:color="auto" w:fill="C60C35"/>
          </w:tcPr>
          <w:p>
            <w:pPr>
              <w:spacing w:after="0"/>
              <w:rPr>
                <w:sz w:val="14"/>
                <w:szCs w:val="14"/>
                <w:color w:val="auto"/>
              </w:rPr>
            </w:pPr>
          </w:p>
        </w:tc>
        <w:tc>
          <w:tcPr>
            <w:tcW w:w="340" w:type="dxa"/>
            <w:vAlign w:val="bottom"/>
            <w:shd w:val="clear" w:color="auto" w:fill="C60C35"/>
          </w:tcPr>
          <w:p>
            <w:pPr>
              <w:spacing w:after="0"/>
              <w:rPr>
                <w:sz w:val="14"/>
                <w:szCs w:val="14"/>
                <w:color w:val="auto"/>
              </w:rPr>
            </w:pPr>
          </w:p>
        </w:tc>
        <w:tc>
          <w:tcPr>
            <w:tcW w:w="740" w:type="dxa"/>
            <w:vAlign w:val="bottom"/>
            <w:shd w:val="clear" w:color="auto" w:fill="C60C35"/>
          </w:tcPr>
          <w:p>
            <w:pPr>
              <w:spacing w:after="0"/>
              <w:rPr>
                <w:sz w:val="14"/>
                <w:szCs w:val="14"/>
                <w:color w:val="auto"/>
              </w:rPr>
            </w:pPr>
          </w:p>
        </w:tc>
        <w:tc>
          <w:tcPr>
            <w:tcW w:w="140" w:type="dxa"/>
            <w:vAlign w:val="bottom"/>
            <w:shd w:val="clear" w:color="auto" w:fill="C60C35"/>
          </w:tcPr>
          <w:p>
            <w:pPr>
              <w:spacing w:after="0"/>
              <w:rPr>
                <w:sz w:val="14"/>
                <w:szCs w:val="14"/>
                <w:color w:val="auto"/>
              </w:rPr>
            </w:pPr>
          </w:p>
        </w:tc>
        <w:tc>
          <w:tcPr>
            <w:tcW w:w="2680" w:type="dxa"/>
            <w:vAlign w:val="bottom"/>
            <w:gridSpan w:val="2"/>
            <w:shd w:val="clear" w:color="auto" w:fill="C60C35"/>
          </w:tcPr>
          <w:p>
            <w:pPr>
              <w:jc w:val="right"/>
              <w:spacing w:after="0"/>
              <w:rPr>
                <w:sz w:val="20"/>
                <w:szCs w:val="20"/>
                <w:color w:val="auto"/>
              </w:rPr>
            </w:pPr>
            <w:r>
              <w:rPr>
                <w:rFonts w:ascii="Arial" w:cs="Arial" w:eastAsia="Arial" w:hAnsi="Arial"/>
                <w:sz w:val="14"/>
                <w:szCs w:val="14"/>
                <w:b w:val="1"/>
                <w:bCs w:val="1"/>
                <w:color w:val="FFFFFF"/>
              </w:rPr>
              <w:t>Equipment and   Matching Charitable</w:t>
            </w:r>
          </w:p>
        </w:tc>
        <w:tc>
          <w:tcPr>
            <w:tcW w:w="280" w:type="dxa"/>
            <w:vAlign w:val="bottom"/>
            <w:shd w:val="clear" w:color="auto" w:fill="C60C35"/>
          </w:tcPr>
          <w:p>
            <w:pPr>
              <w:spacing w:after="0"/>
              <w:rPr>
                <w:sz w:val="14"/>
                <w:szCs w:val="14"/>
                <w:color w:val="auto"/>
              </w:rPr>
            </w:pPr>
          </w:p>
        </w:tc>
        <w:tc>
          <w:tcPr>
            <w:tcW w:w="920" w:type="dxa"/>
            <w:vAlign w:val="bottom"/>
            <w:shd w:val="clear" w:color="auto" w:fill="C60C35"/>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60C35"/>
          </w:tcPr>
          <w:p>
            <w:pPr>
              <w:spacing w:after="0"/>
              <w:rPr>
                <w:sz w:val="14"/>
                <w:szCs w:val="14"/>
                <w:color w:val="auto"/>
              </w:rPr>
            </w:pPr>
          </w:p>
        </w:tc>
        <w:tc>
          <w:tcPr>
            <w:tcW w:w="1060" w:type="dxa"/>
            <w:vAlign w:val="bottom"/>
            <w:shd w:val="clear" w:color="auto" w:fill="C60C35"/>
          </w:tcPr>
          <w:p>
            <w:pPr>
              <w:jc w:val="center"/>
              <w:ind w:right="108"/>
              <w:spacing w:after="0"/>
              <w:rPr>
                <w:sz w:val="20"/>
                <w:szCs w:val="20"/>
                <w:color w:val="auto"/>
              </w:rPr>
            </w:pPr>
            <w:r>
              <w:rPr>
                <w:rFonts w:ascii="Arial" w:cs="Arial" w:eastAsia="Arial" w:hAnsi="Arial"/>
                <w:sz w:val="14"/>
                <w:szCs w:val="14"/>
                <w:b w:val="1"/>
                <w:bCs w:val="1"/>
                <w:color w:val="FFFFFF"/>
              </w:rPr>
              <w:t>Insurance</w:t>
            </w:r>
          </w:p>
        </w:tc>
        <w:tc>
          <w:tcPr>
            <w:tcW w:w="120" w:type="dxa"/>
            <w:vAlign w:val="bottom"/>
            <w:shd w:val="clear" w:color="auto" w:fill="C60C35"/>
          </w:tcPr>
          <w:p>
            <w:pPr>
              <w:spacing w:after="0"/>
              <w:rPr>
                <w:sz w:val="14"/>
                <w:szCs w:val="14"/>
                <w:color w:val="auto"/>
              </w:rPr>
            </w:pPr>
          </w:p>
        </w:tc>
        <w:tc>
          <w:tcPr>
            <w:tcW w:w="112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Retirement</w:t>
            </w:r>
          </w:p>
        </w:tc>
        <w:tc>
          <w:tcPr>
            <w:tcW w:w="220" w:type="dxa"/>
            <w:vAlign w:val="bottom"/>
            <w:shd w:val="clear" w:color="auto" w:fill="C60C35"/>
          </w:tcPr>
          <w:p>
            <w:pPr>
              <w:spacing w:after="0"/>
              <w:rPr>
                <w:sz w:val="14"/>
                <w:szCs w:val="14"/>
                <w:color w:val="auto"/>
              </w:rPr>
            </w:pPr>
          </w:p>
        </w:tc>
        <w:tc>
          <w:tcPr>
            <w:tcW w:w="980" w:type="dxa"/>
            <w:vAlign w:val="bottom"/>
            <w:shd w:val="clear" w:color="auto" w:fill="C60C35"/>
          </w:tcPr>
          <w:p>
            <w:pPr>
              <w:spacing w:after="0"/>
              <w:rPr>
                <w:sz w:val="14"/>
                <w:szCs w:val="14"/>
                <w:color w:val="auto"/>
              </w:rPr>
            </w:pPr>
          </w:p>
        </w:tc>
      </w:tr>
      <w:tr>
        <w:trPr>
          <w:trHeight w:val="210"/>
        </w:trPr>
        <w:tc>
          <w:tcPr>
            <w:tcW w:w="16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080" w:type="dxa"/>
            <w:vAlign w:val="bottom"/>
            <w:gridSpan w:val="2"/>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Cash Stipend</w:t>
            </w:r>
          </w:p>
        </w:tc>
        <w:tc>
          <w:tcPr>
            <w:tcW w:w="140" w:type="dxa"/>
            <w:vAlign w:val="bottom"/>
            <w:shd w:val="clear" w:color="auto" w:fill="C60C35"/>
          </w:tcPr>
          <w:p>
            <w:pPr>
              <w:spacing w:after="0"/>
              <w:rPr>
                <w:sz w:val="18"/>
                <w:szCs w:val="18"/>
                <w:color w:val="auto"/>
              </w:rPr>
            </w:pPr>
          </w:p>
        </w:tc>
        <w:tc>
          <w:tcPr>
            <w:tcW w:w="1400" w:type="dxa"/>
            <w:vAlign w:val="bottom"/>
            <w:shd w:val="clear" w:color="auto" w:fill="C60C35"/>
          </w:tcPr>
          <w:p>
            <w:pPr>
              <w:jc w:val="right"/>
              <w:ind w:right="408"/>
              <w:spacing w:after="0"/>
              <w:rPr>
                <w:sz w:val="20"/>
                <w:szCs w:val="20"/>
                <w:color w:val="auto"/>
              </w:rPr>
            </w:pPr>
            <w:r>
              <w:rPr>
                <w:rFonts w:ascii="Arial" w:cs="Arial" w:eastAsia="Arial" w:hAnsi="Arial"/>
                <w:sz w:val="14"/>
                <w:szCs w:val="14"/>
                <w:b w:val="1"/>
                <w:bCs w:val="1"/>
                <w:color w:val="FFFFFF"/>
              </w:rPr>
              <w:t>Installation</w:t>
            </w:r>
          </w:p>
        </w:tc>
        <w:tc>
          <w:tcPr>
            <w:tcW w:w="128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Contributions</w:t>
            </w:r>
          </w:p>
        </w:tc>
        <w:tc>
          <w:tcPr>
            <w:tcW w:w="280" w:type="dxa"/>
            <w:vAlign w:val="bottom"/>
            <w:shd w:val="clear" w:color="auto" w:fill="C60C35"/>
          </w:tcPr>
          <w:p>
            <w:pPr>
              <w:spacing w:after="0"/>
              <w:rPr>
                <w:sz w:val="18"/>
                <w:szCs w:val="18"/>
                <w:color w:val="auto"/>
              </w:rPr>
            </w:pPr>
          </w:p>
        </w:tc>
        <w:tc>
          <w:tcPr>
            <w:tcW w:w="920" w:type="dxa"/>
            <w:vAlign w:val="bottom"/>
            <w:shd w:val="clear" w:color="auto" w:fill="C60C35"/>
          </w:tcPr>
          <w:p>
            <w:pPr>
              <w:jc w:val="right"/>
              <w:ind w:right="328"/>
              <w:spacing w:after="0"/>
              <w:rPr>
                <w:sz w:val="20"/>
                <w:szCs w:val="20"/>
                <w:color w:val="auto"/>
              </w:rPr>
            </w:pPr>
            <w:r>
              <w:rPr>
                <w:rFonts w:ascii="Arial" w:cs="Arial" w:eastAsia="Arial" w:hAnsi="Arial"/>
                <w:sz w:val="14"/>
                <w:szCs w:val="14"/>
                <w:b w:val="1"/>
                <w:bCs w:val="1"/>
                <w:color w:val="FFFFFF"/>
              </w:rPr>
              <w:t>Other</w:t>
            </w:r>
          </w:p>
        </w:tc>
        <w:tc>
          <w:tcPr>
            <w:tcW w:w="100" w:type="dxa"/>
            <w:vAlign w:val="bottom"/>
          </w:tcPr>
          <w:p>
            <w:pPr>
              <w:spacing w:after="0"/>
              <w:rPr>
                <w:sz w:val="18"/>
                <w:szCs w:val="18"/>
                <w:color w:val="auto"/>
              </w:rPr>
            </w:pPr>
          </w:p>
        </w:tc>
        <w:tc>
          <w:tcPr>
            <w:tcW w:w="180" w:type="dxa"/>
            <w:vAlign w:val="bottom"/>
            <w:shd w:val="clear" w:color="auto" w:fill="C60C35"/>
          </w:tcPr>
          <w:p>
            <w:pPr>
              <w:spacing w:after="0"/>
              <w:rPr>
                <w:sz w:val="18"/>
                <w:szCs w:val="18"/>
                <w:color w:val="auto"/>
              </w:rPr>
            </w:pPr>
          </w:p>
        </w:tc>
        <w:tc>
          <w:tcPr>
            <w:tcW w:w="1060" w:type="dxa"/>
            <w:vAlign w:val="bottom"/>
            <w:shd w:val="clear" w:color="auto" w:fill="C60C35"/>
          </w:tcPr>
          <w:p>
            <w:pPr>
              <w:jc w:val="center"/>
              <w:ind w:right="128"/>
              <w:spacing w:after="0"/>
              <w:rPr>
                <w:sz w:val="20"/>
                <w:szCs w:val="20"/>
                <w:color w:val="auto"/>
              </w:rPr>
            </w:pPr>
            <w:r>
              <w:rPr>
                <w:rFonts w:ascii="Arial" w:cs="Arial" w:eastAsia="Arial" w:hAnsi="Arial"/>
                <w:sz w:val="14"/>
                <w:szCs w:val="14"/>
                <w:b w:val="1"/>
                <w:bCs w:val="1"/>
                <w:color w:val="FFFFFF"/>
              </w:rPr>
              <w:t>Premium</w:t>
            </w:r>
          </w:p>
        </w:tc>
        <w:tc>
          <w:tcPr>
            <w:tcW w:w="120" w:type="dxa"/>
            <w:vAlign w:val="bottom"/>
            <w:shd w:val="clear" w:color="auto" w:fill="C60C35"/>
          </w:tcPr>
          <w:p>
            <w:pPr>
              <w:spacing w:after="0"/>
              <w:rPr>
                <w:sz w:val="18"/>
                <w:szCs w:val="18"/>
                <w:color w:val="auto"/>
              </w:rPr>
            </w:pPr>
          </w:p>
        </w:tc>
        <w:tc>
          <w:tcPr>
            <w:tcW w:w="112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Contributions</w:t>
            </w:r>
          </w:p>
        </w:tc>
        <w:tc>
          <w:tcPr>
            <w:tcW w:w="220" w:type="dxa"/>
            <w:vAlign w:val="bottom"/>
            <w:shd w:val="clear" w:color="auto" w:fill="C60C35"/>
          </w:tcPr>
          <w:p>
            <w:pPr>
              <w:spacing w:after="0"/>
              <w:rPr>
                <w:sz w:val="18"/>
                <w:szCs w:val="18"/>
                <w:color w:val="auto"/>
              </w:rPr>
            </w:pPr>
          </w:p>
        </w:tc>
        <w:tc>
          <w:tcPr>
            <w:tcW w:w="980" w:type="dxa"/>
            <w:vAlign w:val="bottom"/>
            <w:shd w:val="clear" w:color="auto" w:fill="C60C35"/>
          </w:tcPr>
          <w:p>
            <w:pPr>
              <w:jc w:val="right"/>
              <w:ind w:right="428"/>
              <w:spacing w:after="0"/>
              <w:rPr>
                <w:sz w:val="20"/>
                <w:szCs w:val="20"/>
                <w:color w:val="auto"/>
              </w:rPr>
            </w:pPr>
            <w:r>
              <w:rPr>
                <w:rFonts w:ascii="Arial" w:cs="Arial" w:eastAsia="Arial" w:hAnsi="Arial"/>
                <w:sz w:val="14"/>
                <w:szCs w:val="14"/>
                <w:b w:val="1"/>
                <w:bCs w:val="1"/>
                <w:color w:val="FFFFFF"/>
              </w:rPr>
              <w:t>Total</w:t>
            </w:r>
          </w:p>
        </w:tc>
      </w:tr>
      <w:tr>
        <w:trPr>
          <w:trHeight w:val="70"/>
        </w:trPr>
        <w:tc>
          <w:tcPr>
            <w:tcW w:w="1620" w:type="dxa"/>
            <w:vAlign w:val="bottom"/>
            <w:shd w:val="clear" w:color="auto" w:fill="C60C35"/>
          </w:tcPr>
          <w:p>
            <w:pPr>
              <w:spacing w:after="0"/>
              <w:rPr>
                <w:sz w:val="6"/>
                <w:szCs w:val="6"/>
                <w:color w:val="auto"/>
              </w:rPr>
            </w:pPr>
          </w:p>
        </w:tc>
        <w:tc>
          <w:tcPr>
            <w:tcW w:w="340" w:type="dxa"/>
            <w:vAlign w:val="bottom"/>
            <w:shd w:val="clear" w:color="auto" w:fill="C60C35"/>
          </w:tcPr>
          <w:p>
            <w:pPr>
              <w:spacing w:after="0"/>
              <w:rPr>
                <w:sz w:val="6"/>
                <w:szCs w:val="6"/>
                <w:color w:val="auto"/>
              </w:rPr>
            </w:pPr>
          </w:p>
        </w:tc>
        <w:tc>
          <w:tcPr>
            <w:tcW w:w="740" w:type="dxa"/>
            <w:vAlign w:val="bottom"/>
            <w:shd w:val="clear" w:color="auto" w:fill="C60C35"/>
          </w:tcPr>
          <w:p>
            <w:pPr>
              <w:spacing w:after="0"/>
              <w:rPr>
                <w:sz w:val="6"/>
                <w:szCs w:val="6"/>
                <w:color w:val="auto"/>
              </w:rPr>
            </w:pPr>
          </w:p>
        </w:tc>
        <w:tc>
          <w:tcPr>
            <w:tcW w:w="140" w:type="dxa"/>
            <w:vAlign w:val="bottom"/>
            <w:shd w:val="clear" w:color="auto" w:fill="C60C35"/>
          </w:tcPr>
          <w:p>
            <w:pPr>
              <w:spacing w:after="0"/>
              <w:rPr>
                <w:sz w:val="6"/>
                <w:szCs w:val="6"/>
                <w:color w:val="auto"/>
              </w:rPr>
            </w:pPr>
          </w:p>
        </w:tc>
        <w:tc>
          <w:tcPr>
            <w:tcW w:w="1400" w:type="dxa"/>
            <w:vAlign w:val="bottom"/>
            <w:shd w:val="clear" w:color="auto" w:fill="C60C35"/>
          </w:tcPr>
          <w:p>
            <w:pPr>
              <w:spacing w:after="0"/>
              <w:rPr>
                <w:sz w:val="6"/>
                <w:szCs w:val="6"/>
                <w:color w:val="auto"/>
              </w:rPr>
            </w:pPr>
          </w:p>
        </w:tc>
        <w:tc>
          <w:tcPr>
            <w:tcW w:w="1280" w:type="dxa"/>
            <w:vAlign w:val="bottom"/>
            <w:shd w:val="clear" w:color="auto" w:fill="C60C35"/>
          </w:tcPr>
          <w:p>
            <w:pPr>
              <w:spacing w:after="0"/>
              <w:rPr>
                <w:sz w:val="6"/>
                <w:szCs w:val="6"/>
                <w:color w:val="auto"/>
              </w:rPr>
            </w:pPr>
          </w:p>
        </w:tc>
        <w:tc>
          <w:tcPr>
            <w:tcW w:w="280" w:type="dxa"/>
            <w:vAlign w:val="bottom"/>
            <w:shd w:val="clear" w:color="auto" w:fill="C60C35"/>
          </w:tcPr>
          <w:p>
            <w:pPr>
              <w:spacing w:after="0"/>
              <w:rPr>
                <w:sz w:val="6"/>
                <w:szCs w:val="6"/>
                <w:color w:val="auto"/>
              </w:rPr>
            </w:pPr>
          </w:p>
        </w:tc>
        <w:tc>
          <w:tcPr>
            <w:tcW w:w="920" w:type="dxa"/>
            <w:vAlign w:val="bottom"/>
            <w:shd w:val="clear" w:color="auto" w:fill="C60C35"/>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shd w:val="clear" w:color="auto" w:fill="C60C35"/>
          </w:tcPr>
          <w:p>
            <w:pPr>
              <w:spacing w:after="0"/>
              <w:rPr>
                <w:sz w:val="6"/>
                <w:szCs w:val="6"/>
                <w:color w:val="auto"/>
              </w:rPr>
            </w:pPr>
          </w:p>
        </w:tc>
        <w:tc>
          <w:tcPr>
            <w:tcW w:w="1060" w:type="dxa"/>
            <w:vAlign w:val="bottom"/>
            <w:shd w:val="clear" w:color="auto" w:fill="C60C35"/>
          </w:tcPr>
          <w:p>
            <w:pPr>
              <w:spacing w:after="0"/>
              <w:rPr>
                <w:sz w:val="6"/>
                <w:szCs w:val="6"/>
                <w:color w:val="auto"/>
              </w:rPr>
            </w:pPr>
          </w:p>
        </w:tc>
        <w:tc>
          <w:tcPr>
            <w:tcW w:w="12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220" w:type="dxa"/>
            <w:vAlign w:val="bottom"/>
            <w:shd w:val="clear" w:color="auto" w:fill="C60C35"/>
          </w:tcPr>
          <w:p>
            <w:pPr>
              <w:spacing w:after="0"/>
              <w:rPr>
                <w:sz w:val="6"/>
                <w:szCs w:val="6"/>
                <w:color w:val="auto"/>
              </w:rPr>
            </w:pPr>
          </w:p>
        </w:tc>
        <w:tc>
          <w:tcPr>
            <w:tcW w:w="980" w:type="dxa"/>
            <w:vAlign w:val="bottom"/>
            <w:shd w:val="clear" w:color="auto" w:fill="C60C35"/>
          </w:tcPr>
          <w:p>
            <w:pPr>
              <w:spacing w:after="0"/>
              <w:rPr>
                <w:sz w:val="6"/>
                <w:szCs w:val="6"/>
                <w:color w:val="auto"/>
              </w:rPr>
            </w:pPr>
          </w:p>
        </w:tc>
      </w:tr>
      <w:tr>
        <w:trPr>
          <w:trHeight w:val="209"/>
        </w:trPr>
        <w:tc>
          <w:tcPr>
            <w:tcW w:w="16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 $</w:t>
            </w:r>
          </w:p>
        </w:tc>
        <w:tc>
          <w:tcPr>
            <w:tcW w:w="12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10,002</w:t>
            </w:r>
          </w:p>
        </w:tc>
        <w:tc>
          <w:tcPr>
            <w:tcW w:w="2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F1F2F2"/>
            </w:tcBorders>
            <w:gridSpan w:val="3"/>
            <w:shd w:val="clear" w:color="auto" w:fill="F1F2F2"/>
          </w:tcPr>
          <w:p>
            <w:pPr>
              <w:ind w:left="720"/>
              <w:spacing w:after="0"/>
              <w:rPr>
                <w:sz w:val="20"/>
                <w:szCs w:val="20"/>
                <w:color w:val="auto"/>
              </w:rPr>
            </w:pPr>
            <w:r>
              <w:rPr>
                <w:rFonts w:ascii="Arial" w:cs="Arial" w:eastAsia="Arial" w:hAnsi="Arial"/>
                <w:sz w:val="14"/>
                <w:szCs w:val="14"/>
                <w:color w:val="auto"/>
              </w:rPr>
              <w:t>—   $</w:t>
            </w:r>
          </w:p>
        </w:tc>
        <w:tc>
          <w:tcPr>
            <w:tcW w:w="106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1,141</w:t>
            </w:r>
          </w:p>
        </w:tc>
        <w:tc>
          <w:tcPr>
            <w:tcW w:w="1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231,671</w:t>
            </w:r>
          </w:p>
        </w:tc>
        <w:tc>
          <w:tcPr>
            <w:tcW w:w="220" w:type="dxa"/>
            <w:vAlign w:val="bottom"/>
            <w:tcBorders>
              <w:bottom w:val="single" w:sz="8" w:color="F1F2F2"/>
            </w:tcBorders>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272,814</w:t>
            </w:r>
          </w:p>
        </w:tc>
      </w:tr>
      <w:tr>
        <w:trPr>
          <w:trHeight w:val="208"/>
        </w:trPr>
        <w:tc>
          <w:tcPr>
            <w:tcW w:w="162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Pr>
          <w:p>
            <w:pPr>
              <w:spacing w:after="0"/>
              <w:rPr>
                <w:sz w:val="18"/>
                <w:szCs w:val="18"/>
                <w:color w:val="auto"/>
              </w:rPr>
            </w:pPr>
          </w:p>
        </w:tc>
        <w:tc>
          <w:tcPr>
            <w:tcW w:w="1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300</w:t>
            </w:r>
          </w:p>
        </w:tc>
        <w:tc>
          <w:tcPr>
            <w:tcW w:w="2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53,191</w:t>
            </w:r>
          </w:p>
        </w:tc>
        <w:tc>
          <w:tcPr>
            <w:tcW w:w="22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83,876</w:t>
            </w:r>
          </w:p>
        </w:tc>
      </w:tr>
      <w:tr>
        <w:trPr>
          <w:trHeight w:val="22"/>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6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340" w:type="dxa"/>
            <w:vAlign w:val="bottom"/>
            <w:tcBorders>
              <w:bottom w:val="single" w:sz="8" w:color="F1F2F2"/>
            </w:tcBorders>
            <w:shd w:val="clear" w:color="auto" w:fill="F1F2F2"/>
          </w:tcPr>
          <w:p>
            <w:pPr>
              <w:spacing w:after="0"/>
              <w:rPr>
                <w:sz w:val="18"/>
                <w:szCs w:val="18"/>
                <w:color w:val="auto"/>
              </w:rPr>
            </w:pPr>
          </w:p>
        </w:tc>
        <w:tc>
          <w:tcPr>
            <w:tcW w:w="7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Borders>
              <w:bottom w:val="single" w:sz="8" w:color="F1F2F2"/>
            </w:tcBorders>
            <w:shd w:val="clear" w:color="auto" w:fill="F1F2F2"/>
          </w:tcPr>
          <w:p>
            <w:pPr>
              <w:spacing w:after="0"/>
              <w:rPr>
                <w:sz w:val="18"/>
                <w:szCs w:val="18"/>
                <w:color w:val="auto"/>
              </w:rPr>
            </w:pPr>
          </w:p>
        </w:tc>
        <w:tc>
          <w:tcPr>
            <w:tcW w:w="140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Borders>
              <w:bottom w:val="single" w:sz="8" w:color="F1F2F2"/>
            </w:tcBorders>
            <w:shd w:val="clear" w:color="auto" w:fill="F1F2F2"/>
          </w:tcPr>
          <w:p>
            <w:pPr>
              <w:spacing w:after="0"/>
              <w:rPr>
                <w:sz w:val="18"/>
                <w:szCs w:val="18"/>
                <w:color w:val="auto"/>
              </w:rPr>
            </w:pPr>
          </w:p>
        </w:tc>
        <w:tc>
          <w:tcPr>
            <w:tcW w:w="1200" w:type="dxa"/>
            <w:vAlign w:val="bottom"/>
            <w:tcBorders>
              <w:bottom w:val="single" w:sz="8" w:color="F1F2F2"/>
            </w:tcBorders>
            <w:gridSpan w:val="3"/>
            <w:shd w:val="clear" w:color="auto" w:fill="F1F2F2"/>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1F2F2"/>
            </w:tcBorders>
            <w:shd w:val="clear" w:color="auto" w:fill="F1F2F2"/>
          </w:tcPr>
          <w:p>
            <w:pPr>
              <w:spacing w:after="0"/>
              <w:rPr>
                <w:sz w:val="18"/>
                <w:szCs w:val="18"/>
                <w:color w:val="auto"/>
              </w:rPr>
            </w:pPr>
          </w:p>
        </w:tc>
        <w:tc>
          <w:tcPr>
            <w:tcW w:w="112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20,700</w:t>
            </w:r>
          </w:p>
        </w:tc>
        <w:tc>
          <w:tcPr>
            <w:tcW w:w="220" w:type="dxa"/>
            <w:vAlign w:val="bottom"/>
            <w:tcBorders>
              <w:bottom w:val="single" w:sz="8" w:color="F1F2F2"/>
            </w:tcBorders>
            <w:shd w:val="clear" w:color="auto" w:fill="F1F2F2"/>
          </w:tcPr>
          <w:p>
            <w:pPr>
              <w:spacing w:after="0"/>
              <w:rPr>
                <w:sz w:val="18"/>
                <w:szCs w:val="18"/>
                <w:color w:val="auto"/>
              </w:rPr>
            </w:pPr>
          </w:p>
        </w:tc>
        <w:tc>
          <w:tcPr>
            <w:tcW w:w="9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55,700</w:t>
            </w:r>
          </w:p>
        </w:tc>
      </w:tr>
      <w:tr>
        <w:trPr>
          <w:trHeight w:val="208"/>
        </w:trPr>
        <w:tc>
          <w:tcPr>
            <w:tcW w:w="162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Pr>
          <w:p>
            <w:pPr>
              <w:spacing w:after="0"/>
              <w:rPr>
                <w:sz w:val="18"/>
                <w:szCs w:val="18"/>
                <w:color w:val="auto"/>
              </w:rPr>
            </w:pPr>
          </w:p>
        </w:tc>
        <w:tc>
          <w:tcPr>
            <w:tcW w:w="1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20,700</w:t>
            </w:r>
          </w:p>
        </w:tc>
        <w:tc>
          <w:tcPr>
            <w:tcW w:w="22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50,768</w:t>
            </w:r>
          </w:p>
        </w:tc>
      </w:tr>
      <w:tr>
        <w:trPr>
          <w:trHeight w:val="22"/>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8"/>
        </w:trPr>
        <w:tc>
          <w:tcPr>
            <w:tcW w:w="1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340" w:type="dxa"/>
            <w:vAlign w:val="bottom"/>
            <w:shd w:val="clear" w:color="auto" w:fill="F1F2F2"/>
          </w:tcPr>
          <w:p>
            <w:pPr>
              <w:spacing w:after="0"/>
              <w:rPr>
                <w:sz w:val="18"/>
                <w:szCs w:val="18"/>
                <w:color w:val="auto"/>
              </w:rPr>
            </w:pPr>
          </w:p>
        </w:tc>
        <w:tc>
          <w:tcPr>
            <w:tcW w:w="7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shd w:val="clear" w:color="auto" w:fill="F1F2F2"/>
          </w:tcPr>
          <w:p>
            <w:pPr>
              <w:spacing w:after="0"/>
              <w:rPr>
                <w:sz w:val="18"/>
                <w:szCs w:val="18"/>
                <w:color w:val="auto"/>
              </w:rPr>
            </w:pPr>
          </w:p>
        </w:tc>
        <w:tc>
          <w:tcPr>
            <w:tcW w:w="140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14,582</w:t>
            </w:r>
          </w:p>
        </w:tc>
        <w:tc>
          <w:tcPr>
            <w:tcW w:w="12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F1F2F2"/>
          </w:tcPr>
          <w:p>
            <w:pPr>
              <w:spacing w:after="0"/>
              <w:rPr>
                <w:sz w:val="18"/>
                <w:szCs w:val="18"/>
                <w:color w:val="auto"/>
              </w:rPr>
            </w:pPr>
          </w:p>
        </w:tc>
        <w:tc>
          <w:tcPr>
            <w:tcW w:w="9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1,619</w:t>
            </w:r>
          </w:p>
        </w:tc>
        <w:tc>
          <w:tcPr>
            <w:tcW w:w="100" w:type="dxa"/>
            <w:vAlign w:val="bottom"/>
            <w:shd w:val="clear" w:color="auto" w:fill="F1F2F2"/>
          </w:tcPr>
          <w:p>
            <w:pPr>
              <w:spacing w:after="0"/>
              <w:rPr>
                <w:sz w:val="18"/>
                <w:szCs w:val="18"/>
                <w:color w:val="auto"/>
              </w:rPr>
            </w:pPr>
          </w:p>
        </w:tc>
        <w:tc>
          <w:tcPr>
            <w:tcW w:w="180" w:type="dxa"/>
            <w:vAlign w:val="bottom"/>
            <w:shd w:val="clear" w:color="auto" w:fill="F1F2F2"/>
          </w:tcPr>
          <w:p>
            <w:pPr>
              <w:spacing w:after="0"/>
              <w:rPr>
                <w:sz w:val="18"/>
                <w:szCs w:val="18"/>
                <w:color w:val="auto"/>
              </w:rPr>
            </w:pPr>
          </w:p>
        </w:tc>
        <w:tc>
          <w:tcPr>
            <w:tcW w:w="106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F1F2F2"/>
          </w:tcPr>
          <w:p>
            <w:pPr>
              <w:spacing w:after="0"/>
              <w:rPr>
                <w:sz w:val="18"/>
                <w:szCs w:val="18"/>
                <w:color w:val="auto"/>
              </w:rPr>
            </w:pPr>
          </w:p>
        </w:tc>
        <w:tc>
          <w:tcPr>
            <w:tcW w:w="1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20,700</w:t>
            </w:r>
          </w:p>
        </w:tc>
        <w:tc>
          <w:tcPr>
            <w:tcW w:w="220" w:type="dxa"/>
            <w:vAlign w:val="bottom"/>
            <w:shd w:val="clear" w:color="auto" w:fill="F1F2F2"/>
          </w:tcPr>
          <w:p>
            <w:pPr>
              <w:spacing w:after="0"/>
              <w:rPr>
                <w:sz w:val="18"/>
                <w:szCs w:val="18"/>
                <w:color w:val="auto"/>
              </w:rPr>
            </w:pPr>
          </w:p>
        </w:tc>
        <w:tc>
          <w:tcPr>
            <w:tcW w:w="98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66,982</w:t>
            </w:r>
          </w:p>
        </w:tc>
      </w:tr>
      <w:tr>
        <w:trPr>
          <w:trHeight w:val="22"/>
        </w:trPr>
        <w:tc>
          <w:tcPr>
            <w:tcW w:w="1620" w:type="dxa"/>
            <w:vAlign w:val="bottom"/>
            <w:shd w:val="clear" w:color="auto" w:fill="F1F2F2"/>
          </w:tcPr>
          <w:p>
            <w:pPr>
              <w:spacing w:after="0" w:line="20" w:lineRule="exact"/>
              <w:rPr>
                <w:sz w:val="1"/>
                <w:szCs w:val="1"/>
                <w:color w:val="auto"/>
              </w:rPr>
            </w:pPr>
          </w:p>
        </w:tc>
        <w:tc>
          <w:tcPr>
            <w:tcW w:w="340" w:type="dxa"/>
            <w:vAlign w:val="bottom"/>
            <w:shd w:val="clear" w:color="auto" w:fill="F1F2F2"/>
          </w:tcPr>
          <w:p>
            <w:pPr>
              <w:spacing w:after="0" w:line="20" w:lineRule="exact"/>
              <w:rPr>
                <w:sz w:val="1"/>
                <w:szCs w:val="1"/>
                <w:color w:val="auto"/>
              </w:rPr>
            </w:pPr>
          </w:p>
        </w:tc>
        <w:tc>
          <w:tcPr>
            <w:tcW w:w="740" w:type="dxa"/>
            <w:vAlign w:val="bottom"/>
            <w:shd w:val="clear" w:color="auto" w:fill="F1F2F2"/>
          </w:tcPr>
          <w:p>
            <w:pPr>
              <w:spacing w:after="0" w:line="20" w:lineRule="exact"/>
              <w:rPr>
                <w:sz w:val="1"/>
                <w:szCs w:val="1"/>
                <w:color w:val="auto"/>
              </w:rPr>
            </w:pPr>
          </w:p>
        </w:tc>
        <w:tc>
          <w:tcPr>
            <w:tcW w:w="140" w:type="dxa"/>
            <w:vAlign w:val="bottom"/>
            <w:shd w:val="clear" w:color="auto" w:fill="F1F2F2"/>
          </w:tcPr>
          <w:p>
            <w:pPr>
              <w:spacing w:after="0" w:line="20" w:lineRule="exact"/>
              <w:rPr>
                <w:sz w:val="1"/>
                <w:szCs w:val="1"/>
                <w:color w:val="auto"/>
              </w:rPr>
            </w:pPr>
          </w:p>
        </w:tc>
        <w:tc>
          <w:tcPr>
            <w:tcW w:w="1400" w:type="dxa"/>
            <w:vAlign w:val="bottom"/>
            <w:shd w:val="clear" w:color="auto" w:fill="F1F2F2"/>
          </w:tcPr>
          <w:p>
            <w:pPr>
              <w:spacing w:after="0" w:line="20" w:lineRule="exact"/>
              <w:rPr>
                <w:sz w:val="1"/>
                <w:szCs w:val="1"/>
                <w:color w:val="auto"/>
              </w:rPr>
            </w:pPr>
          </w:p>
        </w:tc>
        <w:tc>
          <w:tcPr>
            <w:tcW w:w="1280" w:type="dxa"/>
            <w:vAlign w:val="bottom"/>
            <w:shd w:val="clear" w:color="auto" w:fill="F1F2F2"/>
          </w:tcPr>
          <w:p>
            <w:pPr>
              <w:spacing w:after="0" w:line="20" w:lineRule="exact"/>
              <w:rPr>
                <w:sz w:val="1"/>
                <w:szCs w:val="1"/>
                <w:color w:val="auto"/>
              </w:rPr>
            </w:pPr>
          </w:p>
        </w:tc>
        <w:tc>
          <w:tcPr>
            <w:tcW w:w="280" w:type="dxa"/>
            <w:vAlign w:val="bottom"/>
            <w:shd w:val="clear" w:color="auto" w:fill="F1F2F2"/>
          </w:tcPr>
          <w:p>
            <w:pPr>
              <w:spacing w:after="0" w:line="20" w:lineRule="exact"/>
              <w:rPr>
                <w:sz w:val="1"/>
                <w:szCs w:val="1"/>
                <w:color w:val="auto"/>
              </w:rPr>
            </w:pPr>
          </w:p>
        </w:tc>
        <w:tc>
          <w:tcPr>
            <w:tcW w:w="920" w:type="dxa"/>
            <w:vAlign w:val="bottom"/>
            <w:shd w:val="clear" w:color="auto" w:fill="F1F2F2"/>
          </w:tcPr>
          <w:p>
            <w:pPr>
              <w:spacing w:after="0" w:line="20" w:lineRule="exact"/>
              <w:rPr>
                <w:sz w:val="1"/>
                <w:szCs w:val="1"/>
                <w:color w:val="auto"/>
              </w:rPr>
            </w:pPr>
          </w:p>
        </w:tc>
        <w:tc>
          <w:tcPr>
            <w:tcW w:w="100" w:type="dxa"/>
            <w:vAlign w:val="bottom"/>
            <w:shd w:val="clear" w:color="auto" w:fill="F1F2F2"/>
          </w:tcPr>
          <w:p>
            <w:pPr>
              <w:spacing w:after="0" w:line="20" w:lineRule="exact"/>
              <w:rPr>
                <w:sz w:val="1"/>
                <w:szCs w:val="1"/>
                <w:color w:val="auto"/>
              </w:rPr>
            </w:pPr>
          </w:p>
        </w:tc>
        <w:tc>
          <w:tcPr>
            <w:tcW w:w="180" w:type="dxa"/>
            <w:vAlign w:val="bottom"/>
            <w:shd w:val="clear" w:color="auto" w:fill="F1F2F2"/>
          </w:tcPr>
          <w:p>
            <w:pPr>
              <w:spacing w:after="0" w:line="20" w:lineRule="exact"/>
              <w:rPr>
                <w:sz w:val="1"/>
                <w:szCs w:val="1"/>
                <w:color w:val="auto"/>
              </w:rPr>
            </w:pPr>
          </w:p>
        </w:tc>
        <w:tc>
          <w:tcPr>
            <w:tcW w:w="1060" w:type="dxa"/>
            <w:vAlign w:val="bottom"/>
            <w:shd w:val="clear" w:color="auto" w:fill="F1F2F2"/>
          </w:tcPr>
          <w:p>
            <w:pPr>
              <w:spacing w:after="0" w:line="20" w:lineRule="exact"/>
              <w:rPr>
                <w:sz w:val="1"/>
                <w:szCs w:val="1"/>
                <w:color w:val="auto"/>
              </w:rPr>
            </w:pPr>
          </w:p>
        </w:tc>
        <w:tc>
          <w:tcPr>
            <w:tcW w:w="120" w:type="dxa"/>
            <w:vAlign w:val="bottom"/>
            <w:shd w:val="clear" w:color="auto" w:fill="F1F2F2"/>
          </w:tcPr>
          <w:p>
            <w:pPr>
              <w:spacing w:after="0" w:line="20" w:lineRule="exact"/>
              <w:rPr>
                <w:sz w:val="1"/>
                <w:szCs w:val="1"/>
                <w:color w:val="auto"/>
              </w:rPr>
            </w:pPr>
          </w:p>
        </w:tc>
        <w:tc>
          <w:tcPr>
            <w:tcW w:w="1120" w:type="dxa"/>
            <w:vAlign w:val="bottom"/>
            <w:shd w:val="clear" w:color="auto" w:fill="F1F2F2"/>
          </w:tcPr>
          <w:p>
            <w:pPr>
              <w:spacing w:after="0" w:line="20" w:lineRule="exact"/>
              <w:rPr>
                <w:sz w:val="1"/>
                <w:szCs w:val="1"/>
                <w:color w:val="auto"/>
              </w:rPr>
            </w:pPr>
          </w:p>
        </w:tc>
        <w:tc>
          <w:tcPr>
            <w:tcW w:w="220" w:type="dxa"/>
            <w:vAlign w:val="bottom"/>
            <w:shd w:val="clear" w:color="auto" w:fill="F1F2F2"/>
          </w:tcPr>
          <w:p>
            <w:pPr>
              <w:spacing w:after="0" w:line="20" w:lineRule="exact"/>
              <w:rPr>
                <w:sz w:val="1"/>
                <w:szCs w:val="1"/>
                <w:color w:val="auto"/>
              </w:rPr>
            </w:pPr>
          </w:p>
        </w:tc>
        <w:tc>
          <w:tcPr>
            <w:tcW w:w="980" w:type="dxa"/>
            <w:vAlign w:val="bottom"/>
            <w:shd w:val="clear" w:color="auto" w:fill="F1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-1130935</wp:posOffset>
            </wp:positionV>
            <wp:extent cx="4877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25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values attributable to each item listed above are calculated as follows:</w:t>
      </w:r>
    </w:p>
    <w:p>
      <w:pPr>
        <w:spacing w:after="0" w:line="171" w:lineRule="exact"/>
        <w:rPr>
          <w:sz w:val="20"/>
          <w:szCs w:val="20"/>
          <w:color w:val="auto"/>
        </w:rPr>
      </w:pPr>
    </w:p>
    <w:p>
      <w:pPr>
        <w:ind w:left="652" w:hanging="328"/>
        <w:spacing w:after="0"/>
        <w:tabs>
          <w:tab w:leader="none" w:pos="652"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Stipend </w:t>
      </w:r>
      <w:r>
        <w:rPr>
          <w:rFonts w:ascii="Arial" w:cs="Arial" w:eastAsia="Arial" w:hAnsi="Arial"/>
          <w:sz w:val="18"/>
          <w:szCs w:val="18"/>
          <w:color w:val="auto"/>
        </w:rPr>
        <w:t>— Cash paid to each NEO in lieu of individual perquisites.</w:t>
      </w:r>
    </w:p>
    <w:p>
      <w:pPr>
        <w:spacing w:after="0" w:line="157" w:lineRule="exact"/>
        <w:rPr>
          <w:rFonts w:ascii="Arial" w:cs="Arial" w:eastAsia="Arial" w:hAnsi="Arial"/>
          <w:sz w:val="18"/>
          <w:szCs w:val="18"/>
          <w:i w:val="1"/>
          <w:iCs w:val="1"/>
          <w:color w:val="auto"/>
        </w:rPr>
      </w:pPr>
    </w:p>
    <w:p>
      <w:pPr>
        <w:ind w:left="652" w:right="620" w:hanging="328"/>
        <w:spacing w:after="0" w:line="261" w:lineRule="auto"/>
        <w:tabs>
          <w:tab w:leader="none" w:pos="647"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Company Equipment and Installation </w:t>
      </w:r>
      <w:r>
        <w:rPr>
          <w:rFonts w:ascii="Arial" w:cs="Arial" w:eastAsia="Arial" w:hAnsi="Arial"/>
          <w:sz w:val="18"/>
          <w:szCs w:val="18"/>
          <w:color w:val="auto"/>
        </w:rPr>
        <w:t>— Company equipment is based on the purchase price of the equipment, adjusted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our employee rebate program. Installation of this equipment is based on the cost for installation paid by the Company in 2024.</w:t>
      </w:r>
    </w:p>
    <w:p>
      <w:pPr>
        <w:spacing w:after="0" w:line="121" w:lineRule="exact"/>
        <w:rPr>
          <w:rFonts w:ascii="Arial" w:cs="Arial" w:eastAsia="Arial" w:hAnsi="Arial"/>
          <w:sz w:val="18"/>
          <w:szCs w:val="18"/>
          <w:i w:val="1"/>
          <w:iCs w:val="1"/>
          <w:color w:val="auto"/>
        </w:rPr>
      </w:pPr>
    </w:p>
    <w:p>
      <w:pPr>
        <w:ind w:left="652" w:right="60" w:hanging="328"/>
        <w:spacing w:after="0" w:line="238" w:lineRule="auto"/>
        <w:tabs>
          <w:tab w:leader="none" w:pos="627" w:val="left"/>
        </w:tabs>
        <w:numPr>
          <w:ilvl w:val="0"/>
          <w:numId w:val="74"/>
        </w:numPr>
        <w:rPr>
          <w:rFonts w:ascii="Times New Roman" w:cs="Times New Roman" w:eastAsia="Times New Roman" w:hAnsi="Times New Roman"/>
          <w:sz w:val="20"/>
          <w:szCs w:val="20"/>
          <w:color w:val="auto"/>
        </w:rPr>
      </w:pPr>
      <w:r>
        <w:rPr>
          <w:rFonts w:ascii="Arial" w:cs="Arial" w:eastAsia="Arial" w:hAnsi="Arial"/>
          <w:sz w:val="18"/>
          <w:szCs w:val="18"/>
          <w:i w:val="1"/>
          <w:iCs w:val="1"/>
          <w:color w:val="auto"/>
        </w:rPr>
        <w:t xml:space="preserve">Matching Charitable Contributions </w:t>
      </w:r>
      <w:r>
        <w:rPr>
          <w:rFonts w:ascii="Arial" w:cs="Arial" w:eastAsia="Arial" w:hAnsi="Arial"/>
          <w:sz w:val="18"/>
          <w:szCs w:val="18"/>
          <w:color w:val="auto"/>
        </w:rPr>
        <w:t>— Represents matching charitable contributions paid by the company in 2024. The LII Lennox</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Foundation matches charitable contributions for full-time employees on a one-for-one basis up to an annual cap ($5,000 in 2024). Additionally, in certain circumstances, such as large-scale natural disasters, Lennox may run special campaigns for disaster-relief efforts resulting in additional charitable matches.</w:t>
      </w:r>
    </w:p>
    <w:p>
      <w:pPr>
        <w:spacing w:after="0" w:line="141" w:lineRule="exact"/>
        <w:rPr>
          <w:rFonts w:ascii="Times New Roman" w:cs="Times New Roman" w:eastAsia="Times New Roman" w:hAnsi="Times New Roman"/>
          <w:sz w:val="20"/>
          <w:szCs w:val="20"/>
          <w:color w:val="auto"/>
        </w:rPr>
      </w:pPr>
    </w:p>
    <w:p>
      <w:pPr>
        <w:ind w:left="652" w:hanging="328"/>
        <w:spacing w:after="0"/>
        <w:tabs>
          <w:tab w:leader="none" w:pos="6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ther</w:t>
      </w:r>
      <w:r>
        <w:rPr>
          <w:rFonts w:ascii="Arial" w:cs="Arial" w:eastAsia="Arial" w:hAnsi="Arial"/>
          <w:sz w:val="18"/>
          <w:szCs w:val="18"/>
          <w:color w:val="auto"/>
        </w:rPr>
        <w:t xml:space="preserve"> — For Mr. Torres, represents Company-provided gifts.</w:t>
      </w:r>
    </w:p>
    <w:p>
      <w:pPr>
        <w:spacing w:after="0" w:line="157" w:lineRule="exact"/>
        <w:rPr>
          <w:rFonts w:ascii="Arial" w:cs="Arial" w:eastAsia="Arial" w:hAnsi="Arial"/>
          <w:sz w:val="18"/>
          <w:szCs w:val="18"/>
          <w:color w:val="auto"/>
        </w:rPr>
      </w:pPr>
    </w:p>
    <w:p>
      <w:pPr>
        <w:jc w:val="both"/>
        <w:ind w:left="652" w:right="200" w:hanging="328"/>
        <w:spacing w:after="0" w:line="261" w:lineRule="auto"/>
        <w:tabs>
          <w:tab w:leader="none" w:pos="647"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Life Insurance Premiums </w:t>
      </w:r>
      <w:r>
        <w:rPr>
          <w:rFonts w:ascii="Arial" w:cs="Arial" w:eastAsia="Arial" w:hAnsi="Arial"/>
          <w:sz w:val="18"/>
          <w:szCs w:val="18"/>
          <w:color w:val="auto"/>
        </w:rPr>
        <w:t>— The amounts shown are based on the incremental cost paid in 2024 on behalf of each NEO for</w:t>
      </w:r>
      <w:r>
        <w:rPr>
          <w:rFonts w:ascii="Arial" w:cs="Arial" w:eastAsia="Arial" w:hAnsi="Arial"/>
          <w:sz w:val="18"/>
          <w:szCs w:val="18"/>
          <w:i w:val="1"/>
          <w:iCs w:val="1"/>
          <w:color w:val="auto"/>
        </w:rPr>
        <w:t xml:space="preserve"> </w:t>
      </w:r>
      <w:r>
        <w:rPr>
          <w:rFonts w:ascii="Arial" w:cs="Arial" w:eastAsia="Arial" w:hAnsi="Arial"/>
          <w:sz w:val="18"/>
          <w:szCs w:val="18"/>
          <w:color w:val="auto"/>
        </w:rPr>
        <w:t>Basic Life and Basic Accidental Death and Dismemberment over and above the premiums we would otherwise pay under our life insurance program for other employees.</w:t>
      </w:r>
    </w:p>
    <w:p>
      <w:pPr>
        <w:spacing w:after="0" w:line="107" w:lineRule="exact"/>
        <w:rPr>
          <w:rFonts w:ascii="Arial" w:cs="Arial" w:eastAsia="Arial" w:hAnsi="Arial"/>
          <w:sz w:val="18"/>
          <w:szCs w:val="18"/>
          <w:i w:val="1"/>
          <w:iCs w:val="1"/>
          <w:color w:val="auto"/>
        </w:rPr>
      </w:pPr>
    </w:p>
    <w:p>
      <w:pPr>
        <w:ind w:left="652" w:hanging="328"/>
        <w:spacing w:after="0" w:line="252" w:lineRule="auto"/>
        <w:tabs>
          <w:tab w:leader="none" w:pos="647"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Retirement Contributions </w:t>
      </w:r>
      <w:r>
        <w:rPr>
          <w:rFonts w:ascii="Arial" w:cs="Arial" w:eastAsia="Arial" w:hAnsi="Arial"/>
          <w:sz w:val="18"/>
          <w:szCs w:val="18"/>
          <w:color w:val="auto"/>
        </w:rPr>
        <w:t>— Mr. Maskara received $210,971 and Mr. Quenzer received $32,491 in company contributions made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nonqualified defined contribution Supplemental Restoration Plan. This nonqualified plan provides market-competitive retirement benefits by providing contributions that could not otherwise occur due to compensation limits under the Code for qualified 401(k) plans. All NEOs received $20,700 in Company contributions made under our qualified 401(k) Plan.</w:t>
      </w:r>
    </w:p>
    <w:p>
      <w:pPr>
        <w:spacing w:after="0" w:line="400"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778" w:right="45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C60C35"/>
        </w:rPr>
        <w:t>2024 Grants of Plan-Based Awards</w:t>
      </w:r>
    </w:p>
    <w:p>
      <w:pPr>
        <w:spacing w:after="0" w:line="5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provides information regarding short-term incentive awards and long-term incentive awards (PSUs, RSUs, and SARs) granted under the 2019 Equity and Incentive Compensation Plan to our NEOs in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800" w:type="dxa"/>
            <w:vAlign w:val="bottom"/>
            <w:shd w:val="clear" w:color="auto" w:fill="C60C35"/>
          </w:tcPr>
          <w:p>
            <w:pPr>
              <w:spacing w:after="0"/>
              <w:rPr>
                <w:sz w:val="24"/>
                <w:szCs w:val="24"/>
                <w:color w:val="auto"/>
              </w:rPr>
            </w:pPr>
          </w:p>
        </w:tc>
        <w:tc>
          <w:tcPr>
            <w:tcW w:w="780" w:type="dxa"/>
            <w:vAlign w:val="bottom"/>
            <w:shd w:val="clear" w:color="auto" w:fill="C60C35"/>
          </w:tcPr>
          <w:p>
            <w:pPr>
              <w:spacing w:after="0"/>
              <w:rPr>
                <w:sz w:val="24"/>
                <w:szCs w:val="24"/>
                <w:color w:val="auto"/>
              </w:rPr>
            </w:pPr>
          </w:p>
        </w:tc>
        <w:tc>
          <w:tcPr>
            <w:tcW w:w="780" w:type="dxa"/>
            <w:vAlign w:val="bottom"/>
            <w:shd w:val="clear" w:color="auto" w:fill="C60C35"/>
          </w:tcPr>
          <w:p>
            <w:pPr>
              <w:spacing w:after="0"/>
              <w:rPr>
                <w:sz w:val="24"/>
                <w:szCs w:val="24"/>
                <w:color w:val="auto"/>
              </w:rPr>
            </w:pPr>
          </w:p>
        </w:tc>
        <w:tc>
          <w:tcPr>
            <w:tcW w:w="880" w:type="dxa"/>
            <w:vAlign w:val="bottom"/>
            <w:shd w:val="clear" w:color="auto" w:fill="C60C35"/>
          </w:tcPr>
          <w:p>
            <w:pPr>
              <w:spacing w:after="0"/>
              <w:rPr>
                <w:sz w:val="24"/>
                <w:szCs w:val="24"/>
                <w:color w:val="auto"/>
              </w:rPr>
            </w:pPr>
          </w:p>
        </w:tc>
        <w:tc>
          <w:tcPr>
            <w:tcW w:w="940" w:type="dxa"/>
            <w:vAlign w:val="bottom"/>
            <w:shd w:val="clear" w:color="auto" w:fill="C60C35"/>
          </w:tcPr>
          <w:p>
            <w:pPr>
              <w:spacing w:after="0"/>
              <w:rPr>
                <w:sz w:val="24"/>
                <w:szCs w:val="24"/>
                <w:color w:val="auto"/>
              </w:rPr>
            </w:pPr>
          </w:p>
        </w:tc>
        <w:tc>
          <w:tcPr>
            <w:tcW w:w="660" w:type="dxa"/>
            <w:vAlign w:val="bottom"/>
            <w:shd w:val="clear" w:color="auto" w:fill="C60C35"/>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shd w:val="clear" w:color="auto" w:fill="C60C35"/>
          </w:tcPr>
          <w:p>
            <w:pPr>
              <w:spacing w:after="0"/>
              <w:rPr>
                <w:sz w:val="24"/>
                <w:szCs w:val="24"/>
                <w:color w:val="auto"/>
              </w:rPr>
            </w:pPr>
          </w:p>
        </w:tc>
        <w:tc>
          <w:tcPr>
            <w:tcW w:w="700" w:type="dxa"/>
            <w:vAlign w:val="bottom"/>
            <w:shd w:val="clear" w:color="auto" w:fill="C60C35"/>
          </w:tcPr>
          <w:p>
            <w:pPr>
              <w:spacing w:after="0"/>
              <w:rPr>
                <w:sz w:val="24"/>
                <w:szCs w:val="24"/>
                <w:color w:val="auto"/>
              </w:rPr>
            </w:pPr>
          </w:p>
        </w:tc>
        <w:tc>
          <w:tcPr>
            <w:tcW w:w="480" w:type="dxa"/>
            <w:vAlign w:val="bottom"/>
            <w:shd w:val="clear" w:color="auto" w:fill="C60C35"/>
          </w:tcPr>
          <w:p>
            <w:pPr>
              <w:spacing w:after="0"/>
              <w:rPr>
                <w:sz w:val="24"/>
                <w:szCs w:val="24"/>
                <w:color w:val="auto"/>
              </w:rPr>
            </w:pP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All Other</w:t>
            </w:r>
          </w:p>
        </w:tc>
        <w:tc>
          <w:tcPr>
            <w:tcW w:w="1060" w:type="dxa"/>
            <w:vAlign w:val="bottom"/>
            <w:shd w:val="clear" w:color="auto" w:fill="C60C35"/>
          </w:tcPr>
          <w:p>
            <w:pPr>
              <w:spacing w:after="0"/>
              <w:rPr>
                <w:sz w:val="24"/>
                <w:szCs w:val="24"/>
                <w:color w:val="auto"/>
              </w:rPr>
            </w:pPr>
          </w:p>
        </w:tc>
        <w:tc>
          <w:tcPr>
            <w:tcW w:w="860" w:type="dxa"/>
            <w:vAlign w:val="bottom"/>
            <w:shd w:val="clear" w:color="auto" w:fill="C60C35"/>
          </w:tcPr>
          <w:p>
            <w:pPr>
              <w:spacing w:after="0"/>
              <w:rPr>
                <w:sz w:val="24"/>
                <w:szCs w:val="24"/>
                <w:color w:val="auto"/>
              </w:rPr>
            </w:pPr>
          </w:p>
        </w:tc>
        <w:tc>
          <w:tcPr>
            <w:tcW w:w="640" w:type="dxa"/>
            <w:vAlign w:val="bottom"/>
            <w:shd w:val="clear" w:color="auto" w:fill="C60C35"/>
          </w:tcPr>
          <w:p>
            <w:pPr>
              <w:spacing w:after="0"/>
              <w:rPr>
                <w:sz w:val="24"/>
                <w:szCs w:val="24"/>
                <w:color w:val="auto"/>
              </w:rPr>
            </w:pPr>
          </w:p>
        </w:tc>
        <w:tc>
          <w:tcPr>
            <w:tcW w:w="800" w:type="dxa"/>
            <w:vAlign w:val="bottom"/>
            <w:shd w:val="clear" w:color="auto" w:fill="C60C35"/>
          </w:tcPr>
          <w:p>
            <w:pPr>
              <w:spacing w:after="0"/>
              <w:rPr>
                <w:sz w:val="24"/>
                <w:szCs w:val="24"/>
                <w:color w:val="auto"/>
              </w:rPr>
            </w:pPr>
          </w:p>
        </w:tc>
        <w:tc>
          <w:tcPr>
            <w:tcW w:w="100" w:type="dxa"/>
            <w:vAlign w:val="bottom"/>
            <w:shd w:val="clear" w:color="auto" w:fill="C60C35"/>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940" w:type="dxa"/>
            <w:vAlign w:val="bottom"/>
            <w:shd w:val="clear" w:color="auto" w:fill="C60C35"/>
          </w:tcPr>
          <w:p>
            <w:pPr>
              <w:spacing w:after="0"/>
              <w:rPr>
                <w:sz w:val="12"/>
                <w:szCs w:val="12"/>
                <w:color w:val="auto"/>
              </w:rPr>
            </w:pPr>
          </w:p>
        </w:tc>
        <w:tc>
          <w:tcPr>
            <w:tcW w:w="660" w:type="dxa"/>
            <w:vAlign w:val="bottom"/>
            <w:shd w:val="clear" w:color="auto" w:fill="C60C35"/>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shd w:val="clear" w:color="auto" w:fill="C60C35"/>
          </w:tcPr>
          <w:p>
            <w:pPr>
              <w:jc w:val="center"/>
              <w:ind w:left="419"/>
              <w:spacing w:after="0"/>
              <w:rPr>
                <w:sz w:val="20"/>
                <w:szCs w:val="20"/>
                <w:color w:val="auto"/>
              </w:rPr>
            </w:pPr>
            <w:r>
              <w:rPr>
                <w:rFonts w:ascii="Arial" w:cs="Arial" w:eastAsia="Arial" w:hAnsi="Arial"/>
                <w:sz w:val="13"/>
                <w:szCs w:val="13"/>
                <w:b w:val="1"/>
                <w:bCs w:val="1"/>
                <w:color w:val="FFFFFF"/>
                <w:w w:val="96"/>
              </w:rPr>
              <w:t>Estimated Future</w:t>
            </w:r>
          </w:p>
        </w:tc>
        <w:tc>
          <w:tcPr>
            <w:tcW w:w="480" w:type="dxa"/>
            <w:vAlign w:val="bottom"/>
            <w:shd w:val="clear" w:color="auto" w:fill="C60C35"/>
          </w:tcPr>
          <w:p>
            <w:pPr>
              <w:spacing w:after="0"/>
              <w:rPr>
                <w:sz w:val="12"/>
                <w:szCs w:val="12"/>
                <w:color w:val="auto"/>
              </w:rPr>
            </w:pP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Stock</w:t>
            </w:r>
          </w:p>
        </w:tc>
        <w:tc>
          <w:tcPr>
            <w:tcW w:w="1060" w:type="dxa"/>
            <w:vAlign w:val="bottom"/>
            <w:shd w:val="clear" w:color="auto" w:fill="C60C35"/>
          </w:tcPr>
          <w:p>
            <w:pPr>
              <w:jc w:val="right"/>
              <w:ind w:right="17"/>
              <w:spacing w:after="0"/>
              <w:rPr>
                <w:sz w:val="20"/>
                <w:szCs w:val="20"/>
                <w:color w:val="auto"/>
              </w:rPr>
            </w:pPr>
            <w:r>
              <w:rPr>
                <w:rFonts w:ascii="Arial" w:cs="Arial" w:eastAsia="Arial" w:hAnsi="Arial"/>
                <w:sz w:val="13"/>
                <w:szCs w:val="13"/>
                <w:b w:val="1"/>
                <w:bCs w:val="1"/>
                <w:color w:val="FFFFFF"/>
              </w:rPr>
              <w:t>All Other</w:t>
            </w:r>
          </w:p>
        </w:tc>
        <w:tc>
          <w:tcPr>
            <w:tcW w:w="860" w:type="dxa"/>
            <w:vAlign w:val="bottom"/>
            <w:shd w:val="clear" w:color="auto" w:fill="C60C35"/>
          </w:tcPr>
          <w:p>
            <w:pPr>
              <w:spacing w:after="0"/>
              <w:rPr>
                <w:sz w:val="12"/>
                <w:szCs w:val="12"/>
                <w:color w:val="auto"/>
              </w:rPr>
            </w:pPr>
          </w:p>
        </w:tc>
        <w:tc>
          <w:tcPr>
            <w:tcW w:w="640" w:type="dxa"/>
            <w:vAlign w:val="bottom"/>
            <w:shd w:val="clear" w:color="auto" w:fill="C60C35"/>
          </w:tcPr>
          <w:p>
            <w:pPr>
              <w:spacing w:after="0"/>
              <w:rPr>
                <w:sz w:val="12"/>
                <w:szCs w:val="12"/>
                <w:color w:val="auto"/>
              </w:rPr>
            </w:pPr>
          </w:p>
        </w:tc>
        <w:tc>
          <w:tcPr>
            <w:tcW w:w="800" w:type="dxa"/>
            <w:vAlign w:val="bottom"/>
            <w:shd w:val="clear" w:color="auto" w:fill="C60C35"/>
          </w:tcPr>
          <w:p>
            <w:pPr>
              <w:spacing w:after="0"/>
              <w:rPr>
                <w:sz w:val="12"/>
                <w:szCs w:val="12"/>
                <w:color w:val="auto"/>
              </w:rPr>
            </w:pPr>
          </w:p>
        </w:tc>
        <w:tc>
          <w:tcPr>
            <w:tcW w:w="100" w:type="dxa"/>
            <w:vAlign w:val="bottom"/>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800" w:type="dxa"/>
            <w:vAlign w:val="bottom"/>
            <w:shd w:val="clear" w:color="auto" w:fill="C60C35"/>
          </w:tcPr>
          <w:p>
            <w:pPr>
              <w:spacing w:after="0"/>
              <w:rPr>
                <w:sz w:val="7"/>
                <w:szCs w:val="7"/>
                <w:color w:val="auto"/>
              </w:rPr>
            </w:pPr>
          </w:p>
        </w:tc>
        <w:tc>
          <w:tcPr>
            <w:tcW w:w="780" w:type="dxa"/>
            <w:vAlign w:val="bottom"/>
            <w:shd w:val="clear" w:color="auto" w:fill="C60C35"/>
          </w:tcPr>
          <w:p>
            <w:pPr>
              <w:spacing w:after="0"/>
              <w:rPr>
                <w:sz w:val="7"/>
                <w:szCs w:val="7"/>
                <w:color w:val="auto"/>
              </w:rPr>
            </w:pPr>
          </w:p>
        </w:tc>
        <w:tc>
          <w:tcPr>
            <w:tcW w:w="780" w:type="dxa"/>
            <w:vAlign w:val="bottom"/>
            <w:shd w:val="clear" w:color="auto" w:fill="C60C35"/>
          </w:tcPr>
          <w:p>
            <w:pPr>
              <w:spacing w:after="0"/>
              <w:rPr>
                <w:sz w:val="7"/>
                <w:szCs w:val="7"/>
                <w:color w:val="auto"/>
              </w:rPr>
            </w:pPr>
          </w:p>
        </w:tc>
        <w:tc>
          <w:tcPr>
            <w:tcW w:w="880" w:type="dxa"/>
            <w:vAlign w:val="bottom"/>
            <w:shd w:val="clear" w:color="auto" w:fill="C60C35"/>
          </w:tcPr>
          <w:p>
            <w:pPr>
              <w:spacing w:after="0"/>
              <w:rPr>
                <w:sz w:val="7"/>
                <w:szCs w:val="7"/>
                <w:color w:val="auto"/>
              </w:rPr>
            </w:pPr>
          </w:p>
        </w:tc>
        <w:tc>
          <w:tcPr>
            <w:tcW w:w="940" w:type="dxa"/>
            <w:vAlign w:val="bottom"/>
            <w:shd w:val="clear" w:color="auto" w:fill="C60C35"/>
          </w:tcPr>
          <w:p>
            <w:pPr>
              <w:spacing w:after="0"/>
              <w:rPr>
                <w:sz w:val="7"/>
                <w:szCs w:val="7"/>
                <w:color w:val="auto"/>
              </w:rPr>
            </w:pPr>
          </w:p>
        </w:tc>
        <w:tc>
          <w:tcPr>
            <w:tcW w:w="660" w:type="dxa"/>
            <w:vAlign w:val="bottom"/>
            <w:shd w:val="clear" w:color="auto" w:fill="C60C35"/>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2"/>
            <w:vMerge w:val="continue"/>
            <w:shd w:val="clear" w:color="auto" w:fill="C60C35"/>
          </w:tcPr>
          <w:p>
            <w:pPr>
              <w:spacing w:after="0"/>
              <w:rPr>
                <w:sz w:val="7"/>
                <w:szCs w:val="7"/>
                <w:color w:val="auto"/>
              </w:rPr>
            </w:pPr>
          </w:p>
        </w:tc>
        <w:tc>
          <w:tcPr>
            <w:tcW w:w="480" w:type="dxa"/>
            <w:vAlign w:val="bottom"/>
            <w:shd w:val="clear" w:color="auto" w:fill="C60C35"/>
          </w:tcPr>
          <w:p>
            <w:pPr>
              <w:spacing w:after="0"/>
              <w:rPr>
                <w:sz w:val="7"/>
                <w:szCs w:val="7"/>
                <w:color w:val="auto"/>
              </w:rPr>
            </w:pPr>
          </w:p>
        </w:tc>
        <w:tc>
          <w:tcPr>
            <w:tcW w:w="78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Awards:</w:t>
            </w:r>
          </w:p>
        </w:tc>
        <w:tc>
          <w:tcPr>
            <w:tcW w:w="1060" w:type="dxa"/>
            <w:vAlign w:val="bottom"/>
            <w:vMerge w:val="restart"/>
            <w:shd w:val="clear" w:color="auto" w:fill="C60C35"/>
          </w:tcPr>
          <w:p>
            <w:pPr>
              <w:jc w:val="right"/>
              <w:ind w:right="17"/>
              <w:spacing w:after="0"/>
              <w:rPr>
                <w:sz w:val="20"/>
                <w:szCs w:val="20"/>
                <w:color w:val="auto"/>
              </w:rPr>
            </w:pPr>
            <w:r>
              <w:rPr>
                <w:rFonts w:ascii="Arial" w:cs="Arial" w:eastAsia="Arial" w:hAnsi="Arial"/>
                <w:sz w:val="13"/>
                <w:szCs w:val="13"/>
                <w:b w:val="1"/>
                <w:bCs w:val="1"/>
                <w:color w:val="FFFFFF"/>
                <w:w w:val="99"/>
              </w:rPr>
              <w:t>Option Awards:</w:t>
            </w:r>
          </w:p>
        </w:tc>
        <w:tc>
          <w:tcPr>
            <w:tcW w:w="860" w:type="dxa"/>
            <w:vAlign w:val="bottom"/>
            <w:shd w:val="clear" w:color="auto" w:fill="C60C35"/>
          </w:tcPr>
          <w:p>
            <w:pPr>
              <w:spacing w:after="0"/>
              <w:rPr>
                <w:sz w:val="7"/>
                <w:szCs w:val="7"/>
                <w:color w:val="auto"/>
              </w:rPr>
            </w:pPr>
          </w:p>
        </w:tc>
        <w:tc>
          <w:tcPr>
            <w:tcW w:w="640" w:type="dxa"/>
            <w:vAlign w:val="bottom"/>
            <w:vMerge w:val="restart"/>
            <w:shd w:val="clear" w:color="auto" w:fill="C60C35"/>
          </w:tcPr>
          <w:p>
            <w:pPr>
              <w:jc w:val="center"/>
              <w:ind w:left="37"/>
              <w:spacing w:after="0"/>
              <w:rPr>
                <w:sz w:val="20"/>
                <w:szCs w:val="20"/>
                <w:color w:val="auto"/>
              </w:rPr>
            </w:pPr>
            <w:r>
              <w:rPr>
                <w:rFonts w:ascii="Arial" w:cs="Arial" w:eastAsia="Arial" w:hAnsi="Arial"/>
                <w:sz w:val="13"/>
                <w:szCs w:val="13"/>
                <w:b w:val="1"/>
                <w:bCs w:val="1"/>
                <w:color w:val="FFFFFF"/>
                <w:w w:val="96"/>
              </w:rPr>
              <w:t>Closing</w:t>
            </w:r>
          </w:p>
        </w:tc>
        <w:tc>
          <w:tcPr>
            <w:tcW w:w="80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Grant Date</w:t>
            </w:r>
          </w:p>
        </w:tc>
        <w:tc>
          <w:tcPr>
            <w:tcW w:w="100" w:type="dxa"/>
            <w:vAlign w:val="bottom"/>
            <w:shd w:val="clear" w:color="auto" w:fill="C60C35"/>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00" w:type="dxa"/>
            <w:vAlign w:val="bottom"/>
            <w:shd w:val="clear" w:color="auto" w:fill="C60C35"/>
          </w:tcPr>
          <w:p>
            <w:pPr>
              <w:spacing w:after="0"/>
              <w:rPr>
                <w:sz w:val="5"/>
                <w:szCs w:val="5"/>
                <w:color w:val="auto"/>
              </w:rPr>
            </w:pPr>
          </w:p>
        </w:tc>
        <w:tc>
          <w:tcPr>
            <w:tcW w:w="780" w:type="dxa"/>
            <w:vAlign w:val="bottom"/>
            <w:shd w:val="clear" w:color="auto" w:fill="C60C35"/>
          </w:tcPr>
          <w:p>
            <w:pPr>
              <w:spacing w:after="0"/>
              <w:rPr>
                <w:sz w:val="5"/>
                <w:szCs w:val="5"/>
                <w:color w:val="auto"/>
              </w:rPr>
            </w:pPr>
          </w:p>
        </w:tc>
        <w:tc>
          <w:tcPr>
            <w:tcW w:w="780" w:type="dxa"/>
            <w:vAlign w:val="bottom"/>
            <w:shd w:val="clear" w:color="auto" w:fill="C60C35"/>
          </w:tcPr>
          <w:p>
            <w:pPr>
              <w:spacing w:after="0"/>
              <w:rPr>
                <w:sz w:val="5"/>
                <w:szCs w:val="5"/>
                <w:color w:val="auto"/>
              </w:rPr>
            </w:pPr>
          </w:p>
        </w:tc>
        <w:tc>
          <w:tcPr>
            <w:tcW w:w="2480" w:type="dxa"/>
            <w:vAlign w:val="bottom"/>
            <w:gridSpan w:val="3"/>
            <w:vMerge w:val="restart"/>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Estimated Possible Payouts</w:t>
            </w:r>
          </w:p>
        </w:tc>
        <w:tc>
          <w:tcPr>
            <w:tcW w:w="100" w:type="dxa"/>
            <w:vAlign w:val="bottom"/>
          </w:tcPr>
          <w:p>
            <w:pPr>
              <w:spacing w:after="0"/>
              <w:rPr>
                <w:sz w:val="5"/>
                <w:szCs w:val="5"/>
                <w:color w:val="auto"/>
              </w:rPr>
            </w:pPr>
          </w:p>
        </w:tc>
        <w:tc>
          <w:tcPr>
            <w:tcW w:w="2060" w:type="dxa"/>
            <w:vAlign w:val="bottom"/>
            <w:gridSpan w:val="3"/>
            <w:vMerge w:val="restart"/>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Payouts Under Equity Incentive</w:t>
            </w:r>
          </w:p>
        </w:tc>
        <w:tc>
          <w:tcPr>
            <w:tcW w:w="780" w:type="dxa"/>
            <w:vAlign w:val="bottom"/>
            <w:vMerge w:val="continue"/>
            <w:shd w:val="clear" w:color="auto" w:fill="C60C35"/>
          </w:tcPr>
          <w:p>
            <w:pPr>
              <w:spacing w:after="0"/>
              <w:rPr>
                <w:sz w:val="5"/>
                <w:szCs w:val="5"/>
                <w:color w:val="auto"/>
              </w:rPr>
            </w:pPr>
          </w:p>
        </w:tc>
        <w:tc>
          <w:tcPr>
            <w:tcW w:w="1060" w:type="dxa"/>
            <w:vAlign w:val="bottom"/>
            <w:vMerge w:val="continue"/>
            <w:shd w:val="clear" w:color="auto" w:fill="C60C35"/>
          </w:tcPr>
          <w:p>
            <w:pPr>
              <w:spacing w:after="0"/>
              <w:rPr>
                <w:sz w:val="5"/>
                <w:szCs w:val="5"/>
                <w:color w:val="auto"/>
              </w:rPr>
            </w:pPr>
          </w:p>
        </w:tc>
        <w:tc>
          <w:tcPr>
            <w:tcW w:w="860" w:type="dxa"/>
            <w:vAlign w:val="bottom"/>
            <w:shd w:val="clear" w:color="auto" w:fill="C60C35"/>
          </w:tcPr>
          <w:p>
            <w:pPr>
              <w:spacing w:after="0"/>
              <w:rPr>
                <w:sz w:val="5"/>
                <w:szCs w:val="5"/>
                <w:color w:val="auto"/>
              </w:rPr>
            </w:pPr>
          </w:p>
        </w:tc>
        <w:tc>
          <w:tcPr>
            <w:tcW w:w="640" w:type="dxa"/>
            <w:vAlign w:val="bottom"/>
            <w:vMerge w:val="continue"/>
            <w:shd w:val="clear" w:color="auto" w:fill="C60C35"/>
          </w:tcPr>
          <w:p>
            <w:pPr>
              <w:spacing w:after="0"/>
              <w:rPr>
                <w:sz w:val="5"/>
                <w:szCs w:val="5"/>
                <w:color w:val="auto"/>
              </w:rPr>
            </w:pPr>
          </w:p>
        </w:tc>
        <w:tc>
          <w:tcPr>
            <w:tcW w:w="800" w:type="dxa"/>
            <w:vAlign w:val="bottom"/>
            <w:vMerge w:val="continue"/>
            <w:shd w:val="clear" w:color="auto" w:fill="C60C35"/>
          </w:tcPr>
          <w:p>
            <w:pPr>
              <w:spacing w:after="0"/>
              <w:rPr>
                <w:sz w:val="5"/>
                <w:szCs w:val="5"/>
                <w:color w:val="auto"/>
              </w:rPr>
            </w:pPr>
          </w:p>
        </w:tc>
        <w:tc>
          <w:tcPr>
            <w:tcW w:w="100" w:type="dxa"/>
            <w:vAlign w:val="bottom"/>
            <w:shd w:val="clear" w:color="auto" w:fill="C60C35"/>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00" w:type="dxa"/>
            <w:vAlign w:val="bottom"/>
            <w:shd w:val="clear" w:color="auto" w:fill="C60C35"/>
          </w:tcPr>
          <w:p>
            <w:pPr>
              <w:spacing w:after="0"/>
              <w:rPr>
                <w:sz w:val="7"/>
                <w:szCs w:val="7"/>
                <w:color w:val="auto"/>
              </w:rPr>
            </w:pPr>
          </w:p>
        </w:tc>
        <w:tc>
          <w:tcPr>
            <w:tcW w:w="780" w:type="dxa"/>
            <w:vAlign w:val="bottom"/>
            <w:shd w:val="clear" w:color="auto" w:fill="C60C35"/>
          </w:tcPr>
          <w:p>
            <w:pPr>
              <w:spacing w:after="0"/>
              <w:rPr>
                <w:sz w:val="7"/>
                <w:szCs w:val="7"/>
                <w:color w:val="auto"/>
              </w:rPr>
            </w:pPr>
          </w:p>
        </w:tc>
        <w:tc>
          <w:tcPr>
            <w:tcW w:w="780" w:type="dxa"/>
            <w:vAlign w:val="bottom"/>
            <w:shd w:val="clear" w:color="auto" w:fill="C60C35"/>
          </w:tcPr>
          <w:p>
            <w:pPr>
              <w:spacing w:after="0"/>
              <w:rPr>
                <w:sz w:val="7"/>
                <w:szCs w:val="7"/>
                <w:color w:val="auto"/>
              </w:rPr>
            </w:pPr>
          </w:p>
        </w:tc>
        <w:tc>
          <w:tcPr>
            <w:tcW w:w="2480" w:type="dxa"/>
            <w:vAlign w:val="bottom"/>
            <w:gridSpan w:val="3"/>
            <w:vMerge w:val="continue"/>
            <w:shd w:val="clear" w:color="auto" w:fill="C60C35"/>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3"/>
            <w:vMerge w:val="continue"/>
            <w:shd w:val="clear" w:color="auto" w:fill="C60C35"/>
          </w:tcPr>
          <w:p>
            <w:pPr>
              <w:spacing w:after="0"/>
              <w:rPr>
                <w:sz w:val="7"/>
                <w:szCs w:val="7"/>
                <w:color w:val="auto"/>
              </w:rPr>
            </w:pPr>
          </w:p>
        </w:tc>
        <w:tc>
          <w:tcPr>
            <w:tcW w:w="78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Number of</w:t>
            </w:r>
          </w:p>
        </w:tc>
        <w:tc>
          <w:tcPr>
            <w:tcW w:w="1060" w:type="dxa"/>
            <w:vAlign w:val="bottom"/>
            <w:vMerge w:val="restart"/>
            <w:shd w:val="clear" w:color="auto" w:fill="C60C35"/>
          </w:tcPr>
          <w:p>
            <w:pPr>
              <w:jc w:val="right"/>
              <w:ind w:right="17"/>
              <w:spacing w:after="0"/>
              <w:rPr>
                <w:sz w:val="20"/>
                <w:szCs w:val="20"/>
                <w:color w:val="auto"/>
              </w:rPr>
            </w:pPr>
            <w:r>
              <w:rPr>
                <w:rFonts w:ascii="Arial" w:cs="Arial" w:eastAsia="Arial" w:hAnsi="Arial"/>
                <w:sz w:val="13"/>
                <w:szCs w:val="13"/>
                <w:b w:val="1"/>
                <w:bCs w:val="1"/>
                <w:color w:val="FFFFFF"/>
              </w:rPr>
              <w:t>Number of</w:t>
            </w:r>
          </w:p>
        </w:tc>
        <w:tc>
          <w:tcPr>
            <w:tcW w:w="860" w:type="dxa"/>
            <w:vAlign w:val="bottom"/>
            <w:vMerge w:val="restart"/>
            <w:shd w:val="clear" w:color="auto" w:fill="C60C35"/>
          </w:tcPr>
          <w:p>
            <w:pPr>
              <w:jc w:val="right"/>
              <w:ind w:right="38"/>
              <w:spacing w:after="0"/>
              <w:rPr>
                <w:sz w:val="20"/>
                <w:szCs w:val="20"/>
                <w:color w:val="auto"/>
              </w:rPr>
            </w:pPr>
            <w:r>
              <w:rPr>
                <w:rFonts w:ascii="Arial" w:cs="Arial" w:eastAsia="Arial" w:hAnsi="Arial"/>
                <w:sz w:val="13"/>
                <w:szCs w:val="13"/>
                <w:b w:val="1"/>
                <w:bCs w:val="1"/>
                <w:color w:val="FFFFFF"/>
              </w:rPr>
              <w:t>Exercise or</w:t>
            </w:r>
          </w:p>
        </w:tc>
        <w:tc>
          <w:tcPr>
            <w:tcW w:w="64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Market</w:t>
            </w:r>
          </w:p>
        </w:tc>
        <w:tc>
          <w:tcPr>
            <w:tcW w:w="80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w w:val="97"/>
              </w:rPr>
              <w:t>Fair Value of</w:t>
            </w:r>
          </w:p>
        </w:tc>
        <w:tc>
          <w:tcPr>
            <w:tcW w:w="100" w:type="dxa"/>
            <w:vAlign w:val="bottom"/>
            <w:shd w:val="clear" w:color="auto" w:fill="C60C3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shd w:val="clear" w:color="auto" w:fill="C60C35"/>
          </w:tcPr>
          <w:p>
            <w:pPr>
              <w:spacing w:after="0"/>
              <w:rPr>
                <w:sz w:val="7"/>
                <w:szCs w:val="7"/>
                <w:color w:val="auto"/>
              </w:rPr>
            </w:pPr>
          </w:p>
        </w:tc>
        <w:tc>
          <w:tcPr>
            <w:tcW w:w="780" w:type="dxa"/>
            <w:vAlign w:val="bottom"/>
            <w:shd w:val="clear" w:color="auto" w:fill="C60C35"/>
          </w:tcPr>
          <w:p>
            <w:pPr>
              <w:spacing w:after="0"/>
              <w:rPr>
                <w:sz w:val="7"/>
                <w:szCs w:val="7"/>
                <w:color w:val="auto"/>
              </w:rPr>
            </w:pPr>
          </w:p>
        </w:tc>
        <w:tc>
          <w:tcPr>
            <w:tcW w:w="780" w:type="dxa"/>
            <w:vAlign w:val="bottom"/>
            <w:shd w:val="clear" w:color="auto" w:fill="C60C35"/>
          </w:tcPr>
          <w:p>
            <w:pPr>
              <w:spacing w:after="0"/>
              <w:rPr>
                <w:sz w:val="7"/>
                <w:szCs w:val="7"/>
                <w:color w:val="auto"/>
              </w:rPr>
            </w:pPr>
          </w:p>
        </w:tc>
        <w:tc>
          <w:tcPr>
            <w:tcW w:w="1820" w:type="dxa"/>
            <w:vAlign w:val="bottom"/>
            <w:gridSpan w:val="2"/>
            <w:vMerge w:val="restart"/>
            <w:shd w:val="clear" w:color="auto" w:fill="C60C35"/>
          </w:tcPr>
          <w:p>
            <w:pPr>
              <w:jc w:val="center"/>
              <w:ind w:left="598"/>
              <w:spacing w:after="0"/>
              <w:rPr>
                <w:sz w:val="20"/>
                <w:szCs w:val="20"/>
                <w:color w:val="auto"/>
              </w:rPr>
            </w:pPr>
            <w:r>
              <w:rPr>
                <w:rFonts w:ascii="Arial" w:cs="Arial" w:eastAsia="Arial" w:hAnsi="Arial"/>
                <w:sz w:val="13"/>
                <w:szCs w:val="13"/>
                <w:b w:val="1"/>
                <w:bCs w:val="1"/>
                <w:color w:val="FFFFFF"/>
                <w:w w:val="97"/>
              </w:rPr>
              <w:t>Under Non-Equity</w:t>
            </w:r>
          </w:p>
        </w:tc>
        <w:tc>
          <w:tcPr>
            <w:tcW w:w="660" w:type="dxa"/>
            <w:vAlign w:val="bottom"/>
            <w:shd w:val="clear" w:color="auto" w:fill="C60C35"/>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shd w:val="clear" w:color="auto" w:fill="C60C35"/>
          </w:tcPr>
          <w:p>
            <w:pPr>
              <w:spacing w:after="0"/>
              <w:rPr>
                <w:sz w:val="7"/>
                <w:szCs w:val="7"/>
                <w:color w:val="auto"/>
              </w:rPr>
            </w:pPr>
          </w:p>
        </w:tc>
        <w:tc>
          <w:tcPr>
            <w:tcW w:w="700" w:type="dxa"/>
            <w:vAlign w:val="bottom"/>
            <w:vMerge w:val="restart"/>
            <w:shd w:val="clear" w:color="auto" w:fill="C60C35"/>
          </w:tcPr>
          <w:p>
            <w:pPr>
              <w:jc w:val="center"/>
              <w:ind w:right="337"/>
              <w:spacing w:after="0"/>
              <w:rPr>
                <w:sz w:val="20"/>
                <w:szCs w:val="20"/>
                <w:color w:val="auto"/>
              </w:rPr>
            </w:pPr>
            <w:r>
              <w:rPr>
                <w:rFonts w:ascii="Arial" w:cs="Arial" w:eastAsia="Arial" w:hAnsi="Arial"/>
                <w:sz w:val="13"/>
                <w:szCs w:val="13"/>
                <w:b w:val="1"/>
                <w:bCs w:val="1"/>
                <w:color w:val="FFFFFF"/>
                <w:w w:val="94"/>
              </w:rPr>
              <w:t>Plan</w:t>
            </w:r>
          </w:p>
        </w:tc>
        <w:tc>
          <w:tcPr>
            <w:tcW w:w="480" w:type="dxa"/>
            <w:vAlign w:val="bottom"/>
            <w:shd w:val="clear" w:color="auto" w:fill="C60C35"/>
          </w:tcPr>
          <w:p>
            <w:pPr>
              <w:spacing w:after="0"/>
              <w:rPr>
                <w:sz w:val="7"/>
                <w:szCs w:val="7"/>
                <w:color w:val="auto"/>
              </w:rPr>
            </w:pPr>
          </w:p>
        </w:tc>
        <w:tc>
          <w:tcPr>
            <w:tcW w:w="780" w:type="dxa"/>
            <w:vAlign w:val="bottom"/>
            <w:vMerge w:val="continue"/>
            <w:shd w:val="clear" w:color="auto" w:fill="C60C35"/>
          </w:tcPr>
          <w:p>
            <w:pPr>
              <w:spacing w:after="0"/>
              <w:rPr>
                <w:sz w:val="7"/>
                <w:szCs w:val="7"/>
                <w:color w:val="auto"/>
              </w:rPr>
            </w:pPr>
          </w:p>
        </w:tc>
        <w:tc>
          <w:tcPr>
            <w:tcW w:w="1060" w:type="dxa"/>
            <w:vAlign w:val="bottom"/>
            <w:vMerge w:val="continue"/>
            <w:shd w:val="clear" w:color="auto" w:fill="C60C35"/>
          </w:tcPr>
          <w:p>
            <w:pPr>
              <w:spacing w:after="0"/>
              <w:rPr>
                <w:sz w:val="7"/>
                <w:szCs w:val="7"/>
                <w:color w:val="auto"/>
              </w:rPr>
            </w:pPr>
          </w:p>
        </w:tc>
        <w:tc>
          <w:tcPr>
            <w:tcW w:w="860" w:type="dxa"/>
            <w:vAlign w:val="bottom"/>
            <w:vMerge w:val="continue"/>
            <w:shd w:val="clear" w:color="auto" w:fill="C60C35"/>
          </w:tcPr>
          <w:p>
            <w:pPr>
              <w:spacing w:after="0"/>
              <w:rPr>
                <w:sz w:val="7"/>
                <w:szCs w:val="7"/>
                <w:color w:val="auto"/>
              </w:rPr>
            </w:pPr>
          </w:p>
        </w:tc>
        <w:tc>
          <w:tcPr>
            <w:tcW w:w="640" w:type="dxa"/>
            <w:vAlign w:val="bottom"/>
            <w:vMerge w:val="continue"/>
            <w:shd w:val="clear" w:color="auto" w:fill="C60C35"/>
          </w:tcPr>
          <w:p>
            <w:pPr>
              <w:spacing w:after="0"/>
              <w:rPr>
                <w:sz w:val="7"/>
                <w:szCs w:val="7"/>
                <w:color w:val="auto"/>
              </w:rPr>
            </w:pPr>
          </w:p>
        </w:tc>
        <w:tc>
          <w:tcPr>
            <w:tcW w:w="800" w:type="dxa"/>
            <w:vAlign w:val="bottom"/>
            <w:vMerge w:val="continue"/>
            <w:shd w:val="clear" w:color="auto" w:fill="C60C35"/>
          </w:tcPr>
          <w:p>
            <w:pPr>
              <w:spacing w:after="0"/>
              <w:rPr>
                <w:sz w:val="7"/>
                <w:szCs w:val="7"/>
                <w:color w:val="auto"/>
              </w:rPr>
            </w:pPr>
          </w:p>
        </w:tc>
        <w:tc>
          <w:tcPr>
            <w:tcW w:w="100" w:type="dxa"/>
            <w:vAlign w:val="bottom"/>
            <w:shd w:val="clear" w:color="auto" w:fill="C60C35"/>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00" w:type="dxa"/>
            <w:vAlign w:val="bottom"/>
            <w:shd w:val="clear" w:color="auto" w:fill="C60C35"/>
          </w:tcPr>
          <w:p>
            <w:pPr>
              <w:spacing w:after="0"/>
              <w:rPr>
                <w:sz w:val="5"/>
                <w:szCs w:val="5"/>
                <w:color w:val="auto"/>
              </w:rPr>
            </w:pPr>
          </w:p>
        </w:tc>
        <w:tc>
          <w:tcPr>
            <w:tcW w:w="780" w:type="dxa"/>
            <w:vAlign w:val="bottom"/>
            <w:shd w:val="clear" w:color="auto" w:fill="C60C35"/>
          </w:tcPr>
          <w:p>
            <w:pPr>
              <w:spacing w:after="0"/>
              <w:rPr>
                <w:sz w:val="5"/>
                <w:szCs w:val="5"/>
                <w:color w:val="auto"/>
              </w:rPr>
            </w:pPr>
          </w:p>
        </w:tc>
        <w:tc>
          <w:tcPr>
            <w:tcW w:w="780" w:type="dxa"/>
            <w:vAlign w:val="bottom"/>
            <w:shd w:val="clear" w:color="auto" w:fill="C60C35"/>
          </w:tcPr>
          <w:p>
            <w:pPr>
              <w:spacing w:after="0"/>
              <w:rPr>
                <w:sz w:val="5"/>
                <w:szCs w:val="5"/>
                <w:color w:val="auto"/>
              </w:rPr>
            </w:pPr>
          </w:p>
        </w:tc>
        <w:tc>
          <w:tcPr>
            <w:tcW w:w="1820" w:type="dxa"/>
            <w:vAlign w:val="bottom"/>
            <w:gridSpan w:val="2"/>
            <w:vMerge w:val="continue"/>
            <w:shd w:val="clear" w:color="auto" w:fill="C60C35"/>
          </w:tcPr>
          <w:p>
            <w:pPr>
              <w:spacing w:after="0"/>
              <w:rPr>
                <w:sz w:val="5"/>
                <w:szCs w:val="5"/>
                <w:color w:val="auto"/>
              </w:rPr>
            </w:pPr>
          </w:p>
        </w:tc>
        <w:tc>
          <w:tcPr>
            <w:tcW w:w="660" w:type="dxa"/>
            <w:vAlign w:val="bottom"/>
            <w:shd w:val="clear" w:color="auto" w:fill="C60C35"/>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shd w:val="clear" w:color="auto" w:fill="C60C35"/>
          </w:tcPr>
          <w:p>
            <w:pPr>
              <w:spacing w:after="0"/>
              <w:rPr>
                <w:sz w:val="5"/>
                <w:szCs w:val="5"/>
                <w:color w:val="auto"/>
              </w:rPr>
            </w:pPr>
          </w:p>
        </w:tc>
        <w:tc>
          <w:tcPr>
            <w:tcW w:w="700" w:type="dxa"/>
            <w:vAlign w:val="bottom"/>
            <w:vMerge w:val="continue"/>
            <w:shd w:val="clear" w:color="auto" w:fill="C60C35"/>
          </w:tcPr>
          <w:p>
            <w:pPr>
              <w:spacing w:after="0"/>
              <w:rPr>
                <w:sz w:val="5"/>
                <w:szCs w:val="5"/>
                <w:color w:val="auto"/>
              </w:rPr>
            </w:pPr>
          </w:p>
        </w:tc>
        <w:tc>
          <w:tcPr>
            <w:tcW w:w="480" w:type="dxa"/>
            <w:vAlign w:val="bottom"/>
            <w:shd w:val="clear" w:color="auto" w:fill="C60C35"/>
          </w:tcPr>
          <w:p>
            <w:pPr>
              <w:spacing w:after="0"/>
              <w:rPr>
                <w:sz w:val="5"/>
                <w:szCs w:val="5"/>
                <w:color w:val="auto"/>
              </w:rPr>
            </w:pPr>
          </w:p>
        </w:tc>
        <w:tc>
          <w:tcPr>
            <w:tcW w:w="78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Shares of</w:t>
            </w:r>
          </w:p>
        </w:tc>
        <w:tc>
          <w:tcPr>
            <w:tcW w:w="1920" w:type="dxa"/>
            <w:vAlign w:val="bottom"/>
            <w:gridSpan w:val="2"/>
            <w:vMerge w:val="restart"/>
            <w:shd w:val="clear" w:color="auto" w:fill="C60C35"/>
          </w:tcPr>
          <w:p>
            <w:pPr>
              <w:jc w:val="right"/>
              <w:ind w:right="38"/>
              <w:spacing w:after="0"/>
              <w:rPr>
                <w:sz w:val="20"/>
                <w:szCs w:val="20"/>
                <w:color w:val="auto"/>
              </w:rPr>
            </w:pPr>
            <w:r>
              <w:rPr>
                <w:rFonts w:ascii="Arial" w:cs="Arial" w:eastAsia="Arial" w:hAnsi="Arial"/>
                <w:sz w:val="13"/>
                <w:szCs w:val="13"/>
                <w:b w:val="1"/>
                <w:bCs w:val="1"/>
                <w:color w:val="FFFFFF"/>
              </w:rPr>
              <w:t>Securities Base Price of</w:t>
            </w:r>
          </w:p>
        </w:tc>
        <w:tc>
          <w:tcPr>
            <w:tcW w:w="64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Price on</w:t>
            </w:r>
          </w:p>
        </w:tc>
        <w:tc>
          <w:tcPr>
            <w:tcW w:w="80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Stock and</w:t>
            </w:r>
          </w:p>
        </w:tc>
        <w:tc>
          <w:tcPr>
            <w:tcW w:w="100" w:type="dxa"/>
            <w:vAlign w:val="bottom"/>
            <w:shd w:val="clear" w:color="auto" w:fill="C60C35"/>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800" w:type="dxa"/>
            <w:vAlign w:val="bottom"/>
            <w:shd w:val="clear" w:color="auto" w:fill="C60C35"/>
          </w:tcPr>
          <w:p>
            <w:pPr>
              <w:spacing w:after="0"/>
              <w:rPr>
                <w:sz w:val="10"/>
                <w:szCs w:val="10"/>
                <w:color w:val="auto"/>
              </w:rPr>
            </w:pPr>
          </w:p>
        </w:tc>
        <w:tc>
          <w:tcPr>
            <w:tcW w:w="780" w:type="dxa"/>
            <w:vAlign w:val="bottom"/>
            <w:shd w:val="clear" w:color="auto" w:fill="C60C35"/>
          </w:tcPr>
          <w:p>
            <w:pPr>
              <w:spacing w:after="0"/>
              <w:rPr>
                <w:sz w:val="10"/>
                <w:szCs w:val="10"/>
                <w:color w:val="auto"/>
              </w:rPr>
            </w:pPr>
          </w:p>
        </w:tc>
        <w:tc>
          <w:tcPr>
            <w:tcW w:w="780" w:type="dxa"/>
            <w:vAlign w:val="bottom"/>
            <w:shd w:val="clear" w:color="auto" w:fill="C60C35"/>
          </w:tcPr>
          <w:p>
            <w:pPr>
              <w:spacing w:after="0"/>
              <w:rPr>
                <w:sz w:val="10"/>
                <w:szCs w:val="10"/>
                <w:color w:val="auto"/>
              </w:rPr>
            </w:pPr>
          </w:p>
        </w:tc>
        <w:tc>
          <w:tcPr>
            <w:tcW w:w="2480" w:type="dxa"/>
            <w:vAlign w:val="bottom"/>
            <w:gridSpan w:val="3"/>
            <w:shd w:val="clear" w:color="auto" w:fill="C60C35"/>
          </w:tcPr>
          <w:p>
            <w:pPr>
              <w:jc w:val="center"/>
              <w:spacing w:after="0" w:line="126" w:lineRule="exact"/>
              <w:rPr>
                <w:sz w:val="20"/>
                <w:szCs w:val="20"/>
                <w:color w:val="auto"/>
              </w:rPr>
            </w:pPr>
            <w:r>
              <w:rPr>
                <w:rFonts w:ascii="Arial" w:cs="Arial" w:eastAsia="Arial" w:hAnsi="Arial"/>
                <w:sz w:val="11"/>
                <w:szCs w:val="11"/>
                <w:b w:val="1"/>
                <w:bCs w:val="1"/>
                <w:color w:val="FFFFFF"/>
              </w:rPr>
              <w:t>Incentive Plan Awards</w:t>
            </w:r>
            <w:r>
              <w:rPr>
                <w:rFonts w:ascii="Arial" w:cs="Arial" w:eastAsia="Arial" w:hAnsi="Arial"/>
                <w:sz w:val="14"/>
                <w:szCs w:val="14"/>
                <w:b w:val="1"/>
                <w:bCs w:val="1"/>
                <w:color w:val="FFFFFF"/>
                <w:vertAlign w:val="superscript"/>
              </w:rPr>
              <w:t>(1)</w:t>
            </w:r>
          </w:p>
        </w:tc>
        <w:tc>
          <w:tcPr>
            <w:tcW w:w="100" w:type="dxa"/>
            <w:vAlign w:val="bottom"/>
          </w:tcPr>
          <w:p>
            <w:pPr>
              <w:spacing w:after="0"/>
              <w:rPr>
                <w:sz w:val="10"/>
                <w:szCs w:val="10"/>
                <w:color w:val="auto"/>
              </w:rPr>
            </w:pPr>
          </w:p>
        </w:tc>
        <w:tc>
          <w:tcPr>
            <w:tcW w:w="1580" w:type="dxa"/>
            <w:vAlign w:val="bottom"/>
            <w:gridSpan w:val="2"/>
            <w:shd w:val="clear" w:color="auto" w:fill="C60C35"/>
          </w:tcPr>
          <w:p>
            <w:pPr>
              <w:jc w:val="center"/>
              <w:ind w:left="419"/>
              <w:spacing w:after="0" w:line="126"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4"/>
                <w:szCs w:val="14"/>
                <w:b w:val="1"/>
                <w:bCs w:val="1"/>
                <w:color w:val="FFFFFF"/>
                <w:vertAlign w:val="superscript"/>
              </w:rPr>
              <w:t>(2)</w:t>
            </w:r>
          </w:p>
        </w:tc>
        <w:tc>
          <w:tcPr>
            <w:tcW w:w="480" w:type="dxa"/>
            <w:vAlign w:val="bottom"/>
            <w:shd w:val="clear" w:color="auto" w:fill="C60C35"/>
          </w:tcPr>
          <w:p>
            <w:pPr>
              <w:spacing w:after="0"/>
              <w:rPr>
                <w:sz w:val="10"/>
                <w:szCs w:val="10"/>
                <w:color w:val="auto"/>
              </w:rPr>
            </w:pPr>
          </w:p>
        </w:tc>
        <w:tc>
          <w:tcPr>
            <w:tcW w:w="780" w:type="dxa"/>
            <w:vAlign w:val="bottom"/>
            <w:vMerge w:val="continue"/>
            <w:shd w:val="clear" w:color="auto" w:fill="C60C35"/>
          </w:tcPr>
          <w:p>
            <w:pPr>
              <w:spacing w:after="0"/>
              <w:rPr>
                <w:sz w:val="10"/>
                <w:szCs w:val="10"/>
                <w:color w:val="auto"/>
              </w:rPr>
            </w:pPr>
          </w:p>
        </w:tc>
        <w:tc>
          <w:tcPr>
            <w:tcW w:w="1920" w:type="dxa"/>
            <w:vAlign w:val="bottom"/>
            <w:gridSpan w:val="2"/>
            <w:vMerge w:val="continue"/>
            <w:shd w:val="clear" w:color="auto" w:fill="C60C35"/>
          </w:tcPr>
          <w:p>
            <w:pPr>
              <w:spacing w:after="0"/>
              <w:rPr>
                <w:sz w:val="10"/>
                <w:szCs w:val="10"/>
                <w:color w:val="auto"/>
              </w:rPr>
            </w:pPr>
          </w:p>
        </w:tc>
        <w:tc>
          <w:tcPr>
            <w:tcW w:w="640" w:type="dxa"/>
            <w:vAlign w:val="bottom"/>
            <w:vMerge w:val="continue"/>
            <w:shd w:val="clear" w:color="auto" w:fill="C60C35"/>
          </w:tcPr>
          <w:p>
            <w:pPr>
              <w:spacing w:after="0"/>
              <w:rPr>
                <w:sz w:val="10"/>
                <w:szCs w:val="10"/>
                <w:color w:val="auto"/>
              </w:rPr>
            </w:pPr>
          </w:p>
        </w:tc>
        <w:tc>
          <w:tcPr>
            <w:tcW w:w="800" w:type="dxa"/>
            <w:vAlign w:val="bottom"/>
            <w:vMerge w:val="continue"/>
            <w:shd w:val="clear" w:color="auto" w:fill="C60C35"/>
          </w:tcPr>
          <w:p>
            <w:pPr>
              <w:spacing w:after="0"/>
              <w:rPr>
                <w:sz w:val="10"/>
                <w:szCs w:val="10"/>
                <w:color w:val="auto"/>
              </w:rPr>
            </w:pPr>
          </w:p>
        </w:tc>
        <w:tc>
          <w:tcPr>
            <w:tcW w:w="100" w:type="dxa"/>
            <w:vAlign w:val="bottom"/>
            <w:shd w:val="clear" w:color="auto" w:fill="C60C35"/>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0" w:type="dxa"/>
            <w:vAlign w:val="bottom"/>
            <w:shd w:val="clear" w:color="auto" w:fill="C60C35"/>
          </w:tcPr>
          <w:p>
            <w:pPr>
              <w:spacing w:after="0"/>
              <w:rPr>
                <w:sz w:val="9"/>
                <w:szCs w:val="9"/>
                <w:color w:val="auto"/>
              </w:rPr>
            </w:pPr>
          </w:p>
        </w:tc>
        <w:tc>
          <w:tcPr>
            <w:tcW w:w="780" w:type="dxa"/>
            <w:vAlign w:val="bottom"/>
            <w:shd w:val="clear" w:color="auto" w:fill="C60C35"/>
          </w:tcPr>
          <w:p>
            <w:pPr>
              <w:spacing w:after="0"/>
              <w:rPr>
                <w:sz w:val="9"/>
                <w:szCs w:val="9"/>
                <w:color w:val="auto"/>
              </w:rPr>
            </w:pPr>
          </w:p>
        </w:tc>
        <w:tc>
          <w:tcPr>
            <w:tcW w:w="780" w:type="dxa"/>
            <w:vAlign w:val="bottom"/>
            <w:shd w:val="clear" w:color="auto" w:fill="C60C35"/>
          </w:tcPr>
          <w:p>
            <w:pPr>
              <w:jc w:val="center"/>
              <w:spacing w:after="0" w:line="104" w:lineRule="exact"/>
              <w:rPr>
                <w:sz w:val="20"/>
                <w:szCs w:val="20"/>
                <w:color w:val="auto"/>
              </w:rPr>
            </w:pPr>
            <w:r>
              <w:rPr>
                <w:rFonts w:ascii="Arial" w:cs="Arial" w:eastAsia="Arial" w:hAnsi="Arial"/>
                <w:sz w:val="12"/>
                <w:szCs w:val="12"/>
                <w:b w:val="1"/>
                <w:bCs w:val="1"/>
                <w:color w:val="FFFFFF"/>
              </w:rPr>
              <w:t>Board</w:t>
            </w:r>
          </w:p>
        </w:tc>
        <w:tc>
          <w:tcPr>
            <w:tcW w:w="880" w:type="dxa"/>
            <w:vAlign w:val="bottom"/>
            <w:shd w:val="clear" w:color="auto" w:fill="C60C35"/>
          </w:tcPr>
          <w:p>
            <w:pPr>
              <w:spacing w:after="0"/>
              <w:rPr>
                <w:sz w:val="9"/>
                <w:szCs w:val="9"/>
                <w:color w:val="auto"/>
              </w:rPr>
            </w:pPr>
          </w:p>
        </w:tc>
        <w:tc>
          <w:tcPr>
            <w:tcW w:w="940" w:type="dxa"/>
            <w:vAlign w:val="bottom"/>
            <w:shd w:val="clear" w:color="auto" w:fill="C60C35"/>
          </w:tcPr>
          <w:p>
            <w:pPr>
              <w:spacing w:after="0"/>
              <w:rPr>
                <w:sz w:val="9"/>
                <w:szCs w:val="9"/>
                <w:color w:val="auto"/>
              </w:rPr>
            </w:pPr>
          </w:p>
        </w:tc>
        <w:tc>
          <w:tcPr>
            <w:tcW w:w="660" w:type="dxa"/>
            <w:vAlign w:val="bottom"/>
            <w:shd w:val="clear" w:color="auto" w:fill="C60C35"/>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shd w:val="clear" w:color="auto" w:fill="C60C35"/>
          </w:tcPr>
          <w:p>
            <w:pPr>
              <w:spacing w:after="0"/>
              <w:rPr>
                <w:sz w:val="9"/>
                <w:szCs w:val="9"/>
                <w:color w:val="auto"/>
              </w:rPr>
            </w:pPr>
          </w:p>
        </w:tc>
        <w:tc>
          <w:tcPr>
            <w:tcW w:w="700" w:type="dxa"/>
            <w:vAlign w:val="bottom"/>
            <w:shd w:val="clear" w:color="auto" w:fill="C60C35"/>
          </w:tcPr>
          <w:p>
            <w:pPr>
              <w:spacing w:after="0"/>
              <w:rPr>
                <w:sz w:val="9"/>
                <w:szCs w:val="9"/>
                <w:color w:val="auto"/>
              </w:rPr>
            </w:pPr>
          </w:p>
        </w:tc>
        <w:tc>
          <w:tcPr>
            <w:tcW w:w="480" w:type="dxa"/>
            <w:vAlign w:val="bottom"/>
            <w:shd w:val="clear" w:color="auto" w:fill="C60C35"/>
          </w:tcPr>
          <w:p>
            <w:pPr>
              <w:spacing w:after="0"/>
              <w:rPr>
                <w:sz w:val="9"/>
                <w:szCs w:val="9"/>
                <w:color w:val="auto"/>
              </w:rPr>
            </w:pPr>
          </w:p>
        </w:tc>
        <w:tc>
          <w:tcPr>
            <w:tcW w:w="780" w:type="dxa"/>
            <w:vAlign w:val="bottom"/>
            <w:shd w:val="clear" w:color="auto" w:fill="C60C35"/>
          </w:tcPr>
          <w:p>
            <w:pPr>
              <w:jc w:val="right"/>
              <w:spacing w:after="0" w:line="104" w:lineRule="exact"/>
              <w:rPr>
                <w:sz w:val="20"/>
                <w:szCs w:val="20"/>
                <w:color w:val="auto"/>
              </w:rPr>
            </w:pPr>
            <w:r>
              <w:rPr>
                <w:rFonts w:ascii="Arial" w:cs="Arial" w:eastAsia="Arial" w:hAnsi="Arial"/>
                <w:sz w:val="12"/>
                <w:szCs w:val="12"/>
                <w:b w:val="1"/>
                <w:bCs w:val="1"/>
                <w:color w:val="FFFFFF"/>
              </w:rPr>
              <w:t>Stock or</w:t>
            </w:r>
          </w:p>
        </w:tc>
        <w:tc>
          <w:tcPr>
            <w:tcW w:w="1060" w:type="dxa"/>
            <w:vAlign w:val="bottom"/>
            <w:shd w:val="clear" w:color="auto" w:fill="C60C35"/>
          </w:tcPr>
          <w:p>
            <w:pPr>
              <w:jc w:val="right"/>
              <w:ind w:right="17"/>
              <w:spacing w:after="0" w:line="104" w:lineRule="exact"/>
              <w:rPr>
                <w:sz w:val="20"/>
                <w:szCs w:val="20"/>
                <w:color w:val="auto"/>
              </w:rPr>
            </w:pPr>
            <w:r>
              <w:rPr>
                <w:rFonts w:ascii="Arial" w:cs="Arial" w:eastAsia="Arial" w:hAnsi="Arial"/>
                <w:sz w:val="12"/>
                <w:szCs w:val="12"/>
                <w:b w:val="1"/>
                <w:bCs w:val="1"/>
                <w:color w:val="FFFFFF"/>
              </w:rPr>
              <w:t>Underlying</w:t>
            </w:r>
          </w:p>
        </w:tc>
        <w:tc>
          <w:tcPr>
            <w:tcW w:w="860" w:type="dxa"/>
            <w:vAlign w:val="bottom"/>
            <w:shd w:val="clear" w:color="auto" w:fill="C60C35"/>
          </w:tcPr>
          <w:p>
            <w:pPr>
              <w:jc w:val="right"/>
              <w:ind w:right="38"/>
              <w:spacing w:after="0" w:line="104" w:lineRule="exact"/>
              <w:rPr>
                <w:sz w:val="20"/>
                <w:szCs w:val="20"/>
                <w:color w:val="auto"/>
              </w:rPr>
            </w:pPr>
            <w:r>
              <w:rPr>
                <w:rFonts w:ascii="Arial" w:cs="Arial" w:eastAsia="Arial" w:hAnsi="Arial"/>
                <w:sz w:val="12"/>
                <w:szCs w:val="12"/>
                <w:b w:val="1"/>
                <w:bCs w:val="1"/>
                <w:color w:val="FFFFFF"/>
              </w:rPr>
              <w:t>Option</w:t>
            </w:r>
          </w:p>
        </w:tc>
        <w:tc>
          <w:tcPr>
            <w:tcW w:w="640" w:type="dxa"/>
            <w:vAlign w:val="bottom"/>
            <w:shd w:val="clear" w:color="auto" w:fill="C60C35"/>
          </w:tcPr>
          <w:p>
            <w:pPr>
              <w:jc w:val="center"/>
              <w:ind w:left="77"/>
              <w:spacing w:after="0" w:line="104" w:lineRule="exact"/>
              <w:rPr>
                <w:sz w:val="20"/>
                <w:szCs w:val="20"/>
                <w:color w:val="auto"/>
              </w:rPr>
            </w:pPr>
            <w:r>
              <w:rPr>
                <w:rFonts w:ascii="Arial" w:cs="Arial" w:eastAsia="Arial" w:hAnsi="Arial"/>
                <w:sz w:val="12"/>
                <w:szCs w:val="12"/>
                <w:b w:val="1"/>
                <w:bCs w:val="1"/>
                <w:color w:val="FFFFFF"/>
              </w:rPr>
              <w:t>Date of</w:t>
            </w:r>
          </w:p>
        </w:tc>
        <w:tc>
          <w:tcPr>
            <w:tcW w:w="800" w:type="dxa"/>
            <w:vAlign w:val="bottom"/>
            <w:shd w:val="clear" w:color="auto" w:fill="C60C35"/>
          </w:tcPr>
          <w:p>
            <w:pPr>
              <w:jc w:val="right"/>
              <w:spacing w:after="0" w:line="104" w:lineRule="exact"/>
              <w:rPr>
                <w:sz w:val="20"/>
                <w:szCs w:val="20"/>
                <w:color w:val="auto"/>
              </w:rPr>
            </w:pPr>
            <w:r>
              <w:rPr>
                <w:rFonts w:ascii="Arial" w:cs="Arial" w:eastAsia="Arial" w:hAnsi="Arial"/>
                <w:sz w:val="12"/>
                <w:szCs w:val="12"/>
                <w:b w:val="1"/>
                <w:bCs w:val="1"/>
                <w:color w:val="FFFFFF"/>
              </w:rPr>
              <w:t>Option</w:t>
            </w:r>
          </w:p>
        </w:tc>
        <w:tc>
          <w:tcPr>
            <w:tcW w:w="100" w:type="dxa"/>
            <w:vAlign w:val="bottom"/>
            <w:shd w:val="clear" w:color="auto" w:fill="C60C35"/>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7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Approval</w:t>
            </w:r>
          </w:p>
        </w:tc>
        <w:tc>
          <w:tcPr>
            <w:tcW w:w="880" w:type="dxa"/>
            <w:vAlign w:val="bottom"/>
            <w:shd w:val="clear" w:color="auto" w:fill="C60C35"/>
          </w:tcPr>
          <w:p>
            <w:pPr>
              <w:spacing w:after="0"/>
              <w:rPr>
                <w:sz w:val="12"/>
                <w:szCs w:val="12"/>
                <w:color w:val="auto"/>
              </w:rPr>
            </w:pPr>
          </w:p>
        </w:tc>
        <w:tc>
          <w:tcPr>
            <w:tcW w:w="940" w:type="dxa"/>
            <w:vAlign w:val="bottom"/>
            <w:shd w:val="clear" w:color="auto" w:fill="C60C35"/>
          </w:tcPr>
          <w:p>
            <w:pPr>
              <w:jc w:val="right"/>
              <w:ind w:right="317"/>
              <w:spacing w:after="0"/>
              <w:rPr>
                <w:sz w:val="20"/>
                <w:szCs w:val="20"/>
                <w:color w:val="auto"/>
              </w:rPr>
            </w:pPr>
            <w:r>
              <w:rPr>
                <w:rFonts w:ascii="Arial" w:cs="Arial" w:eastAsia="Arial" w:hAnsi="Arial"/>
                <w:sz w:val="13"/>
                <w:szCs w:val="13"/>
                <w:b w:val="1"/>
                <w:bCs w:val="1"/>
                <w:color w:val="FFFFFF"/>
              </w:rPr>
              <w:t>Target</w:t>
            </w:r>
          </w:p>
        </w:tc>
        <w:tc>
          <w:tcPr>
            <w:tcW w:w="660" w:type="dxa"/>
            <w:vAlign w:val="bottom"/>
            <w:shd w:val="clear" w:color="auto" w:fill="C60C35"/>
          </w:tcPr>
          <w:p>
            <w:pPr>
              <w:jc w:val="right"/>
              <w:ind w:right="217"/>
              <w:spacing w:after="0"/>
              <w:rPr>
                <w:sz w:val="20"/>
                <w:szCs w:val="20"/>
                <w:color w:val="auto"/>
              </w:rPr>
            </w:pPr>
            <w:r>
              <w:rPr>
                <w:rFonts w:ascii="Arial" w:cs="Arial" w:eastAsia="Arial" w:hAnsi="Arial"/>
                <w:sz w:val="13"/>
                <w:szCs w:val="13"/>
                <w:b w:val="1"/>
                <w:bCs w:val="1"/>
                <w:color w:val="FFFFFF"/>
              </w:rPr>
              <w:t>Max.</w:t>
            </w:r>
          </w:p>
        </w:tc>
        <w:tc>
          <w:tcPr>
            <w:tcW w:w="100" w:type="dxa"/>
            <w:vAlign w:val="bottom"/>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700" w:type="dxa"/>
            <w:vAlign w:val="bottom"/>
            <w:shd w:val="clear" w:color="auto" w:fill="C60C35"/>
          </w:tcPr>
          <w:p>
            <w:pPr>
              <w:ind w:left="200"/>
              <w:spacing w:after="0"/>
              <w:rPr>
                <w:sz w:val="20"/>
                <w:szCs w:val="20"/>
                <w:color w:val="auto"/>
              </w:rPr>
            </w:pPr>
            <w:r>
              <w:rPr>
                <w:rFonts w:ascii="Arial" w:cs="Arial" w:eastAsia="Arial" w:hAnsi="Arial"/>
                <w:sz w:val="13"/>
                <w:szCs w:val="13"/>
                <w:b w:val="1"/>
                <w:bCs w:val="1"/>
                <w:color w:val="FFFFFF"/>
              </w:rPr>
              <w:t>Target</w:t>
            </w:r>
          </w:p>
        </w:tc>
        <w:tc>
          <w:tcPr>
            <w:tcW w:w="4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Max.</w:t>
            </w: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Units</w:t>
            </w:r>
          </w:p>
        </w:tc>
        <w:tc>
          <w:tcPr>
            <w:tcW w:w="1060" w:type="dxa"/>
            <w:vAlign w:val="bottom"/>
            <w:shd w:val="clear" w:color="auto" w:fill="C60C35"/>
          </w:tcPr>
          <w:p>
            <w:pPr>
              <w:jc w:val="right"/>
              <w:ind w:right="17"/>
              <w:spacing w:after="0"/>
              <w:rPr>
                <w:sz w:val="20"/>
                <w:szCs w:val="20"/>
                <w:color w:val="auto"/>
              </w:rPr>
            </w:pPr>
            <w:r>
              <w:rPr>
                <w:rFonts w:ascii="Arial" w:cs="Arial" w:eastAsia="Arial" w:hAnsi="Arial"/>
                <w:sz w:val="13"/>
                <w:szCs w:val="13"/>
                <w:b w:val="1"/>
                <w:bCs w:val="1"/>
                <w:color w:val="FFFFFF"/>
              </w:rPr>
              <w:t>Options</w:t>
            </w:r>
          </w:p>
        </w:tc>
        <w:tc>
          <w:tcPr>
            <w:tcW w:w="860" w:type="dxa"/>
            <w:vAlign w:val="bottom"/>
            <w:shd w:val="clear" w:color="auto" w:fill="C60C35"/>
          </w:tcPr>
          <w:p>
            <w:pPr>
              <w:jc w:val="center"/>
              <w:ind w:left="138"/>
              <w:spacing w:after="0"/>
              <w:rPr>
                <w:sz w:val="20"/>
                <w:szCs w:val="20"/>
                <w:color w:val="auto"/>
              </w:rPr>
            </w:pPr>
            <w:r>
              <w:rPr>
                <w:rFonts w:ascii="Arial" w:cs="Arial" w:eastAsia="Arial" w:hAnsi="Arial"/>
                <w:sz w:val="13"/>
                <w:szCs w:val="13"/>
                <w:b w:val="1"/>
                <w:bCs w:val="1"/>
                <w:color w:val="FFFFFF"/>
                <w:w w:val="97"/>
              </w:rPr>
              <w:t>Awards</w:t>
            </w:r>
          </w:p>
        </w:tc>
        <w:tc>
          <w:tcPr>
            <w:tcW w:w="640" w:type="dxa"/>
            <w:vAlign w:val="bottom"/>
            <w:shd w:val="clear" w:color="auto" w:fill="C60C35"/>
          </w:tcPr>
          <w:p>
            <w:pPr>
              <w:jc w:val="right"/>
              <w:ind w:right="17"/>
              <w:spacing w:after="0"/>
              <w:rPr>
                <w:sz w:val="20"/>
                <w:szCs w:val="20"/>
                <w:color w:val="auto"/>
              </w:rPr>
            </w:pPr>
            <w:r>
              <w:rPr>
                <w:rFonts w:ascii="Arial" w:cs="Arial" w:eastAsia="Arial" w:hAnsi="Arial"/>
                <w:sz w:val="13"/>
                <w:szCs w:val="13"/>
                <w:b w:val="1"/>
                <w:bCs w:val="1"/>
                <w:color w:val="FFFFFF"/>
              </w:rPr>
              <w:t>Grant</w:t>
            </w:r>
          </w:p>
        </w:tc>
        <w:tc>
          <w:tcPr>
            <w:tcW w:w="8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Awards</w:t>
            </w:r>
          </w:p>
        </w:tc>
        <w:tc>
          <w:tcPr>
            <w:tcW w:w="100" w:type="dxa"/>
            <w:vAlign w:val="bottom"/>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800" w:type="dxa"/>
            <w:vAlign w:val="bottom"/>
            <w:tcBorders>
              <w:bottom w:val="single" w:sz="8" w:color="C60C35"/>
            </w:tcBorders>
            <w:shd w:val="clear" w:color="auto" w:fill="C60C35"/>
          </w:tcPr>
          <w:p>
            <w:pPr>
              <w:ind w:left="20"/>
              <w:spacing w:after="0"/>
              <w:rPr>
                <w:sz w:val="20"/>
                <w:szCs w:val="20"/>
                <w:color w:val="auto"/>
              </w:rPr>
            </w:pPr>
            <w:r>
              <w:rPr>
                <w:rFonts w:ascii="Arial" w:cs="Arial" w:eastAsia="Arial" w:hAnsi="Arial"/>
                <w:sz w:val="13"/>
                <w:szCs w:val="13"/>
                <w:b w:val="1"/>
                <w:bCs w:val="1"/>
                <w:color w:val="FFFFFF"/>
              </w:rPr>
              <w:t>Name</w:t>
            </w:r>
          </w:p>
        </w:tc>
        <w:tc>
          <w:tcPr>
            <w:tcW w:w="780" w:type="dxa"/>
            <w:vAlign w:val="bottom"/>
            <w:tcBorders>
              <w:bottom w:val="single" w:sz="8" w:color="C60C35"/>
            </w:tcBorders>
            <w:shd w:val="clear" w:color="auto" w:fill="C60C35"/>
          </w:tcPr>
          <w:p>
            <w:pPr>
              <w:ind w:left="60"/>
              <w:spacing w:after="0"/>
              <w:rPr>
                <w:sz w:val="20"/>
                <w:szCs w:val="20"/>
                <w:color w:val="auto"/>
              </w:rPr>
            </w:pPr>
            <w:r>
              <w:rPr>
                <w:rFonts w:ascii="Arial" w:cs="Arial" w:eastAsia="Arial" w:hAnsi="Arial"/>
                <w:sz w:val="13"/>
                <w:szCs w:val="13"/>
                <w:b w:val="1"/>
                <w:bCs w:val="1"/>
                <w:color w:val="FFFFFF"/>
              </w:rPr>
              <w:t>Grant Date</w:t>
            </w:r>
          </w:p>
        </w:tc>
        <w:tc>
          <w:tcPr>
            <w:tcW w:w="78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3"/>
                <w:szCs w:val="13"/>
                <w:b w:val="1"/>
                <w:bCs w:val="1"/>
                <w:color w:val="FFFFFF"/>
                <w:w w:val="99"/>
              </w:rPr>
              <w:t>Date</w:t>
            </w:r>
          </w:p>
        </w:tc>
        <w:tc>
          <w:tcPr>
            <w:tcW w:w="8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w w:val="99"/>
              </w:rPr>
              <w:t>Threshold ($)</w:t>
            </w:r>
          </w:p>
        </w:tc>
        <w:tc>
          <w:tcPr>
            <w:tcW w:w="940" w:type="dxa"/>
            <w:vAlign w:val="bottom"/>
            <w:tcBorders>
              <w:bottom w:val="single" w:sz="8" w:color="C60C35"/>
            </w:tcBorders>
            <w:shd w:val="clear" w:color="auto" w:fill="C60C35"/>
          </w:tcPr>
          <w:p>
            <w:pPr>
              <w:jc w:val="right"/>
              <w:ind w:right="397"/>
              <w:spacing w:after="0"/>
              <w:rPr>
                <w:sz w:val="20"/>
                <w:szCs w:val="20"/>
                <w:color w:val="auto"/>
              </w:rPr>
            </w:pPr>
            <w:r>
              <w:rPr>
                <w:rFonts w:ascii="Arial" w:cs="Arial" w:eastAsia="Arial" w:hAnsi="Arial"/>
                <w:sz w:val="13"/>
                <w:szCs w:val="13"/>
                <w:b w:val="1"/>
                <w:bCs w:val="1"/>
                <w:color w:val="FFFFFF"/>
              </w:rPr>
              <w:t>($)</w:t>
            </w:r>
          </w:p>
        </w:tc>
        <w:tc>
          <w:tcPr>
            <w:tcW w:w="660" w:type="dxa"/>
            <w:vAlign w:val="bottom"/>
            <w:tcBorders>
              <w:bottom w:val="single" w:sz="8" w:color="C60C35"/>
            </w:tcBorders>
            <w:shd w:val="clear" w:color="auto" w:fill="C60C35"/>
          </w:tcPr>
          <w:p>
            <w:pPr>
              <w:jc w:val="right"/>
              <w:ind w:right="257"/>
              <w:spacing w:after="0"/>
              <w:rPr>
                <w:sz w:val="20"/>
                <w:szCs w:val="20"/>
                <w:color w:val="auto"/>
              </w:rPr>
            </w:pPr>
            <w:r>
              <w:rPr>
                <w:rFonts w:ascii="Arial" w:cs="Arial" w:eastAsia="Arial" w:hAnsi="Arial"/>
                <w:sz w:val="13"/>
                <w:szCs w:val="13"/>
                <w:b w:val="1"/>
                <w:bCs w:val="1"/>
                <w:color w:val="FFFFFF"/>
              </w:rPr>
              <w:t>($)</w:t>
            </w:r>
          </w:p>
        </w:tc>
        <w:tc>
          <w:tcPr>
            <w:tcW w:w="100" w:type="dxa"/>
            <w:vAlign w:val="bottom"/>
          </w:tcPr>
          <w:p>
            <w:pPr>
              <w:spacing w:after="0"/>
              <w:rPr>
                <w:sz w:val="20"/>
                <w:szCs w:val="20"/>
                <w:color w:val="auto"/>
              </w:rPr>
            </w:pPr>
          </w:p>
        </w:tc>
        <w:tc>
          <w:tcPr>
            <w:tcW w:w="8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Threshold (#)</w:t>
            </w:r>
          </w:p>
        </w:tc>
        <w:tc>
          <w:tcPr>
            <w:tcW w:w="700" w:type="dxa"/>
            <w:vAlign w:val="bottom"/>
            <w:tcBorders>
              <w:bottom w:val="single" w:sz="8" w:color="C60C35"/>
            </w:tcBorders>
            <w:shd w:val="clear" w:color="auto" w:fill="C60C35"/>
          </w:tcPr>
          <w:p>
            <w:pPr>
              <w:ind w:left="420"/>
              <w:spacing w:after="0"/>
              <w:rPr>
                <w:sz w:val="20"/>
                <w:szCs w:val="20"/>
                <w:color w:val="auto"/>
              </w:rPr>
            </w:pPr>
            <w:r>
              <w:rPr>
                <w:rFonts w:ascii="Arial" w:cs="Arial" w:eastAsia="Arial" w:hAnsi="Arial"/>
                <w:sz w:val="13"/>
                <w:szCs w:val="13"/>
                <w:b w:val="1"/>
                <w:bCs w:val="1"/>
                <w:color w:val="FFFFFF"/>
              </w:rPr>
              <w:t>(#)</w:t>
            </w:r>
          </w:p>
        </w:tc>
        <w:tc>
          <w:tcPr>
            <w:tcW w:w="4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C60C35"/>
            </w:tcBorders>
            <w:shd w:val="clear" w:color="auto" w:fill="C60C35"/>
          </w:tcPr>
          <w:p>
            <w:pPr>
              <w:jc w:val="right"/>
              <w:spacing w:after="0" w:line="207"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(3)</w:t>
            </w:r>
          </w:p>
        </w:tc>
        <w:tc>
          <w:tcPr>
            <w:tcW w:w="1060" w:type="dxa"/>
            <w:vAlign w:val="bottom"/>
            <w:tcBorders>
              <w:bottom w:val="single" w:sz="8" w:color="C60C35"/>
            </w:tcBorders>
            <w:shd w:val="clear" w:color="auto" w:fill="C60C35"/>
          </w:tcPr>
          <w:p>
            <w:pPr>
              <w:jc w:val="right"/>
              <w:ind w:right="1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860" w:type="dxa"/>
            <w:vAlign w:val="bottom"/>
            <w:tcBorders>
              <w:bottom w:val="single" w:sz="8" w:color="C60C35"/>
            </w:tcBorders>
            <w:shd w:val="clear" w:color="auto" w:fill="C60C35"/>
          </w:tcPr>
          <w:p>
            <w:pPr>
              <w:jc w:val="center"/>
              <w:ind w:left="158"/>
              <w:spacing w:after="0"/>
              <w:rPr>
                <w:sz w:val="20"/>
                <w:szCs w:val="20"/>
                <w:color w:val="auto"/>
              </w:rPr>
            </w:pPr>
            <w:r>
              <w:rPr>
                <w:rFonts w:ascii="Arial" w:cs="Arial" w:eastAsia="Arial" w:hAnsi="Arial"/>
                <w:sz w:val="13"/>
                <w:szCs w:val="13"/>
                <w:b w:val="1"/>
                <w:bCs w:val="1"/>
                <w:color w:val="FFFFFF"/>
                <w:w w:val="89"/>
              </w:rPr>
              <w:t>($/Sh)</w:t>
            </w:r>
            <w:r>
              <w:rPr>
                <w:rFonts w:ascii="Arial" w:cs="Arial" w:eastAsia="Arial" w:hAnsi="Arial"/>
                <w:sz w:val="16"/>
                <w:szCs w:val="16"/>
                <w:b w:val="1"/>
                <w:bCs w:val="1"/>
                <w:color w:val="FFFFFF"/>
                <w:w w:val="89"/>
                <w:vertAlign w:val="superscript"/>
              </w:rPr>
              <w:t>(5)</w:t>
            </w:r>
          </w:p>
        </w:tc>
        <w:tc>
          <w:tcPr>
            <w:tcW w:w="6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($/Sh)</w:t>
            </w:r>
          </w:p>
        </w:tc>
        <w:tc>
          <w:tcPr>
            <w:tcW w:w="80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(6)</w:t>
            </w:r>
          </w:p>
        </w:tc>
        <w:tc>
          <w:tcPr>
            <w:tcW w:w="100" w:type="dxa"/>
            <w:vAlign w:val="bottom"/>
            <w:tcBorders>
              <w:bottom w:val="single" w:sz="8" w:color="C60C35"/>
            </w:tcBorders>
            <w:shd w:val="clear" w:color="auto" w:fill="C60C35"/>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800" w:type="dxa"/>
            <w:vAlign w:val="bottom"/>
            <w:shd w:val="clear" w:color="auto" w:fill="F1F2F2"/>
          </w:tcPr>
          <w:p>
            <w:pPr>
              <w:ind w:left="100"/>
              <w:spacing w:after="0"/>
              <w:rPr>
                <w:sz w:val="20"/>
                <w:szCs w:val="20"/>
                <w:color w:val="auto"/>
              </w:rPr>
            </w:pPr>
            <w:r>
              <w:rPr>
                <w:rFonts w:ascii="Arial" w:cs="Arial" w:eastAsia="Arial" w:hAnsi="Arial"/>
                <w:sz w:val="13"/>
                <w:szCs w:val="13"/>
                <w:color w:val="auto"/>
              </w:rPr>
              <w:t>Alok</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678,750</w:t>
            </w:r>
          </w:p>
        </w:tc>
        <w:tc>
          <w:tcPr>
            <w:tcW w:w="940" w:type="dxa"/>
            <w:vAlign w:val="bottom"/>
            <w:vMerge w:val="restart"/>
            <w:shd w:val="clear" w:color="auto" w:fill="F1F2F2"/>
          </w:tcPr>
          <w:p>
            <w:pPr>
              <w:jc w:val="right"/>
              <w:ind w:right="137"/>
              <w:spacing w:after="0"/>
              <w:rPr>
                <w:sz w:val="20"/>
                <w:szCs w:val="20"/>
                <w:color w:val="auto"/>
              </w:rPr>
            </w:pPr>
            <w:r>
              <w:rPr>
                <w:rFonts w:ascii="Arial" w:cs="Arial" w:eastAsia="Arial" w:hAnsi="Arial"/>
                <w:sz w:val="13"/>
                <w:szCs w:val="13"/>
                <w:color w:val="auto"/>
              </w:rPr>
              <w:t>1,357,500</w:t>
            </w:r>
          </w:p>
        </w:tc>
        <w:tc>
          <w:tcPr>
            <w:tcW w:w="6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3,054,375</w:t>
            </w:r>
          </w:p>
        </w:tc>
        <w:tc>
          <w:tcPr>
            <w:tcW w:w="100" w:type="dxa"/>
            <w:vAlign w:val="bottom"/>
            <w:shd w:val="clear" w:color="auto" w:fill="F1F2F2"/>
          </w:tcPr>
          <w:p>
            <w:pPr>
              <w:spacing w:after="0"/>
              <w:rPr>
                <w:sz w:val="13"/>
                <w:szCs w:val="13"/>
                <w:color w:val="auto"/>
              </w:rPr>
            </w:pPr>
          </w:p>
        </w:tc>
        <w:tc>
          <w:tcPr>
            <w:tcW w:w="88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480" w:type="dxa"/>
            <w:vAlign w:val="bottom"/>
            <w:shd w:val="clear" w:color="auto" w:fill="F1F2F2"/>
          </w:tcPr>
          <w:p>
            <w:pPr>
              <w:spacing w:after="0"/>
              <w:rPr>
                <w:sz w:val="13"/>
                <w:szCs w:val="13"/>
                <w:color w:val="auto"/>
              </w:rPr>
            </w:pPr>
          </w:p>
        </w:tc>
        <w:tc>
          <w:tcPr>
            <w:tcW w:w="780" w:type="dxa"/>
            <w:vAlign w:val="bottom"/>
            <w:shd w:val="clear" w:color="auto" w:fill="F1F2F2"/>
          </w:tcPr>
          <w:p>
            <w:pPr>
              <w:spacing w:after="0"/>
              <w:rPr>
                <w:sz w:val="13"/>
                <w:szCs w:val="13"/>
                <w:color w:val="auto"/>
              </w:rPr>
            </w:pPr>
          </w:p>
        </w:tc>
        <w:tc>
          <w:tcPr>
            <w:tcW w:w="1060" w:type="dxa"/>
            <w:vAlign w:val="bottom"/>
            <w:shd w:val="clear" w:color="auto" w:fill="F1F2F2"/>
          </w:tcPr>
          <w:p>
            <w:pPr>
              <w:spacing w:after="0"/>
              <w:rPr>
                <w:sz w:val="13"/>
                <w:szCs w:val="13"/>
                <w:color w:val="auto"/>
              </w:rPr>
            </w:pPr>
          </w:p>
        </w:tc>
        <w:tc>
          <w:tcPr>
            <w:tcW w:w="860" w:type="dxa"/>
            <w:vAlign w:val="bottom"/>
            <w:shd w:val="clear" w:color="auto" w:fill="F1F2F2"/>
          </w:tcPr>
          <w:p>
            <w:pPr>
              <w:spacing w:after="0"/>
              <w:rPr>
                <w:sz w:val="13"/>
                <w:szCs w:val="13"/>
                <w:color w:val="auto"/>
              </w:rPr>
            </w:pPr>
          </w:p>
        </w:tc>
        <w:tc>
          <w:tcPr>
            <w:tcW w:w="640" w:type="dxa"/>
            <w:vAlign w:val="bottom"/>
            <w:shd w:val="clear" w:color="auto" w:fill="F1F2F2"/>
          </w:tcPr>
          <w:p>
            <w:pPr>
              <w:spacing w:after="0"/>
              <w:rPr>
                <w:sz w:val="13"/>
                <w:szCs w:val="13"/>
                <w:color w:val="auto"/>
              </w:rPr>
            </w:pPr>
          </w:p>
        </w:tc>
        <w:tc>
          <w:tcPr>
            <w:tcW w:w="800" w:type="dxa"/>
            <w:vAlign w:val="bottom"/>
            <w:shd w:val="clear" w:color="auto" w:fill="F1F2F2"/>
          </w:tcPr>
          <w:p>
            <w:pPr>
              <w:spacing w:after="0"/>
              <w:rPr>
                <w:sz w:val="13"/>
                <w:szCs w:val="13"/>
                <w:color w:val="auto"/>
              </w:rPr>
            </w:pPr>
          </w:p>
        </w:tc>
        <w:tc>
          <w:tcPr>
            <w:tcW w:w="100" w:type="dxa"/>
            <w:vAlign w:val="bottom"/>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0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Maskara</w:t>
            </w:r>
          </w:p>
        </w:tc>
        <w:tc>
          <w:tcPr>
            <w:tcW w:w="780" w:type="dxa"/>
            <w:vAlign w:val="bottom"/>
            <w:vMerge w:val="continue"/>
            <w:shd w:val="clear" w:color="auto" w:fill="F1F2F2"/>
          </w:tcPr>
          <w:p>
            <w:pPr>
              <w:spacing w:after="0"/>
              <w:rPr>
                <w:sz w:val="7"/>
                <w:szCs w:val="7"/>
                <w:color w:val="auto"/>
              </w:rPr>
            </w:pPr>
          </w:p>
        </w:tc>
        <w:tc>
          <w:tcPr>
            <w:tcW w:w="780" w:type="dxa"/>
            <w:vAlign w:val="bottom"/>
            <w:vMerge w:val="continue"/>
            <w:shd w:val="clear" w:color="auto" w:fill="F1F2F2"/>
          </w:tcPr>
          <w:p>
            <w:pPr>
              <w:spacing w:after="0"/>
              <w:rPr>
                <w:sz w:val="7"/>
                <w:szCs w:val="7"/>
                <w:color w:val="auto"/>
              </w:rPr>
            </w:pPr>
          </w:p>
        </w:tc>
        <w:tc>
          <w:tcPr>
            <w:tcW w:w="880" w:type="dxa"/>
            <w:vAlign w:val="bottom"/>
            <w:vMerge w:val="continue"/>
            <w:shd w:val="clear" w:color="auto" w:fill="F1F2F2"/>
          </w:tcPr>
          <w:p>
            <w:pPr>
              <w:spacing w:after="0"/>
              <w:rPr>
                <w:sz w:val="7"/>
                <w:szCs w:val="7"/>
                <w:color w:val="auto"/>
              </w:rPr>
            </w:pPr>
          </w:p>
        </w:tc>
        <w:tc>
          <w:tcPr>
            <w:tcW w:w="940" w:type="dxa"/>
            <w:vAlign w:val="bottom"/>
            <w:vMerge w:val="continue"/>
            <w:shd w:val="clear" w:color="auto" w:fill="F1F2F2"/>
          </w:tcPr>
          <w:p>
            <w:pPr>
              <w:spacing w:after="0"/>
              <w:rPr>
                <w:sz w:val="7"/>
                <w:szCs w:val="7"/>
                <w:color w:val="auto"/>
              </w:rPr>
            </w:pPr>
          </w:p>
        </w:tc>
        <w:tc>
          <w:tcPr>
            <w:tcW w:w="66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060" w:type="dxa"/>
            <w:vAlign w:val="bottom"/>
            <w:shd w:val="clear" w:color="auto" w:fill="F1F2F2"/>
          </w:tcPr>
          <w:p>
            <w:pPr>
              <w:spacing w:after="0"/>
              <w:rPr>
                <w:sz w:val="7"/>
                <w:szCs w:val="7"/>
                <w:color w:val="auto"/>
              </w:rPr>
            </w:pPr>
          </w:p>
        </w:tc>
        <w:tc>
          <w:tcPr>
            <w:tcW w:w="860" w:type="dxa"/>
            <w:vAlign w:val="bottom"/>
            <w:shd w:val="clear" w:color="auto" w:fill="F1F2F2"/>
          </w:tcPr>
          <w:p>
            <w:pPr>
              <w:spacing w:after="0"/>
              <w:rPr>
                <w:sz w:val="7"/>
                <w:szCs w:val="7"/>
                <w:color w:val="auto"/>
              </w:rPr>
            </w:pPr>
          </w:p>
        </w:tc>
        <w:tc>
          <w:tcPr>
            <w:tcW w:w="6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940" w:type="dxa"/>
            <w:vAlign w:val="bottom"/>
            <w:shd w:val="clear" w:color="auto" w:fill="F1F2F2"/>
          </w:tcPr>
          <w:p>
            <w:pPr>
              <w:spacing w:after="0"/>
              <w:rPr>
                <w:sz w:val="7"/>
                <w:szCs w:val="7"/>
                <w:color w:val="auto"/>
              </w:rPr>
            </w:pPr>
          </w:p>
        </w:tc>
        <w:tc>
          <w:tcPr>
            <w:tcW w:w="66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060" w:type="dxa"/>
            <w:vAlign w:val="bottom"/>
            <w:shd w:val="clear" w:color="auto" w:fill="F1F2F2"/>
          </w:tcPr>
          <w:p>
            <w:pPr>
              <w:spacing w:after="0"/>
              <w:rPr>
                <w:sz w:val="7"/>
                <w:szCs w:val="7"/>
                <w:color w:val="auto"/>
              </w:rPr>
            </w:pPr>
          </w:p>
        </w:tc>
        <w:tc>
          <w:tcPr>
            <w:tcW w:w="860" w:type="dxa"/>
            <w:vAlign w:val="bottom"/>
            <w:shd w:val="clear" w:color="auto" w:fill="F1F2F2"/>
          </w:tcPr>
          <w:p>
            <w:pPr>
              <w:spacing w:after="0"/>
              <w:rPr>
                <w:sz w:val="7"/>
                <w:szCs w:val="7"/>
                <w:color w:val="auto"/>
              </w:rPr>
            </w:pPr>
          </w:p>
        </w:tc>
        <w:tc>
          <w:tcPr>
            <w:tcW w:w="6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12/8/2023</w:t>
            </w:r>
          </w:p>
        </w:tc>
        <w:tc>
          <w:tcPr>
            <w:tcW w:w="88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9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3,241</w:t>
            </w:r>
          </w:p>
        </w:tc>
        <w:tc>
          <w:tcPr>
            <w:tcW w:w="700" w:type="dxa"/>
            <w:vAlign w:val="bottom"/>
            <w:shd w:val="clear" w:color="auto" w:fill="F1F2F2"/>
          </w:tcPr>
          <w:p>
            <w:pPr>
              <w:ind w:left="220"/>
              <w:spacing w:after="0"/>
              <w:rPr>
                <w:sz w:val="20"/>
                <w:szCs w:val="20"/>
                <w:color w:val="auto"/>
              </w:rPr>
            </w:pPr>
            <w:r>
              <w:rPr>
                <w:rFonts w:ascii="Arial" w:cs="Arial" w:eastAsia="Arial" w:hAnsi="Arial"/>
                <w:sz w:val="13"/>
                <w:szCs w:val="13"/>
                <w:color w:val="auto"/>
              </w:rPr>
              <w:t>6,482</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12,964</w:t>
            </w:r>
          </w:p>
        </w:tc>
        <w:tc>
          <w:tcPr>
            <w:tcW w:w="780" w:type="dxa"/>
            <w:vAlign w:val="bottom"/>
            <w:shd w:val="clear" w:color="auto" w:fill="F1F2F2"/>
          </w:tcPr>
          <w:p>
            <w:pPr>
              <w:spacing w:after="0"/>
              <w:rPr>
                <w:sz w:val="17"/>
                <w:szCs w:val="17"/>
                <w:color w:val="auto"/>
              </w:rPr>
            </w:pPr>
          </w:p>
        </w:tc>
        <w:tc>
          <w:tcPr>
            <w:tcW w:w="106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640" w:type="dxa"/>
            <w:vAlign w:val="bottom"/>
            <w:shd w:val="clear" w:color="auto" w:fill="F1F2F2"/>
          </w:tcPr>
          <w:p>
            <w:pPr>
              <w:spacing w:after="0"/>
              <w:rPr>
                <w:sz w:val="17"/>
                <w:szCs w:val="17"/>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2,768,592</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12/8/2023</w:t>
            </w:r>
          </w:p>
        </w:tc>
        <w:tc>
          <w:tcPr>
            <w:tcW w:w="88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8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3,889</w:t>
            </w:r>
          </w:p>
        </w:tc>
        <w:tc>
          <w:tcPr>
            <w:tcW w:w="106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640" w:type="dxa"/>
            <w:vAlign w:val="bottom"/>
            <w:shd w:val="clear" w:color="auto" w:fill="F1F2F2"/>
          </w:tcPr>
          <w:p>
            <w:pPr>
              <w:spacing w:after="0"/>
              <w:rPr>
                <w:sz w:val="17"/>
                <w:szCs w:val="17"/>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1,661,070</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12/8/2023</w:t>
            </w:r>
          </w:p>
        </w:tc>
        <w:tc>
          <w:tcPr>
            <w:tcW w:w="880" w:type="dxa"/>
            <w:vAlign w:val="bottom"/>
            <w:tcBorders>
              <w:bottom w:val="single" w:sz="8" w:color="F1F2F2"/>
            </w:tcBorders>
            <w:shd w:val="clear" w:color="auto" w:fill="F1F2F2"/>
          </w:tcPr>
          <w:p>
            <w:pPr>
              <w:spacing w:after="0"/>
              <w:rPr>
                <w:sz w:val="18"/>
                <w:szCs w:val="18"/>
                <w:color w:val="auto"/>
              </w:rPr>
            </w:pPr>
          </w:p>
        </w:tc>
        <w:tc>
          <w:tcPr>
            <w:tcW w:w="940" w:type="dxa"/>
            <w:vAlign w:val="bottom"/>
            <w:tcBorders>
              <w:bottom w:val="single" w:sz="8" w:color="F1F2F2"/>
            </w:tcBorders>
            <w:shd w:val="clear" w:color="auto" w:fill="F1F2F2"/>
          </w:tcPr>
          <w:p>
            <w:pPr>
              <w:spacing w:after="0"/>
              <w:rPr>
                <w:sz w:val="18"/>
                <w:szCs w:val="18"/>
                <w:color w:val="auto"/>
              </w:rPr>
            </w:pPr>
          </w:p>
        </w:tc>
        <w:tc>
          <w:tcPr>
            <w:tcW w:w="660" w:type="dxa"/>
            <w:vAlign w:val="bottom"/>
            <w:tcBorders>
              <w:bottom w:val="single" w:sz="8" w:color="F1F2F2"/>
            </w:tcBorders>
            <w:shd w:val="clear" w:color="auto" w:fill="F1F2F2"/>
          </w:tcPr>
          <w:p>
            <w:pPr>
              <w:spacing w:after="0"/>
              <w:rPr>
                <w:sz w:val="18"/>
                <w:szCs w:val="18"/>
                <w:color w:val="auto"/>
              </w:rPr>
            </w:pPr>
          </w:p>
        </w:tc>
        <w:tc>
          <w:tcPr>
            <w:tcW w:w="100" w:type="dxa"/>
            <w:vAlign w:val="bottom"/>
            <w:tcBorders>
              <w:bottom w:val="single" w:sz="8" w:color="F1F2F2"/>
            </w:tcBorders>
            <w:shd w:val="clear" w:color="auto" w:fill="F1F2F2"/>
          </w:tcPr>
          <w:p>
            <w:pPr>
              <w:spacing w:after="0"/>
              <w:rPr>
                <w:sz w:val="18"/>
                <w:szCs w:val="18"/>
                <w:color w:val="auto"/>
              </w:rPr>
            </w:pPr>
          </w:p>
        </w:tc>
        <w:tc>
          <w:tcPr>
            <w:tcW w:w="880" w:type="dxa"/>
            <w:vAlign w:val="bottom"/>
            <w:tcBorders>
              <w:bottom w:val="single" w:sz="8" w:color="F1F2F2"/>
            </w:tcBorders>
            <w:shd w:val="clear" w:color="auto" w:fill="F1F2F2"/>
          </w:tcPr>
          <w:p>
            <w:pPr>
              <w:spacing w:after="0"/>
              <w:rPr>
                <w:sz w:val="18"/>
                <w:szCs w:val="18"/>
                <w:color w:val="auto"/>
              </w:rPr>
            </w:pPr>
          </w:p>
        </w:tc>
        <w:tc>
          <w:tcPr>
            <w:tcW w:w="700" w:type="dxa"/>
            <w:vAlign w:val="bottom"/>
            <w:tcBorders>
              <w:bottom w:val="single" w:sz="8" w:color="F1F2F2"/>
            </w:tcBorders>
            <w:shd w:val="clear" w:color="auto" w:fill="F1F2F2"/>
          </w:tcPr>
          <w:p>
            <w:pPr>
              <w:spacing w:after="0"/>
              <w:rPr>
                <w:sz w:val="18"/>
                <w:szCs w:val="18"/>
                <w:color w:val="auto"/>
              </w:rPr>
            </w:pPr>
          </w:p>
        </w:tc>
        <w:tc>
          <w:tcPr>
            <w:tcW w:w="48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spacing w:after="0"/>
              <w:rPr>
                <w:sz w:val="18"/>
                <w:szCs w:val="18"/>
                <w:color w:val="auto"/>
              </w:rPr>
            </w:pPr>
          </w:p>
        </w:tc>
        <w:tc>
          <w:tcPr>
            <w:tcW w:w="10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8,360</w:t>
            </w:r>
          </w:p>
        </w:tc>
        <w:tc>
          <w:tcPr>
            <w:tcW w:w="860" w:type="dxa"/>
            <w:vAlign w:val="bottom"/>
            <w:tcBorders>
              <w:bottom w:val="single" w:sz="8" w:color="F1F2F2"/>
            </w:tcBorders>
            <w:shd w:val="clear" w:color="auto" w:fill="F1F2F2"/>
          </w:tcPr>
          <w:p>
            <w:pPr>
              <w:jc w:val="center"/>
              <w:ind w:left="138"/>
              <w:spacing w:after="0"/>
              <w:rPr>
                <w:sz w:val="20"/>
                <w:szCs w:val="20"/>
                <w:color w:val="auto"/>
              </w:rPr>
            </w:pPr>
            <w:r>
              <w:rPr>
                <w:rFonts w:ascii="Arial" w:cs="Arial" w:eastAsia="Arial" w:hAnsi="Arial"/>
                <w:sz w:val="13"/>
                <w:szCs w:val="13"/>
                <w:color w:val="auto"/>
                <w:w w:val="95"/>
              </w:rPr>
              <w:t>418.69</w:t>
            </w:r>
          </w:p>
        </w:tc>
        <w:tc>
          <w:tcPr>
            <w:tcW w:w="640" w:type="dxa"/>
            <w:vAlign w:val="bottom"/>
            <w:tcBorders>
              <w:bottom w:val="single" w:sz="8" w:color="F1F2F2"/>
            </w:tcBorders>
            <w:shd w:val="clear" w:color="auto" w:fill="F1F2F2"/>
          </w:tcPr>
          <w:p>
            <w:pPr>
              <w:jc w:val="center"/>
              <w:ind w:left="37"/>
              <w:spacing w:after="0"/>
              <w:rPr>
                <w:sz w:val="20"/>
                <w:szCs w:val="20"/>
                <w:color w:val="auto"/>
              </w:rPr>
            </w:pPr>
            <w:r>
              <w:rPr>
                <w:rFonts w:ascii="Arial" w:cs="Arial" w:eastAsia="Arial" w:hAnsi="Arial"/>
                <w:sz w:val="13"/>
                <w:szCs w:val="13"/>
                <w:color w:val="auto"/>
                <w:w w:val="95"/>
              </w:rPr>
              <w:t>422.70</w:t>
            </w:r>
          </w:p>
        </w:tc>
        <w:tc>
          <w:tcPr>
            <w:tcW w:w="8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1,125,423</w:t>
            </w:r>
          </w:p>
        </w:tc>
        <w:tc>
          <w:tcPr>
            <w:tcW w:w="1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0" w:type="dxa"/>
            <w:vAlign w:val="bottom"/>
          </w:tcPr>
          <w:p>
            <w:pPr>
              <w:ind w:left="100"/>
              <w:spacing w:after="0"/>
              <w:rPr>
                <w:sz w:val="20"/>
                <w:szCs w:val="20"/>
                <w:color w:val="auto"/>
              </w:rPr>
            </w:pPr>
            <w:r>
              <w:rPr>
                <w:rFonts w:ascii="Arial" w:cs="Arial" w:eastAsia="Arial" w:hAnsi="Arial"/>
                <w:sz w:val="13"/>
                <w:szCs w:val="13"/>
                <w:color w:val="auto"/>
              </w:rPr>
              <w:t>Michael P.</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206,250</w:t>
            </w:r>
          </w:p>
        </w:tc>
        <w:tc>
          <w:tcPr>
            <w:tcW w:w="940" w:type="dxa"/>
            <w:vAlign w:val="bottom"/>
            <w:vMerge w:val="restart"/>
          </w:tcPr>
          <w:p>
            <w:pPr>
              <w:jc w:val="right"/>
              <w:ind w:right="137"/>
              <w:spacing w:after="0"/>
              <w:rPr>
                <w:sz w:val="20"/>
                <w:szCs w:val="20"/>
                <w:color w:val="auto"/>
              </w:rPr>
            </w:pPr>
            <w:r>
              <w:rPr>
                <w:rFonts w:ascii="Arial" w:cs="Arial" w:eastAsia="Arial" w:hAnsi="Arial"/>
                <w:sz w:val="13"/>
                <w:szCs w:val="13"/>
                <w:color w:val="auto"/>
              </w:rPr>
              <w:t>412,500</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928,125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Quenzer</w:t>
            </w: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569</w:t>
            </w:r>
          </w:p>
        </w:tc>
        <w:tc>
          <w:tcPr>
            <w:tcW w:w="700" w:type="dxa"/>
            <w:vAlign w:val="bottom"/>
          </w:tcPr>
          <w:p>
            <w:pPr>
              <w:ind w:left="220"/>
              <w:spacing w:after="0"/>
              <w:rPr>
                <w:sz w:val="20"/>
                <w:szCs w:val="20"/>
                <w:color w:val="auto"/>
              </w:rPr>
            </w:pPr>
            <w:r>
              <w:rPr>
                <w:rFonts w:ascii="Arial" w:cs="Arial" w:eastAsia="Arial" w:hAnsi="Arial"/>
                <w:sz w:val="13"/>
                <w:szCs w:val="13"/>
                <w:color w:val="auto"/>
              </w:rPr>
              <w:t>1,137</w:t>
            </w:r>
          </w:p>
        </w:tc>
        <w:tc>
          <w:tcPr>
            <w:tcW w:w="480" w:type="dxa"/>
            <w:vAlign w:val="bottom"/>
          </w:tcPr>
          <w:p>
            <w:pPr>
              <w:jc w:val="right"/>
              <w:spacing w:after="0"/>
              <w:rPr>
                <w:sz w:val="20"/>
                <w:szCs w:val="20"/>
                <w:color w:val="auto"/>
              </w:rPr>
            </w:pPr>
            <w:r>
              <w:rPr>
                <w:rFonts w:ascii="Arial" w:cs="Arial" w:eastAsia="Arial" w:hAnsi="Arial"/>
                <w:sz w:val="13"/>
                <w:szCs w:val="13"/>
                <w:color w:val="auto"/>
              </w:rPr>
              <w:t>2,274</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485,635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682</w:t>
            </w: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291,296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1,467</w:t>
            </w:r>
          </w:p>
        </w:tc>
        <w:tc>
          <w:tcPr>
            <w:tcW w:w="860" w:type="dxa"/>
            <w:vAlign w:val="bottom"/>
          </w:tcPr>
          <w:p>
            <w:pPr>
              <w:jc w:val="center"/>
              <w:ind w:left="138"/>
              <w:spacing w:after="0"/>
              <w:rPr>
                <w:sz w:val="20"/>
                <w:szCs w:val="20"/>
                <w:color w:val="auto"/>
              </w:rPr>
            </w:pPr>
            <w:r>
              <w:rPr>
                <w:rFonts w:ascii="Arial" w:cs="Arial" w:eastAsia="Arial" w:hAnsi="Arial"/>
                <w:sz w:val="13"/>
                <w:szCs w:val="13"/>
                <w:color w:val="auto"/>
                <w:w w:val="95"/>
              </w:rPr>
              <w:t>418.69</w:t>
            </w:r>
          </w:p>
        </w:tc>
        <w:tc>
          <w:tcPr>
            <w:tcW w:w="640" w:type="dxa"/>
            <w:vAlign w:val="bottom"/>
          </w:tcPr>
          <w:p>
            <w:pPr>
              <w:jc w:val="center"/>
              <w:ind w:left="37"/>
              <w:spacing w:after="0"/>
              <w:rPr>
                <w:sz w:val="20"/>
                <w:szCs w:val="20"/>
                <w:color w:val="auto"/>
              </w:rPr>
            </w:pPr>
            <w:r>
              <w:rPr>
                <w:rFonts w:ascii="Arial" w:cs="Arial" w:eastAsia="Arial" w:hAnsi="Arial"/>
                <w:sz w:val="13"/>
                <w:szCs w:val="13"/>
                <w:color w:val="auto"/>
                <w:w w:val="95"/>
              </w:rPr>
              <w:t>422.70</w:t>
            </w:r>
          </w:p>
        </w:tc>
        <w:tc>
          <w:tcPr>
            <w:tcW w:w="800" w:type="dxa"/>
            <w:vAlign w:val="bottom"/>
          </w:tcPr>
          <w:p>
            <w:pPr>
              <w:jc w:val="right"/>
              <w:spacing w:after="0"/>
              <w:rPr>
                <w:sz w:val="20"/>
                <w:szCs w:val="20"/>
                <w:color w:val="auto"/>
              </w:rPr>
            </w:pPr>
            <w:r>
              <w:rPr>
                <w:rFonts w:ascii="Arial" w:cs="Arial" w:eastAsia="Arial" w:hAnsi="Arial"/>
                <w:sz w:val="13"/>
                <w:szCs w:val="13"/>
                <w:color w:val="auto"/>
              </w:rPr>
              <w:t>197,488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00" w:type="dxa"/>
            <w:vAlign w:val="bottom"/>
            <w:shd w:val="clear" w:color="auto" w:fill="F1F2F2"/>
          </w:tcPr>
          <w:p>
            <w:pPr>
              <w:ind w:left="100"/>
              <w:spacing w:after="0"/>
              <w:rPr>
                <w:sz w:val="20"/>
                <w:szCs w:val="20"/>
                <w:color w:val="auto"/>
              </w:rPr>
            </w:pPr>
            <w:r>
              <w:rPr>
                <w:rFonts w:ascii="Arial" w:cs="Arial" w:eastAsia="Arial" w:hAnsi="Arial"/>
                <w:sz w:val="13"/>
                <w:szCs w:val="13"/>
                <w:color w:val="auto"/>
              </w:rPr>
              <w:t>Gary S.</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215,625</w:t>
            </w:r>
          </w:p>
        </w:tc>
        <w:tc>
          <w:tcPr>
            <w:tcW w:w="940" w:type="dxa"/>
            <w:vAlign w:val="bottom"/>
            <w:vMerge w:val="restart"/>
            <w:shd w:val="clear" w:color="auto" w:fill="F1F2F2"/>
          </w:tcPr>
          <w:p>
            <w:pPr>
              <w:jc w:val="right"/>
              <w:ind w:right="137"/>
              <w:spacing w:after="0"/>
              <w:rPr>
                <w:sz w:val="20"/>
                <w:szCs w:val="20"/>
                <w:color w:val="auto"/>
              </w:rPr>
            </w:pPr>
            <w:r>
              <w:rPr>
                <w:rFonts w:ascii="Arial" w:cs="Arial" w:eastAsia="Arial" w:hAnsi="Arial"/>
                <w:sz w:val="13"/>
                <w:szCs w:val="13"/>
                <w:color w:val="auto"/>
              </w:rPr>
              <w:t>431,250</w:t>
            </w:r>
          </w:p>
        </w:tc>
        <w:tc>
          <w:tcPr>
            <w:tcW w:w="6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970,313</w:t>
            </w:r>
          </w:p>
        </w:tc>
        <w:tc>
          <w:tcPr>
            <w:tcW w:w="100" w:type="dxa"/>
            <w:vAlign w:val="bottom"/>
            <w:shd w:val="clear" w:color="auto" w:fill="F1F2F2"/>
          </w:tcPr>
          <w:p>
            <w:pPr>
              <w:spacing w:after="0"/>
              <w:rPr>
                <w:sz w:val="13"/>
                <w:szCs w:val="13"/>
                <w:color w:val="auto"/>
              </w:rPr>
            </w:pPr>
          </w:p>
        </w:tc>
        <w:tc>
          <w:tcPr>
            <w:tcW w:w="88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480" w:type="dxa"/>
            <w:vAlign w:val="bottom"/>
            <w:shd w:val="clear" w:color="auto" w:fill="F1F2F2"/>
          </w:tcPr>
          <w:p>
            <w:pPr>
              <w:spacing w:after="0"/>
              <w:rPr>
                <w:sz w:val="13"/>
                <w:szCs w:val="13"/>
                <w:color w:val="auto"/>
              </w:rPr>
            </w:pPr>
          </w:p>
        </w:tc>
        <w:tc>
          <w:tcPr>
            <w:tcW w:w="780" w:type="dxa"/>
            <w:vAlign w:val="bottom"/>
            <w:shd w:val="clear" w:color="auto" w:fill="F1F2F2"/>
          </w:tcPr>
          <w:p>
            <w:pPr>
              <w:spacing w:after="0"/>
              <w:rPr>
                <w:sz w:val="13"/>
                <w:szCs w:val="13"/>
                <w:color w:val="auto"/>
              </w:rPr>
            </w:pPr>
          </w:p>
        </w:tc>
        <w:tc>
          <w:tcPr>
            <w:tcW w:w="1060" w:type="dxa"/>
            <w:vAlign w:val="bottom"/>
            <w:shd w:val="clear" w:color="auto" w:fill="F1F2F2"/>
          </w:tcPr>
          <w:p>
            <w:pPr>
              <w:spacing w:after="0"/>
              <w:rPr>
                <w:sz w:val="13"/>
                <w:szCs w:val="13"/>
                <w:color w:val="auto"/>
              </w:rPr>
            </w:pPr>
          </w:p>
        </w:tc>
        <w:tc>
          <w:tcPr>
            <w:tcW w:w="860" w:type="dxa"/>
            <w:vAlign w:val="bottom"/>
            <w:shd w:val="clear" w:color="auto" w:fill="F1F2F2"/>
          </w:tcPr>
          <w:p>
            <w:pPr>
              <w:spacing w:after="0"/>
              <w:rPr>
                <w:sz w:val="13"/>
                <w:szCs w:val="13"/>
                <w:color w:val="auto"/>
              </w:rPr>
            </w:pPr>
          </w:p>
        </w:tc>
        <w:tc>
          <w:tcPr>
            <w:tcW w:w="640" w:type="dxa"/>
            <w:vAlign w:val="bottom"/>
            <w:shd w:val="clear" w:color="auto" w:fill="F1F2F2"/>
          </w:tcPr>
          <w:p>
            <w:pPr>
              <w:spacing w:after="0"/>
              <w:rPr>
                <w:sz w:val="13"/>
                <w:szCs w:val="13"/>
                <w:color w:val="auto"/>
              </w:rPr>
            </w:pPr>
          </w:p>
        </w:tc>
        <w:tc>
          <w:tcPr>
            <w:tcW w:w="800" w:type="dxa"/>
            <w:vAlign w:val="bottom"/>
            <w:shd w:val="clear" w:color="auto" w:fill="F1F2F2"/>
          </w:tcPr>
          <w:p>
            <w:pPr>
              <w:spacing w:after="0"/>
              <w:rPr>
                <w:sz w:val="13"/>
                <w:szCs w:val="13"/>
                <w:color w:val="auto"/>
              </w:rPr>
            </w:pPr>
          </w:p>
        </w:tc>
        <w:tc>
          <w:tcPr>
            <w:tcW w:w="100" w:type="dxa"/>
            <w:vAlign w:val="bottom"/>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0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Bedard</w:t>
            </w:r>
          </w:p>
        </w:tc>
        <w:tc>
          <w:tcPr>
            <w:tcW w:w="780" w:type="dxa"/>
            <w:vAlign w:val="bottom"/>
            <w:vMerge w:val="continue"/>
            <w:shd w:val="clear" w:color="auto" w:fill="F1F2F2"/>
          </w:tcPr>
          <w:p>
            <w:pPr>
              <w:spacing w:after="0"/>
              <w:rPr>
                <w:sz w:val="7"/>
                <w:szCs w:val="7"/>
                <w:color w:val="auto"/>
              </w:rPr>
            </w:pPr>
          </w:p>
        </w:tc>
        <w:tc>
          <w:tcPr>
            <w:tcW w:w="780" w:type="dxa"/>
            <w:vAlign w:val="bottom"/>
            <w:vMerge w:val="continue"/>
            <w:shd w:val="clear" w:color="auto" w:fill="F1F2F2"/>
          </w:tcPr>
          <w:p>
            <w:pPr>
              <w:spacing w:after="0"/>
              <w:rPr>
                <w:sz w:val="7"/>
                <w:szCs w:val="7"/>
                <w:color w:val="auto"/>
              </w:rPr>
            </w:pPr>
          </w:p>
        </w:tc>
        <w:tc>
          <w:tcPr>
            <w:tcW w:w="880" w:type="dxa"/>
            <w:vAlign w:val="bottom"/>
            <w:vMerge w:val="continue"/>
            <w:shd w:val="clear" w:color="auto" w:fill="F1F2F2"/>
          </w:tcPr>
          <w:p>
            <w:pPr>
              <w:spacing w:after="0"/>
              <w:rPr>
                <w:sz w:val="7"/>
                <w:szCs w:val="7"/>
                <w:color w:val="auto"/>
              </w:rPr>
            </w:pPr>
          </w:p>
        </w:tc>
        <w:tc>
          <w:tcPr>
            <w:tcW w:w="940" w:type="dxa"/>
            <w:vAlign w:val="bottom"/>
            <w:vMerge w:val="continue"/>
            <w:shd w:val="clear" w:color="auto" w:fill="F1F2F2"/>
          </w:tcPr>
          <w:p>
            <w:pPr>
              <w:spacing w:after="0"/>
              <w:rPr>
                <w:sz w:val="7"/>
                <w:szCs w:val="7"/>
                <w:color w:val="auto"/>
              </w:rPr>
            </w:pPr>
          </w:p>
        </w:tc>
        <w:tc>
          <w:tcPr>
            <w:tcW w:w="66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060" w:type="dxa"/>
            <w:vAlign w:val="bottom"/>
            <w:shd w:val="clear" w:color="auto" w:fill="F1F2F2"/>
          </w:tcPr>
          <w:p>
            <w:pPr>
              <w:spacing w:after="0"/>
              <w:rPr>
                <w:sz w:val="7"/>
                <w:szCs w:val="7"/>
                <w:color w:val="auto"/>
              </w:rPr>
            </w:pPr>
          </w:p>
        </w:tc>
        <w:tc>
          <w:tcPr>
            <w:tcW w:w="860" w:type="dxa"/>
            <w:vAlign w:val="bottom"/>
            <w:shd w:val="clear" w:color="auto" w:fill="F1F2F2"/>
          </w:tcPr>
          <w:p>
            <w:pPr>
              <w:spacing w:after="0"/>
              <w:rPr>
                <w:sz w:val="7"/>
                <w:szCs w:val="7"/>
                <w:color w:val="auto"/>
              </w:rPr>
            </w:pPr>
          </w:p>
        </w:tc>
        <w:tc>
          <w:tcPr>
            <w:tcW w:w="6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940" w:type="dxa"/>
            <w:vAlign w:val="bottom"/>
            <w:shd w:val="clear" w:color="auto" w:fill="F1F2F2"/>
          </w:tcPr>
          <w:p>
            <w:pPr>
              <w:spacing w:after="0"/>
              <w:rPr>
                <w:sz w:val="7"/>
                <w:szCs w:val="7"/>
                <w:color w:val="auto"/>
              </w:rPr>
            </w:pPr>
          </w:p>
        </w:tc>
        <w:tc>
          <w:tcPr>
            <w:tcW w:w="66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060" w:type="dxa"/>
            <w:vAlign w:val="bottom"/>
            <w:shd w:val="clear" w:color="auto" w:fill="F1F2F2"/>
          </w:tcPr>
          <w:p>
            <w:pPr>
              <w:spacing w:after="0"/>
              <w:rPr>
                <w:sz w:val="7"/>
                <w:szCs w:val="7"/>
                <w:color w:val="auto"/>
              </w:rPr>
            </w:pPr>
          </w:p>
        </w:tc>
        <w:tc>
          <w:tcPr>
            <w:tcW w:w="860" w:type="dxa"/>
            <w:vAlign w:val="bottom"/>
            <w:shd w:val="clear" w:color="auto" w:fill="F1F2F2"/>
          </w:tcPr>
          <w:p>
            <w:pPr>
              <w:spacing w:after="0"/>
              <w:rPr>
                <w:sz w:val="7"/>
                <w:szCs w:val="7"/>
                <w:color w:val="auto"/>
              </w:rPr>
            </w:pPr>
          </w:p>
        </w:tc>
        <w:tc>
          <w:tcPr>
            <w:tcW w:w="6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9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739</w:t>
            </w:r>
          </w:p>
        </w:tc>
        <w:tc>
          <w:tcPr>
            <w:tcW w:w="700" w:type="dxa"/>
            <w:vAlign w:val="bottom"/>
            <w:shd w:val="clear" w:color="auto" w:fill="F1F2F2"/>
          </w:tcPr>
          <w:p>
            <w:pPr>
              <w:ind w:left="220"/>
              <w:spacing w:after="0"/>
              <w:rPr>
                <w:sz w:val="20"/>
                <w:szCs w:val="20"/>
                <w:color w:val="auto"/>
              </w:rPr>
            </w:pPr>
            <w:r>
              <w:rPr>
                <w:rFonts w:ascii="Arial" w:cs="Arial" w:eastAsia="Arial" w:hAnsi="Arial"/>
                <w:sz w:val="13"/>
                <w:szCs w:val="13"/>
                <w:color w:val="auto"/>
              </w:rPr>
              <w:t>1,478</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2,956</w:t>
            </w:r>
          </w:p>
        </w:tc>
        <w:tc>
          <w:tcPr>
            <w:tcW w:w="780" w:type="dxa"/>
            <w:vAlign w:val="bottom"/>
            <w:shd w:val="clear" w:color="auto" w:fill="F1F2F2"/>
          </w:tcPr>
          <w:p>
            <w:pPr>
              <w:spacing w:after="0"/>
              <w:rPr>
                <w:sz w:val="17"/>
                <w:szCs w:val="17"/>
                <w:color w:val="auto"/>
              </w:rPr>
            </w:pPr>
          </w:p>
        </w:tc>
        <w:tc>
          <w:tcPr>
            <w:tcW w:w="106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640" w:type="dxa"/>
            <w:vAlign w:val="bottom"/>
            <w:shd w:val="clear" w:color="auto" w:fill="F1F2F2"/>
          </w:tcPr>
          <w:p>
            <w:pPr>
              <w:spacing w:after="0"/>
              <w:rPr>
                <w:sz w:val="17"/>
                <w:szCs w:val="17"/>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631,283</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8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887</w:t>
            </w:r>
          </w:p>
        </w:tc>
        <w:tc>
          <w:tcPr>
            <w:tcW w:w="106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640" w:type="dxa"/>
            <w:vAlign w:val="bottom"/>
            <w:shd w:val="clear" w:color="auto" w:fill="F1F2F2"/>
          </w:tcPr>
          <w:p>
            <w:pPr>
              <w:spacing w:after="0"/>
              <w:rPr>
                <w:sz w:val="17"/>
                <w:szCs w:val="17"/>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378,855</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tcBorders>
              <w:bottom w:val="single" w:sz="8" w:color="F1F2F2"/>
            </w:tcBorders>
            <w:shd w:val="clear" w:color="auto" w:fill="F1F2F2"/>
          </w:tcPr>
          <w:p>
            <w:pPr>
              <w:spacing w:after="0"/>
              <w:rPr>
                <w:sz w:val="18"/>
                <w:szCs w:val="18"/>
                <w:color w:val="auto"/>
              </w:rPr>
            </w:pPr>
          </w:p>
        </w:tc>
        <w:tc>
          <w:tcPr>
            <w:tcW w:w="940" w:type="dxa"/>
            <w:vAlign w:val="bottom"/>
            <w:tcBorders>
              <w:bottom w:val="single" w:sz="8" w:color="F1F2F2"/>
            </w:tcBorders>
            <w:shd w:val="clear" w:color="auto" w:fill="F1F2F2"/>
          </w:tcPr>
          <w:p>
            <w:pPr>
              <w:spacing w:after="0"/>
              <w:rPr>
                <w:sz w:val="18"/>
                <w:szCs w:val="18"/>
                <w:color w:val="auto"/>
              </w:rPr>
            </w:pPr>
          </w:p>
        </w:tc>
        <w:tc>
          <w:tcPr>
            <w:tcW w:w="660" w:type="dxa"/>
            <w:vAlign w:val="bottom"/>
            <w:tcBorders>
              <w:bottom w:val="single" w:sz="8" w:color="F1F2F2"/>
            </w:tcBorders>
            <w:shd w:val="clear" w:color="auto" w:fill="F1F2F2"/>
          </w:tcPr>
          <w:p>
            <w:pPr>
              <w:spacing w:after="0"/>
              <w:rPr>
                <w:sz w:val="18"/>
                <w:szCs w:val="18"/>
                <w:color w:val="auto"/>
              </w:rPr>
            </w:pPr>
          </w:p>
        </w:tc>
        <w:tc>
          <w:tcPr>
            <w:tcW w:w="100" w:type="dxa"/>
            <w:vAlign w:val="bottom"/>
            <w:tcBorders>
              <w:bottom w:val="single" w:sz="8" w:color="F1F2F2"/>
            </w:tcBorders>
            <w:shd w:val="clear" w:color="auto" w:fill="F1F2F2"/>
          </w:tcPr>
          <w:p>
            <w:pPr>
              <w:spacing w:after="0"/>
              <w:rPr>
                <w:sz w:val="18"/>
                <w:szCs w:val="18"/>
                <w:color w:val="auto"/>
              </w:rPr>
            </w:pPr>
          </w:p>
        </w:tc>
        <w:tc>
          <w:tcPr>
            <w:tcW w:w="880" w:type="dxa"/>
            <w:vAlign w:val="bottom"/>
            <w:tcBorders>
              <w:bottom w:val="single" w:sz="8" w:color="F1F2F2"/>
            </w:tcBorders>
            <w:shd w:val="clear" w:color="auto" w:fill="F1F2F2"/>
          </w:tcPr>
          <w:p>
            <w:pPr>
              <w:spacing w:after="0"/>
              <w:rPr>
                <w:sz w:val="18"/>
                <w:szCs w:val="18"/>
                <w:color w:val="auto"/>
              </w:rPr>
            </w:pPr>
          </w:p>
        </w:tc>
        <w:tc>
          <w:tcPr>
            <w:tcW w:w="700" w:type="dxa"/>
            <w:vAlign w:val="bottom"/>
            <w:tcBorders>
              <w:bottom w:val="single" w:sz="8" w:color="F1F2F2"/>
            </w:tcBorders>
            <w:shd w:val="clear" w:color="auto" w:fill="F1F2F2"/>
          </w:tcPr>
          <w:p>
            <w:pPr>
              <w:spacing w:after="0"/>
              <w:rPr>
                <w:sz w:val="18"/>
                <w:szCs w:val="18"/>
                <w:color w:val="auto"/>
              </w:rPr>
            </w:pPr>
          </w:p>
        </w:tc>
        <w:tc>
          <w:tcPr>
            <w:tcW w:w="48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spacing w:after="0"/>
              <w:rPr>
                <w:sz w:val="18"/>
                <w:szCs w:val="18"/>
                <w:color w:val="auto"/>
              </w:rPr>
            </w:pPr>
          </w:p>
        </w:tc>
        <w:tc>
          <w:tcPr>
            <w:tcW w:w="10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1,907</w:t>
            </w:r>
          </w:p>
        </w:tc>
        <w:tc>
          <w:tcPr>
            <w:tcW w:w="860" w:type="dxa"/>
            <w:vAlign w:val="bottom"/>
            <w:tcBorders>
              <w:bottom w:val="single" w:sz="8" w:color="F1F2F2"/>
            </w:tcBorders>
            <w:shd w:val="clear" w:color="auto" w:fill="F1F2F2"/>
          </w:tcPr>
          <w:p>
            <w:pPr>
              <w:jc w:val="center"/>
              <w:ind w:left="138"/>
              <w:spacing w:after="0"/>
              <w:rPr>
                <w:sz w:val="20"/>
                <w:szCs w:val="20"/>
                <w:color w:val="auto"/>
              </w:rPr>
            </w:pPr>
            <w:r>
              <w:rPr>
                <w:rFonts w:ascii="Arial" w:cs="Arial" w:eastAsia="Arial" w:hAnsi="Arial"/>
                <w:sz w:val="13"/>
                <w:szCs w:val="13"/>
                <w:color w:val="auto"/>
                <w:w w:val="95"/>
              </w:rPr>
              <w:t>418.69</w:t>
            </w:r>
          </w:p>
        </w:tc>
        <w:tc>
          <w:tcPr>
            <w:tcW w:w="640" w:type="dxa"/>
            <w:vAlign w:val="bottom"/>
            <w:tcBorders>
              <w:bottom w:val="single" w:sz="8" w:color="F1F2F2"/>
            </w:tcBorders>
            <w:shd w:val="clear" w:color="auto" w:fill="F1F2F2"/>
          </w:tcPr>
          <w:p>
            <w:pPr>
              <w:jc w:val="center"/>
              <w:ind w:left="37"/>
              <w:spacing w:after="0"/>
              <w:rPr>
                <w:sz w:val="20"/>
                <w:szCs w:val="20"/>
                <w:color w:val="auto"/>
              </w:rPr>
            </w:pPr>
            <w:r>
              <w:rPr>
                <w:rFonts w:ascii="Arial" w:cs="Arial" w:eastAsia="Arial" w:hAnsi="Arial"/>
                <w:sz w:val="13"/>
                <w:szCs w:val="13"/>
                <w:color w:val="auto"/>
                <w:w w:val="95"/>
              </w:rPr>
              <w:t>422.70</w:t>
            </w:r>
          </w:p>
        </w:tc>
        <w:tc>
          <w:tcPr>
            <w:tcW w:w="8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256,720</w:t>
            </w:r>
          </w:p>
        </w:tc>
        <w:tc>
          <w:tcPr>
            <w:tcW w:w="1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0" w:type="dxa"/>
            <w:vAlign w:val="bottom"/>
          </w:tcPr>
          <w:p>
            <w:pPr>
              <w:ind w:left="100"/>
              <w:spacing w:after="0"/>
              <w:rPr>
                <w:sz w:val="20"/>
                <w:szCs w:val="20"/>
                <w:color w:val="auto"/>
              </w:rPr>
            </w:pPr>
            <w:r>
              <w:rPr>
                <w:rFonts w:ascii="Arial" w:cs="Arial" w:eastAsia="Arial" w:hAnsi="Arial"/>
                <w:sz w:val="13"/>
                <w:szCs w:val="13"/>
                <w:color w:val="auto"/>
              </w:rPr>
              <w:t>Daniel M.</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219,375</w:t>
            </w:r>
          </w:p>
        </w:tc>
        <w:tc>
          <w:tcPr>
            <w:tcW w:w="940" w:type="dxa"/>
            <w:vAlign w:val="bottom"/>
            <w:vMerge w:val="restart"/>
          </w:tcPr>
          <w:p>
            <w:pPr>
              <w:jc w:val="right"/>
              <w:ind w:right="137"/>
              <w:spacing w:after="0"/>
              <w:rPr>
                <w:sz w:val="20"/>
                <w:szCs w:val="20"/>
                <w:color w:val="auto"/>
              </w:rPr>
            </w:pPr>
            <w:r>
              <w:rPr>
                <w:rFonts w:ascii="Arial" w:cs="Arial" w:eastAsia="Arial" w:hAnsi="Arial"/>
                <w:sz w:val="13"/>
                <w:szCs w:val="13"/>
                <w:color w:val="auto"/>
              </w:rPr>
              <w:t>438,750</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987,188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Sessa</w:t>
            </w: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8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683</w:t>
            </w:r>
          </w:p>
        </w:tc>
        <w:tc>
          <w:tcPr>
            <w:tcW w:w="700" w:type="dxa"/>
            <w:vAlign w:val="bottom"/>
          </w:tcPr>
          <w:p>
            <w:pPr>
              <w:ind w:left="220"/>
              <w:spacing w:after="0"/>
              <w:rPr>
                <w:sz w:val="20"/>
                <w:szCs w:val="20"/>
                <w:color w:val="auto"/>
              </w:rPr>
            </w:pPr>
            <w:r>
              <w:rPr>
                <w:rFonts w:ascii="Arial" w:cs="Arial" w:eastAsia="Arial" w:hAnsi="Arial"/>
                <w:sz w:val="13"/>
                <w:szCs w:val="13"/>
                <w:color w:val="auto"/>
              </w:rPr>
              <w:t>1,365</w:t>
            </w:r>
          </w:p>
        </w:tc>
        <w:tc>
          <w:tcPr>
            <w:tcW w:w="480" w:type="dxa"/>
            <w:vAlign w:val="bottom"/>
          </w:tcPr>
          <w:p>
            <w:pPr>
              <w:jc w:val="right"/>
              <w:spacing w:after="0"/>
              <w:rPr>
                <w:sz w:val="20"/>
                <w:szCs w:val="20"/>
                <w:color w:val="auto"/>
              </w:rPr>
            </w:pPr>
            <w:r>
              <w:rPr>
                <w:rFonts w:ascii="Arial" w:cs="Arial" w:eastAsia="Arial" w:hAnsi="Arial"/>
                <w:sz w:val="13"/>
                <w:szCs w:val="13"/>
                <w:color w:val="auto"/>
              </w:rPr>
              <w:t>2,730</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583,019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819</w:t>
            </w: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349,811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1,760</w:t>
            </w:r>
          </w:p>
        </w:tc>
        <w:tc>
          <w:tcPr>
            <w:tcW w:w="860" w:type="dxa"/>
            <w:vAlign w:val="bottom"/>
          </w:tcPr>
          <w:p>
            <w:pPr>
              <w:jc w:val="center"/>
              <w:ind w:left="138"/>
              <w:spacing w:after="0"/>
              <w:rPr>
                <w:sz w:val="20"/>
                <w:szCs w:val="20"/>
                <w:color w:val="auto"/>
              </w:rPr>
            </w:pPr>
            <w:r>
              <w:rPr>
                <w:rFonts w:ascii="Arial" w:cs="Arial" w:eastAsia="Arial" w:hAnsi="Arial"/>
                <w:sz w:val="13"/>
                <w:szCs w:val="13"/>
                <w:color w:val="auto"/>
                <w:w w:val="95"/>
              </w:rPr>
              <w:t>418.69</w:t>
            </w:r>
          </w:p>
        </w:tc>
        <w:tc>
          <w:tcPr>
            <w:tcW w:w="640" w:type="dxa"/>
            <w:vAlign w:val="bottom"/>
          </w:tcPr>
          <w:p>
            <w:pPr>
              <w:jc w:val="center"/>
              <w:ind w:left="37"/>
              <w:spacing w:after="0"/>
              <w:rPr>
                <w:sz w:val="20"/>
                <w:szCs w:val="20"/>
                <w:color w:val="auto"/>
              </w:rPr>
            </w:pPr>
            <w:r>
              <w:rPr>
                <w:rFonts w:ascii="Arial" w:cs="Arial" w:eastAsia="Arial" w:hAnsi="Arial"/>
                <w:sz w:val="13"/>
                <w:szCs w:val="13"/>
                <w:color w:val="auto"/>
                <w:w w:val="95"/>
              </w:rPr>
              <w:t>422.70</w:t>
            </w:r>
          </w:p>
        </w:tc>
        <w:tc>
          <w:tcPr>
            <w:tcW w:w="800" w:type="dxa"/>
            <w:vAlign w:val="bottom"/>
          </w:tcPr>
          <w:p>
            <w:pPr>
              <w:jc w:val="right"/>
              <w:spacing w:after="0"/>
              <w:rPr>
                <w:sz w:val="20"/>
                <w:szCs w:val="20"/>
                <w:color w:val="auto"/>
              </w:rPr>
            </w:pPr>
            <w:r>
              <w:rPr>
                <w:rFonts w:ascii="Arial" w:cs="Arial" w:eastAsia="Arial" w:hAnsi="Arial"/>
                <w:sz w:val="13"/>
                <w:szCs w:val="13"/>
                <w:color w:val="auto"/>
              </w:rPr>
              <w:t>236,931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00" w:type="dxa"/>
            <w:vAlign w:val="bottom"/>
            <w:shd w:val="clear" w:color="auto" w:fill="F1F2F2"/>
          </w:tcPr>
          <w:p>
            <w:pPr>
              <w:ind w:left="100"/>
              <w:spacing w:after="0"/>
              <w:rPr>
                <w:sz w:val="20"/>
                <w:szCs w:val="20"/>
                <w:color w:val="auto"/>
              </w:rPr>
            </w:pPr>
            <w:r>
              <w:rPr>
                <w:rFonts w:ascii="Arial" w:cs="Arial" w:eastAsia="Arial" w:hAnsi="Arial"/>
                <w:sz w:val="13"/>
                <w:szCs w:val="13"/>
                <w:color w:val="auto"/>
              </w:rPr>
              <w:t>John D.</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211,875</w:t>
            </w:r>
          </w:p>
        </w:tc>
        <w:tc>
          <w:tcPr>
            <w:tcW w:w="940" w:type="dxa"/>
            <w:vAlign w:val="bottom"/>
            <w:vMerge w:val="restart"/>
            <w:shd w:val="clear" w:color="auto" w:fill="F1F2F2"/>
          </w:tcPr>
          <w:p>
            <w:pPr>
              <w:jc w:val="right"/>
              <w:ind w:right="137"/>
              <w:spacing w:after="0"/>
              <w:rPr>
                <w:sz w:val="20"/>
                <w:szCs w:val="20"/>
                <w:color w:val="auto"/>
              </w:rPr>
            </w:pPr>
            <w:r>
              <w:rPr>
                <w:rFonts w:ascii="Arial" w:cs="Arial" w:eastAsia="Arial" w:hAnsi="Arial"/>
                <w:sz w:val="13"/>
                <w:szCs w:val="13"/>
                <w:color w:val="auto"/>
              </w:rPr>
              <w:t>423,750</w:t>
            </w:r>
          </w:p>
        </w:tc>
        <w:tc>
          <w:tcPr>
            <w:tcW w:w="6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953,438</w:t>
            </w:r>
          </w:p>
        </w:tc>
        <w:tc>
          <w:tcPr>
            <w:tcW w:w="100" w:type="dxa"/>
            <w:vAlign w:val="bottom"/>
            <w:shd w:val="clear" w:color="auto" w:fill="F1F2F2"/>
          </w:tcPr>
          <w:p>
            <w:pPr>
              <w:spacing w:after="0"/>
              <w:rPr>
                <w:sz w:val="13"/>
                <w:szCs w:val="13"/>
                <w:color w:val="auto"/>
              </w:rPr>
            </w:pPr>
          </w:p>
        </w:tc>
        <w:tc>
          <w:tcPr>
            <w:tcW w:w="88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480" w:type="dxa"/>
            <w:vAlign w:val="bottom"/>
            <w:shd w:val="clear" w:color="auto" w:fill="F1F2F2"/>
          </w:tcPr>
          <w:p>
            <w:pPr>
              <w:spacing w:after="0"/>
              <w:rPr>
                <w:sz w:val="13"/>
                <w:szCs w:val="13"/>
                <w:color w:val="auto"/>
              </w:rPr>
            </w:pPr>
          </w:p>
        </w:tc>
        <w:tc>
          <w:tcPr>
            <w:tcW w:w="780" w:type="dxa"/>
            <w:vAlign w:val="bottom"/>
            <w:shd w:val="clear" w:color="auto" w:fill="F1F2F2"/>
          </w:tcPr>
          <w:p>
            <w:pPr>
              <w:spacing w:after="0"/>
              <w:rPr>
                <w:sz w:val="13"/>
                <w:szCs w:val="13"/>
                <w:color w:val="auto"/>
              </w:rPr>
            </w:pPr>
          </w:p>
        </w:tc>
        <w:tc>
          <w:tcPr>
            <w:tcW w:w="1060" w:type="dxa"/>
            <w:vAlign w:val="bottom"/>
            <w:shd w:val="clear" w:color="auto" w:fill="F1F2F2"/>
          </w:tcPr>
          <w:p>
            <w:pPr>
              <w:spacing w:after="0"/>
              <w:rPr>
                <w:sz w:val="13"/>
                <w:szCs w:val="13"/>
                <w:color w:val="auto"/>
              </w:rPr>
            </w:pPr>
          </w:p>
        </w:tc>
        <w:tc>
          <w:tcPr>
            <w:tcW w:w="860" w:type="dxa"/>
            <w:vAlign w:val="bottom"/>
            <w:shd w:val="clear" w:color="auto" w:fill="F1F2F2"/>
          </w:tcPr>
          <w:p>
            <w:pPr>
              <w:spacing w:after="0"/>
              <w:rPr>
                <w:sz w:val="13"/>
                <w:szCs w:val="13"/>
                <w:color w:val="auto"/>
              </w:rPr>
            </w:pPr>
          </w:p>
        </w:tc>
        <w:tc>
          <w:tcPr>
            <w:tcW w:w="640" w:type="dxa"/>
            <w:vAlign w:val="bottom"/>
            <w:shd w:val="clear" w:color="auto" w:fill="F1F2F2"/>
          </w:tcPr>
          <w:p>
            <w:pPr>
              <w:spacing w:after="0"/>
              <w:rPr>
                <w:sz w:val="13"/>
                <w:szCs w:val="13"/>
                <w:color w:val="auto"/>
              </w:rPr>
            </w:pPr>
          </w:p>
        </w:tc>
        <w:tc>
          <w:tcPr>
            <w:tcW w:w="800" w:type="dxa"/>
            <w:vAlign w:val="bottom"/>
            <w:shd w:val="clear" w:color="auto" w:fill="F1F2F2"/>
          </w:tcPr>
          <w:p>
            <w:pPr>
              <w:spacing w:after="0"/>
              <w:rPr>
                <w:sz w:val="13"/>
                <w:szCs w:val="13"/>
                <w:color w:val="auto"/>
              </w:rPr>
            </w:pPr>
          </w:p>
        </w:tc>
        <w:tc>
          <w:tcPr>
            <w:tcW w:w="100" w:type="dxa"/>
            <w:vAlign w:val="bottom"/>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0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Torres</w:t>
            </w:r>
          </w:p>
        </w:tc>
        <w:tc>
          <w:tcPr>
            <w:tcW w:w="780" w:type="dxa"/>
            <w:vAlign w:val="bottom"/>
            <w:vMerge w:val="continue"/>
            <w:shd w:val="clear" w:color="auto" w:fill="F1F2F2"/>
          </w:tcPr>
          <w:p>
            <w:pPr>
              <w:spacing w:after="0"/>
              <w:rPr>
                <w:sz w:val="7"/>
                <w:szCs w:val="7"/>
                <w:color w:val="auto"/>
              </w:rPr>
            </w:pPr>
          </w:p>
        </w:tc>
        <w:tc>
          <w:tcPr>
            <w:tcW w:w="780" w:type="dxa"/>
            <w:vAlign w:val="bottom"/>
            <w:vMerge w:val="continue"/>
            <w:shd w:val="clear" w:color="auto" w:fill="F1F2F2"/>
          </w:tcPr>
          <w:p>
            <w:pPr>
              <w:spacing w:after="0"/>
              <w:rPr>
                <w:sz w:val="7"/>
                <w:szCs w:val="7"/>
                <w:color w:val="auto"/>
              </w:rPr>
            </w:pPr>
          </w:p>
        </w:tc>
        <w:tc>
          <w:tcPr>
            <w:tcW w:w="880" w:type="dxa"/>
            <w:vAlign w:val="bottom"/>
            <w:vMerge w:val="continue"/>
            <w:shd w:val="clear" w:color="auto" w:fill="F1F2F2"/>
          </w:tcPr>
          <w:p>
            <w:pPr>
              <w:spacing w:after="0"/>
              <w:rPr>
                <w:sz w:val="7"/>
                <w:szCs w:val="7"/>
                <w:color w:val="auto"/>
              </w:rPr>
            </w:pPr>
          </w:p>
        </w:tc>
        <w:tc>
          <w:tcPr>
            <w:tcW w:w="940" w:type="dxa"/>
            <w:vAlign w:val="bottom"/>
            <w:vMerge w:val="continue"/>
            <w:shd w:val="clear" w:color="auto" w:fill="F1F2F2"/>
          </w:tcPr>
          <w:p>
            <w:pPr>
              <w:spacing w:after="0"/>
              <w:rPr>
                <w:sz w:val="7"/>
                <w:szCs w:val="7"/>
                <w:color w:val="auto"/>
              </w:rPr>
            </w:pPr>
          </w:p>
        </w:tc>
        <w:tc>
          <w:tcPr>
            <w:tcW w:w="66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060" w:type="dxa"/>
            <w:vAlign w:val="bottom"/>
            <w:shd w:val="clear" w:color="auto" w:fill="F1F2F2"/>
          </w:tcPr>
          <w:p>
            <w:pPr>
              <w:spacing w:after="0"/>
              <w:rPr>
                <w:sz w:val="7"/>
                <w:szCs w:val="7"/>
                <w:color w:val="auto"/>
              </w:rPr>
            </w:pPr>
          </w:p>
        </w:tc>
        <w:tc>
          <w:tcPr>
            <w:tcW w:w="860" w:type="dxa"/>
            <w:vAlign w:val="bottom"/>
            <w:shd w:val="clear" w:color="auto" w:fill="F1F2F2"/>
          </w:tcPr>
          <w:p>
            <w:pPr>
              <w:spacing w:after="0"/>
              <w:rPr>
                <w:sz w:val="7"/>
                <w:szCs w:val="7"/>
                <w:color w:val="auto"/>
              </w:rPr>
            </w:pPr>
          </w:p>
        </w:tc>
        <w:tc>
          <w:tcPr>
            <w:tcW w:w="6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940" w:type="dxa"/>
            <w:vAlign w:val="bottom"/>
            <w:shd w:val="clear" w:color="auto" w:fill="F1F2F2"/>
          </w:tcPr>
          <w:p>
            <w:pPr>
              <w:spacing w:after="0"/>
              <w:rPr>
                <w:sz w:val="7"/>
                <w:szCs w:val="7"/>
                <w:color w:val="auto"/>
              </w:rPr>
            </w:pPr>
          </w:p>
        </w:tc>
        <w:tc>
          <w:tcPr>
            <w:tcW w:w="66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060" w:type="dxa"/>
            <w:vAlign w:val="bottom"/>
            <w:shd w:val="clear" w:color="auto" w:fill="F1F2F2"/>
          </w:tcPr>
          <w:p>
            <w:pPr>
              <w:spacing w:after="0"/>
              <w:rPr>
                <w:sz w:val="7"/>
                <w:szCs w:val="7"/>
                <w:color w:val="auto"/>
              </w:rPr>
            </w:pPr>
          </w:p>
        </w:tc>
        <w:tc>
          <w:tcPr>
            <w:tcW w:w="860" w:type="dxa"/>
            <w:vAlign w:val="bottom"/>
            <w:shd w:val="clear" w:color="auto" w:fill="F1F2F2"/>
          </w:tcPr>
          <w:p>
            <w:pPr>
              <w:spacing w:after="0"/>
              <w:rPr>
                <w:sz w:val="7"/>
                <w:szCs w:val="7"/>
                <w:color w:val="auto"/>
              </w:rPr>
            </w:pPr>
          </w:p>
        </w:tc>
        <w:tc>
          <w:tcPr>
            <w:tcW w:w="6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9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683</w:t>
            </w:r>
          </w:p>
        </w:tc>
        <w:tc>
          <w:tcPr>
            <w:tcW w:w="700" w:type="dxa"/>
            <w:vAlign w:val="bottom"/>
            <w:shd w:val="clear" w:color="auto" w:fill="F1F2F2"/>
          </w:tcPr>
          <w:p>
            <w:pPr>
              <w:ind w:left="220"/>
              <w:spacing w:after="0"/>
              <w:rPr>
                <w:sz w:val="20"/>
                <w:szCs w:val="20"/>
                <w:color w:val="auto"/>
              </w:rPr>
            </w:pPr>
            <w:r>
              <w:rPr>
                <w:rFonts w:ascii="Arial" w:cs="Arial" w:eastAsia="Arial" w:hAnsi="Arial"/>
                <w:sz w:val="13"/>
                <w:szCs w:val="13"/>
                <w:color w:val="auto"/>
              </w:rPr>
              <w:t>1,365</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2,730</w:t>
            </w:r>
          </w:p>
        </w:tc>
        <w:tc>
          <w:tcPr>
            <w:tcW w:w="780" w:type="dxa"/>
            <w:vAlign w:val="bottom"/>
            <w:shd w:val="clear" w:color="auto" w:fill="F1F2F2"/>
          </w:tcPr>
          <w:p>
            <w:pPr>
              <w:spacing w:after="0"/>
              <w:rPr>
                <w:sz w:val="17"/>
                <w:szCs w:val="17"/>
                <w:color w:val="auto"/>
              </w:rPr>
            </w:pPr>
          </w:p>
        </w:tc>
        <w:tc>
          <w:tcPr>
            <w:tcW w:w="106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640" w:type="dxa"/>
            <w:vAlign w:val="bottom"/>
            <w:shd w:val="clear" w:color="auto" w:fill="F1F2F2"/>
          </w:tcPr>
          <w:p>
            <w:pPr>
              <w:spacing w:after="0"/>
              <w:rPr>
                <w:sz w:val="17"/>
                <w:szCs w:val="17"/>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583,019</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8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819</w:t>
            </w:r>
          </w:p>
        </w:tc>
        <w:tc>
          <w:tcPr>
            <w:tcW w:w="106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640" w:type="dxa"/>
            <w:vAlign w:val="bottom"/>
            <w:shd w:val="clear" w:color="auto" w:fill="F1F2F2"/>
          </w:tcPr>
          <w:p>
            <w:pPr>
              <w:spacing w:after="0"/>
              <w:rPr>
                <w:sz w:val="17"/>
                <w:szCs w:val="17"/>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349,811</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12/7/2023</w:t>
            </w:r>
          </w:p>
        </w:tc>
        <w:tc>
          <w:tcPr>
            <w:tcW w:w="88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8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780" w:type="dxa"/>
            <w:vAlign w:val="bottom"/>
            <w:shd w:val="clear" w:color="auto" w:fill="F1F2F2"/>
          </w:tcPr>
          <w:p>
            <w:pPr>
              <w:spacing w:after="0"/>
              <w:rPr>
                <w:sz w:val="17"/>
                <w:szCs w:val="17"/>
                <w:color w:val="auto"/>
              </w:rPr>
            </w:pPr>
          </w:p>
        </w:tc>
        <w:tc>
          <w:tcPr>
            <w:tcW w:w="1060" w:type="dxa"/>
            <w:vAlign w:val="bottom"/>
            <w:shd w:val="clear" w:color="auto" w:fill="F1F2F2"/>
          </w:tcPr>
          <w:p>
            <w:pPr>
              <w:jc w:val="right"/>
              <w:ind w:right="77"/>
              <w:spacing w:after="0"/>
              <w:rPr>
                <w:sz w:val="20"/>
                <w:szCs w:val="20"/>
                <w:color w:val="auto"/>
              </w:rPr>
            </w:pPr>
            <w:r>
              <w:rPr>
                <w:rFonts w:ascii="Arial" w:cs="Arial" w:eastAsia="Arial" w:hAnsi="Arial"/>
                <w:sz w:val="13"/>
                <w:szCs w:val="13"/>
                <w:color w:val="auto"/>
              </w:rPr>
              <w:t>1,760</w:t>
            </w:r>
          </w:p>
        </w:tc>
        <w:tc>
          <w:tcPr>
            <w:tcW w:w="860" w:type="dxa"/>
            <w:vAlign w:val="bottom"/>
            <w:shd w:val="clear" w:color="auto" w:fill="F1F2F2"/>
          </w:tcPr>
          <w:p>
            <w:pPr>
              <w:jc w:val="center"/>
              <w:ind w:left="138"/>
              <w:spacing w:after="0"/>
              <w:rPr>
                <w:sz w:val="20"/>
                <w:szCs w:val="20"/>
                <w:color w:val="auto"/>
              </w:rPr>
            </w:pPr>
            <w:r>
              <w:rPr>
                <w:rFonts w:ascii="Arial" w:cs="Arial" w:eastAsia="Arial" w:hAnsi="Arial"/>
                <w:sz w:val="13"/>
                <w:szCs w:val="13"/>
                <w:color w:val="auto"/>
                <w:w w:val="95"/>
              </w:rPr>
              <w:t>418.69</w:t>
            </w:r>
          </w:p>
        </w:tc>
        <w:tc>
          <w:tcPr>
            <w:tcW w:w="640" w:type="dxa"/>
            <w:vAlign w:val="bottom"/>
            <w:shd w:val="clear" w:color="auto" w:fill="F1F2F2"/>
          </w:tcPr>
          <w:p>
            <w:pPr>
              <w:jc w:val="center"/>
              <w:ind w:left="37"/>
              <w:spacing w:after="0"/>
              <w:rPr>
                <w:sz w:val="20"/>
                <w:szCs w:val="20"/>
                <w:color w:val="auto"/>
              </w:rPr>
            </w:pPr>
            <w:r>
              <w:rPr>
                <w:rFonts w:ascii="Arial" w:cs="Arial" w:eastAsia="Arial" w:hAnsi="Arial"/>
                <w:sz w:val="13"/>
                <w:szCs w:val="13"/>
                <w:color w:val="auto"/>
                <w:w w:val="95"/>
              </w:rPr>
              <w:t>422.70</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236,931</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00" w:type="dxa"/>
            <w:vAlign w:val="bottom"/>
            <w:shd w:val="clear" w:color="auto" w:fill="F1F2F2"/>
          </w:tcPr>
          <w:p>
            <w:pPr>
              <w:spacing w:after="0"/>
              <w:rPr>
                <w:sz w:val="2"/>
                <w:szCs w:val="2"/>
                <w:color w:val="auto"/>
              </w:rPr>
            </w:pPr>
          </w:p>
        </w:tc>
        <w:tc>
          <w:tcPr>
            <w:tcW w:w="780" w:type="dxa"/>
            <w:vAlign w:val="bottom"/>
            <w:shd w:val="clear" w:color="auto" w:fill="F1F2F2"/>
          </w:tcPr>
          <w:p>
            <w:pPr>
              <w:spacing w:after="0"/>
              <w:rPr>
                <w:sz w:val="2"/>
                <w:szCs w:val="2"/>
                <w:color w:val="auto"/>
              </w:rPr>
            </w:pPr>
          </w:p>
        </w:tc>
        <w:tc>
          <w:tcPr>
            <w:tcW w:w="780" w:type="dxa"/>
            <w:vAlign w:val="bottom"/>
            <w:shd w:val="clear" w:color="auto" w:fill="F1F2F2"/>
          </w:tcPr>
          <w:p>
            <w:pPr>
              <w:spacing w:after="0"/>
              <w:rPr>
                <w:sz w:val="2"/>
                <w:szCs w:val="2"/>
                <w:color w:val="auto"/>
              </w:rPr>
            </w:pPr>
          </w:p>
        </w:tc>
        <w:tc>
          <w:tcPr>
            <w:tcW w:w="880" w:type="dxa"/>
            <w:vAlign w:val="bottom"/>
            <w:shd w:val="clear" w:color="auto" w:fill="F1F2F2"/>
          </w:tcPr>
          <w:p>
            <w:pPr>
              <w:spacing w:after="0"/>
              <w:rPr>
                <w:sz w:val="2"/>
                <w:szCs w:val="2"/>
                <w:color w:val="auto"/>
              </w:rPr>
            </w:pPr>
          </w:p>
        </w:tc>
        <w:tc>
          <w:tcPr>
            <w:tcW w:w="940" w:type="dxa"/>
            <w:vAlign w:val="bottom"/>
            <w:shd w:val="clear" w:color="auto" w:fill="F1F2F2"/>
          </w:tcPr>
          <w:p>
            <w:pPr>
              <w:spacing w:after="0"/>
              <w:rPr>
                <w:sz w:val="2"/>
                <w:szCs w:val="2"/>
                <w:color w:val="auto"/>
              </w:rPr>
            </w:pPr>
          </w:p>
        </w:tc>
        <w:tc>
          <w:tcPr>
            <w:tcW w:w="660" w:type="dxa"/>
            <w:vAlign w:val="bottom"/>
            <w:shd w:val="clear" w:color="auto" w:fill="F1F2F2"/>
          </w:tcPr>
          <w:p>
            <w:pPr>
              <w:spacing w:after="0"/>
              <w:rPr>
                <w:sz w:val="2"/>
                <w:szCs w:val="2"/>
                <w:color w:val="auto"/>
              </w:rPr>
            </w:pPr>
          </w:p>
        </w:tc>
        <w:tc>
          <w:tcPr>
            <w:tcW w:w="100" w:type="dxa"/>
            <w:vAlign w:val="bottom"/>
            <w:shd w:val="clear" w:color="auto" w:fill="F1F2F2"/>
          </w:tcPr>
          <w:p>
            <w:pPr>
              <w:spacing w:after="0"/>
              <w:rPr>
                <w:sz w:val="2"/>
                <w:szCs w:val="2"/>
                <w:color w:val="auto"/>
              </w:rPr>
            </w:pPr>
          </w:p>
        </w:tc>
        <w:tc>
          <w:tcPr>
            <w:tcW w:w="880" w:type="dxa"/>
            <w:vAlign w:val="bottom"/>
            <w:shd w:val="clear" w:color="auto" w:fill="F1F2F2"/>
          </w:tcPr>
          <w:p>
            <w:pPr>
              <w:spacing w:after="0"/>
              <w:rPr>
                <w:sz w:val="2"/>
                <w:szCs w:val="2"/>
                <w:color w:val="auto"/>
              </w:rPr>
            </w:pPr>
          </w:p>
        </w:tc>
        <w:tc>
          <w:tcPr>
            <w:tcW w:w="700" w:type="dxa"/>
            <w:vAlign w:val="bottom"/>
            <w:shd w:val="clear" w:color="auto" w:fill="F1F2F2"/>
          </w:tcPr>
          <w:p>
            <w:pPr>
              <w:spacing w:after="0"/>
              <w:rPr>
                <w:sz w:val="2"/>
                <w:szCs w:val="2"/>
                <w:color w:val="auto"/>
              </w:rPr>
            </w:pPr>
          </w:p>
        </w:tc>
        <w:tc>
          <w:tcPr>
            <w:tcW w:w="480" w:type="dxa"/>
            <w:vAlign w:val="bottom"/>
            <w:shd w:val="clear" w:color="auto" w:fill="F1F2F2"/>
          </w:tcPr>
          <w:p>
            <w:pPr>
              <w:spacing w:after="0"/>
              <w:rPr>
                <w:sz w:val="2"/>
                <w:szCs w:val="2"/>
                <w:color w:val="auto"/>
              </w:rPr>
            </w:pPr>
          </w:p>
        </w:tc>
        <w:tc>
          <w:tcPr>
            <w:tcW w:w="780" w:type="dxa"/>
            <w:vAlign w:val="bottom"/>
            <w:shd w:val="clear" w:color="auto" w:fill="F1F2F2"/>
          </w:tcPr>
          <w:p>
            <w:pPr>
              <w:spacing w:after="0"/>
              <w:rPr>
                <w:sz w:val="2"/>
                <w:szCs w:val="2"/>
                <w:color w:val="auto"/>
              </w:rPr>
            </w:pPr>
          </w:p>
        </w:tc>
        <w:tc>
          <w:tcPr>
            <w:tcW w:w="1060" w:type="dxa"/>
            <w:vAlign w:val="bottom"/>
            <w:shd w:val="clear" w:color="auto" w:fill="F1F2F2"/>
          </w:tcPr>
          <w:p>
            <w:pPr>
              <w:spacing w:after="0"/>
              <w:rPr>
                <w:sz w:val="2"/>
                <w:szCs w:val="2"/>
                <w:color w:val="auto"/>
              </w:rPr>
            </w:pPr>
          </w:p>
        </w:tc>
        <w:tc>
          <w:tcPr>
            <w:tcW w:w="860" w:type="dxa"/>
            <w:vAlign w:val="bottom"/>
            <w:shd w:val="clear" w:color="auto" w:fill="F1F2F2"/>
          </w:tcPr>
          <w:p>
            <w:pPr>
              <w:spacing w:after="0"/>
              <w:rPr>
                <w:sz w:val="2"/>
                <w:szCs w:val="2"/>
                <w:color w:val="auto"/>
              </w:rPr>
            </w:pPr>
          </w:p>
        </w:tc>
        <w:tc>
          <w:tcPr>
            <w:tcW w:w="640" w:type="dxa"/>
            <w:vAlign w:val="bottom"/>
            <w:shd w:val="clear" w:color="auto" w:fill="F1F2F2"/>
          </w:tcPr>
          <w:p>
            <w:pPr>
              <w:spacing w:after="0"/>
              <w:rPr>
                <w:sz w:val="2"/>
                <w:szCs w:val="2"/>
                <w:color w:val="auto"/>
              </w:rPr>
            </w:pPr>
          </w:p>
        </w:tc>
        <w:tc>
          <w:tcPr>
            <w:tcW w:w="800" w:type="dxa"/>
            <w:vAlign w:val="bottom"/>
            <w:shd w:val="clear" w:color="auto" w:fill="F1F2F2"/>
          </w:tcPr>
          <w:p>
            <w:pPr>
              <w:spacing w:after="0"/>
              <w:rPr>
                <w:sz w:val="2"/>
                <w:szCs w:val="2"/>
                <w:color w:val="auto"/>
              </w:rPr>
            </w:pPr>
          </w:p>
        </w:tc>
        <w:tc>
          <w:tcPr>
            <w:tcW w:w="100" w:type="dxa"/>
            <w:vAlign w:val="bottom"/>
            <w:shd w:val="clear" w:color="auto" w:fill="F1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-3436620</wp:posOffset>
            </wp:positionV>
            <wp:extent cx="29489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19" w:lineRule="exact"/>
        <w:rPr>
          <w:sz w:val="20"/>
          <w:szCs w:val="20"/>
          <w:color w:val="auto"/>
        </w:rPr>
      </w:pPr>
    </w:p>
    <w:p>
      <w:pPr>
        <w:ind w:left="340" w:right="60" w:hanging="332"/>
        <w:spacing w:after="0" w:line="285"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shown represent award opportunities under our STI Program for 2024. The awards were paid March 14, 2025, in the amounts included in the 2024 Summary Compensation Table.</w:t>
      </w:r>
    </w:p>
    <w:p>
      <w:pPr>
        <w:spacing w:after="0" w:line="117" w:lineRule="exact"/>
        <w:rPr>
          <w:rFonts w:ascii="Arial" w:cs="Arial" w:eastAsia="Arial" w:hAnsi="Arial"/>
          <w:sz w:val="14"/>
          <w:szCs w:val="14"/>
          <w:color w:val="auto"/>
        </w:rPr>
      </w:pPr>
    </w:p>
    <w:p>
      <w:pPr>
        <w:ind w:left="340" w:right="500" w:hanging="332"/>
        <w:spacing w:after="0" w:line="305"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shown represent the PSUs granted, which to the extent earned, will vest and be distributed in shares of our common stock at the end of the three-year performance period ending December 31, 2026.</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shown represent the RSUs granted, which generally vest and will be distributed in shares of our common stock on the third anniversary of the date of grant.</w:t>
      </w:r>
    </w:p>
    <w:p>
      <w:pPr>
        <w:spacing w:after="0" w:line="109"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shown represent the SARs granted, which generally vest in one-third increments on each of the first three anniversaries of the date of grant and expire seven years from the date of grant.</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shown reflect the exercise price of SARs granted, based on the average of the high and low NYSE trading prices of our common stock on the date of grant.</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ind w:left="332" w:hanging="332"/>
        <w:spacing w:after="0" w:line="283" w:lineRule="auto"/>
        <w:tabs>
          <w:tab w:leader="none" w:pos="319"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values of PSUs, RSUs and SARs, calculated in accordance with FASB ASC Topic 718. The grant date fair value for SARs was determined using the Black-Scholes valuation model. The grant date fair value for the PSU and RSU awards equals the dividend-discounted value of our common stock on the date of grant. The assumptions used to calculate the grant date fair values of such awards are set forth below.</w:t>
      </w:r>
    </w:p>
    <w:p>
      <w:pPr>
        <w:spacing w:after="0" w:line="88" w:lineRule="exact"/>
        <w:rPr>
          <w:sz w:val="20"/>
          <w:szCs w:val="20"/>
          <w:color w:val="auto"/>
        </w:rPr>
      </w:pPr>
    </w:p>
    <w:tbl>
      <w:tblPr>
        <w:tblLayout w:type="fixed"/>
        <w:tblInd w:w="332" w:type="dxa"/>
        <w:tblCellMar>
          <w:top w:w="0" w:type="dxa"/>
          <w:left w:w="0" w:type="dxa"/>
          <w:bottom w:w="0" w:type="dxa"/>
          <w:right w:w="0" w:type="dxa"/>
        </w:tblCellMar>
      </w:tblPr>
      <w:tr>
        <w:trPr>
          <w:trHeight w:val="192"/>
        </w:trPr>
        <w:tc>
          <w:tcPr>
            <w:tcW w:w="1580" w:type="dxa"/>
            <w:vAlign w:val="bottom"/>
            <w:shd w:val="clear" w:color="auto" w:fill="C60C35"/>
          </w:tcPr>
          <w:p>
            <w:pPr>
              <w:spacing w:after="0"/>
              <w:rPr>
                <w:sz w:val="16"/>
                <w:szCs w:val="16"/>
                <w:color w:val="auto"/>
              </w:rPr>
            </w:pPr>
          </w:p>
        </w:tc>
        <w:tc>
          <w:tcPr>
            <w:tcW w:w="1200" w:type="dxa"/>
            <w:vAlign w:val="bottom"/>
            <w:shd w:val="clear" w:color="auto" w:fill="C60C35"/>
          </w:tcPr>
          <w:p>
            <w:pPr>
              <w:spacing w:after="0"/>
              <w:rPr>
                <w:sz w:val="16"/>
                <w:szCs w:val="16"/>
                <w:color w:val="auto"/>
              </w:rPr>
            </w:pPr>
          </w:p>
        </w:tc>
        <w:tc>
          <w:tcPr>
            <w:tcW w:w="1160" w:type="dxa"/>
            <w:vAlign w:val="bottom"/>
            <w:shd w:val="clear" w:color="auto" w:fill="C60C35"/>
          </w:tcPr>
          <w:p>
            <w:pPr>
              <w:spacing w:after="0"/>
              <w:rPr>
                <w:sz w:val="16"/>
                <w:szCs w:val="16"/>
                <w:color w:val="auto"/>
              </w:rPr>
            </w:pPr>
          </w:p>
        </w:tc>
        <w:tc>
          <w:tcPr>
            <w:tcW w:w="2480" w:type="dxa"/>
            <w:vAlign w:val="bottom"/>
            <w:gridSpan w:val="2"/>
            <w:shd w:val="clear" w:color="auto" w:fill="C60C35"/>
          </w:tcPr>
          <w:p>
            <w:pPr>
              <w:ind w:left="860"/>
              <w:spacing w:after="0"/>
              <w:rPr>
                <w:sz w:val="20"/>
                <w:szCs w:val="20"/>
                <w:color w:val="auto"/>
              </w:rPr>
            </w:pPr>
            <w:r>
              <w:rPr>
                <w:rFonts w:ascii="Arial" w:cs="Arial" w:eastAsia="Arial" w:hAnsi="Arial"/>
                <w:sz w:val="13"/>
                <w:szCs w:val="13"/>
                <w:b w:val="1"/>
                <w:bCs w:val="1"/>
                <w:color w:val="FFFFFF"/>
              </w:rPr>
              <w:t>Assumptions</w:t>
            </w:r>
          </w:p>
        </w:tc>
        <w:tc>
          <w:tcPr>
            <w:tcW w:w="1200" w:type="dxa"/>
            <w:vAlign w:val="bottom"/>
            <w:shd w:val="clear" w:color="auto" w:fill="C60C35"/>
          </w:tcPr>
          <w:p>
            <w:pPr>
              <w:spacing w:after="0"/>
              <w:rPr>
                <w:sz w:val="16"/>
                <w:szCs w:val="16"/>
                <w:color w:val="auto"/>
              </w:rPr>
            </w:pPr>
          </w:p>
        </w:tc>
        <w:tc>
          <w:tcPr>
            <w:tcW w:w="1680" w:type="dxa"/>
            <w:vAlign w:val="bottom"/>
            <w:shd w:val="clear" w:color="auto" w:fill="C60C35"/>
          </w:tcPr>
          <w:p>
            <w:pPr>
              <w:spacing w:after="0"/>
              <w:rPr>
                <w:sz w:val="16"/>
                <w:szCs w:val="16"/>
                <w:color w:val="auto"/>
              </w:rPr>
            </w:pPr>
          </w:p>
        </w:tc>
        <w:tc>
          <w:tcPr>
            <w:tcW w:w="1220" w:type="dxa"/>
            <w:vAlign w:val="bottom"/>
            <w:shd w:val="clear" w:color="auto" w:fill="C60C3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80" w:type="dxa"/>
            <w:vAlign w:val="bottom"/>
            <w:shd w:val="clear" w:color="auto" w:fill="C60C35"/>
          </w:tcPr>
          <w:p>
            <w:pPr>
              <w:spacing w:after="0"/>
              <w:rPr>
                <w:sz w:val="15"/>
                <w:szCs w:val="15"/>
                <w:color w:val="auto"/>
              </w:rPr>
            </w:pPr>
          </w:p>
        </w:tc>
        <w:tc>
          <w:tcPr>
            <w:tcW w:w="1200" w:type="dxa"/>
            <w:vAlign w:val="bottom"/>
            <w:shd w:val="clear" w:color="auto" w:fill="C60C35"/>
          </w:tcPr>
          <w:p>
            <w:pPr>
              <w:spacing w:after="0"/>
              <w:rPr>
                <w:sz w:val="15"/>
                <w:szCs w:val="15"/>
                <w:color w:val="auto"/>
              </w:rPr>
            </w:pPr>
          </w:p>
        </w:tc>
        <w:tc>
          <w:tcPr>
            <w:tcW w:w="1160" w:type="dxa"/>
            <w:vAlign w:val="bottom"/>
            <w:shd w:val="clear" w:color="auto" w:fill="C60C35"/>
          </w:tcPr>
          <w:p>
            <w:pPr>
              <w:spacing w:after="0"/>
              <w:rPr>
                <w:sz w:val="15"/>
                <w:szCs w:val="15"/>
                <w:color w:val="auto"/>
              </w:rPr>
            </w:pPr>
          </w:p>
        </w:tc>
        <w:tc>
          <w:tcPr>
            <w:tcW w:w="1260" w:type="dxa"/>
            <w:vAlign w:val="bottom"/>
            <w:shd w:val="clear" w:color="auto" w:fill="C60C35"/>
          </w:tcPr>
          <w:p>
            <w:pPr>
              <w:spacing w:after="0"/>
              <w:rPr>
                <w:sz w:val="15"/>
                <w:szCs w:val="15"/>
                <w:color w:val="auto"/>
              </w:rPr>
            </w:pPr>
          </w:p>
        </w:tc>
        <w:tc>
          <w:tcPr>
            <w:tcW w:w="1220" w:type="dxa"/>
            <w:vAlign w:val="bottom"/>
            <w:shd w:val="clear" w:color="auto" w:fill="C60C35"/>
          </w:tcPr>
          <w:p>
            <w:pPr>
              <w:spacing w:after="0"/>
              <w:rPr>
                <w:sz w:val="15"/>
                <w:szCs w:val="15"/>
                <w:color w:val="auto"/>
              </w:rPr>
            </w:pPr>
          </w:p>
        </w:tc>
        <w:tc>
          <w:tcPr>
            <w:tcW w:w="1200" w:type="dxa"/>
            <w:vAlign w:val="bottom"/>
            <w:shd w:val="clear" w:color="auto" w:fill="C60C35"/>
          </w:tcPr>
          <w:p>
            <w:pPr>
              <w:spacing w:after="0"/>
              <w:rPr>
                <w:sz w:val="15"/>
                <w:szCs w:val="15"/>
                <w:color w:val="auto"/>
              </w:rPr>
            </w:pPr>
          </w:p>
        </w:tc>
        <w:tc>
          <w:tcPr>
            <w:tcW w:w="16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FMV Based on</w:t>
            </w:r>
          </w:p>
        </w:tc>
        <w:tc>
          <w:tcPr>
            <w:tcW w:w="1220" w:type="dxa"/>
            <w:vAlign w:val="bottom"/>
            <w:vMerge w:val="restart"/>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48"/>
        </w:trPr>
        <w:tc>
          <w:tcPr>
            <w:tcW w:w="1580" w:type="dxa"/>
            <w:vAlign w:val="bottom"/>
            <w:shd w:val="clear" w:color="auto" w:fill="C60C35"/>
          </w:tcPr>
          <w:p>
            <w:pPr>
              <w:spacing w:after="0"/>
              <w:rPr>
                <w:sz w:val="12"/>
                <w:szCs w:val="12"/>
                <w:color w:val="auto"/>
              </w:rPr>
            </w:pPr>
          </w:p>
        </w:tc>
        <w:tc>
          <w:tcPr>
            <w:tcW w:w="1200" w:type="dxa"/>
            <w:vAlign w:val="bottom"/>
            <w:shd w:val="clear" w:color="auto" w:fill="C60C35"/>
          </w:tcPr>
          <w:p>
            <w:pPr>
              <w:spacing w:after="0"/>
              <w:rPr>
                <w:sz w:val="12"/>
                <w:szCs w:val="12"/>
                <w:color w:val="auto"/>
              </w:rPr>
            </w:pPr>
          </w:p>
        </w:tc>
        <w:tc>
          <w:tcPr>
            <w:tcW w:w="1160" w:type="dxa"/>
            <w:vAlign w:val="bottom"/>
            <w:shd w:val="clear" w:color="auto" w:fill="C60C35"/>
          </w:tcPr>
          <w:p>
            <w:pPr>
              <w:spacing w:after="0"/>
              <w:rPr>
                <w:sz w:val="12"/>
                <w:szCs w:val="12"/>
                <w:color w:val="auto"/>
              </w:rPr>
            </w:pPr>
          </w:p>
        </w:tc>
        <w:tc>
          <w:tcPr>
            <w:tcW w:w="1260" w:type="dxa"/>
            <w:vAlign w:val="bottom"/>
            <w:shd w:val="clear" w:color="auto" w:fill="C60C35"/>
          </w:tcPr>
          <w:p>
            <w:pPr>
              <w:spacing w:after="0"/>
              <w:rPr>
                <w:sz w:val="12"/>
                <w:szCs w:val="12"/>
                <w:color w:val="auto"/>
              </w:rPr>
            </w:pPr>
          </w:p>
        </w:tc>
        <w:tc>
          <w:tcPr>
            <w:tcW w:w="1220" w:type="dxa"/>
            <w:vAlign w:val="bottom"/>
            <w:shd w:val="clear" w:color="auto" w:fill="C60C35"/>
          </w:tcPr>
          <w:p>
            <w:pPr>
              <w:spacing w:after="0"/>
              <w:rPr>
                <w:sz w:val="12"/>
                <w:szCs w:val="12"/>
                <w:color w:val="auto"/>
              </w:rPr>
            </w:pPr>
          </w:p>
        </w:tc>
        <w:tc>
          <w:tcPr>
            <w:tcW w:w="1200" w:type="dxa"/>
            <w:vAlign w:val="bottom"/>
            <w:vMerge w:val="restart"/>
            <w:shd w:val="clear" w:color="auto" w:fill="C60C35"/>
          </w:tcPr>
          <w:p>
            <w:pPr>
              <w:jc w:val="center"/>
              <w:ind w:right="17"/>
              <w:spacing w:after="0"/>
              <w:rPr>
                <w:sz w:val="20"/>
                <w:szCs w:val="20"/>
                <w:color w:val="auto"/>
              </w:rPr>
            </w:pPr>
            <w:r>
              <w:rPr>
                <w:rFonts w:ascii="Arial" w:cs="Arial" w:eastAsia="Arial" w:hAnsi="Arial"/>
                <w:sz w:val="13"/>
                <w:szCs w:val="13"/>
                <w:b w:val="1"/>
                <w:bCs w:val="1"/>
                <w:color w:val="FFFFFF"/>
                <w:w w:val="95"/>
              </w:rPr>
              <w:t>Risk Free</w:t>
            </w:r>
          </w:p>
        </w:tc>
        <w:tc>
          <w:tcPr>
            <w:tcW w:w="16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8"/>
              </w:rPr>
              <w:t>Average High/</w:t>
            </w:r>
          </w:p>
        </w:tc>
        <w:tc>
          <w:tcPr>
            <w:tcW w:w="1220" w:type="dxa"/>
            <w:vAlign w:val="bottom"/>
            <w:vMerge w:val="continue"/>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60C35"/>
          </w:tcPr>
          <w:p>
            <w:pPr>
              <w:spacing w:after="0"/>
              <w:rPr>
                <w:sz w:val="12"/>
                <w:szCs w:val="12"/>
                <w:color w:val="auto"/>
              </w:rPr>
            </w:pPr>
          </w:p>
        </w:tc>
        <w:tc>
          <w:tcPr>
            <w:tcW w:w="1200" w:type="dxa"/>
            <w:vAlign w:val="bottom"/>
            <w:shd w:val="clear" w:color="auto" w:fill="C60C35"/>
          </w:tcPr>
          <w:p>
            <w:pPr>
              <w:spacing w:after="0"/>
              <w:rPr>
                <w:sz w:val="12"/>
                <w:szCs w:val="12"/>
                <w:color w:val="auto"/>
              </w:rPr>
            </w:pPr>
          </w:p>
        </w:tc>
        <w:tc>
          <w:tcPr>
            <w:tcW w:w="1160" w:type="dxa"/>
            <w:vAlign w:val="bottom"/>
            <w:shd w:val="clear" w:color="auto" w:fill="C60C35"/>
          </w:tcPr>
          <w:p>
            <w:pPr>
              <w:spacing w:after="0"/>
              <w:rPr>
                <w:sz w:val="12"/>
                <w:szCs w:val="12"/>
                <w:color w:val="auto"/>
              </w:rPr>
            </w:pPr>
          </w:p>
        </w:tc>
        <w:tc>
          <w:tcPr>
            <w:tcW w:w="1260" w:type="dxa"/>
            <w:vAlign w:val="bottom"/>
            <w:shd w:val="clear" w:color="auto" w:fill="C60C35"/>
          </w:tcPr>
          <w:p>
            <w:pPr>
              <w:spacing w:after="0"/>
              <w:rPr>
                <w:sz w:val="12"/>
                <w:szCs w:val="12"/>
                <w:color w:val="auto"/>
              </w:rPr>
            </w:pPr>
          </w:p>
        </w:tc>
        <w:tc>
          <w:tcPr>
            <w:tcW w:w="1220" w:type="dxa"/>
            <w:vAlign w:val="bottom"/>
            <w:shd w:val="clear" w:color="auto" w:fill="C60C35"/>
          </w:tcPr>
          <w:p>
            <w:pPr>
              <w:spacing w:after="0"/>
              <w:rPr>
                <w:sz w:val="12"/>
                <w:szCs w:val="12"/>
                <w:color w:val="auto"/>
              </w:rPr>
            </w:pPr>
          </w:p>
        </w:tc>
        <w:tc>
          <w:tcPr>
            <w:tcW w:w="1200" w:type="dxa"/>
            <w:vAlign w:val="bottom"/>
            <w:vMerge w:val="continue"/>
            <w:shd w:val="clear" w:color="auto" w:fill="C60C35"/>
          </w:tcPr>
          <w:p>
            <w:pPr>
              <w:spacing w:after="0"/>
              <w:rPr>
                <w:sz w:val="12"/>
                <w:szCs w:val="12"/>
                <w:color w:val="auto"/>
              </w:rPr>
            </w:pPr>
          </w:p>
        </w:tc>
        <w:tc>
          <w:tcPr>
            <w:tcW w:w="16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4"/>
              </w:rPr>
              <w:t>Low NYSE Trading</w:t>
            </w:r>
          </w:p>
        </w:tc>
        <w:tc>
          <w:tcPr>
            <w:tcW w:w="122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Fair Value</w:t>
            </w:r>
          </w:p>
        </w:tc>
        <w:tc>
          <w:tcPr>
            <w:tcW w:w="0" w:type="dxa"/>
            <w:vAlign w:val="bottom"/>
          </w:tcPr>
          <w:p>
            <w:pPr>
              <w:spacing w:after="0"/>
              <w:rPr>
                <w:sz w:val="1"/>
                <w:szCs w:val="1"/>
                <w:color w:val="auto"/>
              </w:rPr>
            </w:pPr>
          </w:p>
        </w:tc>
      </w:tr>
      <w:tr>
        <w:trPr>
          <w:trHeight w:val="149"/>
        </w:trPr>
        <w:tc>
          <w:tcPr>
            <w:tcW w:w="1580" w:type="dxa"/>
            <w:vAlign w:val="bottom"/>
            <w:shd w:val="clear" w:color="auto" w:fill="C60C35"/>
          </w:tcPr>
          <w:p>
            <w:pPr>
              <w:spacing w:after="0"/>
              <w:rPr>
                <w:sz w:val="12"/>
                <w:szCs w:val="12"/>
                <w:color w:val="auto"/>
              </w:rPr>
            </w:pPr>
          </w:p>
        </w:tc>
        <w:tc>
          <w:tcPr>
            <w:tcW w:w="1200" w:type="dxa"/>
            <w:vAlign w:val="bottom"/>
            <w:shd w:val="clear" w:color="auto" w:fill="C60C35"/>
          </w:tcPr>
          <w:p>
            <w:pPr>
              <w:spacing w:after="0"/>
              <w:rPr>
                <w:sz w:val="12"/>
                <w:szCs w:val="12"/>
                <w:color w:val="auto"/>
              </w:rPr>
            </w:pPr>
          </w:p>
        </w:tc>
        <w:tc>
          <w:tcPr>
            <w:tcW w:w="1160" w:type="dxa"/>
            <w:vAlign w:val="bottom"/>
            <w:shd w:val="clear" w:color="auto" w:fill="C60C35"/>
          </w:tcPr>
          <w:p>
            <w:pPr>
              <w:ind w:left="380"/>
              <w:spacing w:after="0"/>
              <w:rPr>
                <w:sz w:val="20"/>
                <w:szCs w:val="20"/>
                <w:color w:val="auto"/>
              </w:rPr>
            </w:pPr>
            <w:r>
              <w:rPr>
                <w:rFonts w:ascii="Arial" w:cs="Arial" w:eastAsia="Arial" w:hAnsi="Arial"/>
                <w:sz w:val="13"/>
                <w:szCs w:val="13"/>
                <w:b w:val="1"/>
                <w:bCs w:val="1"/>
                <w:color w:val="FFFFFF"/>
              </w:rPr>
              <w:t>Volatility</w:t>
            </w:r>
          </w:p>
        </w:tc>
        <w:tc>
          <w:tcPr>
            <w:tcW w:w="1260" w:type="dxa"/>
            <w:vAlign w:val="bottom"/>
            <w:shd w:val="clear" w:color="auto" w:fill="C60C35"/>
          </w:tcPr>
          <w:p>
            <w:pPr>
              <w:jc w:val="center"/>
              <w:ind w:left="17"/>
              <w:spacing w:after="0"/>
              <w:rPr>
                <w:sz w:val="20"/>
                <w:szCs w:val="20"/>
                <w:color w:val="auto"/>
              </w:rPr>
            </w:pPr>
            <w:r>
              <w:rPr>
                <w:rFonts w:ascii="Arial" w:cs="Arial" w:eastAsia="Arial" w:hAnsi="Arial"/>
                <w:sz w:val="13"/>
                <w:szCs w:val="13"/>
                <w:b w:val="1"/>
                <w:bCs w:val="1"/>
                <w:color w:val="FFFFFF"/>
                <w:w w:val="96"/>
              </w:rPr>
              <w:t>Expected Life</w:t>
            </w:r>
          </w:p>
        </w:tc>
        <w:tc>
          <w:tcPr>
            <w:tcW w:w="1220" w:type="dxa"/>
            <w:vAlign w:val="bottom"/>
            <w:shd w:val="clear" w:color="auto" w:fill="C60C35"/>
          </w:tcPr>
          <w:p>
            <w:pPr>
              <w:ind w:left="160"/>
              <w:spacing w:after="0"/>
              <w:rPr>
                <w:sz w:val="20"/>
                <w:szCs w:val="20"/>
                <w:color w:val="auto"/>
              </w:rPr>
            </w:pPr>
            <w:r>
              <w:rPr>
                <w:rFonts w:ascii="Arial" w:cs="Arial" w:eastAsia="Arial" w:hAnsi="Arial"/>
                <w:sz w:val="13"/>
                <w:szCs w:val="13"/>
                <w:b w:val="1"/>
                <w:bCs w:val="1"/>
                <w:color w:val="FFFFFF"/>
              </w:rPr>
              <w:t>Dividend Yield</w:t>
            </w:r>
          </w:p>
        </w:tc>
        <w:tc>
          <w:tcPr>
            <w:tcW w:w="1200" w:type="dxa"/>
            <w:vAlign w:val="bottom"/>
            <w:shd w:val="clear" w:color="auto" w:fill="C60C35"/>
          </w:tcPr>
          <w:p>
            <w:pPr>
              <w:jc w:val="center"/>
              <w:ind w:right="17"/>
              <w:spacing w:after="0"/>
              <w:rPr>
                <w:sz w:val="20"/>
                <w:szCs w:val="20"/>
                <w:color w:val="auto"/>
              </w:rPr>
            </w:pPr>
            <w:r>
              <w:rPr>
                <w:rFonts w:ascii="Arial" w:cs="Arial" w:eastAsia="Arial" w:hAnsi="Arial"/>
                <w:sz w:val="13"/>
                <w:szCs w:val="13"/>
                <w:b w:val="1"/>
                <w:bCs w:val="1"/>
                <w:color w:val="FFFFFF"/>
                <w:w w:val="96"/>
              </w:rPr>
              <w:t>Interest Rate</w:t>
            </w:r>
          </w:p>
        </w:tc>
        <w:tc>
          <w:tcPr>
            <w:tcW w:w="16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Prices on Date of</w:t>
            </w:r>
          </w:p>
        </w:tc>
        <w:tc>
          <w:tcPr>
            <w:tcW w:w="122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8"/>
              </w:rPr>
              <w:t>Per Share</w:t>
            </w:r>
          </w:p>
        </w:tc>
        <w:tc>
          <w:tcPr>
            <w:tcW w:w="0" w:type="dxa"/>
            <w:vAlign w:val="bottom"/>
          </w:tcPr>
          <w:p>
            <w:pPr>
              <w:spacing w:after="0"/>
              <w:rPr>
                <w:sz w:val="1"/>
                <w:szCs w:val="1"/>
                <w:color w:val="auto"/>
              </w:rPr>
            </w:pPr>
          </w:p>
        </w:tc>
      </w:tr>
      <w:tr>
        <w:trPr>
          <w:trHeight w:val="193"/>
        </w:trPr>
        <w:tc>
          <w:tcPr>
            <w:tcW w:w="15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9"/>
              </w:rPr>
              <w:t>Grant Date</w:t>
            </w:r>
          </w:p>
        </w:tc>
        <w:tc>
          <w:tcPr>
            <w:tcW w:w="12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Award</w:t>
            </w:r>
          </w:p>
        </w:tc>
        <w:tc>
          <w:tcPr>
            <w:tcW w:w="1160" w:type="dxa"/>
            <w:vAlign w:val="bottom"/>
            <w:shd w:val="clear" w:color="auto" w:fill="C60C35"/>
          </w:tcPr>
          <w:p>
            <w:pPr>
              <w:jc w:val="center"/>
              <w:ind w:left="57"/>
              <w:spacing w:after="0"/>
              <w:rPr>
                <w:sz w:val="20"/>
                <w:szCs w:val="20"/>
                <w:color w:val="auto"/>
              </w:rPr>
            </w:pPr>
            <w:r>
              <w:rPr>
                <w:rFonts w:ascii="Arial" w:cs="Arial" w:eastAsia="Arial" w:hAnsi="Arial"/>
                <w:sz w:val="13"/>
                <w:szCs w:val="13"/>
                <w:b w:val="1"/>
                <w:bCs w:val="1"/>
                <w:color w:val="FFFFFF"/>
                <w:w w:val="98"/>
              </w:rPr>
              <w:t>(%)</w:t>
            </w:r>
          </w:p>
        </w:tc>
        <w:tc>
          <w:tcPr>
            <w:tcW w:w="1260" w:type="dxa"/>
            <w:vAlign w:val="bottom"/>
            <w:shd w:val="clear" w:color="auto" w:fill="C60C35"/>
          </w:tcPr>
          <w:p>
            <w:pPr>
              <w:jc w:val="center"/>
              <w:ind w:left="17"/>
              <w:spacing w:after="0"/>
              <w:rPr>
                <w:sz w:val="20"/>
                <w:szCs w:val="20"/>
                <w:color w:val="auto"/>
              </w:rPr>
            </w:pPr>
            <w:r>
              <w:rPr>
                <w:rFonts w:ascii="Arial" w:cs="Arial" w:eastAsia="Arial" w:hAnsi="Arial"/>
                <w:sz w:val="13"/>
                <w:szCs w:val="13"/>
                <w:b w:val="1"/>
                <w:bCs w:val="1"/>
                <w:color w:val="FFFFFF"/>
                <w:w w:val="95"/>
              </w:rPr>
              <w:t>(Years)</w:t>
            </w:r>
          </w:p>
        </w:tc>
        <w:tc>
          <w:tcPr>
            <w:tcW w:w="122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8"/>
              </w:rPr>
              <w:t>(%)</w:t>
            </w:r>
          </w:p>
        </w:tc>
        <w:tc>
          <w:tcPr>
            <w:tcW w:w="1200" w:type="dxa"/>
            <w:vAlign w:val="bottom"/>
            <w:shd w:val="clear" w:color="auto" w:fill="C60C35"/>
          </w:tcPr>
          <w:p>
            <w:pPr>
              <w:jc w:val="center"/>
              <w:ind w:right="17"/>
              <w:spacing w:after="0"/>
              <w:rPr>
                <w:sz w:val="20"/>
                <w:szCs w:val="20"/>
                <w:color w:val="auto"/>
              </w:rPr>
            </w:pPr>
            <w:r>
              <w:rPr>
                <w:rFonts w:ascii="Arial" w:cs="Arial" w:eastAsia="Arial" w:hAnsi="Arial"/>
                <w:sz w:val="13"/>
                <w:szCs w:val="13"/>
                <w:b w:val="1"/>
                <w:bCs w:val="1"/>
                <w:color w:val="FFFFFF"/>
                <w:w w:val="98"/>
              </w:rPr>
              <w:t>(%)</w:t>
            </w:r>
          </w:p>
        </w:tc>
        <w:tc>
          <w:tcPr>
            <w:tcW w:w="16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9"/>
              </w:rPr>
              <w:t>Grant ($)</w:t>
            </w:r>
          </w:p>
        </w:tc>
        <w:tc>
          <w:tcPr>
            <w:tcW w:w="122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8"/>
              </w:rPr>
              <w:t>2/5/2024</w:t>
            </w:r>
          </w:p>
        </w:tc>
        <w:tc>
          <w:tcPr>
            <w:tcW w:w="120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7"/>
              </w:rPr>
              <w:t>PSU</w:t>
            </w:r>
          </w:p>
        </w:tc>
        <w:tc>
          <w:tcPr>
            <w:tcW w:w="1160" w:type="dxa"/>
            <w:vAlign w:val="bottom"/>
            <w:tcBorders>
              <w:bottom w:val="single" w:sz="8" w:color="F1F2F2"/>
            </w:tcBorders>
            <w:shd w:val="clear" w:color="auto" w:fill="F1F2F2"/>
          </w:tcPr>
          <w:p>
            <w:pPr>
              <w:jc w:val="center"/>
              <w:ind w:left="57"/>
              <w:spacing w:after="0"/>
              <w:rPr>
                <w:sz w:val="20"/>
                <w:szCs w:val="20"/>
                <w:color w:val="auto"/>
              </w:rPr>
            </w:pPr>
            <w:r>
              <w:rPr>
                <w:rFonts w:ascii="Arial" w:cs="Arial" w:eastAsia="Arial" w:hAnsi="Arial"/>
                <w:sz w:val="13"/>
                <w:szCs w:val="13"/>
                <w:color w:val="auto"/>
                <w:w w:val="91"/>
              </w:rPr>
              <w:t>—</w:t>
            </w:r>
          </w:p>
        </w:tc>
        <w:tc>
          <w:tcPr>
            <w:tcW w:w="1260" w:type="dxa"/>
            <w:vAlign w:val="bottom"/>
            <w:tcBorders>
              <w:bottom w:val="single" w:sz="8" w:color="F1F2F2"/>
            </w:tcBorders>
            <w:shd w:val="clear" w:color="auto" w:fill="F1F2F2"/>
          </w:tcPr>
          <w:p>
            <w:pPr>
              <w:jc w:val="center"/>
              <w:ind w:lef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4"/>
              </w:rPr>
              <w:t>1.23</w:t>
            </w:r>
          </w:p>
        </w:tc>
        <w:tc>
          <w:tcPr>
            <w:tcW w:w="1200" w:type="dxa"/>
            <w:vAlign w:val="bottom"/>
            <w:tcBorders>
              <w:bottom w:val="single" w:sz="8" w:color="F1F2F2"/>
            </w:tcBorders>
            <w:shd w:val="clear" w:color="auto" w:fill="F1F2F2"/>
          </w:tcPr>
          <w:p>
            <w:pPr>
              <w:jc w:val="center"/>
              <w:ind w:right="17"/>
              <w:spacing w:after="0"/>
              <w:rPr>
                <w:sz w:val="20"/>
                <w:szCs w:val="20"/>
                <w:color w:val="auto"/>
              </w:rPr>
            </w:pPr>
            <w:r>
              <w:rPr>
                <w:rFonts w:ascii="Arial" w:cs="Arial" w:eastAsia="Arial" w:hAnsi="Arial"/>
                <w:sz w:val="13"/>
                <w:szCs w:val="13"/>
                <w:color w:val="auto"/>
                <w:w w:val="91"/>
              </w:rPr>
              <w:t>—</w:t>
            </w:r>
          </w:p>
        </w:tc>
        <w:tc>
          <w:tcPr>
            <w:tcW w:w="16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418.69</w:t>
            </w:r>
          </w:p>
        </w:tc>
        <w:tc>
          <w:tcPr>
            <w:tcW w:w="122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rPr>
              <w:t>427.12</w:t>
            </w:r>
          </w:p>
        </w:tc>
        <w:tc>
          <w:tcPr>
            <w:tcW w:w="0" w:type="dxa"/>
            <w:vAlign w:val="bottom"/>
          </w:tcPr>
          <w:p>
            <w:pPr>
              <w:spacing w:after="0"/>
              <w:rPr>
                <w:sz w:val="1"/>
                <w:szCs w:val="1"/>
                <w:color w:val="auto"/>
              </w:rPr>
            </w:pPr>
          </w:p>
        </w:tc>
      </w:tr>
      <w:tr>
        <w:trPr>
          <w:trHeight w:val="175"/>
        </w:trPr>
        <w:tc>
          <w:tcPr>
            <w:tcW w:w="1580" w:type="dxa"/>
            <w:vAlign w:val="bottom"/>
          </w:tcPr>
          <w:p>
            <w:pPr>
              <w:jc w:val="center"/>
              <w:spacing w:after="0"/>
              <w:rPr>
                <w:sz w:val="20"/>
                <w:szCs w:val="20"/>
                <w:color w:val="auto"/>
              </w:rPr>
            </w:pPr>
            <w:r>
              <w:rPr>
                <w:rFonts w:ascii="Arial" w:cs="Arial" w:eastAsia="Arial" w:hAnsi="Arial"/>
                <w:sz w:val="13"/>
                <w:szCs w:val="13"/>
                <w:color w:val="auto"/>
                <w:w w:val="98"/>
              </w:rPr>
              <w:t>2/5/2024</w:t>
            </w:r>
          </w:p>
        </w:tc>
        <w:tc>
          <w:tcPr>
            <w:tcW w:w="1200" w:type="dxa"/>
            <w:vAlign w:val="bottom"/>
          </w:tcPr>
          <w:p>
            <w:pPr>
              <w:jc w:val="center"/>
              <w:spacing w:after="0"/>
              <w:rPr>
                <w:sz w:val="20"/>
                <w:szCs w:val="20"/>
                <w:color w:val="auto"/>
              </w:rPr>
            </w:pPr>
            <w:r>
              <w:rPr>
                <w:rFonts w:ascii="Arial" w:cs="Arial" w:eastAsia="Arial" w:hAnsi="Arial"/>
                <w:sz w:val="13"/>
                <w:szCs w:val="13"/>
                <w:color w:val="auto"/>
                <w:w w:val="94"/>
              </w:rPr>
              <w:t>RSU</w:t>
            </w:r>
          </w:p>
        </w:tc>
        <w:tc>
          <w:tcPr>
            <w:tcW w:w="1160" w:type="dxa"/>
            <w:vAlign w:val="bottom"/>
          </w:tcPr>
          <w:p>
            <w:pPr>
              <w:jc w:val="center"/>
              <w:ind w:left="57"/>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ind w:left="17"/>
              <w:spacing w:after="0"/>
              <w:rPr>
                <w:sz w:val="20"/>
                <w:szCs w:val="20"/>
                <w:color w:val="auto"/>
              </w:rPr>
            </w:pPr>
            <w:r>
              <w:rPr>
                <w:rFonts w:ascii="Arial" w:cs="Arial" w:eastAsia="Arial" w:hAnsi="Arial"/>
                <w:sz w:val="13"/>
                <w:szCs w:val="13"/>
                <w:color w:val="auto"/>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1.23</w:t>
            </w:r>
          </w:p>
        </w:tc>
        <w:tc>
          <w:tcPr>
            <w:tcW w:w="1200" w:type="dxa"/>
            <w:vAlign w:val="bottom"/>
          </w:tcPr>
          <w:p>
            <w:pPr>
              <w:jc w:val="center"/>
              <w:ind w:right="17"/>
              <w:spacing w:after="0"/>
              <w:rPr>
                <w:sz w:val="20"/>
                <w:szCs w:val="20"/>
                <w:color w:val="auto"/>
              </w:rPr>
            </w:pPr>
            <w:r>
              <w:rPr>
                <w:rFonts w:ascii="Arial" w:cs="Arial" w:eastAsia="Arial" w:hAnsi="Arial"/>
                <w:sz w:val="13"/>
                <w:szCs w:val="13"/>
                <w:color w:val="auto"/>
                <w:w w:val="91"/>
              </w:rPr>
              <w:t>—</w:t>
            </w:r>
          </w:p>
        </w:tc>
        <w:tc>
          <w:tcPr>
            <w:tcW w:w="1680" w:type="dxa"/>
            <w:vAlign w:val="bottom"/>
          </w:tcPr>
          <w:p>
            <w:pPr>
              <w:jc w:val="center"/>
              <w:spacing w:after="0"/>
              <w:rPr>
                <w:sz w:val="20"/>
                <w:szCs w:val="20"/>
                <w:color w:val="auto"/>
              </w:rPr>
            </w:pPr>
            <w:r>
              <w:rPr>
                <w:rFonts w:ascii="Arial" w:cs="Arial" w:eastAsia="Arial" w:hAnsi="Arial"/>
                <w:sz w:val="13"/>
                <w:szCs w:val="13"/>
                <w:color w:val="auto"/>
                <w:w w:val="95"/>
              </w:rPr>
              <w:t>418.69</w:t>
            </w:r>
          </w:p>
        </w:tc>
        <w:tc>
          <w:tcPr>
            <w:tcW w:w="1220" w:type="dxa"/>
            <w:vAlign w:val="bottom"/>
          </w:tcPr>
          <w:p>
            <w:pPr>
              <w:jc w:val="center"/>
              <w:spacing w:after="0"/>
              <w:rPr>
                <w:sz w:val="20"/>
                <w:szCs w:val="20"/>
                <w:color w:val="auto"/>
              </w:rPr>
            </w:pPr>
            <w:r>
              <w:rPr>
                <w:rFonts w:ascii="Arial" w:cs="Arial" w:eastAsia="Arial" w:hAnsi="Arial"/>
                <w:sz w:val="13"/>
                <w:szCs w:val="13"/>
                <w:color w:val="auto"/>
              </w:rPr>
              <w:t>427.12</w:t>
            </w:r>
          </w:p>
        </w:tc>
        <w:tc>
          <w:tcPr>
            <w:tcW w:w="0" w:type="dxa"/>
            <w:vAlign w:val="bottom"/>
          </w:tcPr>
          <w:p>
            <w:pPr>
              <w:spacing w:after="0"/>
              <w:rPr>
                <w:sz w:val="1"/>
                <w:szCs w:val="1"/>
                <w:color w:val="auto"/>
              </w:rPr>
            </w:pPr>
          </w:p>
        </w:tc>
      </w:tr>
      <w:tr>
        <w:trPr>
          <w:trHeight w:val="28"/>
        </w:trPr>
        <w:tc>
          <w:tcPr>
            <w:tcW w:w="1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5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8"/>
              </w:rPr>
              <w:t>2/5/2024</w:t>
            </w:r>
          </w:p>
        </w:tc>
        <w:tc>
          <w:tcPr>
            <w:tcW w:w="12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7"/>
              </w:rPr>
              <w:t>SAR</w:t>
            </w:r>
          </w:p>
        </w:tc>
        <w:tc>
          <w:tcPr>
            <w:tcW w:w="1160" w:type="dxa"/>
            <w:vAlign w:val="bottom"/>
            <w:shd w:val="clear" w:color="auto" w:fill="F1F2F2"/>
          </w:tcPr>
          <w:p>
            <w:pPr>
              <w:jc w:val="center"/>
              <w:ind w:left="57"/>
              <w:spacing w:after="0"/>
              <w:rPr>
                <w:sz w:val="20"/>
                <w:szCs w:val="20"/>
                <w:color w:val="auto"/>
              </w:rPr>
            </w:pPr>
            <w:r>
              <w:rPr>
                <w:rFonts w:ascii="Arial" w:cs="Arial" w:eastAsia="Arial" w:hAnsi="Arial"/>
                <w:sz w:val="13"/>
                <w:szCs w:val="13"/>
                <w:color w:val="auto"/>
                <w:w w:val="98"/>
              </w:rPr>
              <w:t>34.89</w:t>
            </w:r>
          </w:p>
        </w:tc>
        <w:tc>
          <w:tcPr>
            <w:tcW w:w="1260" w:type="dxa"/>
            <w:vAlign w:val="bottom"/>
            <w:shd w:val="clear" w:color="auto" w:fill="F1F2F2"/>
          </w:tcPr>
          <w:p>
            <w:pPr>
              <w:jc w:val="center"/>
              <w:ind w:left="17"/>
              <w:spacing w:after="0"/>
              <w:rPr>
                <w:sz w:val="20"/>
                <w:szCs w:val="20"/>
                <w:color w:val="auto"/>
              </w:rPr>
            </w:pPr>
            <w:r>
              <w:rPr>
                <w:rFonts w:ascii="Arial" w:cs="Arial" w:eastAsia="Arial" w:hAnsi="Arial"/>
                <w:sz w:val="13"/>
                <w:szCs w:val="13"/>
                <w:color w:val="auto"/>
              </w:rPr>
              <w:t>4.18</w:t>
            </w:r>
          </w:p>
        </w:tc>
        <w:tc>
          <w:tcPr>
            <w:tcW w:w="122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1.23</w:t>
            </w:r>
          </w:p>
        </w:tc>
        <w:tc>
          <w:tcPr>
            <w:tcW w:w="1200" w:type="dxa"/>
            <w:vAlign w:val="bottom"/>
            <w:shd w:val="clear" w:color="auto" w:fill="F1F2F2"/>
          </w:tcPr>
          <w:p>
            <w:pPr>
              <w:jc w:val="center"/>
              <w:ind w:right="17"/>
              <w:spacing w:after="0"/>
              <w:rPr>
                <w:sz w:val="20"/>
                <w:szCs w:val="20"/>
                <w:color w:val="auto"/>
              </w:rPr>
            </w:pPr>
            <w:r>
              <w:rPr>
                <w:rFonts w:ascii="Arial" w:cs="Arial" w:eastAsia="Arial" w:hAnsi="Arial"/>
                <w:sz w:val="13"/>
                <w:szCs w:val="13"/>
                <w:color w:val="auto"/>
                <w:w w:val="94"/>
              </w:rPr>
              <w:t>4.05</w:t>
            </w:r>
          </w:p>
        </w:tc>
        <w:tc>
          <w:tcPr>
            <w:tcW w:w="16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5"/>
              </w:rPr>
              <w:t>418.69</w:t>
            </w:r>
          </w:p>
        </w:tc>
        <w:tc>
          <w:tcPr>
            <w:tcW w:w="1220" w:type="dxa"/>
            <w:vAlign w:val="bottom"/>
            <w:shd w:val="clear" w:color="auto" w:fill="F1F2F2"/>
          </w:tcPr>
          <w:p>
            <w:pPr>
              <w:jc w:val="center"/>
              <w:spacing w:after="0"/>
              <w:rPr>
                <w:sz w:val="20"/>
                <w:szCs w:val="20"/>
                <w:color w:val="auto"/>
              </w:rPr>
            </w:pPr>
            <w:r>
              <w:rPr>
                <w:rFonts w:ascii="Arial" w:cs="Arial" w:eastAsia="Arial" w:hAnsi="Arial"/>
                <w:sz w:val="13"/>
                <w:szCs w:val="13"/>
                <w:color w:val="auto"/>
              </w:rPr>
              <w:t>134.62</w:t>
            </w:r>
          </w:p>
        </w:tc>
        <w:tc>
          <w:tcPr>
            <w:tcW w:w="0" w:type="dxa"/>
            <w:vAlign w:val="bottom"/>
          </w:tcPr>
          <w:p>
            <w:pPr>
              <w:spacing w:after="0"/>
              <w:rPr>
                <w:sz w:val="1"/>
                <w:szCs w:val="1"/>
                <w:color w:val="auto"/>
              </w:rPr>
            </w:pPr>
          </w:p>
        </w:tc>
      </w:tr>
      <w:tr>
        <w:trPr>
          <w:trHeight w:val="28"/>
        </w:trPr>
        <w:tc>
          <w:tcPr>
            <w:tcW w:w="1580" w:type="dxa"/>
            <w:vAlign w:val="bottom"/>
            <w:shd w:val="clear" w:color="auto" w:fill="F1F2F2"/>
          </w:tcPr>
          <w:p>
            <w:pPr>
              <w:spacing w:after="0"/>
              <w:rPr>
                <w:sz w:val="2"/>
                <w:szCs w:val="2"/>
                <w:color w:val="auto"/>
              </w:rPr>
            </w:pPr>
          </w:p>
        </w:tc>
        <w:tc>
          <w:tcPr>
            <w:tcW w:w="1200" w:type="dxa"/>
            <w:vAlign w:val="bottom"/>
            <w:shd w:val="clear" w:color="auto" w:fill="F1F2F2"/>
          </w:tcPr>
          <w:p>
            <w:pPr>
              <w:spacing w:after="0"/>
              <w:rPr>
                <w:sz w:val="2"/>
                <w:szCs w:val="2"/>
                <w:color w:val="auto"/>
              </w:rPr>
            </w:pPr>
          </w:p>
        </w:tc>
        <w:tc>
          <w:tcPr>
            <w:tcW w:w="1160" w:type="dxa"/>
            <w:vAlign w:val="bottom"/>
            <w:shd w:val="clear" w:color="auto" w:fill="F1F2F2"/>
          </w:tcPr>
          <w:p>
            <w:pPr>
              <w:spacing w:after="0"/>
              <w:rPr>
                <w:sz w:val="2"/>
                <w:szCs w:val="2"/>
                <w:color w:val="auto"/>
              </w:rPr>
            </w:pPr>
          </w:p>
        </w:tc>
        <w:tc>
          <w:tcPr>
            <w:tcW w:w="1260" w:type="dxa"/>
            <w:vAlign w:val="bottom"/>
            <w:shd w:val="clear" w:color="auto" w:fill="F1F2F2"/>
          </w:tcPr>
          <w:p>
            <w:pPr>
              <w:spacing w:after="0"/>
              <w:rPr>
                <w:sz w:val="2"/>
                <w:szCs w:val="2"/>
                <w:color w:val="auto"/>
              </w:rPr>
            </w:pPr>
          </w:p>
        </w:tc>
        <w:tc>
          <w:tcPr>
            <w:tcW w:w="1220" w:type="dxa"/>
            <w:vAlign w:val="bottom"/>
            <w:shd w:val="clear" w:color="auto" w:fill="F1F2F2"/>
          </w:tcPr>
          <w:p>
            <w:pPr>
              <w:spacing w:after="0"/>
              <w:rPr>
                <w:sz w:val="2"/>
                <w:szCs w:val="2"/>
                <w:color w:val="auto"/>
              </w:rPr>
            </w:pPr>
          </w:p>
        </w:tc>
        <w:tc>
          <w:tcPr>
            <w:tcW w:w="1200" w:type="dxa"/>
            <w:vAlign w:val="bottom"/>
            <w:shd w:val="clear" w:color="auto" w:fill="F1F2F2"/>
          </w:tcPr>
          <w:p>
            <w:pPr>
              <w:spacing w:after="0"/>
              <w:rPr>
                <w:sz w:val="2"/>
                <w:szCs w:val="2"/>
                <w:color w:val="auto"/>
              </w:rPr>
            </w:pPr>
          </w:p>
        </w:tc>
        <w:tc>
          <w:tcPr>
            <w:tcW w:w="1680" w:type="dxa"/>
            <w:vAlign w:val="bottom"/>
            <w:shd w:val="clear" w:color="auto" w:fill="F1F2F2"/>
          </w:tcPr>
          <w:p>
            <w:pPr>
              <w:spacing w:after="0"/>
              <w:rPr>
                <w:sz w:val="2"/>
                <w:szCs w:val="2"/>
                <w:color w:val="auto"/>
              </w:rPr>
            </w:pPr>
          </w:p>
        </w:tc>
        <w:tc>
          <w:tcPr>
            <w:tcW w:w="1220" w:type="dxa"/>
            <w:vAlign w:val="bottom"/>
            <w:shd w:val="clear" w:color="auto" w:fill="F1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-899795</wp:posOffset>
            </wp:positionV>
            <wp:extent cx="30175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39"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78" w:right="37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C60C35"/>
        </w:rPr>
        <w:t>Outstanding Equity Awards at 2024 Fiscal Year-End</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all outstanding equity awards held by our NEOs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144780</wp:posOffset>
            </wp:positionV>
            <wp:extent cx="2914650" cy="1036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14650" cy="10369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20" w:type="dxa"/>
            <w:vAlign w:val="bottom"/>
            <w:shd w:val="clear" w:color="auto" w:fill="C60C35"/>
          </w:tcPr>
          <w:p>
            <w:pPr>
              <w:spacing w:after="0"/>
              <w:rPr>
                <w:sz w:val="17"/>
                <w:szCs w:val="17"/>
                <w:color w:val="auto"/>
              </w:rPr>
            </w:pPr>
          </w:p>
        </w:tc>
        <w:tc>
          <w:tcPr>
            <w:tcW w:w="880" w:type="dxa"/>
            <w:vAlign w:val="bottom"/>
            <w:shd w:val="clear" w:color="auto" w:fill="C60C35"/>
          </w:tcPr>
          <w:p>
            <w:pPr>
              <w:spacing w:after="0"/>
              <w:rPr>
                <w:sz w:val="17"/>
                <w:szCs w:val="17"/>
                <w:color w:val="auto"/>
              </w:rPr>
            </w:pPr>
          </w:p>
        </w:tc>
        <w:tc>
          <w:tcPr>
            <w:tcW w:w="1080" w:type="dxa"/>
            <w:vAlign w:val="bottom"/>
            <w:shd w:val="clear" w:color="auto" w:fill="C60C35"/>
          </w:tcPr>
          <w:p>
            <w:pPr>
              <w:spacing w:after="0"/>
              <w:rPr>
                <w:sz w:val="17"/>
                <w:szCs w:val="17"/>
                <w:color w:val="auto"/>
              </w:rPr>
            </w:pPr>
          </w:p>
        </w:tc>
        <w:tc>
          <w:tcPr>
            <w:tcW w:w="2320" w:type="dxa"/>
            <w:vAlign w:val="bottom"/>
            <w:gridSpan w:val="2"/>
            <w:shd w:val="clear" w:color="auto" w:fill="C60C35"/>
          </w:tcPr>
          <w:p>
            <w:pPr>
              <w:jc w:val="right"/>
              <w:ind w:right="857"/>
              <w:spacing w:after="0"/>
              <w:rPr>
                <w:sz w:val="20"/>
                <w:szCs w:val="20"/>
                <w:color w:val="auto"/>
              </w:rPr>
            </w:pPr>
            <w:r>
              <w:rPr>
                <w:rFonts w:ascii="Arial" w:cs="Arial" w:eastAsia="Arial" w:hAnsi="Arial"/>
                <w:sz w:val="13"/>
                <w:szCs w:val="13"/>
                <w:b w:val="1"/>
                <w:bCs w:val="1"/>
                <w:color w:val="FFFFFF"/>
                <w:w w:val="95"/>
              </w:rPr>
              <w:t>Options/SAR Awards</w:t>
            </w:r>
            <w:r>
              <w:rPr>
                <w:rFonts w:ascii="Arial" w:cs="Arial" w:eastAsia="Arial" w:hAnsi="Arial"/>
                <w:sz w:val="16"/>
                <w:szCs w:val="16"/>
                <w:b w:val="1"/>
                <w:bCs w:val="1"/>
                <w:color w:val="FFFFFF"/>
                <w:w w:val="95"/>
                <w:vertAlign w:val="superscript"/>
              </w:rPr>
              <w:t>(1)</w:t>
            </w:r>
          </w:p>
        </w:tc>
        <w:tc>
          <w:tcPr>
            <w:tcW w:w="1060" w:type="dxa"/>
            <w:vAlign w:val="bottom"/>
            <w:shd w:val="clear" w:color="auto" w:fill="C60C35"/>
          </w:tcPr>
          <w:p>
            <w:pPr>
              <w:spacing w:after="0"/>
              <w:rPr>
                <w:sz w:val="17"/>
                <w:szCs w:val="17"/>
                <w:color w:val="auto"/>
              </w:rPr>
            </w:pPr>
          </w:p>
        </w:tc>
      </w:tr>
      <w:tr>
        <w:trPr>
          <w:trHeight w:val="482"/>
        </w:trPr>
        <w:tc>
          <w:tcPr>
            <w:tcW w:w="1220" w:type="dxa"/>
            <w:vAlign w:val="bottom"/>
            <w:shd w:val="clear" w:color="auto" w:fill="C60C35"/>
          </w:tcPr>
          <w:p>
            <w:pPr>
              <w:spacing w:after="0"/>
              <w:rPr>
                <w:sz w:val="24"/>
                <w:szCs w:val="24"/>
                <w:color w:val="auto"/>
              </w:rPr>
            </w:pPr>
          </w:p>
        </w:tc>
        <w:tc>
          <w:tcPr>
            <w:tcW w:w="880" w:type="dxa"/>
            <w:vAlign w:val="bottom"/>
            <w:shd w:val="clear" w:color="auto" w:fill="C60C35"/>
          </w:tcPr>
          <w:p>
            <w:pPr>
              <w:spacing w:after="0"/>
              <w:rPr>
                <w:sz w:val="24"/>
                <w:szCs w:val="24"/>
                <w:color w:val="auto"/>
              </w:rPr>
            </w:pPr>
          </w:p>
        </w:tc>
        <w:tc>
          <w:tcPr>
            <w:tcW w:w="1080" w:type="dxa"/>
            <w:vAlign w:val="bottom"/>
            <w:shd w:val="clear" w:color="auto" w:fill="C60C35"/>
          </w:tcPr>
          <w:p>
            <w:pPr>
              <w:spacing w:after="0"/>
              <w:rPr>
                <w:sz w:val="24"/>
                <w:szCs w:val="24"/>
                <w:color w:val="auto"/>
              </w:rPr>
            </w:pPr>
          </w:p>
        </w:tc>
        <w:tc>
          <w:tcPr>
            <w:tcW w:w="13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020" w:type="dxa"/>
            <w:vAlign w:val="bottom"/>
            <w:shd w:val="clear" w:color="auto" w:fill="C60C35"/>
          </w:tcPr>
          <w:p>
            <w:pPr>
              <w:spacing w:after="0"/>
              <w:rPr>
                <w:sz w:val="24"/>
                <w:szCs w:val="24"/>
                <w:color w:val="auto"/>
              </w:rPr>
            </w:pPr>
          </w:p>
        </w:tc>
        <w:tc>
          <w:tcPr>
            <w:tcW w:w="1060" w:type="dxa"/>
            <w:vAlign w:val="bottom"/>
            <w:shd w:val="clear" w:color="auto" w:fill="C60C35"/>
          </w:tcPr>
          <w:p>
            <w:pPr>
              <w:spacing w:after="0"/>
              <w:rPr>
                <w:sz w:val="24"/>
                <w:szCs w:val="24"/>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3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1020" w:type="dxa"/>
            <w:vAlign w:val="bottom"/>
            <w:shd w:val="clear" w:color="auto" w:fill="C60C35"/>
          </w:tcPr>
          <w:p>
            <w:pPr>
              <w:spacing w:after="0"/>
              <w:rPr>
                <w:sz w:val="12"/>
                <w:szCs w:val="12"/>
                <w:color w:val="auto"/>
              </w:rPr>
            </w:pPr>
          </w:p>
        </w:tc>
        <w:tc>
          <w:tcPr>
            <w:tcW w:w="1060" w:type="dxa"/>
            <w:vAlign w:val="bottom"/>
            <w:shd w:val="clear" w:color="auto" w:fill="C60C35"/>
          </w:tcPr>
          <w:p>
            <w:pPr>
              <w:spacing w:after="0"/>
              <w:rPr>
                <w:sz w:val="12"/>
                <w:szCs w:val="12"/>
                <w:color w:val="auto"/>
              </w:rPr>
            </w:pPr>
          </w:p>
        </w:tc>
      </w:tr>
      <w:tr>
        <w:trPr>
          <w:trHeight w:val="149"/>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13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020" w:type="dxa"/>
            <w:vAlign w:val="bottom"/>
            <w:shd w:val="clear" w:color="auto" w:fill="C60C35"/>
          </w:tcPr>
          <w:p>
            <w:pPr>
              <w:spacing w:after="0"/>
              <w:rPr>
                <w:sz w:val="12"/>
                <w:szCs w:val="12"/>
                <w:color w:val="auto"/>
              </w:rPr>
            </w:pPr>
          </w:p>
        </w:tc>
        <w:tc>
          <w:tcPr>
            <w:tcW w:w="1060" w:type="dxa"/>
            <w:vAlign w:val="bottom"/>
            <w:shd w:val="clear" w:color="auto" w:fill="C60C35"/>
          </w:tcPr>
          <w:p>
            <w:pPr>
              <w:spacing w:after="0"/>
              <w:rPr>
                <w:sz w:val="12"/>
                <w:szCs w:val="12"/>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3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020" w:type="dxa"/>
            <w:vAlign w:val="bottom"/>
            <w:shd w:val="clear" w:color="auto" w:fill="C60C35"/>
          </w:tcPr>
          <w:p>
            <w:pPr>
              <w:spacing w:after="0"/>
              <w:rPr>
                <w:sz w:val="12"/>
                <w:szCs w:val="12"/>
                <w:color w:val="auto"/>
              </w:rPr>
            </w:pPr>
          </w:p>
        </w:tc>
        <w:tc>
          <w:tcPr>
            <w:tcW w:w="1060" w:type="dxa"/>
            <w:vAlign w:val="bottom"/>
            <w:shd w:val="clear" w:color="auto" w:fill="C60C35"/>
          </w:tcPr>
          <w:p>
            <w:pPr>
              <w:spacing w:after="0"/>
              <w:rPr>
                <w:sz w:val="12"/>
                <w:szCs w:val="12"/>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3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8"/>
              </w:rPr>
              <w:t>Options/</w:t>
            </w:r>
          </w:p>
        </w:tc>
        <w:tc>
          <w:tcPr>
            <w:tcW w:w="102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Option/ SAR</w:t>
            </w:r>
          </w:p>
        </w:tc>
        <w:tc>
          <w:tcPr>
            <w:tcW w:w="1060" w:type="dxa"/>
            <w:vAlign w:val="bottom"/>
            <w:shd w:val="clear" w:color="auto" w:fill="C60C35"/>
          </w:tcPr>
          <w:p>
            <w:pPr>
              <w:spacing w:after="0"/>
              <w:rPr>
                <w:sz w:val="12"/>
                <w:szCs w:val="12"/>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for Options/</w:t>
            </w:r>
          </w:p>
        </w:tc>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Options/ SARs</w:t>
            </w:r>
          </w:p>
        </w:tc>
        <w:tc>
          <w:tcPr>
            <w:tcW w:w="13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SARs (#)</w:t>
            </w:r>
          </w:p>
        </w:tc>
        <w:tc>
          <w:tcPr>
            <w:tcW w:w="102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Exercise Price</w:t>
            </w:r>
          </w:p>
        </w:tc>
        <w:tc>
          <w:tcPr>
            <w:tcW w:w="106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Option/ SAR</w:t>
            </w:r>
          </w:p>
        </w:tc>
      </w:tr>
      <w:tr>
        <w:trPr>
          <w:trHeight w:val="241"/>
        </w:trPr>
        <w:tc>
          <w:tcPr>
            <w:tcW w:w="122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3"/>
                <w:szCs w:val="13"/>
                <w:b w:val="1"/>
                <w:bCs w:val="1"/>
                <w:color w:val="FFFFFF"/>
              </w:rPr>
              <w:t>Name</w:t>
            </w:r>
          </w:p>
        </w:tc>
        <w:tc>
          <w:tcPr>
            <w:tcW w:w="88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3"/>
                <w:szCs w:val="13"/>
                <w:b w:val="1"/>
                <w:bCs w:val="1"/>
                <w:color w:val="FFFFFF"/>
                <w:w w:val="92"/>
              </w:rPr>
              <w:t>SARs</w:t>
            </w:r>
          </w:p>
        </w:tc>
        <w:tc>
          <w:tcPr>
            <w:tcW w:w="108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3"/>
                <w:szCs w:val="13"/>
                <w:b w:val="1"/>
                <w:bCs w:val="1"/>
                <w:color w:val="FFFFFF"/>
                <w:w w:val="93"/>
              </w:rPr>
              <w:t>(#) Exercisable</w:t>
            </w:r>
            <w:r>
              <w:rPr>
                <w:rFonts w:ascii="Arial" w:cs="Arial" w:eastAsia="Arial" w:hAnsi="Arial"/>
                <w:sz w:val="16"/>
                <w:szCs w:val="16"/>
                <w:b w:val="1"/>
                <w:bCs w:val="1"/>
                <w:color w:val="FFFFFF"/>
                <w:w w:val="93"/>
                <w:vertAlign w:val="superscript"/>
              </w:rPr>
              <w:t>(1)</w:t>
            </w:r>
          </w:p>
        </w:tc>
        <w:tc>
          <w:tcPr>
            <w:tcW w:w="130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3"/>
                <w:szCs w:val="13"/>
                <w:b w:val="1"/>
                <w:bCs w:val="1"/>
                <w:color w:val="FFFFFF"/>
                <w:w w:val="94"/>
              </w:rPr>
              <w:t>Unexercisable</w:t>
            </w:r>
            <w:r>
              <w:rPr>
                <w:rFonts w:ascii="Arial" w:cs="Arial" w:eastAsia="Arial" w:hAnsi="Arial"/>
                <w:sz w:val="16"/>
                <w:szCs w:val="16"/>
                <w:b w:val="1"/>
                <w:bCs w:val="1"/>
                <w:color w:val="FFFFFF"/>
                <w:w w:val="94"/>
                <w:vertAlign w:val="superscript"/>
              </w:rPr>
              <w:t>(1)</w:t>
            </w:r>
          </w:p>
        </w:tc>
        <w:tc>
          <w:tcPr>
            <w:tcW w:w="102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3"/>
                <w:szCs w:val="13"/>
                <w:b w:val="1"/>
                <w:bCs w:val="1"/>
                <w:color w:val="FFFFFF"/>
                <w:w w:val="93"/>
              </w:rPr>
              <w:t>($/Sh)</w:t>
            </w:r>
            <w:r>
              <w:rPr>
                <w:rFonts w:ascii="Arial" w:cs="Arial" w:eastAsia="Arial" w:hAnsi="Arial"/>
                <w:sz w:val="16"/>
                <w:szCs w:val="16"/>
                <w:b w:val="1"/>
                <w:bCs w:val="1"/>
                <w:color w:val="FFFFFF"/>
                <w:w w:val="93"/>
                <w:vertAlign w:val="superscript"/>
              </w:rPr>
              <w:t>(2)</w:t>
            </w:r>
          </w:p>
        </w:tc>
        <w:tc>
          <w:tcPr>
            <w:tcW w:w="106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Expiration Date</w:t>
            </w:r>
          </w:p>
        </w:tc>
      </w:tr>
      <w:tr>
        <w:trPr>
          <w:trHeight w:val="175"/>
        </w:trPr>
        <w:tc>
          <w:tcPr>
            <w:tcW w:w="1220" w:type="dxa"/>
            <w:vAlign w:val="bottom"/>
          </w:tcPr>
          <w:p>
            <w:pPr>
              <w:ind w:left="100"/>
              <w:spacing w:after="0"/>
              <w:rPr>
                <w:sz w:val="20"/>
                <w:szCs w:val="20"/>
                <w:color w:val="auto"/>
              </w:rPr>
            </w:pPr>
            <w:r>
              <w:rPr>
                <w:rFonts w:ascii="Arial" w:cs="Arial" w:eastAsia="Arial" w:hAnsi="Arial"/>
                <w:sz w:val="13"/>
                <w:szCs w:val="13"/>
                <w:color w:val="auto"/>
              </w:rPr>
              <w:t>Alok Maskara</w:t>
            </w:r>
          </w:p>
        </w:tc>
        <w:tc>
          <w:tcPr>
            <w:tcW w:w="880" w:type="dxa"/>
            <w:vAlign w:val="bottom"/>
          </w:tcPr>
          <w:p>
            <w:pPr>
              <w:jc w:val="right"/>
              <w:spacing w:after="0"/>
              <w:rPr>
                <w:sz w:val="20"/>
                <w:szCs w:val="20"/>
                <w:color w:val="auto"/>
              </w:rPr>
            </w:pPr>
            <w:r>
              <w:rPr>
                <w:rFonts w:ascii="Arial" w:cs="Arial" w:eastAsia="Arial" w:hAnsi="Arial"/>
                <w:sz w:val="13"/>
                <w:szCs w:val="13"/>
                <w:color w:val="auto"/>
              </w:rPr>
              <w:t>12/9/2022</w:t>
            </w:r>
          </w:p>
        </w:tc>
        <w:tc>
          <w:tcPr>
            <w:tcW w:w="1080" w:type="dxa"/>
            <w:vAlign w:val="bottom"/>
          </w:tcPr>
          <w:p>
            <w:pPr>
              <w:jc w:val="right"/>
              <w:spacing w:after="0"/>
              <w:rPr>
                <w:sz w:val="20"/>
                <w:szCs w:val="20"/>
                <w:color w:val="auto"/>
              </w:rPr>
            </w:pPr>
            <w:r>
              <w:rPr>
                <w:rFonts w:ascii="Arial" w:cs="Arial" w:eastAsia="Arial" w:hAnsi="Arial"/>
                <w:sz w:val="13"/>
                <w:szCs w:val="13"/>
                <w:color w:val="auto"/>
              </w:rPr>
              <w:t>10,031</w:t>
            </w:r>
          </w:p>
        </w:tc>
        <w:tc>
          <w:tcPr>
            <w:tcW w:w="1300" w:type="dxa"/>
            <w:vAlign w:val="bottom"/>
          </w:tcPr>
          <w:p>
            <w:pPr>
              <w:jc w:val="right"/>
              <w:spacing w:after="0"/>
              <w:rPr>
                <w:sz w:val="20"/>
                <w:szCs w:val="20"/>
                <w:color w:val="auto"/>
              </w:rPr>
            </w:pPr>
            <w:r>
              <w:rPr>
                <w:rFonts w:ascii="Arial" w:cs="Arial" w:eastAsia="Arial" w:hAnsi="Arial"/>
                <w:sz w:val="13"/>
                <w:szCs w:val="13"/>
                <w:color w:val="auto"/>
              </w:rPr>
              <w:t>5,016</w:t>
            </w:r>
          </w:p>
        </w:tc>
        <w:tc>
          <w:tcPr>
            <w:tcW w:w="1020" w:type="dxa"/>
            <w:vAlign w:val="bottom"/>
          </w:tcPr>
          <w:p>
            <w:pPr>
              <w:jc w:val="right"/>
              <w:spacing w:after="0"/>
              <w:rPr>
                <w:sz w:val="20"/>
                <w:szCs w:val="20"/>
                <w:color w:val="auto"/>
              </w:rPr>
            </w:pPr>
            <w:r>
              <w:rPr>
                <w:rFonts w:ascii="Arial" w:cs="Arial" w:eastAsia="Arial" w:hAnsi="Arial"/>
                <w:sz w:val="13"/>
                <w:szCs w:val="13"/>
                <w:color w:val="auto"/>
              </w:rPr>
              <w:t>259.56</w:t>
            </w:r>
          </w:p>
        </w:tc>
        <w:tc>
          <w:tcPr>
            <w:tcW w:w="1060" w:type="dxa"/>
            <w:vAlign w:val="bottom"/>
          </w:tcPr>
          <w:p>
            <w:pPr>
              <w:jc w:val="right"/>
              <w:spacing w:after="0"/>
              <w:rPr>
                <w:sz w:val="20"/>
                <w:szCs w:val="20"/>
                <w:color w:val="auto"/>
              </w:rPr>
            </w:pPr>
            <w:r>
              <w:rPr>
                <w:rFonts w:ascii="Arial" w:cs="Arial" w:eastAsia="Arial" w:hAnsi="Arial"/>
                <w:sz w:val="13"/>
                <w:szCs w:val="13"/>
                <w:color w:val="auto"/>
              </w:rPr>
              <w:t>12/9/2029</w:t>
            </w:r>
          </w:p>
        </w:tc>
      </w:tr>
      <w:tr>
        <w:trPr>
          <w:trHeight w:val="203"/>
        </w:trPr>
        <w:tc>
          <w:tcPr>
            <w:tcW w:w="1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2/5/2024</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8,360</w:t>
            </w:r>
          </w:p>
        </w:tc>
        <w:tc>
          <w:tcPr>
            <w:tcW w:w="1020" w:type="dxa"/>
            <w:vAlign w:val="bottom"/>
          </w:tcPr>
          <w:p>
            <w:pPr>
              <w:jc w:val="right"/>
              <w:spacing w:after="0"/>
              <w:rPr>
                <w:sz w:val="20"/>
                <w:szCs w:val="20"/>
                <w:color w:val="auto"/>
              </w:rPr>
            </w:pPr>
            <w:r>
              <w:rPr>
                <w:rFonts w:ascii="Arial" w:cs="Arial" w:eastAsia="Arial" w:hAnsi="Arial"/>
                <w:sz w:val="13"/>
                <w:szCs w:val="13"/>
                <w:color w:val="auto"/>
              </w:rPr>
              <w:t>418.69</w:t>
            </w:r>
          </w:p>
        </w:tc>
        <w:tc>
          <w:tcPr>
            <w:tcW w:w="1060" w:type="dxa"/>
            <w:vAlign w:val="bottom"/>
          </w:tcPr>
          <w:p>
            <w:pPr>
              <w:jc w:val="right"/>
              <w:spacing w:after="0"/>
              <w:rPr>
                <w:sz w:val="20"/>
                <w:szCs w:val="20"/>
                <w:color w:val="auto"/>
              </w:rPr>
            </w:pPr>
            <w:r>
              <w:rPr>
                <w:rFonts w:ascii="Arial" w:cs="Arial" w:eastAsia="Arial" w:hAnsi="Arial"/>
                <w:sz w:val="13"/>
                <w:szCs w:val="13"/>
                <w:color w:val="auto"/>
              </w:rPr>
              <w:t>2/5/2031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-1182370</wp:posOffset>
            </wp:positionV>
            <wp:extent cx="33858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FFFFFF"/>
        </w:rPr>
        <w:t>Stock Awards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shd w:val="clear" w:color="auto" w:fill="C60C35"/>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1260" w:type="dxa"/>
            <w:vAlign w:val="bottom"/>
          </w:tcPr>
          <w:p>
            <w:pPr>
              <w:jc w:val="center"/>
              <w:ind w:right="20"/>
              <w:spacing w:after="0"/>
              <w:rPr>
                <w:sz w:val="20"/>
                <w:szCs w:val="20"/>
                <w:color w:val="auto"/>
              </w:rPr>
            </w:pPr>
            <w:r>
              <w:rPr>
                <w:rFonts w:ascii="Arial" w:cs="Arial" w:eastAsia="Arial" w:hAnsi="Arial"/>
                <w:sz w:val="13"/>
                <w:szCs w:val="13"/>
                <w:b w:val="1"/>
                <w:bCs w:val="1"/>
                <w:color w:val="FFFFFF"/>
                <w:w w:val="98"/>
              </w:rPr>
              <w:t>Equity Incentive</w:t>
            </w:r>
          </w:p>
        </w:tc>
      </w:tr>
      <w:tr>
        <w:trPr>
          <w:trHeight w:val="148"/>
        </w:trPr>
        <w:tc>
          <w:tcPr>
            <w:tcW w:w="1080" w:type="dxa"/>
            <w:vAlign w:val="bottom"/>
            <w:shd w:val="clear" w:color="auto" w:fill="C60C35"/>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4"/>
              </w:rPr>
              <w:t>Plan</w:t>
            </w:r>
          </w:p>
        </w:tc>
        <w:tc>
          <w:tcPr>
            <w:tcW w:w="1260" w:type="dxa"/>
            <w:vAlign w:val="bottom"/>
          </w:tcPr>
          <w:p>
            <w:pPr>
              <w:jc w:val="center"/>
              <w:ind w:right="20"/>
              <w:spacing w:after="0"/>
              <w:rPr>
                <w:sz w:val="20"/>
                <w:szCs w:val="20"/>
                <w:color w:val="auto"/>
              </w:rPr>
            </w:pPr>
            <w:r>
              <w:rPr>
                <w:rFonts w:ascii="Arial" w:cs="Arial" w:eastAsia="Arial" w:hAnsi="Arial"/>
                <w:sz w:val="13"/>
                <w:szCs w:val="13"/>
                <w:b w:val="1"/>
                <w:bCs w:val="1"/>
                <w:color w:val="FFFFFF"/>
                <w:w w:val="94"/>
              </w:rPr>
              <w:t>Plan</w:t>
            </w:r>
          </w:p>
        </w:tc>
      </w:tr>
      <w:tr>
        <w:trPr>
          <w:trHeight w:val="148"/>
        </w:trPr>
        <w:tc>
          <w:tcPr>
            <w:tcW w:w="1080" w:type="dxa"/>
            <w:vAlign w:val="bottom"/>
            <w:shd w:val="clear" w:color="auto" w:fill="C60C35"/>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260" w:type="dxa"/>
            <w:vAlign w:val="bottom"/>
          </w:tcPr>
          <w:p>
            <w:pPr>
              <w:jc w:val="center"/>
              <w:ind w:right="20"/>
              <w:spacing w:after="0"/>
              <w:rPr>
                <w:sz w:val="20"/>
                <w:szCs w:val="20"/>
                <w:color w:val="auto"/>
              </w:rPr>
            </w:pPr>
            <w:r>
              <w:rPr>
                <w:rFonts w:ascii="Arial" w:cs="Arial" w:eastAsia="Arial" w:hAnsi="Arial"/>
                <w:sz w:val="13"/>
                <w:szCs w:val="13"/>
                <w:b w:val="1"/>
                <w:bCs w:val="1"/>
                <w:color w:val="FFFFFF"/>
                <w:w w:val="97"/>
              </w:rPr>
              <w:t>Awards:</w:t>
            </w:r>
          </w:p>
        </w:tc>
      </w:tr>
      <w:tr>
        <w:trPr>
          <w:trHeight w:val="148"/>
        </w:trPr>
        <w:tc>
          <w:tcPr>
            <w:tcW w:w="1080" w:type="dxa"/>
            <w:vAlign w:val="bottom"/>
            <w:shd w:val="clear" w:color="auto" w:fill="C60C35"/>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260" w:type="dxa"/>
            <w:vAlign w:val="bottom"/>
          </w:tcPr>
          <w:p>
            <w:pPr>
              <w:jc w:val="center"/>
              <w:ind w:right="20"/>
              <w:spacing w:after="0"/>
              <w:rPr>
                <w:sz w:val="20"/>
                <w:szCs w:val="20"/>
                <w:color w:val="auto"/>
              </w:rPr>
            </w:pPr>
            <w:r>
              <w:rPr>
                <w:rFonts w:ascii="Arial" w:cs="Arial" w:eastAsia="Arial" w:hAnsi="Arial"/>
                <w:sz w:val="13"/>
                <w:szCs w:val="13"/>
                <w:b w:val="1"/>
                <w:bCs w:val="1"/>
                <w:color w:val="FFFFFF"/>
                <w:w w:val="96"/>
              </w:rPr>
              <w:t>Market or Payout</w:t>
            </w:r>
          </w:p>
        </w:tc>
      </w:tr>
      <w:tr>
        <w:trPr>
          <w:trHeight w:val="148"/>
        </w:trPr>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FFFFFF"/>
                <w:w w:val="95"/>
              </w:rPr>
              <w:t>Market Value of</w:t>
            </w:r>
          </w:p>
        </w:tc>
        <w:tc>
          <w:tcPr>
            <w:tcW w:w="23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FFFFFF"/>
                <w:w w:val="98"/>
              </w:rPr>
              <w:t>Unearned Shares, Value of Unearned</w:t>
            </w:r>
          </w:p>
        </w:tc>
      </w:tr>
      <w:tr>
        <w:trPr>
          <w:trHeight w:val="162"/>
        </w:trPr>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Shares or Units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FFFFFF"/>
                <w:w w:val="96"/>
              </w:rPr>
              <w:t>Shares or Units of</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6"/>
              </w:rPr>
              <w:t>Units or Other</w:t>
            </w:r>
          </w:p>
        </w:tc>
        <w:tc>
          <w:tcPr>
            <w:tcW w:w="1260" w:type="dxa"/>
            <w:vAlign w:val="bottom"/>
          </w:tcPr>
          <w:p>
            <w:pPr>
              <w:jc w:val="center"/>
              <w:ind w:right="20"/>
              <w:spacing w:after="0"/>
              <w:rPr>
                <w:sz w:val="20"/>
                <w:szCs w:val="20"/>
                <w:color w:val="auto"/>
              </w:rPr>
            </w:pPr>
            <w:r>
              <w:rPr>
                <w:rFonts w:ascii="Arial" w:cs="Arial" w:eastAsia="Arial" w:hAnsi="Arial"/>
                <w:sz w:val="13"/>
                <w:szCs w:val="13"/>
                <w:b w:val="1"/>
                <w:bCs w:val="1"/>
                <w:color w:val="FFFFFF"/>
                <w:w w:val="98"/>
              </w:rPr>
              <w:t>Shares, Units or</w:t>
            </w:r>
          </w:p>
        </w:tc>
      </w:tr>
      <w:tr>
        <w:trPr>
          <w:trHeight w:val="148"/>
        </w:trPr>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of Stock That</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FFFFFF"/>
                <w:w w:val="96"/>
              </w:rPr>
              <w:t>Stock That Have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6"/>
              </w:rPr>
              <w:t>Rights That Have</w:t>
            </w:r>
          </w:p>
        </w:tc>
        <w:tc>
          <w:tcPr>
            <w:tcW w:w="1260" w:type="dxa"/>
            <w:vAlign w:val="bottom"/>
          </w:tcPr>
          <w:p>
            <w:pPr>
              <w:jc w:val="center"/>
              <w:ind w:right="20"/>
              <w:spacing w:after="0"/>
              <w:rPr>
                <w:sz w:val="20"/>
                <w:szCs w:val="20"/>
                <w:color w:val="auto"/>
              </w:rPr>
            </w:pPr>
            <w:r>
              <w:rPr>
                <w:rFonts w:ascii="Arial" w:cs="Arial" w:eastAsia="Arial" w:hAnsi="Arial"/>
                <w:sz w:val="13"/>
                <w:szCs w:val="13"/>
                <w:b w:val="1"/>
                <w:bCs w:val="1"/>
                <w:color w:val="FFFFFF"/>
                <w:w w:val="96"/>
              </w:rPr>
              <w:t>Other Rights That</w:t>
            </w:r>
          </w:p>
        </w:tc>
      </w:tr>
      <w:tr>
        <w:trPr>
          <w:trHeight w:val="148"/>
        </w:trPr>
        <w:tc>
          <w:tcPr>
            <w:tcW w:w="10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Have Not Vested</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FFFFFF"/>
                <w:w w:val="94"/>
              </w:rPr>
              <w:t>Not Vested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4"/>
              </w:rPr>
              <w:t>Not Vested</w:t>
            </w:r>
          </w:p>
        </w:tc>
        <w:tc>
          <w:tcPr>
            <w:tcW w:w="1260" w:type="dxa"/>
            <w:vAlign w:val="bottom"/>
          </w:tcPr>
          <w:p>
            <w:pPr>
              <w:jc w:val="center"/>
              <w:ind w:right="20"/>
              <w:spacing w:after="0"/>
              <w:rPr>
                <w:sz w:val="20"/>
                <w:szCs w:val="20"/>
                <w:color w:val="auto"/>
              </w:rPr>
            </w:pPr>
            <w:r>
              <w:rPr>
                <w:rFonts w:ascii="Arial" w:cs="Arial" w:eastAsia="Arial" w:hAnsi="Arial"/>
                <w:sz w:val="13"/>
                <w:szCs w:val="13"/>
                <w:b w:val="1"/>
                <w:bCs w:val="1"/>
                <w:color w:val="FFFFFF"/>
                <w:w w:val="95"/>
              </w:rPr>
              <w:t>Have Not Vested</w:t>
            </w:r>
          </w:p>
        </w:tc>
      </w:tr>
      <w:tr>
        <w:trPr>
          <w:trHeight w:val="241"/>
        </w:trPr>
        <w:tc>
          <w:tcPr>
            <w:tcW w:w="1080" w:type="dxa"/>
            <w:vAlign w:val="bottom"/>
            <w:tcBorders>
              <w:bottom w:val="single" w:sz="8" w:color="C60C35"/>
            </w:tcBorders>
            <w:shd w:val="clear" w:color="auto" w:fill="C60C35"/>
          </w:tcPr>
          <w:p>
            <w:pPr>
              <w:jc w:val="center"/>
              <w:spacing w:after="0" w:line="207" w:lineRule="exact"/>
              <w:rPr>
                <w:sz w:val="20"/>
                <w:szCs w:val="20"/>
                <w:color w:val="auto"/>
              </w:rPr>
            </w:pPr>
            <w:r>
              <w:rPr>
                <w:rFonts w:ascii="Arial" w:cs="Arial" w:eastAsia="Arial" w:hAnsi="Arial"/>
                <w:sz w:val="24"/>
                <w:szCs w:val="24"/>
                <w:b w:val="1"/>
                <w:bCs w:val="1"/>
                <w:color w:val="FFFFFF"/>
                <w:w w:val="88"/>
                <w:vertAlign w:val="subscript"/>
              </w:rPr>
              <w:t>(#)</w:t>
            </w:r>
            <w:r>
              <w:rPr>
                <w:rFonts w:ascii="Arial" w:cs="Arial" w:eastAsia="Arial" w:hAnsi="Arial"/>
                <w:sz w:val="8"/>
                <w:szCs w:val="8"/>
                <w:b w:val="1"/>
                <w:bCs w:val="1"/>
                <w:color w:val="FFFFFF"/>
                <w:w w:val="88"/>
              </w:rPr>
              <w:t>(3)</w:t>
            </w:r>
          </w:p>
        </w:tc>
        <w:tc>
          <w:tcPr>
            <w:tcW w:w="1140" w:type="dxa"/>
            <w:vAlign w:val="bottom"/>
            <w:tcBorders>
              <w:bottom w:val="single" w:sz="8" w:color="C60C35"/>
            </w:tcBorders>
          </w:tcPr>
          <w:p>
            <w:pPr>
              <w:jc w:val="center"/>
              <w:spacing w:after="0" w:line="207" w:lineRule="exact"/>
              <w:rPr>
                <w:sz w:val="20"/>
                <w:szCs w:val="20"/>
                <w:color w:val="auto"/>
              </w:rPr>
            </w:pPr>
            <w:r>
              <w:rPr>
                <w:rFonts w:ascii="Arial" w:cs="Arial" w:eastAsia="Arial" w:hAnsi="Arial"/>
                <w:sz w:val="24"/>
                <w:szCs w:val="24"/>
                <w:b w:val="1"/>
                <w:bCs w:val="1"/>
                <w:color w:val="FFFFFF"/>
                <w:w w:val="88"/>
                <w:vertAlign w:val="subscript"/>
              </w:rPr>
              <w:t>($)</w:t>
            </w:r>
            <w:r>
              <w:rPr>
                <w:rFonts w:ascii="Arial" w:cs="Arial" w:eastAsia="Arial" w:hAnsi="Arial"/>
                <w:sz w:val="8"/>
                <w:szCs w:val="8"/>
                <w:b w:val="1"/>
                <w:bCs w:val="1"/>
                <w:color w:val="FFFFFF"/>
                <w:w w:val="88"/>
              </w:rPr>
              <w:t>(4)</w:t>
            </w:r>
          </w:p>
        </w:tc>
        <w:tc>
          <w:tcPr>
            <w:tcW w:w="1120" w:type="dxa"/>
            <w:vAlign w:val="bottom"/>
            <w:tcBorders>
              <w:bottom w:val="single" w:sz="8" w:color="C60C35"/>
            </w:tcBorders>
          </w:tcPr>
          <w:p>
            <w:pPr>
              <w:jc w:val="center"/>
              <w:spacing w:after="0" w:line="207" w:lineRule="exact"/>
              <w:rPr>
                <w:sz w:val="20"/>
                <w:szCs w:val="20"/>
                <w:color w:val="auto"/>
              </w:rPr>
            </w:pPr>
            <w:r>
              <w:rPr>
                <w:rFonts w:ascii="Arial" w:cs="Arial" w:eastAsia="Arial" w:hAnsi="Arial"/>
                <w:sz w:val="24"/>
                <w:szCs w:val="24"/>
                <w:b w:val="1"/>
                <w:bCs w:val="1"/>
                <w:color w:val="FFFFFF"/>
                <w:w w:val="81"/>
                <w:vertAlign w:val="subscript"/>
              </w:rPr>
              <w:t>(#)</w:t>
            </w:r>
            <w:r>
              <w:rPr>
                <w:rFonts w:ascii="Arial" w:cs="Arial" w:eastAsia="Arial" w:hAnsi="Arial"/>
                <w:sz w:val="8"/>
                <w:szCs w:val="8"/>
                <w:b w:val="1"/>
                <w:bCs w:val="1"/>
                <w:color w:val="FFFFFF"/>
                <w:w w:val="81"/>
              </w:rPr>
              <w:t>(5)</w:t>
            </w:r>
          </w:p>
        </w:tc>
        <w:tc>
          <w:tcPr>
            <w:tcW w:w="1260" w:type="dxa"/>
            <w:vAlign w:val="bottom"/>
            <w:tcBorders>
              <w:bottom w:val="single" w:sz="8" w:color="C60C35"/>
            </w:tcBorders>
          </w:tcPr>
          <w:p>
            <w:pPr>
              <w:jc w:val="center"/>
              <w:ind w:right="20"/>
              <w:spacing w:after="0" w:line="207" w:lineRule="exact"/>
              <w:rPr>
                <w:sz w:val="20"/>
                <w:szCs w:val="20"/>
                <w:color w:val="auto"/>
              </w:rPr>
            </w:pPr>
            <w:r>
              <w:rPr>
                <w:rFonts w:ascii="Arial" w:cs="Arial" w:eastAsia="Arial" w:hAnsi="Arial"/>
                <w:sz w:val="24"/>
                <w:szCs w:val="24"/>
                <w:b w:val="1"/>
                <w:bCs w:val="1"/>
                <w:color w:val="FFFFFF"/>
                <w:w w:val="88"/>
                <w:vertAlign w:val="subscript"/>
              </w:rPr>
              <w:t>($)</w:t>
            </w:r>
            <w:r>
              <w:rPr>
                <w:rFonts w:ascii="Arial" w:cs="Arial" w:eastAsia="Arial" w:hAnsi="Arial"/>
                <w:sz w:val="8"/>
                <w:szCs w:val="8"/>
                <w:b w:val="1"/>
                <w:bCs w:val="1"/>
                <w:color w:val="FFFFFF"/>
                <w:w w:val="88"/>
              </w:rPr>
              <w:t>(4)</w:t>
            </w:r>
          </w:p>
        </w:tc>
      </w:tr>
      <w:tr>
        <w:trPr>
          <w:trHeight w:val="175"/>
        </w:trPr>
        <w:tc>
          <w:tcPr>
            <w:tcW w:w="1080" w:type="dxa"/>
            <w:vAlign w:val="bottom"/>
          </w:tcPr>
          <w:p>
            <w:pPr>
              <w:jc w:val="right"/>
              <w:ind w:right="1"/>
              <w:spacing w:after="0"/>
              <w:rPr>
                <w:sz w:val="20"/>
                <w:szCs w:val="20"/>
                <w:color w:val="auto"/>
              </w:rPr>
            </w:pPr>
            <w:r>
              <w:rPr>
                <w:rFonts w:ascii="Arial" w:cs="Arial" w:eastAsia="Arial" w:hAnsi="Arial"/>
                <w:sz w:val="13"/>
                <w:szCs w:val="13"/>
                <w:color w:val="auto"/>
              </w:rPr>
              <w:t>9,750</w:t>
            </w:r>
          </w:p>
        </w:tc>
        <w:tc>
          <w:tcPr>
            <w:tcW w:w="1140" w:type="dxa"/>
            <w:vAlign w:val="bottom"/>
          </w:tcPr>
          <w:p>
            <w:pPr>
              <w:jc w:val="right"/>
              <w:ind w:right="21"/>
              <w:spacing w:after="0"/>
              <w:rPr>
                <w:sz w:val="20"/>
                <w:szCs w:val="20"/>
                <w:color w:val="auto"/>
              </w:rPr>
            </w:pPr>
            <w:r>
              <w:rPr>
                <w:rFonts w:ascii="Arial" w:cs="Arial" w:eastAsia="Arial" w:hAnsi="Arial"/>
                <w:sz w:val="13"/>
                <w:szCs w:val="13"/>
                <w:color w:val="auto"/>
              </w:rPr>
              <w:t>5,940,675</w:t>
            </w:r>
          </w:p>
        </w:tc>
        <w:tc>
          <w:tcPr>
            <w:tcW w:w="1120" w:type="dxa"/>
            <w:vAlign w:val="bottom"/>
          </w:tcPr>
          <w:p>
            <w:pPr>
              <w:jc w:val="right"/>
              <w:spacing w:after="0"/>
              <w:rPr>
                <w:sz w:val="20"/>
                <w:szCs w:val="20"/>
                <w:color w:val="auto"/>
              </w:rPr>
            </w:pPr>
            <w:r>
              <w:rPr>
                <w:rFonts w:ascii="Arial" w:cs="Arial" w:eastAsia="Arial" w:hAnsi="Arial"/>
                <w:sz w:val="13"/>
                <w:szCs w:val="13"/>
                <w:color w:val="auto"/>
              </w:rPr>
              <w:t>32,500</w:t>
            </w:r>
          </w:p>
        </w:tc>
        <w:tc>
          <w:tcPr>
            <w:tcW w:w="1260" w:type="dxa"/>
            <w:vAlign w:val="bottom"/>
          </w:tcPr>
          <w:p>
            <w:pPr>
              <w:jc w:val="right"/>
              <w:ind w:right="100"/>
              <w:spacing w:after="0"/>
              <w:rPr>
                <w:sz w:val="20"/>
                <w:szCs w:val="20"/>
                <w:color w:val="auto"/>
              </w:rPr>
            </w:pPr>
            <w:r>
              <w:rPr>
                <w:rFonts w:ascii="Arial" w:cs="Arial" w:eastAsia="Arial" w:hAnsi="Arial"/>
                <w:sz w:val="13"/>
                <w:szCs w:val="13"/>
                <w:color w:val="auto"/>
              </w:rPr>
              <w:t>19,802,250</w:t>
            </w:r>
          </w:p>
        </w:tc>
      </w:tr>
    </w:tbl>
    <w:p>
      <w:pPr>
        <w:spacing w:after="0" w:line="230" w:lineRule="exact"/>
        <w:rPr>
          <w:sz w:val="20"/>
          <w:szCs w:val="20"/>
          <w:color w:val="auto"/>
        </w:rPr>
      </w:pPr>
    </w:p>
    <w:p>
      <w:pPr>
        <w:sectPr>
          <w:pgSz w:w="11900" w:h="16838" w:orient="portrait"/>
          <w:cols w:equalWidth="0" w:num="2">
            <w:col w:w="6560" w:space="80"/>
            <w:col w:w="460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1220" w:type="dxa"/>
            <w:vAlign w:val="bottom"/>
            <w:shd w:val="clear" w:color="auto" w:fill="F1F2F2"/>
          </w:tcPr>
          <w:p>
            <w:pPr>
              <w:ind w:left="100"/>
              <w:spacing w:after="0"/>
              <w:rPr>
                <w:sz w:val="20"/>
                <w:szCs w:val="20"/>
                <w:color w:val="auto"/>
              </w:rPr>
            </w:pPr>
            <w:r>
              <w:rPr>
                <w:rFonts w:ascii="Arial" w:cs="Arial" w:eastAsia="Arial" w:hAnsi="Arial"/>
                <w:sz w:val="13"/>
                <w:szCs w:val="13"/>
                <w:color w:val="auto"/>
                <w:w w:val="96"/>
              </w:rPr>
              <w:t>Michael P. Quenzer</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12/11/2020</w:t>
            </w:r>
          </w:p>
        </w:tc>
        <w:tc>
          <w:tcPr>
            <w:tcW w:w="10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635</w:t>
            </w:r>
          </w:p>
        </w:tc>
        <w:tc>
          <w:tcPr>
            <w:tcW w:w="40" w:type="dxa"/>
            <w:vAlign w:val="bottom"/>
            <w:shd w:val="clear" w:color="auto" w:fill="F1F2F2"/>
          </w:tcPr>
          <w:p>
            <w:pPr>
              <w:spacing w:after="0"/>
              <w:rPr>
                <w:sz w:val="16"/>
                <w:szCs w:val="16"/>
                <w:color w:val="auto"/>
              </w:rPr>
            </w:pPr>
          </w:p>
        </w:tc>
        <w:tc>
          <w:tcPr>
            <w:tcW w:w="12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F1F2F2"/>
          </w:tcPr>
          <w:p>
            <w:pPr>
              <w:jc w:val="right"/>
              <w:ind w:right="177"/>
              <w:spacing w:after="0"/>
              <w:rPr>
                <w:sz w:val="20"/>
                <w:szCs w:val="20"/>
                <w:color w:val="auto"/>
              </w:rPr>
            </w:pPr>
            <w:r>
              <w:rPr>
                <w:rFonts w:ascii="Arial" w:cs="Arial" w:eastAsia="Arial" w:hAnsi="Arial"/>
                <w:sz w:val="13"/>
                <w:szCs w:val="13"/>
                <w:color w:val="auto"/>
              </w:rPr>
              <w:t>278.00</w:t>
            </w:r>
          </w:p>
        </w:tc>
        <w:tc>
          <w:tcPr>
            <w:tcW w:w="1260" w:type="dxa"/>
            <w:vAlign w:val="bottom"/>
            <w:vMerge w:val="restart"/>
            <w:shd w:val="clear" w:color="auto" w:fill="F1F2F2"/>
          </w:tcPr>
          <w:p>
            <w:pPr>
              <w:jc w:val="right"/>
              <w:ind w:right="337"/>
              <w:spacing w:after="0"/>
              <w:rPr>
                <w:sz w:val="20"/>
                <w:szCs w:val="20"/>
                <w:color w:val="auto"/>
              </w:rPr>
            </w:pPr>
            <w:r>
              <w:rPr>
                <w:rFonts w:ascii="Arial" w:cs="Arial" w:eastAsia="Arial" w:hAnsi="Arial"/>
                <w:sz w:val="13"/>
                <w:szCs w:val="13"/>
                <w:color w:val="auto"/>
              </w:rPr>
              <w:t>12/11/2027</w:t>
            </w:r>
          </w:p>
        </w:tc>
        <w:tc>
          <w:tcPr>
            <w:tcW w:w="1000" w:type="dxa"/>
            <w:vAlign w:val="bottom"/>
            <w:vMerge w:val="restart"/>
            <w:shd w:val="clear" w:color="auto" w:fill="F1F2F2"/>
          </w:tcPr>
          <w:p>
            <w:pPr>
              <w:jc w:val="right"/>
              <w:ind w:right="217"/>
              <w:spacing w:after="0"/>
              <w:rPr>
                <w:sz w:val="20"/>
                <w:szCs w:val="20"/>
                <w:color w:val="auto"/>
              </w:rPr>
            </w:pPr>
            <w:r>
              <w:rPr>
                <w:rFonts w:ascii="Arial" w:cs="Arial" w:eastAsia="Arial" w:hAnsi="Arial"/>
                <w:sz w:val="13"/>
                <w:szCs w:val="13"/>
                <w:color w:val="auto"/>
              </w:rPr>
              <w:t>928</w:t>
            </w:r>
          </w:p>
        </w:tc>
        <w:tc>
          <w:tcPr>
            <w:tcW w:w="1260" w:type="dxa"/>
            <w:vAlign w:val="bottom"/>
            <w:vMerge w:val="restart"/>
            <w:shd w:val="clear" w:color="auto" w:fill="F1F2F2"/>
          </w:tcPr>
          <w:p>
            <w:pPr>
              <w:jc w:val="right"/>
              <w:ind w:right="357"/>
              <w:spacing w:after="0"/>
              <w:rPr>
                <w:sz w:val="20"/>
                <w:szCs w:val="20"/>
                <w:color w:val="auto"/>
              </w:rPr>
            </w:pPr>
            <w:r>
              <w:rPr>
                <w:rFonts w:ascii="Arial" w:cs="Arial" w:eastAsia="Arial" w:hAnsi="Arial"/>
                <w:sz w:val="13"/>
                <w:szCs w:val="13"/>
                <w:color w:val="auto"/>
              </w:rPr>
              <w:t>565,430</w:t>
            </w:r>
          </w:p>
        </w:tc>
        <w:tc>
          <w:tcPr>
            <w:tcW w:w="1020" w:type="dxa"/>
            <w:vAlign w:val="bottom"/>
            <w:vMerge w:val="restart"/>
            <w:shd w:val="clear" w:color="auto" w:fill="F1F2F2"/>
          </w:tcPr>
          <w:p>
            <w:pPr>
              <w:jc w:val="right"/>
              <w:ind w:right="217"/>
              <w:spacing w:after="0"/>
              <w:rPr>
                <w:sz w:val="20"/>
                <w:szCs w:val="20"/>
                <w:color w:val="auto"/>
              </w:rPr>
            </w:pPr>
            <w:r>
              <w:rPr>
                <w:rFonts w:ascii="Arial" w:cs="Arial" w:eastAsia="Arial" w:hAnsi="Arial"/>
                <w:sz w:val="13"/>
                <w:szCs w:val="13"/>
                <w:color w:val="auto"/>
              </w:rPr>
              <w:t>3,094</w:t>
            </w:r>
          </w:p>
        </w:tc>
        <w:tc>
          <w:tcPr>
            <w:tcW w:w="102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1,885,174</w:t>
            </w:r>
          </w:p>
        </w:tc>
        <w:tc>
          <w:tcPr>
            <w:tcW w:w="0" w:type="dxa"/>
            <w:vAlign w:val="bottom"/>
          </w:tcPr>
          <w:p>
            <w:pPr>
              <w:spacing w:after="0"/>
              <w:rPr>
                <w:sz w:val="1"/>
                <w:szCs w:val="1"/>
                <w:color w:val="auto"/>
              </w:rPr>
            </w:pPr>
          </w:p>
        </w:tc>
      </w:tr>
      <w:tr>
        <w:trPr>
          <w:trHeight w:val="43"/>
        </w:trPr>
        <w:tc>
          <w:tcPr>
            <w:tcW w:w="1220" w:type="dxa"/>
            <w:vAlign w:val="bottom"/>
            <w:shd w:val="clear" w:color="auto" w:fill="F1F2F2"/>
          </w:tcPr>
          <w:p>
            <w:pPr>
              <w:spacing w:after="0"/>
              <w:rPr>
                <w:sz w:val="3"/>
                <w:szCs w:val="3"/>
                <w:color w:val="auto"/>
              </w:rPr>
            </w:pPr>
          </w:p>
        </w:tc>
        <w:tc>
          <w:tcPr>
            <w:tcW w:w="880" w:type="dxa"/>
            <w:vAlign w:val="bottom"/>
            <w:vMerge w:val="continue"/>
            <w:shd w:val="clear" w:color="auto" w:fill="F1F2F2"/>
          </w:tcPr>
          <w:p>
            <w:pPr>
              <w:spacing w:after="0"/>
              <w:rPr>
                <w:sz w:val="3"/>
                <w:szCs w:val="3"/>
                <w:color w:val="auto"/>
              </w:rPr>
            </w:pPr>
          </w:p>
        </w:tc>
        <w:tc>
          <w:tcPr>
            <w:tcW w:w="1060" w:type="dxa"/>
            <w:vAlign w:val="bottom"/>
            <w:vMerge w:val="continue"/>
            <w:shd w:val="clear" w:color="auto" w:fill="F1F2F2"/>
          </w:tcPr>
          <w:p>
            <w:pPr>
              <w:spacing w:after="0"/>
              <w:rPr>
                <w:sz w:val="3"/>
                <w:szCs w:val="3"/>
                <w:color w:val="auto"/>
              </w:rPr>
            </w:pPr>
          </w:p>
        </w:tc>
        <w:tc>
          <w:tcPr>
            <w:tcW w:w="40" w:type="dxa"/>
            <w:vAlign w:val="bottom"/>
            <w:shd w:val="clear" w:color="auto" w:fill="F1F2F2"/>
          </w:tcPr>
          <w:p>
            <w:pPr>
              <w:spacing w:after="0"/>
              <w:rPr>
                <w:sz w:val="3"/>
                <w:szCs w:val="3"/>
                <w:color w:val="auto"/>
              </w:rPr>
            </w:pPr>
          </w:p>
        </w:tc>
        <w:tc>
          <w:tcPr>
            <w:tcW w:w="1240" w:type="dxa"/>
            <w:vAlign w:val="bottom"/>
            <w:vMerge w:val="continue"/>
            <w:shd w:val="clear" w:color="auto" w:fill="F1F2F2"/>
          </w:tcPr>
          <w:p>
            <w:pPr>
              <w:spacing w:after="0"/>
              <w:rPr>
                <w:sz w:val="3"/>
                <w:szCs w:val="3"/>
                <w:color w:val="auto"/>
              </w:rPr>
            </w:pPr>
          </w:p>
        </w:tc>
        <w:tc>
          <w:tcPr>
            <w:tcW w:w="1240" w:type="dxa"/>
            <w:vAlign w:val="bottom"/>
            <w:vMerge w:val="continue"/>
            <w:shd w:val="clear" w:color="auto" w:fill="F1F2F2"/>
          </w:tcPr>
          <w:p>
            <w:pPr>
              <w:spacing w:after="0"/>
              <w:rPr>
                <w:sz w:val="3"/>
                <w:szCs w:val="3"/>
                <w:color w:val="auto"/>
              </w:rPr>
            </w:pPr>
          </w:p>
        </w:tc>
        <w:tc>
          <w:tcPr>
            <w:tcW w:w="1260" w:type="dxa"/>
            <w:vAlign w:val="bottom"/>
            <w:vMerge w:val="continue"/>
            <w:shd w:val="clear" w:color="auto" w:fill="F1F2F2"/>
          </w:tcPr>
          <w:p>
            <w:pPr>
              <w:spacing w:after="0"/>
              <w:rPr>
                <w:sz w:val="3"/>
                <w:szCs w:val="3"/>
                <w:color w:val="auto"/>
              </w:rPr>
            </w:pPr>
          </w:p>
        </w:tc>
        <w:tc>
          <w:tcPr>
            <w:tcW w:w="1000" w:type="dxa"/>
            <w:vAlign w:val="bottom"/>
            <w:vMerge w:val="continue"/>
            <w:shd w:val="clear" w:color="auto" w:fill="F1F2F2"/>
          </w:tcPr>
          <w:p>
            <w:pPr>
              <w:spacing w:after="0"/>
              <w:rPr>
                <w:sz w:val="3"/>
                <w:szCs w:val="3"/>
                <w:color w:val="auto"/>
              </w:rPr>
            </w:pPr>
          </w:p>
        </w:tc>
        <w:tc>
          <w:tcPr>
            <w:tcW w:w="1260" w:type="dxa"/>
            <w:vAlign w:val="bottom"/>
            <w:vMerge w:val="continue"/>
            <w:shd w:val="clear" w:color="auto" w:fill="F1F2F2"/>
          </w:tcPr>
          <w:p>
            <w:pPr>
              <w:spacing w:after="0"/>
              <w:rPr>
                <w:sz w:val="3"/>
                <w:szCs w:val="3"/>
                <w:color w:val="auto"/>
              </w:rPr>
            </w:pPr>
          </w:p>
        </w:tc>
        <w:tc>
          <w:tcPr>
            <w:tcW w:w="1020" w:type="dxa"/>
            <w:vAlign w:val="bottom"/>
            <w:vMerge w:val="continue"/>
            <w:shd w:val="clear" w:color="auto" w:fill="F1F2F2"/>
          </w:tcPr>
          <w:p>
            <w:pPr>
              <w:spacing w:after="0"/>
              <w:rPr>
                <w:sz w:val="3"/>
                <w:szCs w:val="3"/>
                <w:color w:val="auto"/>
              </w:rPr>
            </w:pPr>
          </w:p>
        </w:tc>
        <w:tc>
          <w:tcPr>
            <w:tcW w:w="1020" w:type="dxa"/>
            <w:vAlign w:val="bottom"/>
            <w:vMerge w:val="continue"/>
            <w:shd w:val="clear" w:color="auto" w:fill="F1F2F2"/>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1220" w:type="dxa"/>
            <w:vAlign w:val="bottom"/>
            <w:shd w:val="clear" w:color="auto" w:fill="F1F2F2"/>
          </w:tcPr>
          <w:p>
            <w:pPr>
              <w:spacing w:after="0"/>
              <w:rPr>
                <w:sz w:val="24"/>
                <w:szCs w:val="24"/>
                <w:color w:val="auto"/>
              </w:rPr>
            </w:pPr>
          </w:p>
        </w:tc>
        <w:tc>
          <w:tcPr>
            <w:tcW w:w="8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12/10/2021</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556</w:t>
            </w:r>
          </w:p>
        </w:tc>
        <w:tc>
          <w:tcPr>
            <w:tcW w:w="40" w:type="dxa"/>
            <w:vAlign w:val="bottom"/>
            <w:shd w:val="clear" w:color="auto" w:fill="F1F2F2"/>
          </w:tcPr>
          <w:p>
            <w:pPr>
              <w:spacing w:after="0"/>
              <w:rPr>
                <w:sz w:val="24"/>
                <w:szCs w:val="24"/>
                <w:color w:val="auto"/>
              </w:rPr>
            </w:pP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328.65</w:t>
            </w:r>
          </w:p>
        </w:tc>
        <w:tc>
          <w:tcPr>
            <w:tcW w:w="1260" w:type="dxa"/>
            <w:vAlign w:val="bottom"/>
            <w:shd w:val="clear" w:color="auto" w:fill="F1F2F2"/>
          </w:tcPr>
          <w:p>
            <w:pPr>
              <w:jc w:val="right"/>
              <w:ind w:right="337"/>
              <w:spacing w:after="0"/>
              <w:rPr>
                <w:sz w:val="20"/>
                <w:szCs w:val="20"/>
                <w:color w:val="auto"/>
              </w:rPr>
            </w:pPr>
            <w:r>
              <w:rPr>
                <w:rFonts w:ascii="Arial" w:cs="Arial" w:eastAsia="Arial" w:hAnsi="Arial"/>
                <w:sz w:val="13"/>
                <w:szCs w:val="13"/>
                <w:color w:val="auto"/>
              </w:rPr>
              <w:t>12/10/2028</w:t>
            </w:r>
          </w:p>
        </w:tc>
        <w:tc>
          <w:tcPr>
            <w:tcW w:w="1000" w:type="dxa"/>
            <w:vAlign w:val="bottom"/>
            <w:shd w:val="clear" w:color="auto" w:fill="F1F2F2"/>
          </w:tcPr>
          <w:p>
            <w:pPr>
              <w:spacing w:after="0"/>
              <w:rPr>
                <w:sz w:val="24"/>
                <w:szCs w:val="24"/>
                <w:color w:val="auto"/>
              </w:rPr>
            </w:pPr>
          </w:p>
        </w:tc>
        <w:tc>
          <w:tcPr>
            <w:tcW w:w="126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20" w:type="dxa"/>
            <w:vAlign w:val="bottom"/>
            <w:shd w:val="clear" w:color="auto" w:fill="F1F2F2"/>
          </w:tcPr>
          <w:p>
            <w:pPr>
              <w:spacing w:after="0"/>
              <w:rPr>
                <w:sz w:val="23"/>
                <w:szCs w:val="23"/>
                <w:color w:val="auto"/>
              </w:rPr>
            </w:pPr>
          </w:p>
        </w:tc>
        <w:tc>
          <w:tcPr>
            <w:tcW w:w="8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12/9/2022</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421</w:t>
            </w:r>
          </w:p>
        </w:tc>
        <w:tc>
          <w:tcPr>
            <w:tcW w:w="40" w:type="dxa"/>
            <w:vAlign w:val="bottom"/>
            <w:shd w:val="clear" w:color="auto" w:fill="F1F2F2"/>
          </w:tcPr>
          <w:p>
            <w:pPr>
              <w:spacing w:after="0"/>
              <w:rPr>
                <w:sz w:val="23"/>
                <w:szCs w:val="23"/>
                <w:color w:val="auto"/>
              </w:rPr>
            </w:pP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211</w:t>
            </w:r>
          </w:p>
        </w:tc>
        <w:tc>
          <w:tcPr>
            <w:tcW w:w="124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259.56</w:t>
            </w:r>
          </w:p>
        </w:tc>
        <w:tc>
          <w:tcPr>
            <w:tcW w:w="1260" w:type="dxa"/>
            <w:vAlign w:val="bottom"/>
            <w:shd w:val="clear" w:color="auto" w:fill="F1F2F2"/>
          </w:tcPr>
          <w:p>
            <w:pPr>
              <w:jc w:val="right"/>
              <w:ind w:right="337"/>
              <w:spacing w:after="0"/>
              <w:rPr>
                <w:sz w:val="20"/>
                <w:szCs w:val="20"/>
                <w:color w:val="auto"/>
              </w:rPr>
            </w:pPr>
            <w:r>
              <w:rPr>
                <w:rFonts w:ascii="Arial" w:cs="Arial" w:eastAsia="Arial" w:hAnsi="Arial"/>
                <w:sz w:val="13"/>
                <w:szCs w:val="13"/>
                <w:color w:val="auto"/>
              </w:rPr>
              <w:t>12/9/2029</w:t>
            </w:r>
          </w:p>
        </w:tc>
        <w:tc>
          <w:tcPr>
            <w:tcW w:w="1000" w:type="dxa"/>
            <w:vAlign w:val="bottom"/>
            <w:shd w:val="clear" w:color="auto" w:fill="F1F2F2"/>
          </w:tcPr>
          <w:p>
            <w:pPr>
              <w:spacing w:after="0"/>
              <w:rPr>
                <w:sz w:val="23"/>
                <w:szCs w:val="23"/>
                <w:color w:val="auto"/>
              </w:rPr>
            </w:pPr>
          </w:p>
        </w:tc>
        <w:tc>
          <w:tcPr>
            <w:tcW w:w="1260" w:type="dxa"/>
            <w:vAlign w:val="bottom"/>
            <w:shd w:val="clear" w:color="auto" w:fill="F1F2F2"/>
          </w:tcPr>
          <w:p>
            <w:pPr>
              <w:spacing w:after="0"/>
              <w:rPr>
                <w:sz w:val="23"/>
                <w:szCs w:val="23"/>
                <w:color w:val="auto"/>
              </w:rPr>
            </w:pPr>
          </w:p>
        </w:tc>
        <w:tc>
          <w:tcPr>
            <w:tcW w:w="1020" w:type="dxa"/>
            <w:vAlign w:val="bottom"/>
            <w:shd w:val="clear" w:color="auto" w:fill="F1F2F2"/>
          </w:tcPr>
          <w:p>
            <w:pPr>
              <w:spacing w:after="0"/>
              <w:rPr>
                <w:sz w:val="23"/>
                <w:szCs w:val="23"/>
                <w:color w:val="auto"/>
              </w:rPr>
            </w:pPr>
          </w:p>
        </w:tc>
        <w:tc>
          <w:tcPr>
            <w:tcW w:w="102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F1F2F2"/>
            </w:tcBorders>
            <w:shd w:val="clear" w:color="auto" w:fill="F1F2F2"/>
          </w:tcPr>
          <w:p>
            <w:pPr>
              <w:spacing w:after="0"/>
              <w:rPr>
                <w:sz w:val="18"/>
                <w:szCs w:val="18"/>
                <w:color w:val="auto"/>
              </w:rPr>
            </w:pPr>
          </w:p>
        </w:tc>
        <w:tc>
          <w:tcPr>
            <w:tcW w:w="8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2/5/2024</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F1F2F2"/>
            </w:tcBorders>
            <w:shd w:val="clear" w:color="auto" w:fill="F1F2F2"/>
          </w:tcPr>
          <w:p>
            <w:pPr>
              <w:spacing w:after="0"/>
              <w:rPr>
                <w:sz w:val="18"/>
                <w:szCs w:val="18"/>
                <w:color w:val="auto"/>
              </w:rPr>
            </w:pPr>
          </w:p>
        </w:tc>
        <w:tc>
          <w:tcPr>
            <w:tcW w:w="12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1,467</w:t>
            </w:r>
          </w:p>
        </w:tc>
        <w:tc>
          <w:tcPr>
            <w:tcW w:w="1240" w:type="dxa"/>
            <w:vAlign w:val="bottom"/>
            <w:tcBorders>
              <w:bottom w:val="single" w:sz="8" w:color="F1F2F2"/>
            </w:tcBorders>
            <w:shd w:val="clear" w:color="auto" w:fill="F1F2F2"/>
          </w:tcPr>
          <w:p>
            <w:pPr>
              <w:jc w:val="right"/>
              <w:ind w:right="177"/>
              <w:spacing w:after="0"/>
              <w:rPr>
                <w:sz w:val="20"/>
                <w:szCs w:val="20"/>
                <w:color w:val="auto"/>
              </w:rPr>
            </w:pPr>
            <w:r>
              <w:rPr>
                <w:rFonts w:ascii="Arial" w:cs="Arial" w:eastAsia="Arial" w:hAnsi="Arial"/>
                <w:sz w:val="13"/>
                <w:szCs w:val="13"/>
                <w:color w:val="auto"/>
              </w:rPr>
              <w:t>418.69</w:t>
            </w:r>
          </w:p>
        </w:tc>
        <w:tc>
          <w:tcPr>
            <w:tcW w:w="1260" w:type="dxa"/>
            <w:vAlign w:val="bottom"/>
            <w:tcBorders>
              <w:bottom w:val="single" w:sz="8" w:color="F1F2F2"/>
            </w:tcBorders>
            <w:shd w:val="clear" w:color="auto" w:fill="F1F2F2"/>
          </w:tcPr>
          <w:p>
            <w:pPr>
              <w:jc w:val="right"/>
              <w:ind w:right="337"/>
              <w:spacing w:after="0"/>
              <w:rPr>
                <w:sz w:val="20"/>
                <w:szCs w:val="20"/>
                <w:color w:val="auto"/>
              </w:rPr>
            </w:pPr>
            <w:r>
              <w:rPr>
                <w:rFonts w:ascii="Arial" w:cs="Arial" w:eastAsia="Arial" w:hAnsi="Arial"/>
                <w:sz w:val="13"/>
                <w:szCs w:val="13"/>
                <w:color w:val="auto"/>
              </w:rPr>
              <w:t>2/5/2031</w:t>
            </w:r>
          </w:p>
        </w:tc>
        <w:tc>
          <w:tcPr>
            <w:tcW w:w="1000" w:type="dxa"/>
            <w:vAlign w:val="bottom"/>
            <w:tcBorders>
              <w:bottom w:val="single" w:sz="8" w:color="F1F2F2"/>
            </w:tcBorders>
            <w:shd w:val="clear" w:color="auto" w:fill="F1F2F2"/>
          </w:tcPr>
          <w:p>
            <w:pPr>
              <w:spacing w:after="0"/>
              <w:rPr>
                <w:sz w:val="18"/>
                <w:szCs w:val="18"/>
                <w:color w:val="auto"/>
              </w:rPr>
            </w:pPr>
          </w:p>
        </w:tc>
        <w:tc>
          <w:tcPr>
            <w:tcW w:w="1260" w:type="dxa"/>
            <w:vAlign w:val="bottom"/>
            <w:tcBorders>
              <w:bottom w:val="single" w:sz="8" w:color="F1F2F2"/>
            </w:tcBorders>
            <w:shd w:val="clear" w:color="auto" w:fill="F1F2F2"/>
          </w:tcPr>
          <w:p>
            <w:pPr>
              <w:spacing w:after="0"/>
              <w:rPr>
                <w:sz w:val="18"/>
                <w:szCs w:val="18"/>
                <w:color w:val="auto"/>
              </w:rPr>
            </w:pPr>
          </w:p>
        </w:tc>
        <w:tc>
          <w:tcPr>
            <w:tcW w:w="1020" w:type="dxa"/>
            <w:vAlign w:val="bottom"/>
            <w:tcBorders>
              <w:bottom w:val="single" w:sz="8" w:color="F1F2F2"/>
            </w:tcBorders>
            <w:shd w:val="clear" w:color="auto" w:fill="F1F2F2"/>
          </w:tcPr>
          <w:p>
            <w:pPr>
              <w:spacing w:after="0"/>
              <w:rPr>
                <w:sz w:val="18"/>
                <w:szCs w:val="18"/>
                <w:color w:val="auto"/>
              </w:rPr>
            </w:pPr>
          </w:p>
        </w:tc>
        <w:tc>
          <w:tcPr>
            <w:tcW w:w="102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100"/>
              <w:spacing w:after="0"/>
              <w:rPr>
                <w:sz w:val="20"/>
                <w:szCs w:val="20"/>
                <w:color w:val="auto"/>
              </w:rPr>
            </w:pPr>
            <w:r>
              <w:rPr>
                <w:rFonts w:ascii="Arial" w:cs="Arial" w:eastAsia="Arial" w:hAnsi="Arial"/>
                <w:sz w:val="13"/>
                <w:szCs w:val="13"/>
                <w:color w:val="auto"/>
              </w:rPr>
              <w:t>Gary S. Bedard</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12/13/2019</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4,335</w:t>
            </w:r>
          </w:p>
        </w:tc>
        <w:tc>
          <w:tcPr>
            <w:tcW w:w="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177"/>
              <w:spacing w:after="0"/>
              <w:rPr>
                <w:sz w:val="20"/>
                <w:szCs w:val="20"/>
                <w:color w:val="auto"/>
              </w:rPr>
            </w:pPr>
            <w:r>
              <w:rPr>
                <w:rFonts w:ascii="Arial" w:cs="Arial" w:eastAsia="Arial" w:hAnsi="Arial"/>
                <w:sz w:val="13"/>
                <w:szCs w:val="13"/>
                <w:color w:val="auto"/>
              </w:rPr>
              <w:t>257.08</w:t>
            </w:r>
          </w:p>
        </w:tc>
        <w:tc>
          <w:tcPr>
            <w:tcW w:w="1260" w:type="dxa"/>
            <w:vAlign w:val="bottom"/>
            <w:vMerge w:val="restart"/>
          </w:tcPr>
          <w:p>
            <w:pPr>
              <w:jc w:val="right"/>
              <w:ind w:right="337"/>
              <w:spacing w:after="0"/>
              <w:rPr>
                <w:sz w:val="20"/>
                <w:szCs w:val="20"/>
                <w:color w:val="auto"/>
              </w:rPr>
            </w:pPr>
            <w:r>
              <w:rPr>
                <w:rFonts w:ascii="Arial" w:cs="Arial" w:eastAsia="Arial" w:hAnsi="Arial"/>
                <w:sz w:val="13"/>
                <w:szCs w:val="13"/>
                <w:color w:val="auto"/>
              </w:rPr>
              <w:t>12/13/2026</w:t>
            </w:r>
          </w:p>
        </w:tc>
        <w:tc>
          <w:tcPr>
            <w:tcW w:w="1000" w:type="dxa"/>
            <w:vAlign w:val="bottom"/>
            <w:vMerge w:val="restart"/>
          </w:tcPr>
          <w:p>
            <w:pPr>
              <w:jc w:val="right"/>
              <w:ind w:right="217"/>
              <w:spacing w:after="0"/>
              <w:rPr>
                <w:sz w:val="20"/>
                <w:szCs w:val="20"/>
                <w:color w:val="auto"/>
              </w:rPr>
            </w:pPr>
            <w:r>
              <w:rPr>
                <w:rFonts w:ascii="Arial" w:cs="Arial" w:eastAsia="Arial" w:hAnsi="Arial"/>
                <w:sz w:val="13"/>
                <w:szCs w:val="13"/>
                <w:color w:val="auto"/>
              </w:rPr>
              <w:t>2,294</w:t>
            </w:r>
          </w:p>
        </w:tc>
        <w:tc>
          <w:tcPr>
            <w:tcW w:w="1260" w:type="dxa"/>
            <w:vAlign w:val="bottom"/>
            <w:vMerge w:val="restart"/>
          </w:tcPr>
          <w:p>
            <w:pPr>
              <w:jc w:val="right"/>
              <w:ind w:right="357"/>
              <w:spacing w:after="0"/>
              <w:rPr>
                <w:sz w:val="20"/>
                <w:szCs w:val="20"/>
                <w:color w:val="auto"/>
              </w:rPr>
            </w:pPr>
            <w:r>
              <w:rPr>
                <w:rFonts w:ascii="Arial" w:cs="Arial" w:eastAsia="Arial" w:hAnsi="Arial"/>
                <w:sz w:val="13"/>
                <w:szCs w:val="13"/>
                <w:color w:val="auto"/>
              </w:rPr>
              <w:t>1,397,734</w:t>
            </w:r>
          </w:p>
        </w:tc>
        <w:tc>
          <w:tcPr>
            <w:tcW w:w="1020" w:type="dxa"/>
            <w:vAlign w:val="bottom"/>
            <w:vMerge w:val="restart"/>
          </w:tcPr>
          <w:p>
            <w:pPr>
              <w:jc w:val="right"/>
              <w:ind w:right="217"/>
              <w:spacing w:after="0"/>
              <w:rPr>
                <w:sz w:val="20"/>
                <w:szCs w:val="20"/>
                <w:color w:val="auto"/>
              </w:rPr>
            </w:pPr>
            <w:r>
              <w:rPr>
                <w:rFonts w:ascii="Arial" w:cs="Arial" w:eastAsia="Arial" w:hAnsi="Arial"/>
                <w:sz w:val="13"/>
                <w:szCs w:val="13"/>
                <w:color w:val="auto"/>
              </w:rPr>
              <w:t>7,644</w:t>
            </w:r>
          </w:p>
        </w:tc>
        <w:tc>
          <w:tcPr>
            <w:tcW w:w="1020" w:type="dxa"/>
            <w:vAlign w:val="bottom"/>
            <w:vMerge w:val="restart"/>
          </w:tcPr>
          <w:p>
            <w:pPr>
              <w:jc w:val="right"/>
              <w:ind w:right="97"/>
              <w:spacing w:after="0"/>
              <w:rPr>
                <w:sz w:val="20"/>
                <w:szCs w:val="20"/>
                <w:color w:val="auto"/>
              </w:rPr>
            </w:pPr>
            <w:r>
              <w:rPr>
                <w:rFonts w:ascii="Arial" w:cs="Arial" w:eastAsia="Arial" w:hAnsi="Arial"/>
                <w:sz w:val="13"/>
                <w:szCs w:val="13"/>
                <w:color w:val="auto"/>
              </w:rPr>
              <w:t>4,657,489</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12/11/2020</w:t>
            </w:r>
          </w:p>
        </w:tc>
        <w:tc>
          <w:tcPr>
            <w:tcW w:w="1060" w:type="dxa"/>
            <w:vAlign w:val="bottom"/>
          </w:tcPr>
          <w:p>
            <w:pPr>
              <w:jc w:val="right"/>
              <w:spacing w:after="0"/>
              <w:rPr>
                <w:sz w:val="20"/>
                <w:szCs w:val="20"/>
                <w:color w:val="auto"/>
              </w:rPr>
            </w:pPr>
            <w:r>
              <w:rPr>
                <w:rFonts w:ascii="Arial" w:cs="Arial" w:eastAsia="Arial" w:hAnsi="Arial"/>
                <w:sz w:val="13"/>
                <w:szCs w:val="13"/>
                <w:color w:val="auto"/>
              </w:rPr>
              <w:t>2,858</w:t>
            </w:r>
          </w:p>
        </w:tc>
        <w:tc>
          <w:tcPr>
            <w:tcW w:w="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278.00</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12/11/2027</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12/10/2021</w:t>
            </w:r>
          </w:p>
        </w:tc>
        <w:tc>
          <w:tcPr>
            <w:tcW w:w="1060" w:type="dxa"/>
            <w:vAlign w:val="bottom"/>
          </w:tcPr>
          <w:p>
            <w:pPr>
              <w:jc w:val="right"/>
              <w:spacing w:after="0"/>
              <w:rPr>
                <w:sz w:val="20"/>
                <w:szCs w:val="20"/>
                <w:color w:val="auto"/>
              </w:rPr>
            </w:pPr>
            <w:r>
              <w:rPr>
                <w:rFonts w:ascii="Arial" w:cs="Arial" w:eastAsia="Arial" w:hAnsi="Arial"/>
                <w:sz w:val="13"/>
                <w:szCs w:val="13"/>
                <w:color w:val="auto"/>
              </w:rPr>
              <w:t>2,642</w:t>
            </w:r>
          </w:p>
        </w:tc>
        <w:tc>
          <w:tcPr>
            <w:tcW w:w="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328.65</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12/10/2028</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12/9/2022</w:t>
            </w:r>
          </w:p>
        </w:tc>
        <w:tc>
          <w:tcPr>
            <w:tcW w:w="1060" w:type="dxa"/>
            <w:vAlign w:val="bottom"/>
          </w:tcPr>
          <w:p>
            <w:pPr>
              <w:jc w:val="right"/>
              <w:spacing w:after="0"/>
              <w:rPr>
                <w:sz w:val="20"/>
                <w:szCs w:val="20"/>
                <w:color w:val="auto"/>
              </w:rPr>
            </w:pPr>
            <w:r>
              <w:rPr>
                <w:rFonts w:ascii="Arial" w:cs="Arial" w:eastAsia="Arial" w:hAnsi="Arial"/>
                <w:sz w:val="13"/>
                <w:szCs w:val="13"/>
                <w:color w:val="auto"/>
              </w:rPr>
              <w:t>2,407</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1,204</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259.56</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12/9/2029</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2/5/2024</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1,907</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418.69</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2/5/2031</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2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Daniel M. Sessa</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12/13/2019</w:t>
            </w:r>
          </w:p>
        </w:tc>
        <w:tc>
          <w:tcPr>
            <w:tcW w:w="10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5,058</w:t>
            </w:r>
          </w:p>
        </w:tc>
        <w:tc>
          <w:tcPr>
            <w:tcW w:w="40" w:type="dxa"/>
            <w:vAlign w:val="bottom"/>
            <w:shd w:val="clear" w:color="auto" w:fill="F1F2F2"/>
          </w:tcPr>
          <w:p>
            <w:pPr>
              <w:spacing w:after="0"/>
              <w:rPr>
                <w:sz w:val="15"/>
                <w:szCs w:val="15"/>
                <w:color w:val="auto"/>
              </w:rPr>
            </w:pPr>
          </w:p>
        </w:tc>
        <w:tc>
          <w:tcPr>
            <w:tcW w:w="12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F1F2F2"/>
          </w:tcPr>
          <w:p>
            <w:pPr>
              <w:jc w:val="right"/>
              <w:ind w:right="177"/>
              <w:spacing w:after="0"/>
              <w:rPr>
                <w:sz w:val="20"/>
                <w:szCs w:val="20"/>
                <w:color w:val="auto"/>
              </w:rPr>
            </w:pPr>
            <w:r>
              <w:rPr>
                <w:rFonts w:ascii="Arial" w:cs="Arial" w:eastAsia="Arial" w:hAnsi="Arial"/>
                <w:sz w:val="13"/>
                <w:szCs w:val="13"/>
                <w:color w:val="auto"/>
              </w:rPr>
              <w:t>257.08</w:t>
            </w:r>
          </w:p>
        </w:tc>
        <w:tc>
          <w:tcPr>
            <w:tcW w:w="1260" w:type="dxa"/>
            <w:vAlign w:val="bottom"/>
            <w:vMerge w:val="restart"/>
            <w:shd w:val="clear" w:color="auto" w:fill="F1F2F2"/>
          </w:tcPr>
          <w:p>
            <w:pPr>
              <w:jc w:val="right"/>
              <w:ind w:right="337"/>
              <w:spacing w:after="0"/>
              <w:rPr>
                <w:sz w:val="20"/>
                <w:szCs w:val="20"/>
                <w:color w:val="auto"/>
              </w:rPr>
            </w:pPr>
            <w:r>
              <w:rPr>
                <w:rFonts w:ascii="Arial" w:cs="Arial" w:eastAsia="Arial" w:hAnsi="Arial"/>
                <w:sz w:val="13"/>
                <w:szCs w:val="13"/>
                <w:color w:val="auto"/>
              </w:rPr>
              <w:t>12/13/2026</w:t>
            </w:r>
          </w:p>
        </w:tc>
        <w:tc>
          <w:tcPr>
            <w:tcW w:w="1000" w:type="dxa"/>
            <w:vAlign w:val="bottom"/>
            <w:vMerge w:val="restart"/>
            <w:shd w:val="clear" w:color="auto" w:fill="F1F2F2"/>
          </w:tcPr>
          <w:p>
            <w:pPr>
              <w:jc w:val="right"/>
              <w:ind w:right="217"/>
              <w:spacing w:after="0"/>
              <w:rPr>
                <w:sz w:val="20"/>
                <w:szCs w:val="20"/>
                <w:color w:val="auto"/>
              </w:rPr>
            </w:pPr>
            <w:r>
              <w:rPr>
                <w:rFonts w:ascii="Arial" w:cs="Arial" w:eastAsia="Arial" w:hAnsi="Arial"/>
                <w:sz w:val="13"/>
                <w:szCs w:val="13"/>
                <w:color w:val="auto"/>
              </w:rPr>
              <w:t>2,167</w:t>
            </w:r>
          </w:p>
        </w:tc>
        <w:tc>
          <w:tcPr>
            <w:tcW w:w="1260" w:type="dxa"/>
            <w:vAlign w:val="bottom"/>
            <w:vMerge w:val="restart"/>
            <w:shd w:val="clear" w:color="auto" w:fill="F1F2F2"/>
          </w:tcPr>
          <w:p>
            <w:pPr>
              <w:jc w:val="right"/>
              <w:ind w:right="357"/>
              <w:spacing w:after="0"/>
              <w:rPr>
                <w:sz w:val="20"/>
                <w:szCs w:val="20"/>
                <w:color w:val="auto"/>
              </w:rPr>
            </w:pPr>
            <w:r>
              <w:rPr>
                <w:rFonts w:ascii="Arial" w:cs="Arial" w:eastAsia="Arial" w:hAnsi="Arial"/>
                <w:sz w:val="13"/>
                <w:szCs w:val="13"/>
                <w:color w:val="auto"/>
              </w:rPr>
              <w:t>1,320,353</w:t>
            </w:r>
          </w:p>
        </w:tc>
        <w:tc>
          <w:tcPr>
            <w:tcW w:w="1020" w:type="dxa"/>
            <w:vAlign w:val="bottom"/>
            <w:vMerge w:val="restart"/>
            <w:shd w:val="clear" w:color="auto" w:fill="F1F2F2"/>
          </w:tcPr>
          <w:p>
            <w:pPr>
              <w:jc w:val="right"/>
              <w:ind w:right="217"/>
              <w:spacing w:after="0"/>
              <w:rPr>
                <w:sz w:val="20"/>
                <w:szCs w:val="20"/>
                <w:color w:val="auto"/>
              </w:rPr>
            </w:pPr>
            <w:r>
              <w:rPr>
                <w:rFonts w:ascii="Arial" w:cs="Arial" w:eastAsia="Arial" w:hAnsi="Arial"/>
                <w:sz w:val="13"/>
                <w:szCs w:val="13"/>
                <w:color w:val="auto"/>
              </w:rPr>
              <w:t>7,224</w:t>
            </w:r>
          </w:p>
        </w:tc>
        <w:tc>
          <w:tcPr>
            <w:tcW w:w="102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4,401,583</w:t>
            </w:r>
          </w:p>
        </w:tc>
        <w:tc>
          <w:tcPr>
            <w:tcW w:w="0" w:type="dxa"/>
            <w:vAlign w:val="bottom"/>
          </w:tcPr>
          <w:p>
            <w:pPr>
              <w:spacing w:after="0"/>
              <w:rPr>
                <w:sz w:val="1"/>
                <w:szCs w:val="1"/>
                <w:color w:val="auto"/>
              </w:rPr>
            </w:pPr>
          </w:p>
        </w:tc>
      </w:tr>
      <w:tr>
        <w:trPr>
          <w:trHeight w:val="54"/>
        </w:trPr>
        <w:tc>
          <w:tcPr>
            <w:tcW w:w="1220" w:type="dxa"/>
            <w:vAlign w:val="bottom"/>
            <w:shd w:val="clear" w:color="auto" w:fill="F1F2F2"/>
          </w:tcPr>
          <w:p>
            <w:pPr>
              <w:spacing w:after="0"/>
              <w:rPr>
                <w:sz w:val="4"/>
                <w:szCs w:val="4"/>
                <w:color w:val="auto"/>
              </w:rPr>
            </w:pPr>
          </w:p>
        </w:tc>
        <w:tc>
          <w:tcPr>
            <w:tcW w:w="880" w:type="dxa"/>
            <w:vAlign w:val="bottom"/>
            <w:vMerge w:val="continue"/>
            <w:shd w:val="clear" w:color="auto" w:fill="F1F2F2"/>
          </w:tcPr>
          <w:p>
            <w:pPr>
              <w:spacing w:after="0"/>
              <w:rPr>
                <w:sz w:val="4"/>
                <w:szCs w:val="4"/>
                <w:color w:val="auto"/>
              </w:rPr>
            </w:pPr>
          </w:p>
        </w:tc>
        <w:tc>
          <w:tcPr>
            <w:tcW w:w="1060" w:type="dxa"/>
            <w:vAlign w:val="bottom"/>
            <w:vMerge w:val="continue"/>
            <w:shd w:val="clear" w:color="auto" w:fill="F1F2F2"/>
          </w:tcPr>
          <w:p>
            <w:pPr>
              <w:spacing w:after="0"/>
              <w:rPr>
                <w:sz w:val="4"/>
                <w:szCs w:val="4"/>
                <w:color w:val="auto"/>
              </w:rPr>
            </w:pPr>
          </w:p>
        </w:tc>
        <w:tc>
          <w:tcPr>
            <w:tcW w:w="40" w:type="dxa"/>
            <w:vAlign w:val="bottom"/>
            <w:shd w:val="clear" w:color="auto" w:fill="F1F2F2"/>
          </w:tcPr>
          <w:p>
            <w:pPr>
              <w:spacing w:after="0"/>
              <w:rPr>
                <w:sz w:val="4"/>
                <w:szCs w:val="4"/>
                <w:color w:val="auto"/>
              </w:rPr>
            </w:pPr>
          </w:p>
        </w:tc>
        <w:tc>
          <w:tcPr>
            <w:tcW w:w="1240" w:type="dxa"/>
            <w:vAlign w:val="bottom"/>
            <w:vMerge w:val="continue"/>
            <w:shd w:val="clear" w:color="auto" w:fill="F1F2F2"/>
          </w:tcPr>
          <w:p>
            <w:pPr>
              <w:spacing w:after="0"/>
              <w:rPr>
                <w:sz w:val="4"/>
                <w:szCs w:val="4"/>
                <w:color w:val="auto"/>
              </w:rPr>
            </w:pPr>
          </w:p>
        </w:tc>
        <w:tc>
          <w:tcPr>
            <w:tcW w:w="1240" w:type="dxa"/>
            <w:vAlign w:val="bottom"/>
            <w:vMerge w:val="continue"/>
            <w:shd w:val="clear" w:color="auto" w:fill="F1F2F2"/>
          </w:tcPr>
          <w:p>
            <w:pPr>
              <w:spacing w:after="0"/>
              <w:rPr>
                <w:sz w:val="4"/>
                <w:szCs w:val="4"/>
                <w:color w:val="auto"/>
              </w:rPr>
            </w:pPr>
          </w:p>
        </w:tc>
        <w:tc>
          <w:tcPr>
            <w:tcW w:w="1260" w:type="dxa"/>
            <w:vAlign w:val="bottom"/>
            <w:vMerge w:val="continue"/>
            <w:shd w:val="clear" w:color="auto" w:fill="F1F2F2"/>
          </w:tcPr>
          <w:p>
            <w:pPr>
              <w:spacing w:after="0"/>
              <w:rPr>
                <w:sz w:val="4"/>
                <w:szCs w:val="4"/>
                <w:color w:val="auto"/>
              </w:rPr>
            </w:pPr>
          </w:p>
        </w:tc>
        <w:tc>
          <w:tcPr>
            <w:tcW w:w="1000" w:type="dxa"/>
            <w:vAlign w:val="bottom"/>
            <w:vMerge w:val="continue"/>
            <w:shd w:val="clear" w:color="auto" w:fill="F1F2F2"/>
          </w:tcPr>
          <w:p>
            <w:pPr>
              <w:spacing w:after="0"/>
              <w:rPr>
                <w:sz w:val="4"/>
                <w:szCs w:val="4"/>
                <w:color w:val="auto"/>
              </w:rPr>
            </w:pPr>
          </w:p>
        </w:tc>
        <w:tc>
          <w:tcPr>
            <w:tcW w:w="1260" w:type="dxa"/>
            <w:vAlign w:val="bottom"/>
            <w:vMerge w:val="continue"/>
            <w:shd w:val="clear" w:color="auto" w:fill="F1F2F2"/>
          </w:tcPr>
          <w:p>
            <w:pPr>
              <w:spacing w:after="0"/>
              <w:rPr>
                <w:sz w:val="4"/>
                <w:szCs w:val="4"/>
                <w:color w:val="auto"/>
              </w:rPr>
            </w:pPr>
          </w:p>
        </w:tc>
        <w:tc>
          <w:tcPr>
            <w:tcW w:w="1020" w:type="dxa"/>
            <w:vAlign w:val="bottom"/>
            <w:vMerge w:val="continue"/>
            <w:shd w:val="clear" w:color="auto" w:fill="F1F2F2"/>
          </w:tcPr>
          <w:p>
            <w:pPr>
              <w:spacing w:after="0"/>
              <w:rPr>
                <w:sz w:val="4"/>
                <w:szCs w:val="4"/>
                <w:color w:val="auto"/>
              </w:rPr>
            </w:pPr>
          </w:p>
        </w:tc>
        <w:tc>
          <w:tcPr>
            <w:tcW w:w="102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220" w:type="dxa"/>
            <w:vAlign w:val="bottom"/>
            <w:shd w:val="clear" w:color="auto" w:fill="F1F2F2"/>
          </w:tcPr>
          <w:p>
            <w:pPr>
              <w:spacing w:after="0"/>
              <w:rPr>
                <w:sz w:val="24"/>
                <w:szCs w:val="24"/>
                <w:color w:val="auto"/>
              </w:rPr>
            </w:pPr>
          </w:p>
        </w:tc>
        <w:tc>
          <w:tcPr>
            <w:tcW w:w="8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12/11/2020</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3,334</w:t>
            </w:r>
          </w:p>
        </w:tc>
        <w:tc>
          <w:tcPr>
            <w:tcW w:w="40" w:type="dxa"/>
            <w:vAlign w:val="bottom"/>
            <w:shd w:val="clear" w:color="auto" w:fill="F1F2F2"/>
          </w:tcPr>
          <w:p>
            <w:pPr>
              <w:spacing w:after="0"/>
              <w:rPr>
                <w:sz w:val="24"/>
                <w:szCs w:val="24"/>
                <w:color w:val="auto"/>
              </w:rPr>
            </w:pP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278.00</w:t>
            </w:r>
          </w:p>
        </w:tc>
        <w:tc>
          <w:tcPr>
            <w:tcW w:w="1260" w:type="dxa"/>
            <w:vAlign w:val="bottom"/>
            <w:shd w:val="clear" w:color="auto" w:fill="F1F2F2"/>
          </w:tcPr>
          <w:p>
            <w:pPr>
              <w:jc w:val="right"/>
              <w:ind w:right="337"/>
              <w:spacing w:after="0"/>
              <w:rPr>
                <w:sz w:val="20"/>
                <w:szCs w:val="20"/>
                <w:color w:val="auto"/>
              </w:rPr>
            </w:pPr>
            <w:r>
              <w:rPr>
                <w:rFonts w:ascii="Arial" w:cs="Arial" w:eastAsia="Arial" w:hAnsi="Arial"/>
                <w:sz w:val="13"/>
                <w:szCs w:val="13"/>
                <w:color w:val="auto"/>
              </w:rPr>
              <w:t>12/11/2027</w:t>
            </w:r>
          </w:p>
        </w:tc>
        <w:tc>
          <w:tcPr>
            <w:tcW w:w="1000" w:type="dxa"/>
            <w:vAlign w:val="bottom"/>
            <w:shd w:val="clear" w:color="auto" w:fill="F1F2F2"/>
          </w:tcPr>
          <w:p>
            <w:pPr>
              <w:spacing w:after="0"/>
              <w:rPr>
                <w:sz w:val="24"/>
                <w:szCs w:val="24"/>
                <w:color w:val="auto"/>
              </w:rPr>
            </w:pPr>
          </w:p>
        </w:tc>
        <w:tc>
          <w:tcPr>
            <w:tcW w:w="126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shd w:val="clear" w:color="auto" w:fill="F1F2F2"/>
          </w:tcPr>
          <w:p>
            <w:pPr>
              <w:spacing w:after="0"/>
              <w:rPr>
                <w:sz w:val="24"/>
                <w:szCs w:val="24"/>
                <w:color w:val="auto"/>
              </w:rPr>
            </w:pPr>
          </w:p>
        </w:tc>
        <w:tc>
          <w:tcPr>
            <w:tcW w:w="8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12/10/2021</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3,059</w:t>
            </w:r>
          </w:p>
        </w:tc>
        <w:tc>
          <w:tcPr>
            <w:tcW w:w="40" w:type="dxa"/>
            <w:vAlign w:val="bottom"/>
            <w:shd w:val="clear" w:color="auto" w:fill="F1F2F2"/>
          </w:tcPr>
          <w:p>
            <w:pPr>
              <w:spacing w:after="0"/>
              <w:rPr>
                <w:sz w:val="24"/>
                <w:szCs w:val="24"/>
                <w:color w:val="auto"/>
              </w:rPr>
            </w:pP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328.65</w:t>
            </w:r>
          </w:p>
        </w:tc>
        <w:tc>
          <w:tcPr>
            <w:tcW w:w="1260" w:type="dxa"/>
            <w:vAlign w:val="bottom"/>
            <w:shd w:val="clear" w:color="auto" w:fill="F1F2F2"/>
          </w:tcPr>
          <w:p>
            <w:pPr>
              <w:jc w:val="right"/>
              <w:ind w:right="337"/>
              <w:spacing w:after="0"/>
              <w:rPr>
                <w:sz w:val="20"/>
                <w:szCs w:val="20"/>
                <w:color w:val="auto"/>
              </w:rPr>
            </w:pPr>
            <w:r>
              <w:rPr>
                <w:rFonts w:ascii="Arial" w:cs="Arial" w:eastAsia="Arial" w:hAnsi="Arial"/>
                <w:sz w:val="13"/>
                <w:szCs w:val="13"/>
                <w:color w:val="auto"/>
              </w:rPr>
              <w:t>12/10/2028</w:t>
            </w:r>
          </w:p>
        </w:tc>
        <w:tc>
          <w:tcPr>
            <w:tcW w:w="1000" w:type="dxa"/>
            <w:vAlign w:val="bottom"/>
            <w:shd w:val="clear" w:color="auto" w:fill="F1F2F2"/>
          </w:tcPr>
          <w:p>
            <w:pPr>
              <w:spacing w:after="0"/>
              <w:rPr>
                <w:sz w:val="24"/>
                <w:szCs w:val="24"/>
                <w:color w:val="auto"/>
              </w:rPr>
            </w:pPr>
          </w:p>
        </w:tc>
        <w:tc>
          <w:tcPr>
            <w:tcW w:w="126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shd w:val="clear" w:color="auto" w:fill="F1F2F2"/>
          </w:tcPr>
          <w:p>
            <w:pPr>
              <w:spacing w:after="0"/>
              <w:rPr>
                <w:sz w:val="24"/>
                <w:szCs w:val="24"/>
                <w:color w:val="auto"/>
              </w:rPr>
            </w:pPr>
          </w:p>
        </w:tc>
        <w:tc>
          <w:tcPr>
            <w:tcW w:w="8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12/9/2022</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2,307</w:t>
            </w:r>
          </w:p>
        </w:tc>
        <w:tc>
          <w:tcPr>
            <w:tcW w:w="40" w:type="dxa"/>
            <w:vAlign w:val="bottom"/>
            <w:shd w:val="clear" w:color="auto" w:fill="F1F2F2"/>
          </w:tcPr>
          <w:p>
            <w:pPr>
              <w:spacing w:after="0"/>
              <w:rPr>
                <w:sz w:val="24"/>
                <w:szCs w:val="24"/>
                <w:color w:val="auto"/>
              </w:rPr>
            </w:pP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1,154</w:t>
            </w:r>
          </w:p>
        </w:tc>
        <w:tc>
          <w:tcPr>
            <w:tcW w:w="124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259.56</w:t>
            </w:r>
          </w:p>
        </w:tc>
        <w:tc>
          <w:tcPr>
            <w:tcW w:w="1260" w:type="dxa"/>
            <w:vAlign w:val="bottom"/>
            <w:shd w:val="clear" w:color="auto" w:fill="F1F2F2"/>
          </w:tcPr>
          <w:p>
            <w:pPr>
              <w:jc w:val="right"/>
              <w:ind w:right="337"/>
              <w:spacing w:after="0"/>
              <w:rPr>
                <w:sz w:val="20"/>
                <w:szCs w:val="20"/>
                <w:color w:val="auto"/>
              </w:rPr>
            </w:pPr>
            <w:r>
              <w:rPr>
                <w:rFonts w:ascii="Arial" w:cs="Arial" w:eastAsia="Arial" w:hAnsi="Arial"/>
                <w:sz w:val="13"/>
                <w:szCs w:val="13"/>
                <w:color w:val="auto"/>
              </w:rPr>
              <w:t>12/9/2029</w:t>
            </w:r>
          </w:p>
        </w:tc>
        <w:tc>
          <w:tcPr>
            <w:tcW w:w="1000" w:type="dxa"/>
            <w:vAlign w:val="bottom"/>
            <w:shd w:val="clear" w:color="auto" w:fill="F1F2F2"/>
          </w:tcPr>
          <w:p>
            <w:pPr>
              <w:spacing w:after="0"/>
              <w:rPr>
                <w:sz w:val="24"/>
                <w:szCs w:val="24"/>
                <w:color w:val="auto"/>
              </w:rPr>
            </w:pPr>
          </w:p>
        </w:tc>
        <w:tc>
          <w:tcPr>
            <w:tcW w:w="126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shd w:val="clear" w:color="auto" w:fill="F1F2F2"/>
          </w:tcPr>
          <w:p>
            <w:pPr>
              <w:spacing w:after="0"/>
              <w:rPr>
                <w:sz w:val="24"/>
                <w:szCs w:val="24"/>
                <w:color w:val="auto"/>
              </w:rPr>
            </w:pPr>
          </w:p>
        </w:tc>
        <w:tc>
          <w:tcPr>
            <w:tcW w:w="8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2/5/2024</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F1F2F2"/>
          </w:tcPr>
          <w:p>
            <w:pPr>
              <w:spacing w:after="0"/>
              <w:rPr>
                <w:sz w:val="24"/>
                <w:szCs w:val="24"/>
                <w:color w:val="auto"/>
              </w:rPr>
            </w:pP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1,760</w:t>
            </w:r>
          </w:p>
        </w:tc>
        <w:tc>
          <w:tcPr>
            <w:tcW w:w="124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418.69</w:t>
            </w:r>
          </w:p>
        </w:tc>
        <w:tc>
          <w:tcPr>
            <w:tcW w:w="1260" w:type="dxa"/>
            <w:vAlign w:val="bottom"/>
            <w:shd w:val="clear" w:color="auto" w:fill="F1F2F2"/>
          </w:tcPr>
          <w:p>
            <w:pPr>
              <w:jc w:val="right"/>
              <w:ind w:right="337"/>
              <w:spacing w:after="0"/>
              <w:rPr>
                <w:sz w:val="20"/>
                <w:szCs w:val="20"/>
                <w:color w:val="auto"/>
              </w:rPr>
            </w:pPr>
            <w:r>
              <w:rPr>
                <w:rFonts w:ascii="Arial" w:cs="Arial" w:eastAsia="Arial" w:hAnsi="Arial"/>
                <w:sz w:val="13"/>
                <w:szCs w:val="13"/>
                <w:color w:val="auto"/>
              </w:rPr>
              <w:t>2/5/2031</w:t>
            </w:r>
          </w:p>
        </w:tc>
        <w:tc>
          <w:tcPr>
            <w:tcW w:w="1000" w:type="dxa"/>
            <w:vAlign w:val="bottom"/>
            <w:shd w:val="clear" w:color="auto" w:fill="F1F2F2"/>
          </w:tcPr>
          <w:p>
            <w:pPr>
              <w:spacing w:after="0"/>
              <w:rPr>
                <w:sz w:val="24"/>
                <w:szCs w:val="24"/>
                <w:color w:val="auto"/>
              </w:rPr>
            </w:pPr>
          </w:p>
        </w:tc>
        <w:tc>
          <w:tcPr>
            <w:tcW w:w="126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10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20" w:type="dxa"/>
            <w:vAlign w:val="bottom"/>
            <w:shd w:val="clear" w:color="auto" w:fill="F1F2F2"/>
          </w:tcPr>
          <w:p>
            <w:pPr>
              <w:spacing w:after="0"/>
              <w:rPr>
                <w:sz w:val="8"/>
                <w:szCs w:val="8"/>
                <w:color w:val="auto"/>
              </w:rPr>
            </w:pPr>
          </w:p>
        </w:tc>
        <w:tc>
          <w:tcPr>
            <w:tcW w:w="880" w:type="dxa"/>
            <w:vAlign w:val="bottom"/>
            <w:shd w:val="clear" w:color="auto" w:fill="F1F2F2"/>
          </w:tcPr>
          <w:p>
            <w:pPr>
              <w:spacing w:after="0"/>
              <w:rPr>
                <w:sz w:val="8"/>
                <w:szCs w:val="8"/>
                <w:color w:val="auto"/>
              </w:rPr>
            </w:pPr>
          </w:p>
        </w:tc>
        <w:tc>
          <w:tcPr>
            <w:tcW w:w="1060" w:type="dxa"/>
            <w:vAlign w:val="bottom"/>
            <w:shd w:val="clear" w:color="auto" w:fill="F1F2F2"/>
          </w:tcPr>
          <w:p>
            <w:pPr>
              <w:spacing w:after="0"/>
              <w:rPr>
                <w:sz w:val="8"/>
                <w:szCs w:val="8"/>
                <w:color w:val="auto"/>
              </w:rPr>
            </w:pPr>
          </w:p>
        </w:tc>
        <w:tc>
          <w:tcPr>
            <w:tcW w:w="40" w:type="dxa"/>
            <w:vAlign w:val="bottom"/>
            <w:shd w:val="clear" w:color="auto" w:fill="F1F2F2"/>
          </w:tcPr>
          <w:p>
            <w:pPr>
              <w:spacing w:after="0"/>
              <w:rPr>
                <w:sz w:val="8"/>
                <w:szCs w:val="8"/>
                <w:color w:val="auto"/>
              </w:rPr>
            </w:pPr>
          </w:p>
        </w:tc>
        <w:tc>
          <w:tcPr>
            <w:tcW w:w="1240" w:type="dxa"/>
            <w:vAlign w:val="bottom"/>
            <w:shd w:val="clear" w:color="auto" w:fill="F1F2F2"/>
          </w:tcPr>
          <w:p>
            <w:pPr>
              <w:spacing w:after="0"/>
              <w:rPr>
                <w:sz w:val="8"/>
                <w:szCs w:val="8"/>
                <w:color w:val="auto"/>
              </w:rPr>
            </w:pPr>
          </w:p>
        </w:tc>
        <w:tc>
          <w:tcPr>
            <w:tcW w:w="1240" w:type="dxa"/>
            <w:vAlign w:val="bottom"/>
            <w:shd w:val="clear" w:color="auto" w:fill="F1F2F2"/>
          </w:tcPr>
          <w:p>
            <w:pPr>
              <w:spacing w:after="0"/>
              <w:rPr>
                <w:sz w:val="8"/>
                <w:szCs w:val="8"/>
                <w:color w:val="auto"/>
              </w:rPr>
            </w:pPr>
          </w:p>
        </w:tc>
        <w:tc>
          <w:tcPr>
            <w:tcW w:w="1260" w:type="dxa"/>
            <w:vAlign w:val="bottom"/>
            <w:shd w:val="clear" w:color="auto" w:fill="F1F2F2"/>
          </w:tcPr>
          <w:p>
            <w:pPr>
              <w:spacing w:after="0"/>
              <w:rPr>
                <w:sz w:val="8"/>
                <w:szCs w:val="8"/>
                <w:color w:val="auto"/>
              </w:rPr>
            </w:pPr>
          </w:p>
        </w:tc>
        <w:tc>
          <w:tcPr>
            <w:tcW w:w="1000" w:type="dxa"/>
            <w:vAlign w:val="bottom"/>
            <w:shd w:val="clear" w:color="auto" w:fill="F1F2F2"/>
          </w:tcPr>
          <w:p>
            <w:pPr>
              <w:spacing w:after="0"/>
              <w:rPr>
                <w:sz w:val="8"/>
                <w:szCs w:val="8"/>
                <w:color w:val="auto"/>
              </w:rPr>
            </w:pPr>
          </w:p>
        </w:tc>
        <w:tc>
          <w:tcPr>
            <w:tcW w:w="1260" w:type="dxa"/>
            <w:vAlign w:val="bottom"/>
            <w:shd w:val="clear" w:color="auto" w:fill="F1F2F2"/>
          </w:tcPr>
          <w:p>
            <w:pPr>
              <w:spacing w:after="0"/>
              <w:rPr>
                <w:sz w:val="8"/>
                <w:szCs w:val="8"/>
                <w:color w:val="auto"/>
              </w:rPr>
            </w:pPr>
          </w:p>
        </w:tc>
        <w:tc>
          <w:tcPr>
            <w:tcW w:w="1020" w:type="dxa"/>
            <w:vAlign w:val="bottom"/>
            <w:shd w:val="clear" w:color="auto" w:fill="F1F2F2"/>
          </w:tcPr>
          <w:p>
            <w:pPr>
              <w:spacing w:after="0"/>
              <w:rPr>
                <w:sz w:val="8"/>
                <w:szCs w:val="8"/>
                <w:color w:val="auto"/>
              </w:rPr>
            </w:pPr>
          </w:p>
        </w:tc>
        <w:tc>
          <w:tcPr>
            <w:tcW w:w="102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100"/>
              <w:spacing w:after="0"/>
              <w:rPr>
                <w:sz w:val="20"/>
                <w:szCs w:val="20"/>
                <w:color w:val="auto"/>
              </w:rPr>
            </w:pPr>
            <w:r>
              <w:rPr>
                <w:rFonts w:ascii="Arial" w:cs="Arial" w:eastAsia="Arial" w:hAnsi="Arial"/>
                <w:sz w:val="13"/>
                <w:szCs w:val="13"/>
                <w:color w:val="auto"/>
              </w:rPr>
              <w:t>John D. Torres</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12/10/2021</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1,020</w:t>
            </w:r>
          </w:p>
        </w:tc>
        <w:tc>
          <w:tcPr>
            <w:tcW w:w="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177"/>
              <w:spacing w:after="0"/>
              <w:rPr>
                <w:sz w:val="20"/>
                <w:szCs w:val="20"/>
                <w:color w:val="auto"/>
              </w:rPr>
            </w:pPr>
            <w:r>
              <w:rPr>
                <w:rFonts w:ascii="Arial" w:cs="Arial" w:eastAsia="Arial" w:hAnsi="Arial"/>
                <w:sz w:val="13"/>
                <w:szCs w:val="13"/>
                <w:color w:val="auto"/>
              </w:rPr>
              <w:t>328.65</w:t>
            </w:r>
          </w:p>
        </w:tc>
        <w:tc>
          <w:tcPr>
            <w:tcW w:w="1260" w:type="dxa"/>
            <w:vAlign w:val="bottom"/>
            <w:vMerge w:val="restart"/>
          </w:tcPr>
          <w:p>
            <w:pPr>
              <w:jc w:val="right"/>
              <w:ind w:right="337"/>
              <w:spacing w:after="0"/>
              <w:rPr>
                <w:sz w:val="20"/>
                <w:szCs w:val="20"/>
                <w:color w:val="auto"/>
              </w:rPr>
            </w:pPr>
            <w:r>
              <w:rPr>
                <w:rFonts w:ascii="Arial" w:cs="Arial" w:eastAsia="Arial" w:hAnsi="Arial"/>
                <w:sz w:val="13"/>
                <w:szCs w:val="13"/>
                <w:color w:val="auto"/>
              </w:rPr>
              <w:t>12/10/2028</w:t>
            </w:r>
          </w:p>
        </w:tc>
        <w:tc>
          <w:tcPr>
            <w:tcW w:w="1000" w:type="dxa"/>
            <w:vAlign w:val="bottom"/>
            <w:vMerge w:val="restart"/>
          </w:tcPr>
          <w:p>
            <w:pPr>
              <w:jc w:val="right"/>
              <w:ind w:right="217"/>
              <w:spacing w:after="0"/>
              <w:rPr>
                <w:sz w:val="20"/>
                <w:szCs w:val="20"/>
                <w:color w:val="auto"/>
              </w:rPr>
            </w:pPr>
            <w:r>
              <w:rPr>
                <w:rFonts w:ascii="Arial" w:cs="Arial" w:eastAsia="Arial" w:hAnsi="Arial"/>
                <w:sz w:val="13"/>
                <w:szCs w:val="13"/>
                <w:color w:val="auto"/>
              </w:rPr>
              <w:t>2,108</w:t>
            </w:r>
          </w:p>
        </w:tc>
        <w:tc>
          <w:tcPr>
            <w:tcW w:w="1260" w:type="dxa"/>
            <w:vAlign w:val="bottom"/>
            <w:vMerge w:val="restart"/>
          </w:tcPr>
          <w:p>
            <w:pPr>
              <w:jc w:val="right"/>
              <w:ind w:right="357"/>
              <w:spacing w:after="0"/>
              <w:rPr>
                <w:sz w:val="20"/>
                <w:szCs w:val="20"/>
                <w:color w:val="auto"/>
              </w:rPr>
            </w:pPr>
            <w:r>
              <w:rPr>
                <w:rFonts w:ascii="Arial" w:cs="Arial" w:eastAsia="Arial" w:hAnsi="Arial"/>
                <w:sz w:val="13"/>
                <w:szCs w:val="13"/>
                <w:color w:val="auto"/>
              </w:rPr>
              <w:t>1,284,404</w:t>
            </w:r>
          </w:p>
        </w:tc>
        <w:tc>
          <w:tcPr>
            <w:tcW w:w="1020" w:type="dxa"/>
            <w:vAlign w:val="bottom"/>
            <w:vMerge w:val="restart"/>
          </w:tcPr>
          <w:p>
            <w:pPr>
              <w:jc w:val="right"/>
              <w:ind w:right="217"/>
              <w:spacing w:after="0"/>
              <w:rPr>
                <w:sz w:val="20"/>
                <w:szCs w:val="20"/>
                <w:color w:val="auto"/>
              </w:rPr>
            </w:pPr>
            <w:r>
              <w:rPr>
                <w:rFonts w:ascii="Arial" w:cs="Arial" w:eastAsia="Arial" w:hAnsi="Arial"/>
                <w:sz w:val="13"/>
                <w:szCs w:val="13"/>
                <w:color w:val="auto"/>
              </w:rPr>
              <w:t>7,028</w:t>
            </w:r>
          </w:p>
        </w:tc>
        <w:tc>
          <w:tcPr>
            <w:tcW w:w="1020" w:type="dxa"/>
            <w:vAlign w:val="bottom"/>
            <w:vMerge w:val="restart"/>
          </w:tcPr>
          <w:p>
            <w:pPr>
              <w:jc w:val="right"/>
              <w:ind w:right="97"/>
              <w:spacing w:after="0"/>
              <w:rPr>
                <w:sz w:val="20"/>
                <w:szCs w:val="20"/>
                <w:color w:val="auto"/>
              </w:rPr>
            </w:pPr>
            <w:r>
              <w:rPr>
                <w:rFonts w:ascii="Arial" w:cs="Arial" w:eastAsia="Arial" w:hAnsi="Arial"/>
                <w:sz w:val="13"/>
                <w:szCs w:val="13"/>
                <w:color w:val="auto"/>
              </w:rPr>
              <w:t>4,282,160</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12/9/2022</w:t>
            </w:r>
          </w:p>
        </w:tc>
        <w:tc>
          <w:tcPr>
            <w:tcW w:w="1060" w:type="dxa"/>
            <w:vAlign w:val="bottom"/>
          </w:tcPr>
          <w:p>
            <w:pPr>
              <w:jc w:val="right"/>
              <w:spacing w:after="0"/>
              <w:rPr>
                <w:sz w:val="20"/>
                <w:szCs w:val="20"/>
                <w:color w:val="auto"/>
              </w:rPr>
            </w:pPr>
            <w:r>
              <w:rPr>
                <w:rFonts w:ascii="Arial" w:cs="Arial" w:eastAsia="Arial" w:hAnsi="Arial"/>
                <w:sz w:val="13"/>
                <w:szCs w:val="13"/>
                <w:color w:val="auto"/>
              </w:rPr>
              <w:t>1,103</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1,104</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259.56</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12/9/2029</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2/5/2024</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1,760</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418.69</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2/5/2031</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60" w:hanging="332"/>
        <w:spacing w:after="0" w:line="305"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Outstanding unvested SARs vest in one-third increments on each of the first three anniversaries of the date of grant, with the first anniversary date occurring one year after the date of grant.</w:t>
      </w:r>
    </w:p>
    <w:p>
      <w:pPr>
        <w:spacing w:after="0" w:line="49" w:lineRule="exact"/>
        <w:rPr>
          <w:rFonts w:ascii="Arial" w:cs="Arial" w:eastAsia="Arial" w:hAnsi="Arial"/>
          <w:sz w:val="14"/>
          <w:szCs w:val="14"/>
          <w:color w:val="auto"/>
        </w:rPr>
      </w:pPr>
    </w:p>
    <w:p>
      <w:pPr>
        <w:ind w:left="340" w:right="520" w:hanging="332"/>
        <w:spacing w:after="0" w:line="305"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Pursuant to the 2019 Equity and Incentive Compensation Plan, the exercise price for all outstanding SARs is based on the grant date fair market value, which is the average of the high and low NYSE trading prices of our common stock on the date of grant.</w:t>
      </w:r>
    </w:p>
    <w:p>
      <w:pPr>
        <w:spacing w:after="0" w:line="36"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shown represent all outstanding RSUs held by the NEOs. Refer to column (a) of the table below for the vesting dates of such awards.</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shown are based on the NYSE closing price of our common stock on December 31, 2024 ($609.30).</w:t>
      </w: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56" w:name="page57"/>
    <w:bookmarkEnd w:id="56"/>
    <w:p>
      <w:pPr>
        <w:ind w:left="332" w:right="40" w:hanging="332"/>
        <w:spacing w:after="0" w:line="305" w:lineRule="auto"/>
        <w:tabs>
          <w:tab w:leader="none" w:pos="319"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shown represent outstanding PSUs held by the NEOs. Refer to column (b) of the table below for the vesting dates of such awards and the performance assumptions used to calculate the number of unvested PSUs.</w:t>
      </w:r>
    </w:p>
    <w:p>
      <w:pPr>
        <w:spacing w:after="0" w:line="86" w:lineRule="exact"/>
        <w:rPr>
          <w:sz w:val="20"/>
          <w:szCs w:val="20"/>
          <w:color w:val="auto"/>
        </w:rPr>
      </w:pPr>
    </w:p>
    <w:tbl>
      <w:tblPr>
        <w:tblLayout w:type="fixed"/>
        <w:tblInd w:w="332" w:type="dxa"/>
        <w:tblCellMar>
          <w:top w:w="0" w:type="dxa"/>
          <w:left w:w="0" w:type="dxa"/>
          <w:bottom w:w="0" w:type="dxa"/>
          <w:right w:w="0" w:type="dxa"/>
        </w:tblCellMar>
      </w:tblPr>
      <w:tr>
        <w:trPr>
          <w:trHeight w:val="180"/>
        </w:trPr>
        <w:tc>
          <w:tcPr>
            <w:tcW w:w="3560" w:type="dxa"/>
            <w:vAlign w:val="bottom"/>
            <w:shd w:val="clear" w:color="auto" w:fill="C60C35"/>
          </w:tcPr>
          <w:p>
            <w:pPr>
              <w:spacing w:after="0"/>
              <w:rPr>
                <w:sz w:val="15"/>
                <w:szCs w:val="15"/>
                <w:color w:val="auto"/>
              </w:rPr>
            </w:pPr>
          </w:p>
        </w:tc>
        <w:tc>
          <w:tcPr>
            <w:tcW w:w="1600" w:type="dxa"/>
            <w:vAlign w:val="bottom"/>
            <w:gridSpan w:val="2"/>
            <w:shd w:val="clear" w:color="auto" w:fill="C60C35"/>
          </w:tcPr>
          <w:p>
            <w:pPr>
              <w:jc w:val="center"/>
              <w:ind w:left="1008"/>
              <w:spacing w:after="0"/>
              <w:rPr>
                <w:sz w:val="20"/>
                <w:szCs w:val="20"/>
                <w:color w:val="auto"/>
              </w:rPr>
            </w:pPr>
            <w:r>
              <w:rPr>
                <w:rFonts w:ascii="Arial" w:cs="Arial" w:eastAsia="Arial" w:hAnsi="Arial"/>
                <w:sz w:val="14"/>
                <w:szCs w:val="14"/>
                <w:b w:val="1"/>
                <w:bCs w:val="1"/>
                <w:color w:val="FFFFFF"/>
                <w:w w:val="93"/>
              </w:rPr>
              <w:t>(a)</w:t>
            </w:r>
          </w:p>
        </w:tc>
        <w:tc>
          <w:tcPr>
            <w:tcW w:w="1120" w:type="dxa"/>
            <w:vAlign w:val="bottom"/>
            <w:shd w:val="clear" w:color="auto" w:fill="C60C35"/>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shd w:val="clear" w:color="auto" w:fill="C60C35"/>
          </w:tcPr>
          <w:p>
            <w:pPr>
              <w:spacing w:after="0"/>
              <w:rPr>
                <w:sz w:val="15"/>
                <w:szCs w:val="15"/>
                <w:color w:val="auto"/>
              </w:rPr>
            </w:pPr>
          </w:p>
        </w:tc>
        <w:tc>
          <w:tcPr>
            <w:tcW w:w="1340" w:type="dxa"/>
            <w:vAlign w:val="bottom"/>
            <w:shd w:val="clear" w:color="auto" w:fill="C60C35"/>
          </w:tcPr>
          <w:p>
            <w:pPr>
              <w:jc w:val="center"/>
              <w:ind w:right="48"/>
              <w:spacing w:after="0"/>
              <w:rPr>
                <w:sz w:val="20"/>
                <w:szCs w:val="20"/>
                <w:color w:val="auto"/>
              </w:rPr>
            </w:pPr>
            <w:r>
              <w:rPr>
                <w:rFonts w:ascii="Arial" w:cs="Arial" w:eastAsia="Arial" w:hAnsi="Arial"/>
                <w:sz w:val="14"/>
                <w:szCs w:val="14"/>
                <w:b w:val="1"/>
                <w:bCs w:val="1"/>
                <w:color w:val="FFFFFF"/>
              </w:rPr>
              <w:t>(b)</w:t>
            </w:r>
          </w:p>
        </w:tc>
        <w:tc>
          <w:tcPr>
            <w:tcW w:w="1420" w:type="dxa"/>
            <w:vAlign w:val="bottom"/>
            <w:shd w:val="clear" w:color="auto" w:fill="C60C3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60C35"/>
          </w:tcPr>
          <w:p>
            <w:pPr>
              <w:spacing w:after="0"/>
              <w:rPr>
                <w:sz w:val="15"/>
                <w:szCs w:val="15"/>
                <w:color w:val="auto"/>
              </w:rPr>
            </w:pPr>
          </w:p>
        </w:tc>
        <w:tc>
          <w:tcPr>
            <w:tcW w:w="2720" w:type="dxa"/>
            <w:vAlign w:val="bottom"/>
            <w:gridSpan w:val="3"/>
            <w:shd w:val="clear" w:color="auto" w:fill="C60C35"/>
          </w:tcPr>
          <w:p>
            <w:pPr>
              <w:jc w:val="center"/>
              <w:spacing w:after="0"/>
              <w:rPr>
                <w:sz w:val="20"/>
                <w:szCs w:val="20"/>
                <w:color w:val="auto"/>
              </w:rPr>
            </w:pPr>
            <w:r>
              <w:rPr>
                <w:rFonts w:ascii="Arial" w:cs="Arial" w:eastAsia="Arial" w:hAnsi="Arial"/>
                <w:sz w:val="14"/>
                <w:szCs w:val="14"/>
                <w:b w:val="1"/>
                <w:bCs w:val="1"/>
                <w:color w:val="FFFFFF"/>
              </w:rPr>
              <w:t>Shares or Units of Stock That Have Not</w:t>
            </w:r>
          </w:p>
        </w:tc>
        <w:tc>
          <w:tcPr>
            <w:tcW w:w="100" w:type="dxa"/>
            <w:vAlign w:val="bottom"/>
          </w:tcPr>
          <w:p>
            <w:pPr>
              <w:spacing w:after="0"/>
              <w:rPr>
                <w:sz w:val="15"/>
                <w:szCs w:val="15"/>
                <w:color w:val="auto"/>
              </w:rPr>
            </w:pPr>
          </w:p>
        </w:tc>
        <w:tc>
          <w:tcPr>
            <w:tcW w:w="4140" w:type="dxa"/>
            <w:vAlign w:val="bottom"/>
            <w:gridSpan w:val="3"/>
            <w:shd w:val="clear" w:color="auto" w:fill="C60C35"/>
          </w:tcPr>
          <w:p>
            <w:pPr>
              <w:jc w:val="center"/>
              <w:ind w:right="48"/>
              <w:spacing w:after="0"/>
              <w:rPr>
                <w:sz w:val="20"/>
                <w:szCs w:val="20"/>
                <w:color w:val="auto"/>
              </w:rPr>
            </w:pPr>
            <w:r>
              <w:rPr>
                <w:rFonts w:ascii="Arial" w:cs="Arial" w:eastAsia="Arial" w:hAnsi="Arial"/>
                <w:sz w:val="14"/>
                <w:szCs w:val="14"/>
                <w:b w:val="1"/>
                <w:bCs w:val="1"/>
                <w:color w:val="FFFFFF"/>
              </w:rPr>
              <w:t>Equity Incentive Plan Awards: Unearned Shares, Units or</w:t>
            </w:r>
          </w:p>
        </w:tc>
        <w:tc>
          <w:tcPr>
            <w:tcW w:w="0" w:type="dxa"/>
            <w:vAlign w:val="bottom"/>
          </w:tcPr>
          <w:p>
            <w:pPr>
              <w:spacing w:after="0"/>
              <w:rPr>
                <w:sz w:val="1"/>
                <w:szCs w:val="1"/>
                <w:color w:val="auto"/>
              </w:rPr>
            </w:pPr>
          </w:p>
        </w:tc>
      </w:tr>
      <w:tr>
        <w:trPr>
          <w:trHeight w:val="196"/>
        </w:trPr>
        <w:tc>
          <w:tcPr>
            <w:tcW w:w="3560" w:type="dxa"/>
            <w:vAlign w:val="bottom"/>
            <w:shd w:val="clear" w:color="auto" w:fill="C60C35"/>
          </w:tcPr>
          <w:p>
            <w:pPr>
              <w:spacing w:after="0"/>
              <w:rPr>
                <w:sz w:val="17"/>
                <w:szCs w:val="17"/>
                <w:color w:val="auto"/>
              </w:rPr>
            </w:pPr>
          </w:p>
        </w:tc>
        <w:tc>
          <w:tcPr>
            <w:tcW w:w="1600" w:type="dxa"/>
            <w:vAlign w:val="bottom"/>
            <w:gridSpan w:val="2"/>
            <w:shd w:val="clear" w:color="auto" w:fill="C60C35"/>
          </w:tcPr>
          <w:p>
            <w:pPr>
              <w:jc w:val="center"/>
              <w:ind w:left="1048"/>
              <w:spacing w:after="0"/>
              <w:rPr>
                <w:sz w:val="20"/>
                <w:szCs w:val="20"/>
                <w:color w:val="auto"/>
              </w:rPr>
            </w:pPr>
            <w:r>
              <w:rPr>
                <w:rFonts w:ascii="Arial" w:cs="Arial" w:eastAsia="Arial" w:hAnsi="Arial"/>
                <w:sz w:val="14"/>
                <w:szCs w:val="14"/>
                <w:b w:val="1"/>
                <w:bCs w:val="1"/>
                <w:color w:val="FFFFFF"/>
              </w:rPr>
              <w:t>Vested</w:t>
            </w:r>
          </w:p>
        </w:tc>
        <w:tc>
          <w:tcPr>
            <w:tcW w:w="1120" w:type="dxa"/>
            <w:vAlign w:val="bottom"/>
            <w:shd w:val="clear" w:color="auto" w:fill="C60C35"/>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3"/>
            <w:shd w:val="clear" w:color="auto" w:fill="C60C35"/>
          </w:tcPr>
          <w:p>
            <w:pPr>
              <w:jc w:val="center"/>
              <w:ind w:right="48"/>
              <w:spacing w:after="0"/>
              <w:rPr>
                <w:sz w:val="20"/>
                <w:szCs w:val="20"/>
                <w:color w:val="auto"/>
              </w:rPr>
            </w:pPr>
            <w:r>
              <w:rPr>
                <w:rFonts w:ascii="Arial" w:cs="Arial" w:eastAsia="Arial" w:hAnsi="Arial"/>
                <w:sz w:val="14"/>
                <w:szCs w:val="14"/>
                <w:b w:val="1"/>
                <w:bCs w:val="1"/>
                <w:color w:val="FFFFFF"/>
              </w:rPr>
              <w:t>Other Rights That Have Not Vested</w:t>
            </w:r>
          </w:p>
        </w:tc>
        <w:tc>
          <w:tcPr>
            <w:tcW w:w="0" w:type="dxa"/>
            <w:vAlign w:val="bottom"/>
          </w:tcPr>
          <w:p>
            <w:pPr>
              <w:spacing w:after="0"/>
              <w:rPr>
                <w:sz w:val="1"/>
                <w:szCs w:val="1"/>
                <w:color w:val="auto"/>
              </w:rPr>
            </w:pPr>
          </w:p>
        </w:tc>
      </w:tr>
      <w:tr>
        <w:trPr>
          <w:trHeight w:val="209"/>
        </w:trPr>
        <w:tc>
          <w:tcPr>
            <w:tcW w:w="3560" w:type="dxa"/>
            <w:vAlign w:val="bottom"/>
            <w:shd w:val="clear" w:color="auto" w:fill="C60C35"/>
          </w:tcPr>
          <w:p>
            <w:pPr>
              <w:spacing w:after="0"/>
              <w:rPr>
                <w:sz w:val="18"/>
                <w:szCs w:val="18"/>
                <w:color w:val="auto"/>
              </w:rPr>
            </w:pPr>
          </w:p>
        </w:tc>
        <w:tc>
          <w:tcPr>
            <w:tcW w:w="1340" w:type="dxa"/>
            <w:vAlign w:val="bottom"/>
            <w:shd w:val="clear" w:color="auto" w:fill="C60C35"/>
          </w:tcPr>
          <w:p>
            <w:pPr>
              <w:spacing w:after="0"/>
              <w:rPr>
                <w:sz w:val="18"/>
                <w:szCs w:val="18"/>
                <w:color w:val="auto"/>
              </w:rPr>
            </w:pPr>
          </w:p>
        </w:tc>
        <w:tc>
          <w:tcPr>
            <w:tcW w:w="260" w:type="dxa"/>
            <w:vAlign w:val="bottom"/>
            <w:shd w:val="clear" w:color="auto" w:fill="C60C35"/>
          </w:tcPr>
          <w:p>
            <w:pPr>
              <w:spacing w:after="0"/>
              <w:rPr>
                <w:sz w:val="18"/>
                <w:szCs w:val="18"/>
                <w:color w:val="auto"/>
              </w:rPr>
            </w:pPr>
          </w:p>
        </w:tc>
        <w:tc>
          <w:tcPr>
            <w:tcW w:w="1120" w:type="dxa"/>
            <w:vAlign w:val="bottom"/>
            <w:shd w:val="clear" w:color="auto" w:fill="C60C35"/>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shd w:val="clear" w:color="auto" w:fill="C60C35"/>
          </w:tcPr>
          <w:p>
            <w:pPr>
              <w:spacing w:after="0"/>
              <w:rPr>
                <w:sz w:val="18"/>
                <w:szCs w:val="18"/>
                <w:color w:val="auto"/>
              </w:rPr>
            </w:pPr>
          </w:p>
        </w:tc>
        <w:tc>
          <w:tcPr>
            <w:tcW w:w="1340" w:type="dxa"/>
            <w:vAlign w:val="bottom"/>
            <w:shd w:val="clear" w:color="auto" w:fill="C60C35"/>
          </w:tcPr>
          <w:p>
            <w:pPr>
              <w:spacing w:after="0"/>
              <w:rPr>
                <w:sz w:val="18"/>
                <w:szCs w:val="18"/>
                <w:color w:val="auto"/>
              </w:rPr>
            </w:pPr>
          </w:p>
        </w:tc>
        <w:tc>
          <w:tcPr>
            <w:tcW w:w="1420" w:type="dxa"/>
            <w:vAlign w:val="bottom"/>
            <w:shd w:val="clear" w:color="auto" w:fill="C60C35"/>
          </w:tcPr>
          <w:p>
            <w:pPr>
              <w:jc w:val="center"/>
              <w:ind w:right="28"/>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210"/>
        </w:trPr>
        <w:tc>
          <w:tcPr>
            <w:tcW w:w="356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3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Number of Awards</w:t>
            </w:r>
          </w:p>
        </w:tc>
        <w:tc>
          <w:tcPr>
            <w:tcW w:w="260" w:type="dxa"/>
            <w:vAlign w:val="bottom"/>
            <w:shd w:val="clear" w:color="auto" w:fill="C60C35"/>
          </w:tcPr>
          <w:p>
            <w:pPr>
              <w:spacing w:after="0"/>
              <w:rPr>
                <w:sz w:val="18"/>
                <w:szCs w:val="18"/>
                <w:color w:val="auto"/>
              </w:rPr>
            </w:pPr>
          </w:p>
        </w:tc>
        <w:tc>
          <w:tcPr>
            <w:tcW w:w="1120" w:type="dxa"/>
            <w:vAlign w:val="bottom"/>
            <w:shd w:val="clear" w:color="auto" w:fill="C60C35"/>
          </w:tcPr>
          <w:p>
            <w:pPr>
              <w:spacing w:after="0"/>
              <w:rPr>
                <w:sz w:val="20"/>
                <w:szCs w:val="20"/>
                <w:color w:val="auto"/>
              </w:rPr>
            </w:pPr>
            <w:r>
              <w:rPr>
                <w:rFonts w:ascii="Arial" w:cs="Arial" w:eastAsia="Arial" w:hAnsi="Arial"/>
                <w:sz w:val="14"/>
                <w:szCs w:val="14"/>
                <w:b w:val="1"/>
                <w:bCs w:val="1"/>
                <w:color w:val="FFFFFF"/>
              </w:rPr>
              <w:t>Vesting Date</w:t>
            </w:r>
          </w:p>
        </w:tc>
        <w:tc>
          <w:tcPr>
            <w:tcW w:w="100" w:type="dxa"/>
            <w:vAlign w:val="bottom"/>
          </w:tcPr>
          <w:p>
            <w:pPr>
              <w:spacing w:after="0"/>
              <w:rPr>
                <w:sz w:val="18"/>
                <w:szCs w:val="18"/>
                <w:color w:val="auto"/>
              </w:rPr>
            </w:pPr>
          </w:p>
        </w:tc>
        <w:tc>
          <w:tcPr>
            <w:tcW w:w="13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Number of Awards</w:t>
            </w:r>
          </w:p>
        </w:tc>
        <w:tc>
          <w:tcPr>
            <w:tcW w:w="134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Vesting Date</w:t>
            </w:r>
          </w:p>
        </w:tc>
        <w:tc>
          <w:tcPr>
            <w:tcW w:w="1420" w:type="dxa"/>
            <w:vAlign w:val="bottom"/>
            <w:shd w:val="clear" w:color="auto" w:fill="C60C35"/>
          </w:tcPr>
          <w:p>
            <w:pPr>
              <w:jc w:val="center"/>
              <w:ind w:right="28"/>
              <w:spacing w:after="0"/>
              <w:rPr>
                <w:sz w:val="20"/>
                <w:szCs w:val="20"/>
                <w:color w:val="auto"/>
              </w:rPr>
            </w:pPr>
            <w:r>
              <w:rPr>
                <w:rFonts w:ascii="Arial" w:cs="Arial" w:eastAsia="Arial" w:hAnsi="Arial"/>
                <w:sz w:val="14"/>
                <w:szCs w:val="14"/>
                <w:b w:val="1"/>
                <w:bCs w:val="1"/>
                <w:color w:val="FFFFFF"/>
              </w:rPr>
              <w:t>Assumption</w:t>
            </w:r>
          </w:p>
        </w:tc>
        <w:tc>
          <w:tcPr>
            <w:tcW w:w="0" w:type="dxa"/>
            <w:vAlign w:val="bottom"/>
          </w:tcPr>
          <w:p>
            <w:pPr>
              <w:spacing w:after="0"/>
              <w:rPr>
                <w:sz w:val="1"/>
                <w:szCs w:val="1"/>
                <w:color w:val="auto"/>
              </w:rPr>
            </w:pPr>
          </w:p>
        </w:tc>
      </w:tr>
      <w:tr>
        <w:trPr>
          <w:trHeight w:val="70"/>
        </w:trPr>
        <w:tc>
          <w:tcPr>
            <w:tcW w:w="3560" w:type="dxa"/>
            <w:vAlign w:val="bottom"/>
            <w:shd w:val="clear" w:color="auto" w:fill="C60C35"/>
          </w:tcPr>
          <w:p>
            <w:pPr>
              <w:spacing w:after="0"/>
              <w:rPr>
                <w:sz w:val="6"/>
                <w:szCs w:val="6"/>
                <w:color w:val="auto"/>
              </w:rPr>
            </w:pPr>
          </w:p>
        </w:tc>
        <w:tc>
          <w:tcPr>
            <w:tcW w:w="1340" w:type="dxa"/>
            <w:vAlign w:val="bottom"/>
            <w:shd w:val="clear" w:color="auto" w:fill="C60C35"/>
          </w:tcPr>
          <w:p>
            <w:pPr>
              <w:spacing w:after="0"/>
              <w:rPr>
                <w:sz w:val="6"/>
                <w:szCs w:val="6"/>
                <w:color w:val="auto"/>
              </w:rPr>
            </w:pPr>
          </w:p>
        </w:tc>
        <w:tc>
          <w:tcPr>
            <w:tcW w:w="26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shd w:val="clear" w:color="auto" w:fill="C60C35"/>
          </w:tcPr>
          <w:p>
            <w:pPr>
              <w:spacing w:after="0"/>
              <w:rPr>
                <w:sz w:val="6"/>
                <w:szCs w:val="6"/>
                <w:color w:val="auto"/>
              </w:rPr>
            </w:pPr>
          </w:p>
        </w:tc>
        <w:tc>
          <w:tcPr>
            <w:tcW w:w="1340" w:type="dxa"/>
            <w:vAlign w:val="bottom"/>
            <w:shd w:val="clear" w:color="auto" w:fill="C60C35"/>
          </w:tcPr>
          <w:p>
            <w:pPr>
              <w:spacing w:after="0"/>
              <w:rPr>
                <w:sz w:val="6"/>
                <w:szCs w:val="6"/>
                <w:color w:val="auto"/>
              </w:rPr>
            </w:pPr>
          </w:p>
        </w:tc>
        <w:tc>
          <w:tcPr>
            <w:tcW w:w="142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5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3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5,861</w:t>
            </w:r>
          </w:p>
        </w:tc>
        <w:tc>
          <w:tcPr>
            <w:tcW w:w="260" w:type="dxa"/>
            <w:vAlign w:val="bottom"/>
            <w:shd w:val="clear" w:color="auto" w:fill="F1F2F2"/>
          </w:tcPr>
          <w:p>
            <w:pPr>
              <w:spacing w:after="0"/>
              <w:rPr>
                <w:sz w:val="18"/>
                <w:szCs w:val="18"/>
                <w:color w:val="auto"/>
              </w:rPr>
            </w:pPr>
          </w:p>
        </w:tc>
        <w:tc>
          <w:tcPr>
            <w:tcW w:w="1120" w:type="dxa"/>
            <w:vAlign w:val="bottom"/>
            <w:shd w:val="clear" w:color="auto" w:fill="F1F2F2"/>
          </w:tcPr>
          <w:p>
            <w:pPr>
              <w:jc w:val="center"/>
              <w:ind w:right="168"/>
              <w:spacing w:after="0"/>
              <w:rPr>
                <w:sz w:val="20"/>
                <w:szCs w:val="20"/>
                <w:color w:val="auto"/>
              </w:rPr>
            </w:pPr>
            <w:r>
              <w:rPr>
                <w:rFonts w:ascii="Arial" w:cs="Arial" w:eastAsia="Arial" w:hAnsi="Arial"/>
                <w:sz w:val="14"/>
                <w:szCs w:val="14"/>
                <w:color w:val="auto"/>
              </w:rPr>
              <w:t>12/9/2025</w:t>
            </w:r>
          </w:p>
        </w:tc>
        <w:tc>
          <w:tcPr>
            <w:tcW w:w="1480" w:type="dxa"/>
            <w:vAlign w:val="bottom"/>
            <w:gridSpan w:val="2"/>
            <w:shd w:val="clear" w:color="auto" w:fill="F1F2F2"/>
          </w:tcPr>
          <w:p>
            <w:pPr>
              <w:jc w:val="right"/>
              <w:spacing w:after="0"/>
              <w:rPr>
                <w:sz w:val="20"/>
                <w:szCs w:val="20"/>
                <w:color w:val="auto"/>
              </w:rPr>
            </w:pPr>
            <w:r>
              <w:rPr>
                <w:rFonts w:ascii="Arial" w:cs="Arial" w:eastAsia="Arial" w:hAnsi="Arial"/>
                <w:sz w:val="14"/>
                <w:szCs w:val="14"/>
                <w:color w:val="auto"/>
              </w:rPr>
              <w:t>19,536</w:t>
            </w:r>
          </w:p>
        </w:tc>
        <w:tc>
          <w:tcPr>
            <w:tcW w:w="134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12/31/2025</w:t>
            </w:r>
          </w:p>
        </w:tc>
        <w:tc>
          <w:tcPr>
            <w:tcW w:w="1420" w:type="dxa"/>
            <w:vAlign w:val="bottom"/>
            <w:shd w:val="clear" w:color="auto" w:fill="F1F2F2"/>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56"/>
        </w:trPr>
        <w:tc>
          <w:tcPr>
            <w:tcW w:w="3560" w:type="dxa"/>
            <w:vAlign w:val="bottom"/>
            <w:tcBorders>
              <w:bottom w:val="single" w:sz="8" w:color="F1F2F2"/>
            </w:tcBorders>
            <w:shd w:val="clear" w:color="auto" w:fill="F1F2F2"/>
          </w:tcPr>
          <w:p>
            <w:pPr>
              <w:spacing w:after="0"/>
              <w:rPr>
                <w:sz w:val="21"/>
                <w:szCs w:val="21"/>
                <w:color w:val="auto"/>
              </w:rPr>
            </w:pPr>
          </w:p>
        </w:tc>
        <w:tc>
          <w:tcPr>
            <w:tcW w:w="13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3,889</w:t>
            </w:r>
          </w:p>
        </w:tc>
        <w:tc>
          <w:tcPr>
            <w:tcW w:w="260" w:type="dxa"/>
            <w:vAlign w:val="bottom"/>
            <w:tcBorders>
              <w:bottom w:val="single" w:sz="8" w:color="F1F2F2"/>
            </w:tcBorders>
            <w:shd w:val="clear" w:color="auto" w:fill="F1F2F2"/>
          </w:tcPr>
          <w:p>
            <w:pPr>
              <w:spacing w:after="0"/>
              <w:rPr>
                <w:sz w:val="21"/>
                <w:szCs w:val="21"/>
                <w:color w:val="auto"/>
              </w:rPr>
            </w:pPr>
          </w:p>
        </w:tc>
        <w:tc>
          <w:tcPr>
            <w:tcW w:w="1120" w:type="dxa"/>
            <w:vAlign w:val="bottom"/>
            <w:tcBorders>
              <w:bottom w:val="single" w:sz="8" w:color="F1F2F2"/>
            </w:tcBorders>
            <w:shd w:val="clear" w:color="auto" w:fill="F1F2F2"/>
          </w:tcPr>
          <w:p>
            <w:pPr>
              <w:jc w:val="center"/>
              <w:ind w:right="168"/>
              <w:spacing w:after="0"/>
              <w:rPr>
                <w:sz w:val="20"/>
                <w:szCs w:val="20"/>
                <w:color w:val="auto"/>
              </w:rPr>
            </w:pPr>
            <w:r>
              <w:rPr>
                <w:rFonts w:ascii="Arial" w:cs="Arial" w:eastAsia="Arial" w:hAnsi="Arial"/>
                <w:sz w:val="14"/>
                <w:szCs w:val="14"/>
                <w:color w:val="auto"/>
              </w:rPr>
              <w:t>2/5/2027</w:t>
            </w:r>
          </w:p>
        </w:tc>
        <w:tc>
          <w:tcPr>
            <w:tcW w:w="148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4"/>
                <w:szCs w:val="14"/>
                <w:color w:val="auto"/>
              </w:rPr>
              <w:t>12,964</w:t>
            </w:r>
          </w:p>
        </w:tc>
        <w:tc>
          <w:tcPr>
            <w:tcW w:w="13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12/31/2026</w:t>
            </w:r>
          </w:p>
        </w:tc>
        <w:tc>
          <w:tcPr>
            <w:tcW w:w="1420" w:type="dxa"/>
            <w:vAlign w:val="bottom"/>
            <w:tcBorders>
              <w:bottom w:val="single" w:sz="8" w:color="F1F2F2"/>
            </w:tcBorders>
            <w:shd w:val="clear" w:color="auto" w:fill="F1F2F2"/>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23"/>
        </w:trPr>
        <w:tc>
          <w:tcPr>
            <w:tcW w:w="3560" w:type="dxa"/>
            <w:vAlign w:val="bottom"/>
            <w:tcBorders>
              <w:top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9,750</w:t>
            </w:r>
          </w:p>
        </w:tc>
        <w:tc>
          <w:tcPr>
            <w:tcW w:w="260" w:type="dxa"/>
            <w:vAlign w:val="bottom"/>
            <w:tcBorders>
              <w:top w:val="single" w:sz="8" w:color="F1F2F2"/>
            </w:tcBorders>
            <w:shd w:val="clear" w:color="auto" w:fill="F1F2F2"/>
          </w:tcPr>
          <w:p>
            <w:pPr>
              <w:spacing w:after="0"/>
              <w:rPr>
                <w:sz w:val="19"/>
                <w:szCs w:val="19"/>
                <w:color w:val="auto"/>
              </w:rPr>
            </w:pPr>
          </w:p>
        </w:tc>
        <w:tc>
          <w:tcPr>
            <w:tcW w:w="1120" w:type="dxa"/>
            <w:vAlign w:val="bottom"/>
            <w:tcBorders>
              <w:top w:val="single" w:sz="8" w:color="F1F2F2"/>
            </w:tcBorders>
            <w:shd w:val="clear" w:color="auto" w:fill="F1F2F2"/>
          </w:tcPr>
          <w:p>
            <w:pPr>
              <w:spacing w:after="0"/>
              <w:rPr>
                <w:sz w:val="19"/>
                <w:szCs w:val="19"/>
                <w:color w:val="auto"/>
              </w:rPr>
            </w:pPr>
          </w:p>
        </w:tc>
        <w:tc>
          <w:tcPr>
            <w:tcW w:w="100" w:type="dxa"/>
            <w:vAlign w:val="bottom"/>
            <w:tcBorders>
              <w:top w:val="single" w:sz="8" w:color="F1F2F2"/>
            </w:tcBorders>
            <w:shd w:val="clear" w:color="auto" w:fill="F1F2F2"/>
          </w:tcPr>
          <w:p>
            <w:pPr>
              <w:spacing w:after="0"/>
              <w:rPr>
                <w:sz w:val="19"/>
                <w:szCs w:val="19"/>
                <w:color w:val="auto"/>
              </w:rPr>
            </w:pPr>
          </w:p>
        </w:tc>
        <w:tc>
          <w:tcPr>
            <w:tcW w:w="138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32,500</w:t>
            </w:r>
          </w:p>
        </w:tc>
        <w:tc>
          <w:tcPr>
            <w:tcW w:w="1340" w:type="dxa"/>
            <w:vAlign w:val="bottom"/>
            <w:tcBorders>
              <w:top w:val="single" w:sz="8" w:color="F1F2F2"/>
            </w:tcBorders>
            <w:shd w:val="clear" w:color="auto" w:fill="F1F2F2"/>
          </w:tcPr>
          <w:p>
            <w:pPr>
              <w:spacing w:after="0"/>
              <w:rPr>
                <w:sz w:val="19"/>
                <w:szCs w:val="19"/>
                <w:color w:val="auto"/>
              </w:rPr>
            </w:pPr>
          </w:p>
        </w:tc>
        <w:tc>
          <w:tcPr>
            <w:tcW w:w="1420" w:type="dxa"/>
            <w:vAlign w:val="bottom"/>
            <w:tcBorders>
              <w:top w:val="single" w:sz="8" w:color="F1F2F2"/>
            </w:tcBorders>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1340" w:type="dxa"/>
            <w:vAlign w:val="bottom"/>
          </w:tcPr>
          <w:p>
            <w:pPr>
              <w:jc w:val="right"/>
              <w:spacing w:after="0"/>
              <w:rPr>
                <w:sz w:val="20"/>
                <w:szCs w:val="20"/>
                <w:color w:val="auto"/>
              </w:rPr>
            </w:pPr>
            <w:r>
              <w:rPr>
                <w:rFonts w:ascii="Arial" w:cs="Arial" w:eastAsia="Arial" w:hAnsi="Arial"/>
                <w:sz w:val="14"/>
                <w:szCs w:val="14"/>
                <w:color w:val="auto"/>
              </w:rPr>
              <w:t>246</w:t>
            </w:r>
          </w:p>
        </w:tc>
        <w:tc>
          <w:tcPr>
            <w:tcW w:w="260" w:type="dxa"/>
            <w:vAlign w:val="bottom"/>
          </w:tcPr>
          <w:p>
            <w:pPr>
              <w:spacing w:after="0"/>
              <w:rPr>
                <w:sz w:val="18"/>
                <w:szCs w:val="18"/>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color w:val="auto"/>
              </w:rPr>
              <w:t>12/9/2025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820</w:t>
            </w:r>
          </w:p>
        </w:tc>
        <w:tc>
          <w:tcPr>
            <w:tcW w:w="1340" w:type="dxa"/>
            <w:vAlign w:val="bottom"/>
          </w:tcPr>
          <w:p>
            <w:pPr>
              <w:jc w:val="center"/>
              <w:spacing w:after="0"/>
              <w:rPr>
                <w:sz w:val="20"/>
                <w:szCs w:val="20"/>
                <w:color w:val="auto"/>
              </w:rPr>
            </w:pPr>
            <w:r>
              <w:rPr>
                <w:rFonts w:ascii="Arial" w:cs="Arial" w:eastAsia="Arial" w:hAnsi="Arial"/>
                <w:sz w:val="14"/>
                <w:szCs w:val="14"/>
                <w:color w:val="auto"/>
              </w:rPr>
              <w:t>12/31/2025</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682</w:t>
            </w:r>
          </w:p>
        </w:tc>
        <w:tc>
          <w:tcPr>
            <w:tcW w:w="260" w:type="dxa"/>
            <w:vAlign w:val="bottom"/>
          </w:tcPr>
          <w:p>
            <w:pPr>
              <w:spacing w:after="0"/>
              <w:rPr>
                <w:sz w:val="19"/>
                <w:szCs w:val="19"/>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color w:val="auto"/>
              </w:rPr>
              <w:t>2/5/2027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2,274</w:t>
            </w:r>
          </w:p>
        </w:tc>
        <w:tc>
          <w:tcPr>
            <w:tcW w:w="1340" w:type="dxa"/>
            <w:vAlign w:val="bottom"/>
          </w:tcPr>
          <w:p>
            <w:pPr>
              <w:jc w:val="center"/>
              <w:spacing w:after="0"/>
              <w:rPr>
                <w:sz w:val="20"/>
                <w:szCs w:val="20"/>
                <w:color w:val="auto"/>
              </w:rPr>
            </w:pPr>
            <w:r>
              <w:rPr>
                <w:rFonts w:ascii="Arial" w:cs="Arial" w:eastAsia="Arial" w:hAnsi="Arial"/>
                <w:sz w:val="14"/>
                <w:szCs w:val="14"/>
                <w:color w:val="auto"/>
              </w:rPr>
              <w:t>12/31/2026</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2"/>
        </w:trPr>
        <w:tc>
          <w:tcPr>
            <w:tcW w:w="3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56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928</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3,094</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13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1,407</w:t>
            </w:r>
          </w:p>
        </w:tc>
        <w:tc>
          <w:tcPr>
            <w:tcW w:w="260" w:type="dxa"/>
            <w:vAlign w:val="bottom"/>
            <w:shd w:val="clear" w:color="auto" w:fill="F1F2F2"/>
          </w:tcPr>
          <w:p>
            <w:pPr>
              <w:spacing w:after="0"/>
              <w:rPr>
                <w:sz w:val="18"/>
                <w:szCs w:val="18"/>
                <w:color w:val="auto"/>
              </w:rPr>
            </w:pPr>
          </w:p>
        </w:tc>
        <w:tc>
          <w:tcPr>
            <w:tcW w:w="1120" w:type="dxa"/>
            <w:vAlign w:val="bottom"/>
            <w:shd w:val="clear" w:color="auto" w:fill="F1F2F2"/>
          </w:tcPr>
          <w:p>
            <w:pPr>
              <w:jc w:val="center"/>
              <w:ind w:right="168"/>
              <w:spacing w:after="0"/>
              <w:rPr>
                <w:sz w:val="20"/>
                <w:szCs w:val="20"/>
                <w:color w:val="auto"/>
              </w:rPr>
            </w:pPr>
            <w:r>
              <w:rPr>
                <w:rFonts w:ascii="Arial" w:cs="Arial" w:eastAsia="Arial" w:hAnsi="Arial"/>
                <w:sz w:val="14"/>
                <w:szCs w:val="14"/>
                <w:color w:val="auto"/>
              </w:rPr>
              <w:t>12/9/2025</w:t>
            </w:r>
          </w:p>
        </w:tc>
        <w:tc>
          <w:tcPr>
            <w:tcW w:w="1480" w:type="dxa"/>
            <w:vAlign w:val="bottom"/>
            <w:gridSpan w:val="2"/>
            <w:shd w:val="clear" w:color="auto" w:fill="F1F2F2"/>
          </w:tcPr>
          <w:p>
            <w:pPr>
              <w:jc w:val="right"/>
              <w:spacing w:after="0"/>
              <w:rPr>
                <w:sz w:val="20"/>
                <w:szCs w:val="20"/>
                <w:color w:val="auto"/>
              </w:rPr>
            </w:pPr>
            <w:r>
              <w:rPr>
                <w:rFonts w:ascii="Arial" w:cs="Arial" w:eastAsia="Arial" w:hAnsi="Arial"/>
                <w:sz w:val="14"/>
                <w:szCs w:val="14"/>
                <w:color w:val="auto"/>
              </w:rPr>
              <w:t>4,688</w:t>
            </w:r>
          </w:p>
        </w:tc>
        <w:tc>
          <w:tcPr>
            <w:tcW w:w="134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12/31/2025</w:t>
            </w:r>
          </w:p>
        </w:tc>
        <w:tc>
          <w:tcPr>
            <w:tcW w:w="1420" w:type="dxa"/>
            <w:vAlign w:val="bottom"/>
            <w:shd w:val="clear" w:color="auto" w:fill="F1F2F2"/>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56"/>
        </w:trPr>
        <w:tc>
          <w:tcPr>
            <w:tcW w:w="3560" w:type="dxa"/>
            <w:vAlign w:val="bottom"/>
            <w:tcBorders>
              <w:bottom w:val="single" w:sz="8" w:color="F1F2F2"/>
            </w:tcBorders>
            <w:shd w:val="clear" w:color="auto" w:fill="F1F2F2"/>
          </w:tcPr>
          <w:p>
            <w:pPr>
              <w:spacing w:after="0"/>
              <w:rPr>
                <w:sz w:val="21"/>
                <w:szCs w:val="21"/>
                <w:color w:val="auto"/>
              </w:rPr>
            </w:pPr>
          </w:p>
        </w:tc>
        <w:tc>
          <w:tcPr>
            <w:tcW w:w="13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887</w:t>
            </w:r>
          </w:p>
        </w:tc>
        <w:tc>
          <w:tcPr>
            <w:tcW w:w="260" w:type="dxa"/>
            <w:vAlign w:val="bottom"/>
            <w:tcBorders>
              <w:bottom w:val="single" w:sz="8" w:color="F1F2F2"/>
            </w:tcBorders>
            <w:shd w:val="clear" w:color="auto" w:fill="F1F2F2"/>
          </w:tcPr>
          <w:p>
            <w:pPr>
              <w:spacing w:after="0"/>
              <w:rPr>
                <w:sz w:val="21"/>
                <w:szCs w:val="21"/>
                <w:color w:val="auto"/>
              </w:rPr>
            </w:pPr>
          </w:p>
        </w:tc>
        <w:tc>
          <w:tcPr>
            <w:tcW w:w="1120" w:type="dxa"/>
            <w:vAlign w:val="bottom"/>
            <w:tcBorders>
              <w:bottom w:val="single" w:sz="8" w:color="F1F2F2"/>
            </w:tcBorders>
            <w:shd w:val="clear" w:color="auto" w:fill="F1F2F2"/>
          </w:tcPr>
          <w:p>
            <w:pPr>
              <w:jc w:val="center"/>
              <w:ind w:right="168"/>
              <w:spacing w:after="0"/>
              <w:rPr>
                <w:sz w:val="20"/>
                <w:szCs w:val="20"/>
                <w:color w:val="auto"/>
              </w:rPr>
            </w:pPr>
            <w:r>
              <w:rPr>
                <w:rFonts w:ascii="Arial" w:cs="Arial" w:eastAsia="Arial" w:hAnsi="Arial"/>
                <w:sz w:val="14"/>
                <w:szCs w:val="14"/>
                <w:color w:val="auto"/>
              </w:rPr>
              <w:t>2/5/2027</w:t>
            </w:r>
          </w:p>
        </w:tc>
        <w:tc>
          <w:tcPr>
            <w:tcW w:w="148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4"/>
                <w:szCs w:val="14"/>
                <w:color w:val="auto"/>
              </w:rPr>
              <w:t>2,956</w:t>
            </w:r>
          </w:p>
        </w:tc>
        <w:tc>
          <w:tcPr>
            <w:tcW w:w="13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12/31/2026</w:t>
            </w:r>
          </w:p>
        </w:tc>
        <w:tc>
          <w:tcPr>
            <w:tcW w:w="1420" w:type="dxa"/>
            <w:vAlign w:val="bottom"/>
            <w:tcBorders>
              <w:bottom w:val="single" w:sz="8" w:color="F1F2F2"/>
            </w:tcBorders>
            <w:shd w:val="clear" w:color="auto" w:fill="F1F2F2"/>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23"/>
        </w:trPr>
        <w:tc>
          <w:tcPr>
            <w:tcW w:w="3560" w:type="dxa"/>
            <w:vAlign w:val="bottom"/>
            <w:tcBorders>
              <w:top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2,294</w:t>
            </w:r>
          </w:p>
        </w:tc>
        <w:tc>
          <w:tcPr>
            <w:tcW w:w="260" w:type="dxa"/>
            <w:vAlign w:val="bottom"/>
            <w:tcBorders>
              <w:top w:val="single" w:sz="8" w:color="F1F2F2"/>
            </w:tcBorders>
            <w:shd w:val="clear" w:color="auto" w:fill="F1F2F2"/>
          </w:tcPr>
          <w:p>
            <w:pPr>
              <w:spacing w:after="0"/>
              <w:rPr>
                <w:sz w:val="19"/>
                <w:szCs w:val="19"/>
                <w:color w:val="auto"/>
              </w:rPr>
            </w:pPr>
          </w:p>
        </w:tc>
        <w:tc>
          <w:tcPr>
            <w:tcW w:w="1120" w:type="dxa"/>
            <w:vAlign w:val="bottom"/>
            <w:tcBorders>
              <w:top w:val="single" w:sz="8" w:color="F1F2F2"/>
            </w:tcBorders>
            <w:shd w:val="clear" w:color="auto" w:fill="F1F2F2"/>
          </w:tcPr>
          <w:p>
            <w:pPr>
              <w:spacing w:after="0"/>
              <w:rPr>
                <w:sz w:val="19"/>
                <w:szCs w:val="19"/>
                <w:color w:val="auto"/>
              </w:rPr>
            </w:pPr>
          </w:p>
        </w:tc>
        <w:tc>
          <w:tcPr>
            <w:tcW w:w="100" w:type="dxa"/>
            <w:vAlign w:val="bottom"/>
            <w:tcBorders>
              <w:top w:val="single" w:sz="8" w:color="F1F2F2"/>
            </w:tcBorders>
            <w:shd w:val="clear" w:color="auto" w:fill="F1F2F2"/>
          </w:tcPr>
          <w:p>
            <w:pPr>
              <w:spacing w:after="0"/>
              <w:rPr>
                <w:sz w:val="19"/>
                <w:szCs w:val="19"/>
                <w:color w:val="auto"/>
              </w:rPr>
            </w:pPr>
          </w:p>
        </w:tc>
        <w:tc>
          <w:tcPr>
            <w:tcW w:w="138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7,644</w:t>
            </w:r>
          </w:p>
        </w:tc>
        <w:tc>
          <w:tcPr>
            <w:tcW w:w="1340" w:type="dxa"/>
            <w:vAlign w:val="bottom"/>
            <w:tcBorders>
              <w:top w:val="single" w:sz="8" w:color="F1F2F2"/>
            </w:tcBorders>
            <w:shd w:val="clear" w:color="auto" w:fill="F1F2F2"/>
          </w:tcPr>
          <w:p>
            <w:pPr>
              <w:spacing w:after="0"/>
              <w:rPr>
                <w:sz w:val="19"/>
                <w:szCs w:val="19"/>
                <w:color w:val="auto"/>
              </w:rPr>
            </w:pPr>
          </w:p>
        </w:tc>
        <w:tc>
          <w:tcPr>
            <w:tcW w:w="1420" w:type="dxa"/>
            <w:vAlign w:val="bottom"/>
            <w:tcBorders>
              <w:top w:val="single" w:sz="8" w:color="F1F2F2"/>
            </w:tcBorders>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1340" w:type="dxa"/>
            <w:vAlign w:val="bottom"/>
          </w:tcPr>
          <w:p>
            <w:pPr>
              <w:jc w:val="right"/>
              <w:spacing w:after="0"/>
              <w:rPr>
                <w:sz w:val="20"/>
                <w:szCs w:val="20"/>
                <w:color w:val="auto"/>
              </w:rPr>
            </w:pPr>
            <w:r>
              <w:rPr>
                <w:rFonts w:ascii="Arial" w:cs="Arial" w:eastAsia="Arial" w:hAnsi="Arial"/>
                <w:sz w:val="14"/>
                <w:szCs w:val="14"/>
                <w:color w:val="auto"/>
              </w:rPr>
              <w:t>1,348</w:t>
            </w:r>
          </w:p>
        </w:tc>
        <w:tc>
          <w:tcPr>
            <w:tcW w:w="260" w:type="dxa"/>
            <w:vAlign w:val="bottom"/>
          </w:tcPr>
          <w:p>
            <w:pPr>
              <w:spacing w:after="0"/>
              <w:rPr>
                <w:sz w:val="18"/>
                <w:szCs w:val="18"/>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color w:val="auto"/>
              </w:rPr>
              <w:t>12/9/2025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4,494</w:t>
            </w:r>
          </w:p>
        </w:tc>
        <w:tc>
          <w:tcPr>
            <w:tcW w:w="1340" w:type="dxa"/>
            <w:vAlign w:val="bottom"/>
          </w:tcPr>
          <w:p>
            <w:pPr>
              <w:jc w:val="center"/>
              <w:spacing w:after="0"/>
              <w:rPr>
                <w:sz w:val="20"/>
                <w:szCs w:val="20"/>
                <w:color w:val="auto"/>
              </w:rPr>
            </w:pPr>
            <w:r>
              <w:rPr>
                <w:rFonts w:ascii="Arial" w:cs="Arial" w:eastAsia="Arial" w:hAnsi="Arial"/>
                <w:sz w:val="14"/>
                <w:szCs w:val="14"/>
                <w:color w:val="auto"/>
              </w:rPr>
              <w:t>12/31/2025</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819</w:t>
            </w:r>
          </w:p>
        </w:tc>
        <w:tc>
          <w:tcPr>
            <w:tcW w:w="260" w:type="dxa"/>
            <w:vAlign w:val="bottom"/>
          </w:tcPr>
          <w:p>
            <w:pPr>
              <w:spacing w:after="0"/>
              <w:rPr>
                <w:sz w:val="19"/>
                <w:szCs w:val="19"/>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color w:val="auto"/>
              </w:rPr>
              <w:t>2/5/2027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2,730</w:t>
            </w:r>
          </w:p>
        </w:tc>
        <w:tc>
          <w:tcPr>
            <w:tcW w:w="1340" w:type="dxa"/>
            <w:vAlign w:val="bottom"/>
          </w:tcPr>
          <w:p>
            <w:pPr>
              <w:jc w:val="center"/>
              <w:spacing w:after="0"/>
              <w:rPr>
                <w:sz w:val="20"/>
                <w:szCs w:val="20"/>
                <w:color w:val="auto"/>
              </w:rPr>
            </w:pPr>
            <w:r>
              <w:rPr>
                <w:rFonts w:ascii="Arial" w:cs="Arial" w:eastAsia="Arial" w:hAnsi="Arial"/>
                <w:sz w:val="14"/>
                <w:szCs w:val="14"/>
                <w:color w:val="auto"/>
              </w:rPr>
              <w:t>12/31/2026</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2"/>
        </w:trPr>
        <w:tc>
          <w:tcPr>
            <w:tcW w:w="3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56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2,167</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7,224</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13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1,289</w:t>
            </w:r>
          </w:p>
        </w:tc>
        <w:tc>
          <w:tcPr>
            <w:tcW w:w="260" w:type="dxa"/>
            <w:vAlign w:val="bottom"/>
            <w:shd w:val="clear" w:color="auto" w:fill="F1F2F2"/>
          </w:tcPr>
          <w:p>
            <w:pPr>
              <w:spacing w:after="0"/>
              <w:rPr>
                <w:sz w:val="18"/>
                <w:szCs w:val="18"/>
                <w:color w:val="auto"/>
              </w:rPr>
            </w:pPr>
          </w:p>
        </w:tc>
        <w:tc>
          <w:tcPr>
            <w:tcW w:w="1120" w:type="dxa"/>
            <w:vAlign w:val="bottom"/>
            <w:shd w:val="clear" w:color="auto" w:fill="F1F2F2"/>
          </w:tcPr>
          <w:p>
            <w:pPr>
              <w:jc w:val="center"/>
              <w:ind w:right="168"/>
              <w:spacing w:after="0"/>
              <w:rPr>
                <w:sz w:val="20"/>
                <w:szCs w:val="20"/>
                <w:color w:val="auto"/>
              </w:rPr>
            </w:pPr>
            <w:r>
              <w:rPr>
                <w:rFonts w:ascii="Arial" w:cs="Arial" w:eastAsia="Arial" w:hAnsi="Arial"/>
                <w:sz w:val="14"/>
                <w:szCs w:val="14"/>
                <w:color w:val="auto"/>
              </w:rPr>
              <w:t>12/9/2025</w:t>
            </w:r>
          </w:p>
        </w:tc>
        <w:tc>
          <w:tcPr>
            <w:tcW w:w="1480" w:type="dxa"/>
            <w:vAlign w:val="bottom"/>
            <w:gridSpan w:val="2"/>
            <w:shd w:val="clear" w:color="auto" w:fill="F1F2F2"/>
          </w:tcPr>
          <w:p>
            <w:pPr>
              <w:jc w:val="right"/>
              <w:spacing w:after="0"/>
              <w:rPr>
                <w:sz w:val="20"/>
                <w:szCs w:val="20"/>
                <w:color w:val="auto"/>
              </w:rPr>
            </w:pPr>
            <w:r>
              <w:rPr>
                <w:rFonts w:ascii="Arial" w:cs="Arial" w:eastAsia="Arial" w:hAnsi="Arial"/>
                <w:sz w:val="14"/>
                <w:szCs w:val="14"/>
                <w:color w:val="auto"/>
              </w:rPr>
              <w:t>4,298</w:t>
            </w:r>
          </w:p>
        </w:tc>
        <w:tc>
          <w:tcPr>
            <w:tcW w:w="134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12/31/2025</w:t>
            </w:r>
          </w:p>
        </w:tc>
        <w:tc>
          <w:tcPr>
            <w:tcW w:w="1420" w:type="dxa"/>
            <w:vAlign w:val="bottom"/>
            <w:shd w:val="clear" w:color="auto" w:fill="F1F2F2"/>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56"/>
        </w:trPr>
        <w:tc>
          <w:tcPr>
            <w:tcW w:w="3560" w:type="dxa"/>
            <w:vAlign w:val="bottom"/>
            <w:tcBorders>
              <w:bottom w:val="single" w:sz="8" w:color="F1F2F2"/>
            </w:tcBorders>
            <w:shd w:val="clear" w:color="auto" w:fill="F1F2F2"/>
          </w:tcPr>
          <w:p>
            <w:pPr>
              <w:spacing w:after="0"/>
              <w:rPr>
                <w:sz w:val="21"/>
                <w:szCs w:val="21"/>
                <w:color w:val="auto"/>
              </w:rPr>
            </w:pPr>
          </w:p>
        </w:tc>
        <w:tc>
          <w:tcPr>
            <w:tcW w:w="13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819</w:t>
            </w:r>
          </w:p>
        </w:tc>
        <w:tc>
          <w:tcPr>
            <w:tcW w:w="260" w:type="dxa"/>
            <w:vAlign w:val="bottom"/>
            <w:tcBorders>
              <w:bottom w:val="single" w:sz="8" w:color="F1F2F2"/>
            </w:tcBorders>
            <w:shd w:val="clear" w:color="auto" w:fill="F1F2F2"/>
          </w:tcPr>
          <w:p>
            <w:pPr>
              <w:spacing w:after="0"/>
              <w:rPr>
                <w:sz w:val="21"/>
                <w:szCs w:val="21"/>
                <w:color w:val="auto"/>
              </w:rPr>
            </w:pPr>
          </w:p>
        </w:tc>
        <w:tc>
          <w:tcPr>
            <w:tcW w:w="1120" w:type="dxa"/>
            <w:vAlign w:val="bottom"/>
            <w:tcBorders>
              <w:bottom w:val="single" w:sz="8" w:color="F1F2F2"/>
            </w:tcBorders>
            <w:shd w:val="clear" w:color="auto" w:fill="F1F2F2"/>
          </w:tcPr>
          <w:p>
            <w:pPr>
              <w:jc w:val="center"/>
              <w:ind w:right="168"/>
              <w:spacing w:after="0"/>
              <w:rPr>
                <w:sz w:val="20"/>
                <w:szCs w:val="20"/>
                <w:color w:val="auto"/>
              </w:rPr>
            </w:pPr>
            <w:r>
              <w:rPr>
                <w:rFonts w:ascii="Arial" w:cs="Arial" w:eastAsia="Arial" w:hAnsi="Arial"/>
                <w:sz w:val="14"/>
                <w:szCs w:val="14"/>
                <w:color w:val="auto"/>
              </w:rPr>
              <w:t>2/5/2027</w:t>
            </w:r>
          </w:p>
        </w:tc>
        <w:tc>
          <w:tcPr>
            <w:tcW w:w="148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4"/>
                <w:szCs w:val="14"/>
                <w:color w:val="auto"/>
              </w:rPr>
              <w:t>2,730</w:t>
            </w:r>
          </w:p>
        </w:tc>
        <w:tc>
          <w:tcPr>
            <w:tcW w:w="13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12/31/2026</w:t>
            </w:r>
          </w:p>
        </w:tc>
        <w:tc>
          <w:tcPr>
            <w:tcW w:w="1420" w:type="dxa"/>
            <w:vAlign w:val="bottom"/>
            <w:tcBorders>
              <w:bottom w:val="single" w:sz="8" w:color="F1F2F2"/>
            </w:tcBorders>
            <w:shd w:val="clear" w:color="auto" w:fill="F1F2F2"/>
          </w:tcPr>
          <w:p>
            <w:pPr>
              <w:jc w:val="center"/>
              <w:ind w:right="28"/>
              <w:spacing w:after="0"/>
              <w:rPr>
                <w:sz w:val="20"/>
                <w:szCs w:val="20"/>
                <w:color w:val="auto"/>
              </w:rPr>
            </w:pPr>
            <w:r>
              <w:rPr>
                <w:rFonts w:ascii="Arial" w:cs="Arial" w:eastAsia="Arial" w:hAnsi="Arial"/>
                <w:sz w:val="14"/>
                <w:szCs w:val="14"/>
                <w:color w:val="auto"/>
              </w:rPr>
              <w:t>Max</w:t>
            </w:r>
          </w:p>
        </w:tc>
        <w:tc>
          <w:tcPr>
            <w:tcW w:w="0" w:type="dxa"/>
            <w:vAlign w:val="bottom"/>
          </w:tcPr>
          <w:p>
            <w:pPr>
              <w:spacing w:after="0"/>
              <w:rPr>
                <w:sz w:val="1"/>
                <w:szCs w:val="1"/>
                <w:color w:val="auto"/>
              </w:rPr>
            </w:pPr>
          </w:p>
        </w:tc>
      </w:tr>
      <w:tr>
        <w:trPr>
          <w:trHeight w:val="223"/>
        </w:trPr>
        <w:tc>
          <w:tcPr>
            <w:tcW w:w="3560" w:type="dxa"/>
            <w:vAlign w:val="bottom"/>
            <w:tcBorders>
              <w:top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2,108</w:t>
            </w:r>
          </w:p>
        </w:tc>
        <w:tc>
          <w:tcPr>
            <w:tcW w:w="260" w:type="dxa"/>
            <w:vAlign w:val="bottom"/>
            <w:tcBorders>
              <w:top w:val="single" w:sz="8" w:color="F1F2F2"/>
            </w:tcBorders>
            <w:shd w:val="clear" w:color="auto" w:fill="F1F2F2"/>
          </w:tcPr>
          <w:p>
            <w:pPr>
              <w:spacing w:after="0"/>
              <w:rPr>
                <w:sz w:val="19"/>
                <w:szCs w:val="19"/>
                <w:color w:val="auto"/>
              </w:rPr>
            </w:pPr>
          </w:p>
        </w:tc>
        <w:tc>
          <w:tcPr>
            <w:tcW w:w="1120" w:type="dxa"/>
            <w:vAlign w:val="bottom"/>
            <w:tcBorders>
              <w:top w:val="single" w:sz="8" w:color="F1F2F2"/>
            </w:tcBorders>
            <w:shd w:val="clear" w:color="auto" w:fill="F1F2F2"/>
          </w:tcPr>
          <w:p>
            <w:pPr>
              <w:spacing w:after="0"/>
              <w:rPr>
                <w:sz w:val="19"/>
                <w:szCs w:val="19"/>
                <w:color w:val="auto"/>
              </w:rPr>
            </w:pPr>
          </w:p>
        </w:tc>
        <w:tc>
          <w:tcPr>
            <w:tcW w:w="100" w:type="dxa"/>
            <w:vAlign w:val="bottom"/>
            <w:tcBorders>
              <w:top w:val="single" w:sz="8" w:color="F1F2F2"/>
            </w:tcBorders>
            <w:shd w:val="clear" w:color="auto" w:fill="F1F2F2"/>
          </w:tcPr>
          <w:p>
            <w:pPr>
              <w:spacing w:after="0"/>
              <w:rPr>
                <w:sz w:val="19"/>
                <w:szCs w:val="19"/>
                <w:color w:val="auto"/>
              </w:rPr>
            </w:pPr>
          </w:p>
        </w:tc>
        <w:tc>
          <w:tcPr>
            <w:tcW w:w="138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7,028</w:t>
            </w:r>
          </w:p>
        </w:tc>
        <w:tc>
          <w:tcPr>
            <w:tcW w:w="1340" w:type="dxa"/>
            <w:vAlign w:val="bottom"/>
            <w:tcBorders>
              <w:top w:val="single" w:sz="8" w:color="F1F2F2"/>
            </w:tcBorders>
            <w:shd w:val="clear" w:color="auto" w:fill="F1F2F2"/>
          </w:tcPr>
          <w:p>
            <w:pPr>
              <w:spacing w:after="0"/>
              <w:rPr>
                <w:sz w:val="19"/>
                <w:szCs w:val="19"/>
                <w:color w:val="auto"/>
              </w:rPr>
            </w:pPr>
          </w:p>
        </w:tc>
        <w:tc>
          <w:tcPr>
            <w:tcW w:w="1420" w:type="dxa"/>
            <w:vAlign w:val="bottom"/>
            <w:tcBorders>
              <w:top w:val="single" w:sz="8" w:color="F1F2F2"/>
            </w:tcBorders>
            <w:shd w:val="clear" w:color="auto" w:fill="F1F2F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-2527935</wp:posOffset>
            </wp:positionV>
            <wp:extent cx="43376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778" w:right="71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C60C35"/>
        </w:rPr>
        <w:t>2024 Option/SAR Exercises and Stock Vested</w:t>
      </w:r>
    </w:p>
    <w:p>
      <w:pPr>
        <w:spacing w:after="0" w:line="54"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The following table provides information regarding the exercise of SARs by our NEOs and the vesting of RSUs and PSUs held by our NEOs for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60C35"/>
          </w:tcPr>
          <w:p>
            <w:pPr>
              <w:spacing w:after="0"/>
              <w:rPr>
                <w:sz w:val="18"/>
                <w:szCs w:val="18"/>
                <w:color w:val="auto"/>
              </w:rPr>
            </w:pPr>
          </w:p>
        </w:tc>
        <w:tc>
          <w:tcPr>
            <w:tcW w:w="2980" w:type="dxa"/>
            <w:vAlign w:val="bottom"/>
            <w:gridSpan w:val="2"/>
            <w:shd w:val="clear" w:color="auto" w:fill="C60C35"/>
          </w:tcPr>
          <w:p>
            <w:pPr>
              <w:jc w:val="right"/>
              <w:ind w:right="688"/>
              <w:spacing w:after="0"/>
              <w:rPr>
                <w:sz w:val="20"/>
                <w:szCs w:val="20"/>
                <w:color w:val="auto"/>
              </w:rPr>
            </w:pPr>
            <w:r>
              <w:rPr>
                <w:rFonts w:ascii="Arial" w:cs="Arial" w:eastAsia="Arial" w:hAnsi="Arial"/>
                <w:sz w:val="14"/>
                <w:szCs w:val="14"/>
                <w:b w:val="1"/>
                <w:bCs w:val="1"/>
                <w:color w:val="FFFFFF"/>
              </w:rPr>
              <w:t>Options/SAR Awards</w:t>
            </w:r>
          </w:p>
        </w:tc>
        <w:tc>
          <w:tcPr>
            <w:tcW w:w="100" w:type="dxa"/>
            <w:vAlign w:val="bottom"/>
          </w:tcPr>
          <w:p>
            <w:pPr>
              <w:spacing w:after="0"/>
              <w:rPr>
                <w:sz w:val="18"/>
                <w:szCs w:val="18"/>
                <w:color w:val="auto"/>
              </w:rPr>
            </w:pPr>
          </w:p>
        </w:tc>
        <w:tc>
          <w:tcPr>
            <w:tcW w:w="920" w:type="dxa"/>
            <w:vAlign w:val="bottom"/>
            <w:shd w:val="clear" w:color="auto" w:fill="C60C35"/>
          </w:tcPr>
          <w:p>
            <w:pPr>
              <w:spacing w:after="0"/>
              <w:rPr>
                <w:sz w:val="18"/>
                <w:szCs w:val="18"/>
                <w:color w:val="auto"/>
              </w:rPr>
            </w:pPr>
          </w:p>
        </w:tc>
        <w:tc>
          <w:tcPr>
            <w:tcW w:w="1600" w:type="dxa"/>
            <w:vAlign w:val="bottom"/>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Stock Awards</w:t>
            </w:r>
          </w:p>
        </w:tc>
        <w:tc>
          <w:tcPr>
            <w:tcW w:w="1560" w:type="dxa"/>
            <w:vAlign w:val="bottom"/>
            <w:shd w:val="clear" w:color="auto" w:fill="C60C35"/>
          </w:tcPr>
          <w:p>
            <w:pPr>
              <w:spacing w:after="0"/>
              <w:rPr>
                <w:sz w:val="18"/>
                <w:szCs w:val="18"/>
                <w:color w:val="auto"/>
              </w:rPr>
            </w:pPr>
          </w:p>
        </w:tc>
      </w:tr>
      <w:tr>
        <w:trPr>
          <w:trHeight w:val="220"/>
        </w:trPr>
        <w:tc>
          <w:tcPr>
            <w:tcW w:w="4080" w:type="dxa"/>
            <w:vAlign w:val="bottom"/>
            <w:shd w:val="clear" w:color="auto" w:fill="C60C35"/>
          </w:tcPr>
          <w:p>
            <w:pPr>
              <w:spacing w:after="0"/>
              <w:rPr>
                <w:sz w:val="19"/>
                <w:szCs w:val="19"/>
                <w:color w:val="auto"/>
              </w:rPr>
            </w:pPr>
          </w:p>
        </w:tc>
        <w:tc>
          <w:tcPr>
            <w:tcW w:w="14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Number of SARs</w:t>
            </w:r>
          </w:p>
        </w:tc>
        <w:tc>
          <w:tcPr>
            <w:tcW w:w="15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Value Realized on</w:t>
            </w:r>
          </w:p>
        </w:tc>
        <w:tc>
          <w:tcPr>
            <w:tcW w:w="100" w:type="dxa"/>
            <w:vAlign w:val="bottom"/>
          </w:tcPr>
          <w:p>
            <w:pPr>
              <w:spacing w:after="0"/>
              <w:rPr>
                <w:sz w:val="19"/>
                <w:szCs w:val="19"/>
                <w:color w:val="auto"/>
              </w:rPr>
            </w:pPr>
          </w:p>
        </w:tc>
        <w:tc>
          <w:tcPr>
            <w:tcW w:w="920" w:type="dxa"/>
            <w:vAlign w:val="bottom"/>
            <w:shd w:val="clear" w:color="auto" w:fill="C60C35"/>
          </w:tcPr>
          <w:p>
            <w:pPr>
              <w:spacing w:after="0"/>
              <w:rPr>
                <w:sz w:val="19"/>
                <w:szCs w:val="19"/>
                <w:color w:val="auto"/>
              </w:rPr>
            </w:pPr>
          </w:p>
        </w:tc>
        <w:tc>
          <w:tcPr>
            <w:tcW w:w="1600" w:type="dxa"/>
            <w:vAlign w:val="bottom"/>
            <w:shd w:val="clear" w:color="auto" w:fill="C60C35"/>
          </w:tcPr>
          <w:p>
            <w:pPr>
              <w:jc w:val="center"/>
              <w:ind w:right="8"/>
              <w:spacing w:after="0"/>
              <w:rPr>
                <w:sz w:val="20"/>
                <w:szCs w:val="20"/>
                <w:color w:val="auto"/>
              </w:rPr>
            </w:pPr>
            <w:r>
              <w:rPr>
                <w:rFonts w:ascii="Arial" w:cs="Arial" w:eastAsia="Arial" w:hAnsi="Arial"/>
                <w:sz w:val="14"/>
                <w:szCs w:val="14"/>
                <w:b w:val="1"/>
                <w:bCs w:val="1"/>
                <w:color w:val="FFFFFF"/>
              </w:rPr>
              <w:t>Number of Shares</w:t>
            </w:r>
          </w:p>
        </w:tc>
        <w:tc>
          <w:tcPr>
            <w:tcW w:w="1560" w:type="dxa"/>
            <w:vAlign w:val="bottom"/>
            <w:shd w:val="clear" w:color="auto" w:fill="C60C35"/>
          </w:tcPr>
          <w:p>
            <w:pPr>
              <w:jc w:val="center"/>
              <w:ind w:right="150"/>
              <w:spacing w:after="0"/>
              <w:rPr>
                <w:sz w:val="20"/>
                <w:szCs w:val="20"/>
                <w:color w:val="auto"/>
              </w:rPr>
            </w:pPr>
            <w:r>
              <w:rPr>
                <w:rFonts w:ascii="Arial" w:cs="Arial" w:eastAsia="Arial" w:hAnsi="Arial"/>
                <w:sz w:val="14"/>
                <w:szCs w:val="14"/>
                <w:b w:val="1"/>
                <w:bCs w:val="1"/>
                <w:color w:val="FFFFFF"/>
              </w:rPr>
              <w:t>Value Realized on</w:t>
            </w:r>
          </w:p>
        </w:tc>
      </w:tr>
      <w:tr>
        <w:trPr>
          <w:trHeight w:val="162"/>
        </w:trPr>
        <w:tc>
          <w:tcPr>
            <w:tcW w:w="4080" w:type="dxa"/>
            <w:vAlign w:val="bottom"/>
            <w:shd w:val="clear" w:color="auto" w:fill="C60C35"/>
          </w:tcPr>
          <w:p>
            <w:pPr>
              <w:spacing w:after="0"/>
              <w:rPr>
                <w:sz w:val="14"/>
                <w:szCs w:val="14"/>
                <w:color w:val="auto"/>
              </w:rPr>
            </w:pPr>
          </w:p>
        </w:tc>
        <w:tc>
          <w:tcPr>
            <w:tcW w:w="14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Exercised</w:t>
            </w:r>
          </w:p>
        </w:tc>
        <w:tc>
          <w:tcPr>
            <w:tcW w:w="15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Exercise</w:t>
            </w:r>
          </w:p>
        </w:tc>
        <w:tc>
          <w:tcPr>
            <w:tcW w:w="100" w:type="dxa"/>
            <w:vAlign w:val="bottom"/>
          </w:tcPr>
          <w:p>
            <w:pPr>
              <w:spacing w:after="0"/>
              <w:rPr>
                <w:sz w:val="14"/>
                <w:szCs w:val="14"/>
                <w:color w:val="auto"/>
              </w:rPr>
            </w:pPr>
          </w:p>
        </w:tc>
        <w:tc>
          <w:tcPr>
            <w:tcW w:w="920" w:type="dxa"/>
            <w:vAlign w:val="bottom"/>
            <w:shd w:val="clear" w:color="auto" w:fill="C60C35"/>
          </w:tcPr>
          <w:p>
            <w:pPr>
              <w:spacing w:after="0"/>
              <w:rPr>
                <w:sz w:val="14"/>
                <w:szCs w:val="14"/>
                <w:color w:val="auto"/>
              </w:rPr>
            </w:pPr>
          </w:p>
        </w:tc>
        <w:tc>
          <w:tcPr>
            <w:tcW w:w="1600" w:type="dxa"/>
            <w:vAlign w:val="bottom"/>
            <w:shd w:val="clear" w:color="auto" w:fill="C60C35"/>
          </w:tcPr>
          <w:p>
            <w:pPr>
              <w:jc w:val="center"/>
              <w:ind w:right="48"/>
              <w:spacing w:after="0"/>
              <w:rPr>
                <w:sz w:val="20"/>
                <w:szCs w:val="20"/>
                <w:color w:val="auto"/>
              </w:rPr>
            </w:pPr>
            <w:r>
              <w:rPr>
                <w:rFonts w:ascii="Arial" w:cs="Arial" w:eastAsia="Arial" w:hAnsi="Arial"/>
                <w:sz w:val="14"/>
                <w:szCs w:val="14"/>
                <w:b w:val="1"/>
                <w:bCs w:val="1"/>
                <w:color w:val="FFFFFF"/>
              </w:rPr>
              <w:t>Acquired on Vesting</w:t>
            </w:r>
          </w:p>
        </w:tc>
        <w:tc>
          <w:tcPr>
            <w:tcW w:w="1560" w:type="dxa"/>
            <w:vAlign w:val="bottom"/>
            <w:shd w:val="clear" w:color="auto" w:fill="C60C35"/>
          </w:tcPr>
          <w:p>
            <w:pPr>
              <w:jc w:val="center"/>
              <w:ind w:right="150"/>
              <w:spacing w:after="0"/>
              <w:rPr>
                <w:sz w:val="20"/>
                <w:szCs w:val="20"/>
                <w:color w:val="auto"/>
              </w:rPr>
            </w:pPr>
            <w:r>
              <w:rPr>
                <w:rFonts w:ascii="Arial" w:cs="Arial" w:eastAsia="Arial" w:hAnsi="Arial"/>
                <w:sz w:val="14"/>
                <w:szCs w:val="14"/>
                <w:b w:val="1"/>
                <w:bCs w:val="1"/>
                <w:color w:val="FFFFFF"/>
                <w:w w:val="98"/>
              </w:rPr>
              <w:t>Vesting</w:t>
            </w:r>
          </w:p>
        </w:tc>
      </w:tr>
      <w:tr>
        <w:trPr>
          <w:trHeight w:val="246"/>
        </w:trPr>
        <w:tc>
          <w:tcPr>
            <w:tcW w:w="408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4"/>
                <w:szCs w:val="14"/>
                <w:b w:val="1"/>
                <w:bCs w:val="1"/>
                <w:color w:val="FFFFFF"/>
              </w:rPr>
              <w:t> Name</w:t>
            </w:r>
          </w:p>
        </w:tc>
        <w:tc>
          <w:tcPr>
            <w:tcW w:w="148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4"/>
                <w:szCs w:val="14"/>
                <w:b w:val="1"/>
                <w:bCs w:val="1"/>
                <w:color w:val="FFFFFF"/>
                <w:w w:val="93"/>
              </w:rPr>
              <w:t>(#)</w:t>
            </w:r>
          </w:p>
        </w:tc>
        <w:tc>
          <w:tcPr>
            <w:tcW w:w="150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tcPr>
          <w:p>
            <w:pPr>
              <w:spacing w:after="0"/>
              <w:rPr>
                <w:sz w:val="21"/>
                <w:szCs w:val="21"/>
                <w:color w:val="auto"/>
              </w:rPr>
            </w:pPr>
          </w:p>
        </w:tc>
        <w:tc>
          <w:tcPr>
            <w:tcW w:w="920" w:type="dxa"/>
            <w:vAlign w:val="bottom"/>
            <w:tcBorders>
              <w:bottom w:val="single" w:sz="8" w:color="C60C35"/>
            </w:tcBorders>
            <w:shd w:val="clear" w:color="auto" w:fill="C60C35"/>
          </w:tcPr>
          <w:p>
            <w:pPr>
              <w:ind w:left="240"/>
              <w:spacing w:after="0"/>
              <w:rPr>
                <w:sz w:val="20"/>
                <w:szCs w:val="20"/>
                <w:color w:val="auto"/>
              </w:rPr>
            </w:pPr>
            <w:r>
              <w:rPr>
                <w:rFonts w:ascii="Arial" w:cs="Arial" w:eastAsia="Arial" w:hAnsi="Arial"/>
                <w:sz w:val="14"/>
                <w:szCs w:val="14"/>
                <w:b w:val="1"/>
                <w:bCs w:val="1"/>
                <w:color w:val="FFFFFF"/>
              </w:rPr>
              <w:t xml:space="preserve">       </w:t>
            </w:r>
          </w:p>
        </w:tc>
        <w:tc>
          <w:tcPr>
            <w:tcW w:w="1600" w:type="dxa"/>
            <w:vAlign w:val="bottom"/>
            <w:tcBorders>
              <w:bottom w:val="single" w:sz="8" w:color="C60C35"/>
            </w:tcBorders>
            <w:shd w:val="clear" w:color="auto" w:fill="C60C35"/>
          </w:tcPr>
          <w:p>
            <w:pPr>
              <w:jc w:val="center"/>
              <w:ind w:right="28"/>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bottom w:val="single" w:sz="8" w:color="C60C35"/>
            </w:tcBorders>
            <w:shd w:val="clear" w:color="auto" w:fill="C60C35"/>
          </w:tcPr>
          <w:p>
            <w:pPr>
              <w:jc w:val="center"/>
              <w:ind w:right="150"/>
              <w:spacing w:after="0" w:line="212" w:lineRule="exact"/>
              <w:rPr>
                <w:sz w:val="20"/>
                <w:szCs w:val="20"/>
                <w:color w:val="auto"/>
              </w:rPr>
            </w:pPr>
            <w:r>
              <w:rPr>
                <w:rFonts w:ascii="Arial" w:cs="Arial" w:eastAsia="Arial" w:hAnsi="Arial"/>
                <w:sz w:val="24"/>
                <w:szCs w:val="24"/>
                <w:b w:val="1"/>
                <w:bCs w:val="1"/>
                <w:color w:val="FFFFFF"/>
                <w:w w:val="98"/>
                <w:vertAlign w:val="subscript"/>
              </w:rPr>
              <w:t>($)</w:t>
            </w:r>
            <w:r>
              <w:rPr>
                <w:rFonts w:ascii="Arial" w:cs="Arial" w:eastAsia="Arial" w:hAnsi="Arial"/>
                <w:sz w:val="9"/>
                <w:szCs w:val="9"/>
                <w:b w:val="1"/>
                <w:bCs w:val="1"/>
                <w:color w:val="FFFFFF"/>
                <w:w w:val="98"/>
              </w:rPr>
              <w:t>(1)</w:t>
            </w:r>
          </w:p>
        </w:tc>
      </w:tr>
      <w:tr>
        <w:trPr>
          <w:trHeight w:val="208"/>
        </w:trPr>
        <w:tc>
          <w:tcPr>
            <w:tcW w:w="40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4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spacing w:after="0"/>
              <w:rPr>
                <w:sz w:val="18"/>
                <w:szCs w:val="18"/>
                <w:color w:val="auto"/>
              </w:rPr>
            </w:pPr>
          </w:p>
        </w:tc>
        <w:tc>
          <w:tcPr>
            <w:tcW w:w="920" w:type="dxa"/>
            <w:vAlign w:val="bottom"/>
            <w:shd w:val="clear" w:color="auto" w:fill="F1F2F2"/>
          </w:tcPr>
          <w:p>
            <w:pPr>
              <w:ind w:left="320"/>
              <w:spacing w:after="0"/>
              <w:rPr>
                <w:sz w:val="20"/>
                <w:szCs w:val="20"/>
                <w:color w:val="auto"/>
              </w:rPr>
            </w:pPr>
            <w:r>
              <w:rPr>
                <w:rFonts w:ascii="Arial" w:cs="Arial" w:eastAsia="Arial" w:hAnsi="Arial"/>
                <w:sz w:val="14"/>
                <w:szCs w:val="14"/>
                <w:color w:val="auto"/>
              </w:rPr>
              <w:t>RSU</w:t>
            </w:r>
          </w:p>
        </w:tc>
        <w:tc>
          <w:tcPr>
            <w:tcW w:w="160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2,335</w:t>
            </w:r>
          </w:p>
        </w:tc>
        <w:tc>
          <w:tcPr>
            <w:tcW w:w="1560" w:type="dxa"/>
            <w:vAlign w:val="bottom"/>
            <w:shd w:val="clear" w:color="auto" w:fill="F1F2F2"/>
          </w:tcPr>
          <w:p>
            <w:pPr>
              <w:jc w:val="right"/>
              <w:ind w:right="90"/>
              <w:spacing w:after="0"/>
              <w:rPr>
                <w:sz w:val="20"/>
                <w:szCs w:val="20"/>
                <w:color w:val="auto"/>
              </w:rPr>
            </w:pPr>
            <w:r>
              <w:rPr>
                <w:rFonts w:ascii="Arial" w:cs="Arial" w:eastAsia="Arial" w:hAnsi="Arial"/>
                <w:sz w:val="14"/>
                <w:szCs w:val="14"/>
                <w:color w:val="auto"/>
              </w:rPr>
              <w:t>1,129,440</w:t>
            </w:r>
          </w:p>
        </w:tc>
      </w:tr>
      <w:tr>
        <w:trPr>
          <w:trHeight w:val="231"/>
        </w:trPr>
        <w:tc>
          <w:tcPr>
            <w:tcW w:w="4080" w:type="dxa"/>
            <w:vAlign w:val="bottom"/>
            <w:tcBorders>
              <w:bottom w:val="single" w:sz="8" w:color="F1F2F2"/>
            </w:tcBorders>
            <w:shd w:val="clear" w:color="auto" w:fill="F1F2F2"/>
          </w:tcPr>
          <w:p>
            <w:pPr>
              <w:spacing w:after="0"/>
              <w:rPr>
                <w:sz w:val="20"/>
                <w:szCs w:val="20"/>
                <w:color w:val="auto"/>
              </w:rPr>
            </w:pPr>
          </w:p>
        </w:tc>
        <w:tc>
          <w:tcPr>
            <w:tcW w:w="1480" w:type="dxa"/>
            <w:vAlign w:val="bottom"/>
            <w:tcBorders>
              <w:bottom w:val="single" w:sz="8" w:color="F1F2F2"/>
            </w:tcBorders>
            <w:shd w:val="clear" w:color="auto" w:fill="F1F2F2"/>
          </w:tcPr>
          <w:p>
            <w:pPr>
              <w:spacing w:after="0"/>
              <w:rPr>
                <w:sz w:val="20"/>
                <w:szCs w:val="20"/>
                <w:color w:val="auto"/>
              </w:rPr>
            </w:pPr>
          </w:p>
        </w:tc>
        <w:tc>
          <w:tcPr>
            <w:tcW w:w="1500" w:type="dxa"/>
            <w:vAlign w:val="bottom"/>
            <w:tcBorders>
              <w:bottom w:val="single" w:sz="8" w:color="F1F2F2"/>
            </w:tcBorders>
            <w:shd w:val="clear" w:color="auto" w:fill="F1F2F2"/>
          </w:tcPr>
          <w:p>
            <w:pPr>
              <w:spacing w:after="0"/>
              <w:rPr>
                <w:sz w:val="20"/>
                <w:szCs w:val="20"/>
                <w:color w:val="auto"/>
              </w:rPr>
            </w:pPr>
          </w:p>
        </w:tc>
        <w:tc>
          <w:tcPr>
            <w:tcW w:w="100" w:type="dxa"/>
            <w:vAlign w:val="bottom"/>
            <w:tcBorders>
              <w:bottom w:val="single" w:sz="8" w:color="F1F2F2"/>
            </w:tcBorders>
            <w:shd w:val="clear" w:color="auto" w:fill="F1F2F2"/>
          </w:tcPr>
          <w:p>
            <w:pPr>
              <w:spacing w:after="0"/>
              <w:rPr>
                <w:sz w:val="20"/>
                <w:szCs w:val="20"/>
                <w:color w:val="auto"/>
              </w:rPr>
            </w:pPr>
          </w:p>
        </w:tc>
        <w:tc>
          <w:tcPr>
            <w:tcW w:w="920" w:type="dxa"/>
            <w:vAlign w:val="bottom"/>
            <w:tcBorders>
              <w:bottom w:val="single" w:sz="8" w:color="F1F2F2"/>
            </w:tcBorders>
            <w:shd w:val="clear" w:color="auto" w:fill="F1F2F2"/>
          </w:tcPr>
          <w:p>
            <w:pPr>
              <w:ind w:left="320"/>
              <w:spacing w:after="0"/>
              <w:rPr>
                <w:sz w:val="20"/>
                <w:szCs w:val="20"/>
                <w:color w:val="auto"/>
              </w:rPr>
            </w:pPr>
            <w:r>
              <w:rPr>
                <w:rFonts w:ascii="Arial" w:cs="Arial" w:eastAsia="Arial" w:hAnsi="Arial"/>
                <w:sz w:val="14"/>
                <w:szCs w:val="14"/>
                <w:color w:val="auto"/>
              </w:rPr>
              <w:t>PSU</w:t>
            </w:r>
          </w:p>
        </w:tc>
        <w:tc>
          <w:tcPr>
            <w:tcW w:w="1600" w:type="dxa"/>
            <w:vAlign w:val="bottom"/>
            <w:tcBorders>
              <w:bottom w:val="single" w:sz="8" w:color="F1F2F2"/>
            </w:tcBorders>
            <w:shd w:val="clear" w:color="auto" w:fill="F1F2F2"/>
          </w:tcPr>
          <w:p>
            <w:pPr>
              <w:jc w:val="right"/>
              <w:ind w:right="28"/>
              <w:spacing w:after="0"/>
              <w:rPr>
                <w:sz w:val="20"/>
                <w:szCs w:val="20"/>
                <w:color w:val="auto"/>
              </w:rPr>
            </w:pPr>
            <w:r>
              <w:rPr>
                <w:rFonts w:ascii="Arial" w:cs="Arial" w:eastAsia="Arial" w:hAnsi="Arial"/>
                <w:sz w:val="14"/>
                <w:szCs w:val="14"/>
                <w:color w:val="auto"/>
              </w:rPr>
              <w:t>18,676</w:t>
            </w:r>
          </w:p>
        </w:tc>
        <w:tc>
          <w:tcPr>
            <w:tcW w:w="1560" w:type="dxa"/>
            <w:vAlign w:val="bottom"/>
            <w:tcBorders>
              <w:bottom w:val="single" w:sz="8" w:color="F1F2F2"/>
            </w:tcBorders>
            <w:shd w:val="clear" w:color="auto" w:fill="F1F2F2"/>
          </w:tcPr>
          <w:p>
            <w:pPr>
              <w:jc w:val="right"/>
              <w:ind w:right="90"/>
              <w:spacing w:after="0"/>
              <w:rPr>
                <w:sz w:val="20"/>
                <w:szCs w:val="20"/>
                <w:color w:val="auto"/>
              </w:rPr>
            </w:pPr>
            <w:r>
              <w:rPr>
                <w:rFonts w:ascii="Arial" w:cs="Arial" w:eastAsia="Arial" w:hAnsi="Arial"/>
                <w:sz w:val="14"/>
                <w:szCs w:val="14"/>
                <w:color w:val="auto"/>
              </w:rPr>
              <w:t>10,640,464</w:t>
            </w:r>
          </w:p>
        </w:tc>
      </w:tr>
      <w:tr>
        <w:trPr>
          <w:trHeight w:val="208"/>
        </w:trPr>
        <w:tc>
          <w:tcPr>
            <w:tcW w:w="408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1480" w:type="dxa"/>
            <w:vAlign w:val="bottom"/>
          </w:tcPr>
          <w:p>
            <w:pPr>
              <w:jc w:val="right"/>
              <w:spacing w:after="0"/>
              <w:rPr>
                <w:sz w:val="20"/>
                <w:szCs w:val="20"/>
                <w:color w:val="auto"/>
              </w:rPr>
            </w:pPr>
            <w:r>
              <w:rPr>
                <w:rFonts w:ascii="Arial" w:cs="Arial" w:eastAsia="Arial" w:hAnsi="Arial"/>
                <w:sz w:val="14"/>
                <w:szCs w:val="14"/>
                <w:color w:val="auto"/>
              </w:rPr>
              <w:t>1,841</w:t>
            </w:r>
          </w:p>
        </w:tc>
        <w:tc>
          <w:tcPr>
            <w:tcW w:w="1500" w:type="dxa"/>
            <w:vAlign w:val="bottom"/>
          </w:tcPr>
          <w:p>
            <w:pPr>
              <w:jc w:val="right"/>
              <w:spacing w:after="0"/>
              <w:rPr>
                <w:sz w:val="20"/>
                <w:szCs w:val="20"/>
                <w:color w:val="auto"/>
              </w:rPr>
            </w:pPr>
            <w:r>
              <w:rPr>
                <w:rFonts w:ascii="Arial" w:cs="Arial" w:eastAsia="Arial" w:hAnsi="Arial"/>
                <w:sz w:val="14"/>
                <w:szCs w:val="14"/>
                <w:color w:val="auto"/>
              </w:rPr>
              <w:t>707,481</w:t>
            </w:r>
          </w:p>
        </w:tc>
        <w:tc>
          <w:tcPr>
            <w:tcW w:w="1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4"/>
                <w:szCs w:val="14"/>
                <w:color w:val="auto"/>
              </w:rPr>
              <w:t>RSU</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1560" w:type="dxa"/>
            <w:vAlign w:val="bottom"/>
          </w:tcPr>
          <w:p>
            <w:pPr>
              <w:jc w:val="right"/>
              <w:ind w:right="90"/>
              <w:spacing w:after="0"/>
              <w:rPr>
                <w:sz w:val="20"/>
                <w:szCs w:val="20"/>
                <w:color w:val="auto"/>
              </w:rPr>
            </w:pPr>
            <w:r>
              <w:rPr>
                <w:rFonts w:ascii="Arial" w:cs="Arial" w:eastAsia="Arial" w:hAnsi="Arial"/>
                <w:sz w:val="14"/>
                <w:szCs w:val="14"/>
                <w:color w:val="auto"/>
              </w:rPr>
              <w:t>122,817</w:t>
            </w:r>
          </w:p>
        </w:tc>
      </w:tr>
      <w:tr>
        <w:trPr>
          <w:trHeight w:val="230"/>
        </w:trPr>
        <w:tc>
          <w:tcPr>
            <w:tcW w:w="4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ind w:left="320"/>
              <w:spacing w:after="0"/>
              <w:rPr>
                <w:sz w:val="20"/>
                <w:szCs w:val="20"/>
                <w:color w:val="auto"/>
              </w:rPr>
            </w:pPr>
            <w:r>
              <w:rPr>
                <w:rFonts w:ascii="Arial" w:cs="Arial" w:eastAsia="Arial" w:hAnsi="Arial"/>
                <w:sz w:val="14"/>
                <w:szCs w:val="14"/>
                <w:color w:val="auto"/>
              </w:rPr>
              <w:t>PSU</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638</w:t>
            </w:r>
          </w:p>
        </w:tc>
        <w:tc>
          <w:tcPr>
            <w:tcW w:w="1560" w:type="dxa"/>
            <w:vAlign w:val="bottom"/>
          </w:tcPr>
          <w:p>
            <w:pPr>
              <w:jc w:val="right"/>
              <w:ind w:right="90"/>
              <w:spacing w:after="0"/>
              <w:rPr>
                <w:sz w:val="20"/>
                <w:szCs w:val="20"/>
                <w:color w:val="auto"/>
              </w:rPr>
            </w:pPr>
            <w:r>
              <w:rPr>
                <w:rFonts w:ascii="Arial" w:cs="Arial" w:eastAsia="Arial" w:hAnsi="Arial"/>
                <w:sz w:val="14"/>
                <w:szCs w:val="14"/>
                <w:color w:val="auto"/>
              </w:rPr>
              <w:t>363,494</w:t>
            </w:r>
          </w:p>
        </w:tc>
      </w:tr>
      <w:tr>
        <w:trPr>
          <w:trHeight w:val="22"/>
        </w:trPr>
        <w:tc>
          <w:tcPr>
            <w:tcW w:w="4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8"/>
        </w:trPr>
        <w:tc>
          <w:tcPr>
            <w:tcW w:w="40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14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3,132</w:t>
            </w:r>
          </w:p>
        </w:tc>
        <w:tc>
          <w:tcPr>
            <w:tcW w:w="15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1,126,690</w:t>
            </w:r>
          </w:p>
        </w:tc>
        <w:tc>
          <w:tcPr>
            <w:tcW w:w="100" w:type="dxa"/>
            <w:vAlign w:val="bottom"/>
            <w:shd w:val="clear" w:color="auto" w:fill="F1F2F2"/>
          </w:tcPr>
          <w:p>
            <w:pPr>
              <w:spacing w:after="0"/>
              <w:rPr>
                <w:sz w:val="18"/>
                <w:szCs w:val="18"/>
                <w:color w:val="auto"/>
              </w:rPr>
            </w:pPr>
          </w:p>
        </w:tc>
        <w:tc>
          <w:tcPr>
            <w:tcW w:w="920" w:type="dxa"/>
            <w:vAlign w:val="bottom"/>
            <w:shd w:val="clear" w:color="auto" w:fill="F1F2F2"/>
          </w:tcPr>
          <w:p>
            <w:pPr>
              <w:ind w:left="320"/>
              <w:spacing w:after="0"/>
              <w:rPr>
                <w:sz w:val="20"/>
                <w:szCs w:val="20"/>
                <w:color w:val="auto"/>
              </w:rPr>
            </w:pPr>
            <w:r>
              <w:rPr>
                <w:rFonts w:ascii="Arial" w:cs="Arial" w:eastAsia="Arial" w:hAnsi="Arial"/>
                <w:sz w:val="14"/>
                <w:szCs w:val="14"/>
                <w:color w:val="auto"/>
              </w:rPr>
              <w:t>RSU</w:t>
            </w:r>
          </w:p>
        </w:tc>
        <w:tc>
          <w:tcPr>
            <w:tcW w:w="160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910</w:t>
            </w:r>
          </w:p>
        </w:tc>
        <w:tc>
          <w:tcPr>
            <w:tcW w:w="1560" w:type="dxa"/>
            <w:vAlign w:val="bottom"/>
            <w:shd w:val="clear" w:color="auto" w:fill="F1F2F2"/>
          </w:tcPr>
          <w:p>
            <w:pPr>
              <w:jc w:val="right"/>
              <w:ind w:right="90"/>
              <w:spacing w:after="0"/>
              <w:rPr>
                <w:sz w:val="20"/>
                <w:szCs w:val="20"/>
                <w:color w:val="auto"/>
              </w:rPr>
            </w:pPr>
            <w:r>
              <w:rPr>
                <w:rFonts w:ascii="Arial" w:cs="Arial" w:eastAsia="Arial" w:hAnsi="Arial"/>
                <w:sz w:val="14"/>
                <w:szCs w:val="14"/>
                <w:color w:val="auto"/>
              </w:rPr>
              <w:t>582,100</w:t>
            </w:r>
          </w:p>
        </w:tc>
      </w:tr>
      <w:tr>
        <w:trPr>
          <w:trHeight w:val="231"/>
        </w:trPr>
        <w:tc>
          <w:tcPr>
            <w:tcW w:w="4080" w:type="dxa"/>
            <w:vAlign w:val="bottom"/>
            <w:tcBorders>
              <w:bottom w:val="single" w:sz="8" w:color="F1F2F2"/>
            </w:tcBorders>
            <w:shd w:val="clear" w:color="auto" w:fill="F1F2F2"/>
          </w:tcPr>
          <w:p>
            <w:pPr>
              <w:spacing w:after="0"/>
              <w:rPr>
                <w:sz w:val="20"/>
                <w:szCs w:val="20"/>
                <w:color w:val="auto"/>
              </w:rPr>
            </w:pPr>
          </w:p>
        </w:tc>
        <w:tc>
          <w:tcPr>
            <w:tcW w:w="1480" w:type="dxa"/>
            <w:vAlign w:val="bottom"/>
            <w:tcBorders>
              <w:bottom w:val="single" w:sz="8" w:color="F1F2F2"/>
            </w:tcBorders>
            <w:shd w:val="clear" w:color="auto" w:fill="F1F2F2"/>
          </w:tcPr>
          <w:p>
            <w:pPr>
              <w:spacing w:after="0"/>
              <w:rPr>
                <w:sz w:val="20"/>
                <w:szCs w:val="20"/>
                <w:color w:val="auto"/>
              </w:rPr>
            </w:pPr>
          </w:p>
        </w:tc>
        <w:tc>
          <w:tcPr>
            <w:tcW w:w="1500" w:type="dxa"/>
            <w:vAlign w:val="bottom"/>
            <w:tcBorders>
              <w:bottom w:val="single" w:sz="8" w:color="F1F2F2"/>
            </w:tcBorders>
            <w:shd w:val="clear" w:color="auto" w:fill="F1F2F2"/>
          </w:tcPr>
          <w:p>
            <w:pPr>
              <w:spacing w:after="0"/>
              <w:rPr>
                <w:sz w:val="20"/>
                <w:szCs w:val="20"/>
                <w:color w:val="auto"/>
              </w:rPr>
            </w:pPr>
          </w:p>
        </w:tc>
        <w:tc>
          <w:tcPr>
            <w:tcW w:w="100" w:type="dxa"/>
            <w:vAlign w:val="bottom"/>
            <w:tcBorders>
              <w:bottom w:val="single" w:sz="8" w:color="F1F2F2"/>
            </w:tcBorders>
            <w:shd w:val="clear" w:color="auto" w:fill="F1F2F2"/>
          </w:tcPr>
          <w:p>
            <w:pPr>
              <w:spacing w:after="0"/>
              <w:rPr>
                <w:sz w:val="20"/>
                <w:szCs w:val="20"/>
                <w:color w:val="auto"/>
              </w:rPr>
            </w:pPr>
          </w:p>
        </w:tc>
        <w:tc>
          <w:tcPr>
            <w:tcW w:w="920" w:type="dxa"/>
            <w:vAlign w:val="bottom"/>
            <w:tcBorders>
              <w:bottom w:val="single" w:sz="8" w:color="F1F2F2"/>
            </w:tcBorders>
            <w:shd w:val="clear" w:color="auto" w:fill="F1F2F2"/>
          </w:tcPr>
          <w:p>
            <w:pPr>
              <w:ind w:left="320"/>
              <w:spacing w:after="0"/>
              <w:rPr>
                <w:sz w:val="20"/>
                <w:szCs w:val="20"/>
                <w:color w:val="auto"/>
              </w:rPr>
            </w:pPr>
            <w:r>
              <w:rPr>
                <w:rFonts w:ascii="Arial" w:cs="Arial" w:eastAsia="Arial" w:hAnsi="Arial"/>
                <w:sz w:val="14"/>
                <w:szCs w:val="14"/>
                <w:color w:val="auto"/>
              </w:rPr>
              <w:t>PSU</w:t>
            </w:r>
          </w:p>
        </w:tc>
        <w:tc>
          <w:tcPr>
            <w:tcW w:w="1600" w:type="dxa"/>
            <w:vAlign w:val="bottom"/>
            <w:tcBorders>
              <w:bottom w:val="single" w:sz="8" w:color="F1F2F2"/>
            </w:tcBorders>
            <w:shd w:val="clear" w:color="auto" w:fill="F1F2F2"/>
          </w:tcPr>
          <w:p>
            <w:pPr>
              <w:jc w:val="right"/>
              <w:ind w:right="28"/>
              <w:spacing w:after="0"/>
              <w:rPr>
                <w:sz w:val="20"/>
                <w:szCs w:val="20"/>
                <w:color w:val="auto"/>
              </w:rPr>
            </w:pPr>
            <w:r>
              <w:rPr>
                <w:rFonts w:ascii="Arial" w:cs="Arial" w:eastAsia="Arial" w:hAnsi="Arial"/>
                <w:sz w:val="14"/>
                <w:szCs w:val="14"/>
                <w:color w:val="auto"/>
              </w:rPr>
              <w:t>3,034</w:t>
            </w:r>
          </w:p>
        </w:tc>
        <w:tc>
          <w:tcPr>
            <w:tcW w:w="1560" w:type="dxa"/>
            <w:vAlign w:val="bottom"/>
            <w:tcBorders>
              <w:bottom w:val="single" w:sz="8" w:color="F1F2F2"/>
            </w:tcBorders>
            <w:shd w:val="clear" w:color="auto" w:fill="F1F2F2"/>
          </w:tcPr>
          <w:p>
            <w:pPr>
              <w:jc w:val="right"/>
              <w:ind w:right="90"/>
              <w:spacing w:after="0"/>
              <w:rPr>
                <w:sz w:val="20"/>
                <w:szCs w:val="20"/>
                <w:color w:val="auto"/>
              </w:rPr>
            </w:pPr>
            <w:r>
              <w:rPr>
                <w:rFonts w:ascii="Arial" w:cs="Arial" w:eastAsia="Arial" w:hAnsi="Arial"/>
                <w:sz w:val="14"/>
                <w:szCs w:val="14"/>
                <w:color w:val="auto"/>
              </w:rPr>
              <w:t>1,728,591</w:t>
            </w:r>
          </w:p>
        </w:tc>
      </w:tr>
      <w:tr>
        <w:trPr>
          <w:trHeight w:val="208"/>
        </w:trPr>
        <w:tc>
          <w:tcPr>
            <w:tcW w:w="408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1480" w:type="dxa"/>
            <w:vAlign w:val="bottom"/>
          </w:tcPr>
          <w:p>
            <w:pPr>
              <w:jc w:val="right"/>
              <w:spacing w:after="0"/>
              <w:rPr>
                <w:sz w:val="20"/>
                <w:szCs w:val="20"/>
                <w:color w:val="auto"/>
              </w:rPr>
            </w:pPr>
            <w:r>
              <w:rPr>
                <w:rFonts w:ascii="Arial" w:cs="Arial" w:eastAsia="Arial" w:hAnsi="Arial"/>
                <w:sz w:val="14"/>
                <w:szCs w:val="14"/>
                <w:color w:val="auto"/>
              </w:rPr>
              <w:t>11,977</w:t>
            </w:r>
          </w:p>
        </w:tc>
        <w:tc>
          <w:tcPr>
            <w:tcW w:w="1500" w:type="dxa"/>
            <w:vAlign w:val="bottom"/>
          </w:tcPr>
          <w:p>
            <w:pPr>
              <w:jc w:val="right"/>
              <w:spacing w:after="0"/>
              <w:rPr>
                <w:sz w:val="20"/>
                <w:szCs w:val="20"/>
                <w:color w:val="auto"/>
              </w:rPr>
            </w:pPr>
            <w:r>
              <w:rPr>
                <w:rFonts w:ascii="Arial" w:cs="Arial" w:eastAsia="Arial" w:hAnsi="Arial"/>
                <w:sz w:val="14"/>
                <w:szCs w:val="14"/>
                <w:color w:val="auto"/>
              </w:rPr>
              <w:t>4,357,263</w:t>
            </w:r>
          </w:p>
        </w:tc>
        <w:tc>
          <w:tcPr>
            <w:tcW w:w="1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4"/>
                <w:szCs w:val="14"/>
                <w:color w:val="auto"/>
              </w:rPr>
              <w:t>RSU</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1,054</w:t>
            </w:r>
          </w:p>
        </w:tc>
        <w:tc>
          <w:tcPr>
            <w:tcW w:w="1560" w:type="dxa"/>
            <w:vAlign w:val="bottom"/>
          </w:tcPr>
          <w:p>
            <w:pPr>
              <w:jc w:val="right"/>
              <w:ind w:right="90"/>
              <w:spacing w:after="0"/>
              <w:rPr>
                <w:sz w:val="20"/>
                <w:szCs w:val="20"/>
                <w:color w:val="auto"/>
              </w:rPr>
            </w:pPr>
            <w:r>
              <w:rPr>
                <w:rFonts w:ascii="Arial" w:cs="Arial" w:eastAsia="Arial" w:hAnsi="Arial"/>
                <w:sz w:val="14"/>
                <w:szCs w:val="14"/>
                <w:color w:val="auto"/>
              </w:rPr>
              <w:t>674,212</w:t>
            </w:r>
          </w:p>
        </w:tc>
      </w:tr>
      <w:tr>
        <w:trPr>
          <w:trHeight w:val="229"/>
        </w:trPr>
        <w:tc>
          <w:tcPr>
            <w:tcW w:w="4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ind w:left="320"/>
              <w:spacing w:after="0"/>
              <w:rPr>
                <w:sz w:val="20"/>
                <w:szCs w:val="20"/>
                <w:color w:val="auto"/>
              </w:rPr>
            </w:pPr>
            <w:r>
              <w:rPr>
                <w:rFonts w:ascii="Arial" w:cs="Arial" w:eastAsia="Arial" w:hAnsi="Arial"/>
                <w:sz w:val="14"/>
                <w:szCs w:val="14"/>
                <w:color w:val="auto"/>
              </w:rPr>
              <w:t>PSU</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3,514</w:t>
            </w:r>
          </w:p>
        </w:tc>
        <w:tc>
          <w:tcPr>
            <w:tcW w:w="1560" w:type="dxa"/>
            <w:vAlign w:val="bottom"/>
          </w:tcPr>
          <w:p>
            <w:pPr>
              <w:jc w:val="right"/>
              <w:ind w:right="90"/>
              <w:spacing w:after="0"/>
              <w:rPr>
                <w:sz w:val="20"/>
                <w:szCs w:val="20"/>
                <w:color w:val="auto"/>
              </w:rPr>
            </w:pPr>
            <w:r>
              <w:rPr>
                <w:rFonts w:ascii="Arial" w:cs="Arial" w:eastAsia="Arial" w:hAnsi="Arial"/>
                <w:sz w:val="14"/>
                <w:szCs w:val="14"/>
                <w:color w:val="auto"/>
              </w:rPr>
              <w:t>2,002,066</w:t>
            </w:r>
          </w:p>
        </w:tc>
      </w:tr>
      <w:tr>
        <w:trPr>
          <w:trHeight w:val="22"/>
        </w:trPr>
        <w:tc>
          <w:tcPr>
            <w:tcW w:w="4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8"/>
        </w:trPr>
        <w:tc>
          <w:tcPr>
            <w:tcW w:w="40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p>
        </w:tc>
        <w:tc>
          <w:tcPr>
            <w:tcW w:w="148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6,476</w:t>
            </w:r>
          </w:p>
        </w:tc>
        <w:tc>
          <w:tcPr>
            <w:tcW w:w="15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1,944,446</w:t>
            </w:r>
          </w:p>
        </w:tc>
        <w:tc>
          <w:tcPr>
            <w:tcW w:w="100" w:type="dxa"/>
            <w:vAlign w:val="bottom"/>
            <w:shd w:val="clear" w:color="auto" w:fill="F1F2F2"/>
          </w:tcPr>
          <w:p>
            <w:pPr>
              <w:spacing w:after="0"/>
              <w:rPr>
                <w:sz w:val="18"/>
                <w:szCs w:val="18"/>
                <w:color w:val="auto"/>
              </w:rPr>
            </w:pPr>
          </w:p>
        </w:tc>
        <w:tc>
          <w:tcPr>
            <w:tcW w:w="920" w:type="dxa"/>
            <w:vAlign w:val="bottom"/>
            <w:shd w:val="clear" w:color="auto" w:fill="F1F2F2"/>
          </w:tcPr>
          <w:p>
            <w:pPr>
              <w:ind w:left="320"/>
              <w:spacing w:after="0"/>
              <w:rPr>
                <w:sz w:val="20"/>
                <w:szCs w:val="20"/>
                <w:color w:val="auto"/>
              </w:rPr>
            </w:pPr>
            <w:r>
              <w:rPr>
                <w:rFonts w:ascii="Arial" w:cs="Arial" w:eastAsia="Arial" w:hAnsi="Arial"/>
                <w:sz w:val="14"/>
                <w:szCs w:val="14"/>
                <w:color w:val="auto"/>
              </w:rPr>
              <w:t>RSU</w:t>
            </w:r>
          </w:p>
        </w:tc>
        <w:tc>
          <w:tcPr>
            <w:tcW w:w="160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1,054</w:t>
            </w:r>
          </w:p>
        </w:tc>
        <w:tc>
          <w:tcPr>
            <w:tcW w:w="1560" w:type="dxa"/>
            <w:vAlign w:val="bottom"/>
            <w:shd w:val="clear" w:color="auto" w:fill="F1F2F2"/>
          </w:tcPr>
          <w:p>
            <w:pPr>
              <w:jc w:val="right"/>
              <w:ind w:right="90"/>
              <w:spacing w:after="0"/>
              <w:rPr>
                <w:sz w:val="20"/>
                <w:szCs w:val="20"/>
                <w:color w:val="auto"/>
              </w:rPr>
            </w:pPr>
            <w:r>
              <w:rPr>
                <w:rFonts w:ascii="Arial" w:cs="Arial" w:eastAsia="Arial" w:hAnsi="Arial"/>
                <w:sz w:val="14"/>
                <w:szCs w:val="14"/>
                <w:color w:val="auto"/>
              </w:rPr>
              <w:t>674,212</w:t>
            </w:r>
          </w:p>
        </w:tc>
      </w:tr>
      <w:tr>
        <w:trPr>
          <w:trHeight w:val="229"/>
        </w:trPr>
        <w:tc>
          <w:tcPr>
            <w:tcW w:w="4080" w:type="dxa"/>
            <w:vAlign w:val="bottom"/>
            <w:shd w:val="clear" w:color="auto" w:fill="F1F2F2"/>
          </w:tcPr>
          <w:p>
            <w:pPr>
              <w:spacing w:after="0"/>
              <w:rPr>
                <w:sz w:val="19"/>
                <w:szCs w:val="19"/>
                <w:color w:val="auto"/>
              </w:rPr>
            </w:pPr>
          </w:p>
        </w:tc>
        <w:tc>
          <w:tcPr>
            <w:tcW w:w="1480" w:type="dxa"/>
            <w:vAlign w:val="bottom"/>
            <w:shd w:val="clear" w:color="auto" w:fill="F1F2F2"/>
          </w:tcPr>
          <w:p>
            <w:pPr>
              <w:spacing w:after="0"/>
              <w:rPr>
                <w:sz w:val="19"/>
                <w:szCs w:val="19"/>
                <w:color w:val="auto"/>
              </w:rPr>
            </w:pPr>
          </w:p>
        </w:tc>
        <w:tc>
          <w:tcPr>
            <w:tcW w:w="1500" w:type="dxa"/>
            <w:vAlign w:val="bottom"/>
            <w:shd w:val="clear" w:color="auto" w:fill="F1F2F2"/>
          </w:tcPr>
          <w:p>
            <w:pPr>
              <w:spacing w:after="0"/>
              <w:rPr>
                <w:sz w:val="19"/>
                <w:szCs w:val="19"/>
                <w:color w:val="auto"/>
              </w:rPr>
            </w:pPr>
          </w:p>
        </w:tc>
        <w:tc>
          <w:tcPr>
            <w:tcW w:w="100" w:type="dxa"/>
            <w:vAlign w:val="bottom"/>
            <w:shd w:val="clear" w:color="auto" w:fill="F1F2F2"/>
          </w:tcPr>
          <w:p>
            <w:pPr>
              <w:spacing w:after="0"/>
              <w:rPr>
                <w:sz w:val="19"/>
                <w:szCs w:val="19"/>
                <w:color w:val="auto"/>
              </w:rPr>
            </w:pPr>
          </w:p>
        </w:tc>
        <w:tc>
          <w:tcPr>
            <w:tcW w:w="920" w:type="dxa"/>
            <w:vAlign w:val="bottom"/>
            <w:shd w:val="clear" w:color="auto" w:fill="F1F2F2"/>
          </w:tcPr>
          <w:p>
            <w:pPr>
              <w:ind w:left="320"/>
              <w:spacing w:after="0"/>
              <w:rPr>
                <w:sz w:val="20"/>
                <w:szCs w:val="20"/>
                <w:color w:val="auto"/>
              </w:rPr>
            </w:pPr>
            <w:r>
              <w:rPr>
                <w:rFonts w:ascii="Arial" w:cs="Arial" w:eastAsia="Arial" w:hAnsi="Arial"/>
                <w:sz w:val="14"/>
                <w:szCs w:val="14"/>
                <w:color w:val="auto"/>
              </w:rPr>
              <w:t>PSU</w:t>
            </w:r>
          </w:p>
        </w:tc>
        <w:tc>
          <w:tcPr>
            <w:tcW w:w="160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3,514</w:t>
            </w:r>
          </w:p>
        </w:tc>
        <w:tc>
          <w:tcPr>
            <w:tcW w:w="1560" w:type="dxa"/>
            <w:vAlign w:val="bottom"/>
            <w:shd w:val="clear" w:color="auto" w:fill="F1F2F2"/>
          </w:tcPr>
          <w:p>
            <w:pPr>
              <w:jc w:val="right"/>
              <w:ind w:right="90"/>
              <w:spacing w:after="0"/>
              <w:rPr>
                <w:sz w:val="20"/>
                <w:szCs w:val="20"/>
                <w:color w:val="auto"/>
              </w:rPr>
            </w:pPr>
            <w:r>
              <w:rPr>
                <w:rFonts w:ascii="Arial" w:cs="Arial" w:eastAsia="Arial" w:hAnsi="Arial"/>
                <w:sz w:val="14"/>
                <w:szCs w:val="14"/>
                <w:color w:val="auto"/>
              </w:rPr>
              <w:t>2,002,066</w:t>
            </w:r>
          </w:p>
        </w:tc>
      </w:tr>
      <w:tr>
        <w:trPr>
          <w:trHeight w:val="22"/>
        </w:trPr>
        <w:tc>
          <w:tcPr>
            <w:tcW w:w="4080" w:type="dxa"/>
            <w:vAlign w:val="bottom"/>
            <w:shd w:val="clear" w:color="auto" w:fill="F1F2F2"/>
          </w:tcPr>
          <w:p>
            <w:pPr>
              <w:spacing w:after="0" w:line="20" w:lineRule="exact"/>
              <w:rPr>
                <w:sz w:val="1"/>
                <w:szCs w:val="1"/>
                <w:color w:val="auto"/>
              </w:rPr>
            </w:pPr>
          </w:p>
        </w:tc>
        <w:tc>
          <w:tcPr>
            <w:tcW w:w="1480" w:type="dxa"/>
            <w:vAlign w:val="bottom"/>
            <w:shd w:val="clear" w:color="auto" w:fill="F1F2F2"/>
          </w:tcPr>
          <w:p>
            <w:pPr>
              <w:spacing w:after="0" w:line="20" w:lineRule="exact"/>
              <w:rPr>
                <w:sz w:val="1"/>
                <w:szCs w:val="1"/>
                <w:color w:val="auto"/>
              </w:rPr>
            </w:pPr>
          </w:p>
        </w:tc>
        <w:tc>
          <w:tcPr>
            <w:tcW w:w="1500" w:type="dxa"/>
            <w:vAlign w:val="bottom"/>
            <w:shd w:val="clear" w:color="auto" w:fill="F1F2F2"/>
          </w:tcPr>
          <w:p>
            <w:pPr>
              <w:spacing w:after="0" w:line="20" w:lineRule="exact"/>
              <w:rPr>
                <w:sz w:val="1"/>
                <w:szCs w:val="1"/>
                <w:color w:val="auto"/>
              </w:rPr>
            </w:pPr>
          </w:p>
        </w:tc>
        <w:tc>
          <w:tcPr>
            <w:tcW w:w="100" w:type="dxa"/>
            <w:vAlign w:val="bottom"/>
            <w:shd w:val="clear" w:color="auto" w:fill="F1F2F2"/>
          </w:tcPr>
          <w:p>
            <w:pPr>
              <w:spacing w:after="0" w:line="20" w:lineRule="exact"/>
              <w:rPr>
                <w:sz w:val="1"/>
                <w:szCs w:val="1"/>
                <w:color w:val="auto"/>
              </w:rPr>
            </w:pPr>
          </w:p>
        </w:tc>
        <w:tc>
          <w:tcPr>
            <w:tcW w:w="920" w:type="dxa"/>
            <w:vAlign w:val="bottom"/>
            <w:shd w:val="clear" w:color="auto" w:fill="F1F2F2"/>
          </w:tcPr>
          <w:p>
            <w:pPr>
              <w:spacing w:after="0" w:line="20" w:lineRule="exact"/>
              <w:rPr>
                <w:sz w:val="1"/>
                <w:szCs w:val="1"/>
                <w:color w:val="auto"/>
              </w:rPr>
            </w:pPr>
          </w:p>
        </w:tc>
        <w:tc>
          <w:tcPr>
            <w:tcW w:w="1600" w:type="dxa"/>
            <w:vAlign w:val="bottom"/>
            <w:shd w:val="clear" w:color="auto" w:fill="F1F2F2"/>
          </w:tcPr>
          <w:p>
            <w:pPr>
              <w:spacing w:after="0" w:line="20" w:lineRule="exact"/>
              <w:rPr>
                <w:sz w:val="1"/>
                <w:szCs w:val="1"/>
                <w:color w:val="auto"/>
              </w:rPr>
            </w:pPr>
          </w:p>
        </w:tc>
        <w:tc>
          <w:tcPr>
            <w:tcW w:w="1560" w:type="dxa"/>
            <w:vAlign w:val="bottom"/>
            <w:shd w:val="clear" w:color="auto" w:fill="F1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-1859280</wp:posOffset>
            </wp:positionV>
            <wp:extent cx="44659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The dollar amounts shown for RSUs and PSUs are based on the average of the high and low NYSE trading prices of our common stock on the day of distribution.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60C35"/>
        </w:rPr>
        <w:t>Retirement Plans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Qualified Retirement Plans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Frozen Consolidated Pension and Profit Sharing Retirement Plans</w:t>
      </w:r>
    </w:p>
    <w:p>
      <w:pPr>
        <w:spacing w:after="0" w:line="156"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Effective January 1, 2009, the Company’s Consolidated Pension Plan and Profit Sharing Retirement Plan were frozen. As of that date, benefits under the frozen Consolidated Pension Plan stopped increasing with additional service and compensation, and additional contributions to the Profit Sharing Plan were discontinued.</w:t>
      </w:r>
    </w:p>
    <w:p>
      <w:pPr>
        <w:spacing w:after="0" w:line="108" w:lineRule="exact"/>
        <w:rPr>
          <w:sz w:val="20"/>
          <w:szCs w:val="20"/>
          <w:color w:val="auto"/>
        </w:rPr>
      </w:pPr>
    </w:p>
    <w:p>
      <w:pPr>
        <w:ind w:right="140" w:firstLine="324"/>
        <w:spacing w:after="0" w:line="244" w:lineRule="auto"/>
        <w:rPr>
          <w:sz w:val="20"/>
          <w:szCs w:val="20"/>
          <w:color w:val="auto"/>
        </w:rPr>
      </w:pPr>
      <w:r>
        <w:rPr>
          <w:rFonts w:ascii="Arial" w:cs="Arial" w:eastAsia="Arial" w:hAnsi="Arial"/>
          <w:sz w:val="18"/>
          <w:szCs w:val="18"/>
          <w:color w:val="auto"/>
        </w:rPr>
        <w:t>The monthly target benefit under the frozen Consolidated Pension Plan is based on 1.0% of final average annual pay, plus 0.6% of final average annual pay above Social Security covered compensation, multiplied by the number of years of credited service (not to exceed 30 years). The target benefit is reduced by the value of the participant’s defined contribution profit sharing account under the frozen Profit Sharing Plan, with the difference, if any, provided by the frozen Consolidated Pension Plan. Participants vested in their frozen Consolidated Pension Plan accrued benefits after five years of service and may commence unreduced benefits at age 65 (normal retirement age) or actuarially reduced benefits at younger ages, if age and service requirements are met (generally the attainment of age 62 and 10 years of service or if age plus years of service total 80). Benefits are generally paid in the form of an annuity. We do not grant extra years of service under the frozen Consolidated Pension Plan. Participants in the frozen Profit Sharing Plan are fully vested after six years of service and the Company directs the investment funds. Distributions may occur at separation from service and are eligible for roll-over into another qualified retirement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401(k) Salaried Retirement Plan</w:t>
      </w:r>
    </w:p>
    <w:p>
      <w:pPr>
        <w:spacing w:after="0" w:line="169"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Salaried employees are eligible to participate in this plan, and contributions can be made on a pre-tax or Roth post-tax basis, subject to limitations for qualified plans under the Code. Participants can contribute up to 75% of their eligible earnings and receive a Company match of 50% on up to 6% of their eligible pay. In addition, all participants (after completing one year of service) receive a fully vested base contribution equal to 3% of eligible pay. The match vests after the participant completes two years of service.</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C60C35"/>
        </w:rPr>
        <w:t>Nonqualified Retirement Plans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Defined Contribution Supplemental Restoration Retirement Plan</w:t>
      </w:r>
    </w:p>
    <w:p>
      <w:pPr>
        <w:spacing w:after="0" w:line="169"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New executive officers on or after January 1, 2019, are eligible for the Supplemental Restoration Retirement Plan, a nonqualified defined contribution plan that provides market-competitive retirement benefits by providing contributions that could not otherwise occur due to compensation limits under the Code. Participants receive 6% of eligible compensation, as defined under the qualified 401(k) Plan that exceeds compensation limits under the Code for the applicable year. Eligible employer contributions are immediately vested and pay out following termination. Contributions are invested, at the Participant’s election, in indices or broad-based funds similar to those in the Company’s qualified 401(k)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Defined Benefit Supplemental Retirement Plan</w:t>
      </w:r>
    </w:p>
    <w:p>
      <w:pPr>
        <w:spacing w:after="0" w:line="169"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In 2018, the Committee closed the defined benefit Supplemental Retirement Plan to new participants and approved the defined contribution Supplemental Restoration Retirement Plan for individuals who become eligible executive officers on or after January 1, 2019. The Committee made these changes to better align the Company’s nonqualified retirement benefit with current Market practices.</w:t>
      </w:r>
    </w:p>
    <w:p>
      <w:pPr>
        <w:spacing w:after="0" w:line="128"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The purpose of our closed Supplemental Retirement Plan is to provide market-competitive executive level retirement benefit opportunities. It permits income above Code limitations to be considered in determining final average annual pay, doubles the rate of benefit accrual available under the frozen Consolidated Pension Plan (2.0% of final average annual pay, plus 1.2% of final average annual pay above Social Security covered compensation), limits credited service to 15 years, generally permits early retirement on more favorable terms than the frozen Consolidated Pension Plan (for example, unreduced benefits at age 62 with 10 years of service or unreduced benefits at age 60 if age plus years of service total 80), and pays benefits in the form of a lump-sum. Any benefits provided under the Supplemental Retirement Plan are reduced by the benefits payable under our Company’s frozen Consolidated Pension Plan (as if such plan had not been frozen), frozen Profit Sharing Plan, and frozen Profit Sharing Restoration Plan. Participants become vested in their Supplemental Retirement Plan benefit after five years of service.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Frozen Profit-Sharing Restoration Plan</w:t>
      </w:r>
    </w:p>
    <w:p>
      <w:pPr>
        <w:spacing w:after="0" w:line="15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froze the Profit Sharing Restoration Plan and discontinued contributions effective January 1, 2009. Distributions may occur at separation from service and may be paid as a lump-sum or in equal annual installments over either a five- or ten-year period. We direct the investment funds for the frozen Profit Sharing Restoration Plan, which mirror the investments and returns under the frozen Profit Sharing Retirement Plan. The weighted average annual rate of return for the calendar year ended December 31, 2024, was 6.6%.</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C60C35"/>
        </w:rPr>
        <w:t>2024 Pension Benefits</w:t>
      </w:r>
    </w:p>
    <w:p>
      <w:pPr>
        <w:spacing w:after="0" w:line="5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The following table provides information regarding the number of years of service credited to each NEO, the present value of accumulated benefits payable to each NEO under our frozen Consolidated Pension Plan and our Supplemental Retirement Plan as of December 31, 2024, and payments made to each NEO in 2024 under such plans.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shd w:val="clear" w:color="auto" w:fill="C60C35"/>
          </w:tcPr>
          <w:p>
            <w:pPr>
              <w:spacing w:after="0"/>
              <w:rPr>
                <w:sz w:val="16"/>
                <w:szCs w:val="16"/>
                <w:color w:val="auto"/>
              </w:rPr>
            </w:pPr>
          </w:p>
        </w:tc>
        <w:tc>
          <w:tcPr>
            <w:tcW w:w="3060" w:type="dxa"/>
            <w:vAlign w:val="bottom"/>
            <w:shd w:val="clear" w:color="auto" w:fill="C60C35"/>
          </w:tcPr>
          <w:p>
            <w:pPr>
              <w:spacing w:after="0"/>
              <w:rPr>
                <w:sz w:val="16"/>
                <w:szCs w:val="16"/>
                <w:color w:val="auto"/>
              </w:rPr>
            </w:pPr>
          </w:p>
        </w:tc>
        <w:tc>
          <w:tcPr>
            <w:tcW w:w="1800" w:type="dxa"/>
            <w:vAlign w:val="bottom"/>
            <w:shd w:val="clear" w:color="auto" w:fill="C60C35"/>
          </w:tcPr>
          <w:p>
            <w:pPr>
              <w:spacing w:after="0"/>
              <w:rPr>
                <w:sz w:val="16"/>
                <w:szCs w:val="16"/>
                <w:color w:val="auto"/>
              </w:rPr>
            </w:pPr>
          </w:p>
        </w:tc>
        <w:tc>
          <w:tcPr>
            <w:tcW w:w="1340" w:type="dxa"/>
            <w:vAlign w:val="bottom"/>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Present Value of</w:t>
            </w:r>
          </w:p>
        </w:tc>
        <w:tc>
          <w:tcPr>
            <w:tcW w:w="1440" w:type="dxa"/>
            <w:vAlign w:val="bottom"/>
            <w:shd w:val="clear" w:color="auto" w:fill="C60C3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60C35"/>
          </w:tcPr>
          <w:p>
            <w:pPr>
              <w:spacing w:after="0"/>
              <w:rPr>
                <w:sz w:val="15"/>
                <w:szCs w:val="15"/>
                <w:color w:val="auto"/>
              </w:rPr>
            </w:pPr>
          </w:p>
        </w:tc>
        <w:tc>
          <w:tcPr>
            <w:tcW w:w="3060" w:type="dxa"/>
            <w:vAlign w:val="bottom"/>
            <w:shd w:val="clear" w:color="auto" w:fill="C60C35"/>
          </w:tcPr>
          <w:p>
            <w:pPr>
              <w:spacing w:after="0"/>
              <w:rPr>
                <w:sz w:val="15"/>
                <w:szCs w:val="15"/>
                <w:color w:val="auto"/>
              </w:rPr>
            </w:pPr>
          </w:p>
        </w:tc>
        <w:tc>
          <w:tcPr>
            <w:tcW w:w="180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Number of Years</w:t>
            </w:r>
          </w:p>
        </w:tc>
        <w:tc>
          <w:tcPr>
            <w:tcW w:w="1340" w:type="dxa"/>
            <w:vAlign w:val="bottom"/>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Accumulated</w:t>
            </w:r>
          </w:p>
        </w:tc>
        <w:tc>
          <w:tcPr>
            <w:tcW w:w="144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Payments During</w:t>
            </w:r>
          </w:p>
        </w:tc>
        <w:tc>
          <w:tcPr>
            <w:tcW w:w="0" w:type="dxa"/>
            <w:vAlign w:val="bottom"/>
          </w:tcPr>
          <w:p>
            <w:pPr>
              <w:spacing w:after="0"/>
              <w:rPr>
                <w:sz w:val="1"/>
                <w:szCs w:val="1"/>
                <w:color w:val="auto"/>
              </w:rPr>
            </w:pPr>
          </w:p>
        </w:tc>
      </w:tr>
      <w:tr>
        <w:trPr>
          <w:trHeight w:val="173"/>
        </w:trPr>
        <w:tc>
          <w:tcPr>
            <w:tcW w:w="3600" w:type="dxa"/>
            <w:vAlign w:val="bottom"/>
            <w:vMerge w:val="restart"/>
            <w:shd w:val="clear" w:color="auto" w:fill="C60C35"/>
          </w:tcPr>
          <w:p>
            <w:pPr>
              <w:ind w:left="100"/>
              <w:spacing w:after="0"/>
              <w:rPr>
                <w:sz w:val="20"/>
                <w:szCs w:val="20"/>
                <w:color w:val="auto"/>
              </w:rPr>
            </w:pPr>
            <w:r>
              <w:rPr>
                <w:rFonts w:ascii="Arial" w:cs="Arial" w:eastAsia="Arial" w:hAnsi="Arial"/>
                <w:sz w:val="14"/>
                <w:szCs w:val="14"/>
                <w:b w:val="1"/>
                <w:bCs w:val="1"/>
                <w:color w:val="FFFFFF"/>
              </w:rPr>
              <w:t> Name</w:t>
            </w:r>
          </w:p>
        </w:tc>
        <w:tc>
          <w:tcPr>
            <w:tcW w:w="3060" w:type="dxa"/>
            <w:vAlign w:val="bottom"/>
            <w:vMerge w:val="restart"/>
            <w:shd w:val="clear" w:color="auto" w:fill="C60C35"/>
          </w:tcPr>
          <w:p>
            <w:pPr>
              <w:ind w:left="20"/>
              <w:spacing w:after="0"/>
              <w:rPr>
                <w:sz w:val="20"/>
                <w:szCs w:val="20"/>
                <w:color w:val="auto"/>
              </w:rPr>
            </w:pPr>
            <w:r>
              <w:rPr>
                <w:rFonts w:ascii="Arial" w:cs="Arial" w:eastAsia="Arial" w:hAnsi="Arial"/>
                <w:sz w:val="14"/>
                <w:szCs w:val="14"/>
                <w:b w:val="1"/>
                <w:bCs w:val="1"/>
                <w:color w:val="FFFFFF"/>
              </w:rPr>
              <w:t>Plan Name</w:t>
            </w:r>
          </w:p>
        </w:tc>
        <w:tc>
          <w:tcPr>
            <w:tcW w:w="18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Credited Service</w:t>
            </w:r>
          </w:p>
        </w:tc>
        <w:tc>
          <w:tcPr>
            <w:tcW w:w="1340" w:type="dxa"/>
            <w:vAlign w:val="bottom"/>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Benefit</w:t>
            </w:r>
          </w:p>
        </w:tc>
        <w:tc>
          <w:tcPr>
            <w:tcW w:w="1440" w:type="dxa"/>
            <w:vAlign w:val="bottom"/>
            <w:shd w:val="clear" w:color="auto" w:fill="C60C35"/>
          </w:tcPr>
          <w:p>
            <w:pPr>
              <w:ind w:left="160"/>
              <w:spacing w:after="0"/>
              <w:rPr>
                <w:sz w:val="20"/>
                <w:szCs w:val="20"/>
                <w:color w:val="auto"/>
              </w:rPr>
            </w:pPr>
            <w:r>
              <w:rPr>
                <w:rFonts w:ascii="Arial" w:cs="Arial" w:eastAsia="Arial" w:hAnsi="Arial"/>
                <w:sz w:val="14"/>
                <w:szCs w:val="14"/>
                <w:b w:val="1"/>
                <w:bCs w:val="1"/>
                <w:color w:val="FFFFFF"/>
              </w:rPr>
              <w:t>Last Fiscal Year</w:t>
            </w:r>
          </w:p>
        </w:tc>
        <w:tc>
          <w:tcPr>
            <w:tcW w:w="0" w:type="dxa"/>
            <w:vAlign w:val="bottom"/>
          </w:tcPr>
          <w:p>
            <w:pPr>
              <w:spacing w:after="0"/>
              <w:rPr>
                <w:sz w:val="1"/>
                <w:szCs w:val="1"/>
                <w:color w:val="auto"/>
              </w:rPr>
            </w:pPr>
          </w:p>
        </w:tc>
      </w:tr>
      <w:tr>
        <w:trPr>
          <w:trHeight w:val="235"/>
        </w:trPr>
        <w:tc>
          <w:tcPr>
            <w:tcW w:w="3600" w:type="dxa"/>
            <w:vAlign w:val="bottom"/>
            <w:tcBorders>
              <w:bottom w:val="single" w:sz="8" w:color="C60C35"/>
            </w:tcBorders>
            <w:vMerge w:val="continue"/>
            <w:shd w:val="clear" w:color="auto" w:fill="C60C35"/>
          </w:tcPr>
          <w:p>
            <w:pPr>
              <w:spacing w:after="0"/>
              <w:rPr>
                <w:sz w:val="20"/>
                <w:szCs w:val="20"/>
                <w:color w:val="auto"/>
              </w:rPr>
            </w:pPr>
          </w:p>
        </w:tc>
        <w:tc>
          <w:tcPr>
            <w:tcW w:w="3060" w:type="dxa"/>
            <w:vAlign w:val="bottom"/>
            <w:tcBorders>
              <w:bottom w:val="single" w:sz="8" w:color="C60C35"/>
            </w:tcBorders>
            <w:vMerge w:val="continue"/>
            <w:shd w:val="clear" w:color="auto" w:fill="C60C35"/>
          </w:tcPr>
          <w:p>
            <w:pPr>
              <w:spacing w:after="0"/>
              <w:rPr>
                <w:sz w:val="20"/>
                <w:szCs w:val="20"/>
                <w:color w:val="auto"/>
              </w:rPr>
            </w:pPr>
          </w:p>
        </w:tc>
        <w:tc>
          <w:tcPr>
            <w:tcW w:w="1800" w:type="dxa"/>
            <w:vAlign w:val="bottom"/>
            <w:tcBorders>
              <w:bottom w:val="single" w:sz="8" w:color="C60C35"/>
            </w:tcBorders>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bottom w:val="single" w:sz="8" w:color="C60C35"/>
            </w:tcBorders>
            <w:shd w:val="clear" w:color="auto" w:fill="C60C35"/>
          </w:tcPr>
          <w:p>
            <w:pPr>
              <w:jc w:val="right"/>
              <w:ind w:right="8"/>
              <w:spacing w:after="0" w:line="20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440" w:type="dxa"/>
            <w:vAlign w:val="bottom"/>
            <w:tcBorders>
              <w:bottom w:val="single" w:sz="8" w:color="C60C35"/>
            </w:tcBorders>
            <w:shd w:val="clear" w:color="auto" w:fill="C60C35"/>
          </w:tcPr>
          <w:p>
            <w:pPr>
              <w:ind w:left="11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36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Alok Maskara</w:t>
            </w:r>
            <w:r>
              <w:rPr>
                <w:rFonts w:ascii="Arial" w:cs="Arial" w:eastAsia="Arial" w:hAnsi="Arial"/>
                <w:sz w:val="18"/>
                <w:szCs w:val="18"/>
                <w:color w:val="auto"/>
                <w:vertAlign w:val="superscript"/>
              </w:rPr>
              <w:t>(2)</w:t>
            </w:r>
          </w:p>
        </w:tc>
        <w:tc>
          <w:tcPr>
            <w:tcW w:w="3060" w:type="dxa"/>
            <w:vAlign w:val="bottom"/>
            <w:shd w:val="clear" w:color="auto" w:fill="F1F2F2"/>
          </w:tcPr>
          <w:p>
            <w:pPr>
              <w:ind w:left="20"/>
              <w:spacing w:after="0"/>
              <w:rPr>
                <w:sz w:val="20"/>
                <w:szCs w:val="20"/>
                <w:color w:val="auto"/>
              </w:rPr>
            </w:pPr>
            <w:r>
              <w:rPr>
                <w:rFonts w:ascii="Arial" w:cs="Arial" w:eastAsia="Arial" w:hAnsi="Arial"/>
                <w:sz w:val="14"/>
                <w:szCs w:val="14"/>
                <w:color w:val="auto"/>
              </w:rPr>
              <w:t>Consolidated Pension Plan (Frozen)</w:t>
            </w:r>
          </w:p>
        </w:tc>
        <w:tc>
          <w:tcPr>
            <w:tcW w:w="18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N/A</w:t>
            </w:r>
          </w:p>
        </w:tc>
        <w:tc>
          <w:tcPr>
            <w:tcW w:w="134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F1F2F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F1F2F2"/>
            </w:tcBorders>
            <w:shd w:val="clear" w:color="auto" w:fill="F1F2F2"/>
          </w:tcPr>
          <w:p>
            <w:pPr>
              <w:spacing w:after="0"/>
              <w:rPr>
                <w:sz w:val="18"/>
                <w:szCs w:val="18"/>
                <w:color w:val="auto"/>
              </w:rPr>
            </w:pPr>
          </w:p>
        </w:tc>
        <w:tc>
          <w:tcPr>
            <w:tcW w:w="306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4"/>
                <w:szCs w:val="14"/>
                <w:color w:val="auto"/>
              </w:rPr>
              <w:t>Supplemental Retirement Plan (Closed)</w:t>
            </w:r>
          </w:p>
        </w:tc>
        <w:tc>
          <w:tcPr>
            <w:tcW w:w="1800" w:type="dxa"/>
            <w:vAlign w:val="bottom"/>
            <w:tcBorders>
              <w:bottom w:val="single" w:sz="8" w:color="F1F2F2"/>
            </w:tcBorders>
            <w:shd w:val="clear" w:color="auto" w:fill="F1F2F2"/>
          </w:tcPr>
          <w:p>
            <w:pPr>
              <w:jc w:val="right"/>
              <w:ind w:right="48"/>
              <w:spacing w:after="0"/>
              <w:rPr>
                <w:sz w:val="20"/>
                <w:szCs w:val="20"/>
                <w:color w:val="auto"/>
              </w:rPr>
            </w:pPr>
            <w:r>
              <w:rPr>
                <w:rFonts w:ascii="Arial" w:cs="Arial" w:eastAsia="Arial" w:hAnsi="Arial"/>
                <w:sz w:val="14"/>
                <w:szCs w:val="14"/>
                <w:color w:val="auto"/>
              </w:rPr>
              <w:t>N/A</w:t>
            </w:r>
          </w:p>
        </w:tc>
        <w:tc>
          <w:tcPr>
            <w:tcW w:w="134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N/A</w:t>
            </w:r>
          </w:p>
        </w:tc>
        <w:tc>
          <w:tcPr>
            <w:tcW w:w="1440" w:type="dxa"/>
            <w:vAlign w:val="bottom"/>
            <w:tcBorders>
              <w:bottom w:val="single" w:sz="8" w:color="F1F2F2"/>
            </w:tcBorders>
            <w:shd w:val="clear" w:color="auto" w:fill="F1F2F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600" w:type="dxa"/>
            <w:vAlign w:val="bottom"/>
          </w:tcPr>
          <w:p>
            <w:pPr>
              <w:ind w:left="100"/>
              <w:spacing w:after="0"/>
              <w:rPr>
                <w:sz w:val="20"/>
                <w:szCs w:val="20"/>
                <w:color w:val="auto"/>
              </w:rPr>
            </w:pPr>
            <w:r>
              <w:rPr>
                <w:rFonts w:ascii="Arial" w:cs="Arial" w:eastAsia="Arial" w:hAnsi="Arial"/>
                <w:sz w:val="14"/>
                <w:szCs w:val="14"/>
                <w:color w:val="auto"/>
              </w:rPr>
              <w:t>Michael P. Quenzer</w:t>
            </w:r>
            <w:r>
              <w:rPr>
                <w:rFonts w:ascii="Arial" w:cs="Arial" w:eastAsia="Arial" w:hAnsi="Arial"/>
                <w:sz w:val="18"/>
                <w:szCs w:val="18"/>
                <w:color w:val="auto"/>
                <w:vertAlign w:val="superscript"/>
              </w:rPr>
              <w:t>(2)</w:t>
            </w:r>
          </w:p>
        </w:tc>
        <w:tc>
          <w:tcPr>
            <w:tcW w:w="3060" w:type="dxa"/>
            <w:vAlign w:val="bottom"/>
          </w:tcPr>
          <w:p>
            <w:pPr>
              <w:ind w:left="20"/>
              <w:spacing w:after="0"/>
              <w:rPr>
                <w:sz w:val="20"/>
                <w:szCs w:val="20"/>
                <w:color w:val="auto"/>
              </w:rPr>
            </w:pPr>
            <w:r>
              <w:rPr>
                <w:rFonts w:ascii="Arial" w:cs="Arial" w:eastAsia="Arial" w:hAnsi="Arial"/>
                <w:sz w:val="14"/>
                <w:szCs w:val="14"/>
                <w:color w:val="auto"/>
              </w:rPr>
              <w:t>Consolidated Pension Plan (Frozen)</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N/A</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N/A</w:t>
            </w:r>
          </w:p>
        </w:tc>
        <w:tc>
          <w:tcPr>
            <w:tcW w:w="1440" w:type="dxa"/>
            <w:vAlign w:val="bottom"/>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Supplemental Retirement Plan (Closed)</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N/A</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N/A</w:t>
            </w:r>
          </w:p>
        </w:tc>
        <w:tc>
          <w:tcPr>
            <w:tcW w:w="1440" w:type="dxa"/>
            <w:vAlign w:val="bottom"/>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Gary S. Bedard</w:t>
            </w:r>
          </w:p>
        </w:tc>
        <w:tc>
          <w:tcPr>
            <w:tcW w:w="3060" w:type="dxa"/>
            <w:vAlign w:val="bottom"/>
            <w:shd w:val="clear" w:color="auto" w:fill="F1F2F2"/>
          </w:tcPr>
          <w:p>
            <w:pPr>
              <w:ind w:left="20"/>
              <w:spacing w:after="0"/>
              <w:rPr>
                <w:sz w:val="20"/>
                <w:szCs w:val="20"/>
                <w:color w:val="auto"/>
              </w:rPr>
            </w:pPr>
            <w:r>
              <w:rPr>
                <w:rFonts w:ascii="Arial" w:cs="Arial" w:eastAsia="Arial" w:hAnsi="Arial"/>
                <w:sz w:val="14"/>
                <w:szCs w:val="14"/>
                <w:color w:val="auto"/>
              </w:rPr>
              <w:t>Consolidated Pension Plan (Frozen)</w:t>
            </w:r>
          </w:p>
        </w:tc>
        <w:tc>
          <w:tcPr>
            <w:tcW w:w="18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10.5</w:t>
            </w:r>
          </w:p>
        </w:tc>
        <w:tc>
          <w:tcPr>
            <w:tcW w:w="134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F1F2F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3600" w:type="dxa"/>
            <w:vAlign w:val="bottom"/>
            <w:tcBorders>
              <w:bottom w:val="single" w:sz="8" w:color="F1F2F2"/>
            </w:tcBorders>
            <w:shd w:val="clear" w:color="auto" w:fill="F1F2F2"/>
          </w:tcPr>
          <w:p>
            <w:pPr>
              <w:spacing w:after="0"/>
              <w:rPr>
                <w:sz w:val="20"/>
                <w:szCs w:val="20"/>
                <w:color w:val="auto"/>
              </w:rPr>
            </w:pPr>
          </w:p>
        </w:tc>
        <w:tc>
          <w:tcPr>
            <w:tcW w:w="306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4"/>
                <w:szCs w:val="14"/>
                <w:color w:val="auto"/>
              </w:rPr>
              <w:t>Supplemental Retirement Plan (Closed)</w:t>
            </w:r>
          </w:p>
        </w:tc>
        <w:tc>
          <w:tcPr>
            <w:tcW w:w="1800" w:type="dxa"/>
            <w:vAlign w:val="bottom"/>
            <w:tcBorders>
              <w:bottom w:val="single" w:sz="8" w:color="F1F2F2"/>
            </w:tcBorders>
            <w:shd w:val="clear" w:color="auto" w:fill="F1F2F2"/>
          </w:tcPr>
          <w:p>
            <w:pPr>
              <w:jc w:val="right"/>
              <w:ind w:right="48"/>
              <w:spacing w:after="0"/>
              <w:rPr>
                <w:sz w:val="20"/>
                <w:szCs w:val="20"/>
                <w:color w:val="auto"/>
              </w:rPr>
            </w:pPr>
            <w:r>
              <w:rPr>
                <w:rFonts w:ascii="Arial" w:cs="Arial" w:eastAsia="Arial" w:hAnsi="Arial"/>
                <w:sz w:val="14"/>
                <w:szCs w:val="14"/>
                <w:color w:val="auto"/>
              </w:rPr>
              <w:t>7.3</w:t>
            </w:r>
          </w:p>
        </w:tc>
        <w:tc>
          <w:tcPr>
            <w:tcW w:w="134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1,583,491</w:t>
            </w:r>
          </w:p>
        </w:tc>
        <w:tc>
          <w:tcPr>
            <w:tcW w:w="1440" w:type="dxa"/>
            <w:vAlign w:val="bottom"/>
            <w:tcBorders>
              <w:bottom w:val="single" w:sz="8" w:color="F1F2F2"/>
            </w:tcBorders>
            <w:shd w:val="clear" w:color="auto" w:fill="F1F2F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600" w:type="dxa"/>
            <w:vAlign w:val="bottom"/>
          </w:tcPr>
          <w:p>
            <w:pPr>
              <w:ind w:left="100"/>
              <w:spacing w:after="0"/>
              <w:rPr>
                <w:sz w:val="20"/>
                <w:szCs w:val="20"/>
                <w:color w:val="auto"/>
              </w:rPr>
            </w:pPr>
            <w:r>
              <w:rPr>
                <w:rFonts w:ascii="Arial" w:cs="Arial" w:eastAsia="Arial" w:hAnsi="Arial"/>
                <w:sz w:val="14"/>
                <w:szCs w:val="14"/>
                <w:color w:val="auto"/>
              </w:rPr>
              <w:t>Daniel M. Sessa</w:t>
            </w:r>
          </w:p>
        </w:tc>
        <w:tc>
          <w:tcPr>
            <w:tcW w:w="3060" w:type="dxa"/>
            <w:vAlign w:val="bottom"/>
          </w:tcPr>
          <w:p>
            <w:pPr>
              <w:ind w:left="20"/>
              <w:spacing w:after="0"/>
              <w:rPr>
                <w:sz w:val="20"/>
                <w:szCs w:val="20"/>
                <w:color w:val="auto"/>
              </w:rPr>
            </w:pPr>
            <w:r>
              <w:rPr>
                <w:rFonts w:ascii="Arial" w:cs="Arial" w:eastAsia="Arial" w:hAnsi="Arial"/>
                <w:sz w:val="14"/>
                <w:szCs w:val="14"/>
                <w:color w:val="auto"/>
              </w:rPr>
              <w:t>Consolidated Pension Plan (Frozen)</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35,644</w:t>
            </w:r>
          </w:p>
        </w:tc>
        <w:tc>
          <w:tcPr>
            <w:tcW w:w="1440" w:type="dxa"/>
            <w:vAlign w:val="bottom"/>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Supplemental Retirement Plan (Closed)</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5,732,318</w:t>
            </w:r>
          </w:p>
        </w:tc>
        <w:tc>
          <w:tcPr>
            <w:tcW w:w="1440" w:type="dxa"/>
            <w:vAlign w:val="bottom"/>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John D. Torres</w:t>
            </w:r>
            <w:r>
              <w:rPr>
                <w:rFonts w:ascii="Arial" w:cs="Arial" w:eastAsia="Arial" w:hAnsi="Arial"/>
                <w:sz w:val="18"/>
                <w:szCs w:val="18"/>
                <w:color w:val="auto"/>
                <w:vertAlign w:val="superscript"/>
              </w:rPr>
              <w:t>(2)</w:t>
            </w:r>
          </w:p>
        </w:tc>
        <w:tc>
          <w:tcPr>
            <w:tcW w:w="3060" w:type="dxa"/>
            <w:vAlign w:val="bottom"/>
            <w:shd w:val="clear" w:color="auto" w:fill="F1F2F2"/>
          </w:tcPr>
          <w:p>
            <w:pPr>
              <w:ind w:left="20"/>
              <w:spacing w:after="0"/>
              <w:rPr>
                <w:sz w:val="20"/>
                <w:szCs w:val="20"/>
                <w:color w:val="auto"/>
              </w:rPr>
            </w:pPr>
            <w:r>
              <w:rPr>
                <w:rFonts w:ascii="Arial" w:cs="Arial" w:eastAsia="Arial" w:hAnsi="Arial"/>
                <w:sz w:val="14"/>
                <w:szCs w:val="14"/>
                <w:color w:val="auto"/>
              </w:rPr>
              <w:t>Consolidated Pension Plan (Frozen)</w:t>
            </w:r>
          </w:p>
        </w:tc>
        <w:tc>
          <w:tcPr>
            <w:tcW w:w="18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N/A</w:t>
            </w:r>
          </w:p>
        </w:tc>
        <w:tc>
          <w:tcPr>
            <w:tcW w:w="134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F1F2F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600" w:type="dxa"/>
            <w:vAlign w:val="bottom"/>
            <w:shd w:val="clear" w:color="auto" w:fill="F1F2F2"/>
          </w:tcPr>
          <w:p>
            <w:pPr>
              <w:spacing w:after="0"/>
              <w:rPr>
                <w:sz w:val="18"/>
                <w:szCs w:val="18"/>
                <w:color w:val="auto"/>
              </w:rPr>
            </w:pPr>
          </w:p>
        </w:tc>
        <w:tc>
          <w:tcPr>
            <w:tcW w:w="3060" w:type="dxa"/>
            <w:vAlign w:val="bottom"/>
            <w:shd w:val="clear" w:color="auto" w:fill="F1F2F2"/>
          </w:tcPr>
          <w:p>
            <w:pPr>
              <w:ind w:left="20"/>
              <w:spacing w:after="0"/>
              <w:rPr>
                <w:sz w:val="20"/>
                <w:szCs w:val="20"/>
                <w:color w:val="auto"/>
              </w:rPr>
            </w:pPr>
            <w:r>
              <w:rPr>
                <w:rFonts w:ascii="Arial" w:cs="Arial" w:eastAsia="Arial" w:hAnsi="Arial"/>
                <w:sz w:val="14"/>
                <w:szCs w:val="14"/>
                <w:color w:val="auto"/>
              </w:rPr>
              <w:t>Supplemental Retirement Plan (Closed)</w:t>
            </w:r>
          </w:p>
        </w:tc>
        <w:tc>
          <w:tcPr>
            <w:tcW w:w="18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15.0</w:t>
            </w:r>
          </w:p>
        </w:tc>
        <w:tc>
          <w:tcPr>
            <w:tcW w:w="134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5,429,385</w:t>
            </w:r>
          </w:p>
        </w:tc>
        <w:tc>
          <w:tcPr>
            <w:tcW w:w="1440" w:type="dxa"/>
            <w:vAlign w:val="bottom"/>
            <w:shd w:val="clear" w:color="auto" w:fill="F1F2F2"/>
          </w:tcPr>
          <w:p>
            <w:pPr>
              <w:ind w:left="1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600" w:type="dxa"/>
            <w:vAlign w:val="bottom"/>
            <w:shd w:val="clear" w:color="auto" w:fill="F1F2F2"/>
          </w:tcPr>
          <w:p>
            <w:pPr>
              <w:spacing w:after="0" w:line="20" w:lineRule="exact"/>
              <w:rPr>
                <w:sz w:val="1"/>
                <w:szCs w:val="1"/>
                <w:color w:val="auto"/>
              </w:rPr>
            </w:pPr>
          </w:p>
        </w:tc>
        <w:tc>
          <w:tcPr>
            <w:tcW w:w="3060" w:type="dxa"/>
            <w:vAlign w:val="bottom"/>
            <w:shd w:val="clear" w:color="auto" w:fill="F1F2F2"/>
          </w:tcPr>
          <w:p>
            <w:pPr>
              <w:spacing w:after="0" w:line="20" w:lineRule="exact"/>
              <w:rPr>
                <w:sz w:val="1"/>
                <w:szCs w:val="1"/>
                <w:color w:val="auto"/>
              </w:rPr>
            </w:pPr>
          </w:p>
        </w:tc>
        <w:tc>
          <w:tcPr>
            <w:tcW w:w="1800" w:type="dxa"/>
            <w:vAlign w:val="bottom"/>
            <w:shd w:val="clear" w:color="auto" w:fill="F1F2F2"/>
          </w:tcPr>
          <w:p>
            <w:pPr>
              <w:spacing w:after="0" w:line="20" w:lineRule="exact"/>
              <w:rPr>
                <w:sz w:val="1"/>
                <w:szCs w:val="1"/>
                <w:color w:val="auto"/>
              </w:rPr>
            </w:pPr>
          </w:p>
        </w:tc>
        <w:tc>
          <w:tcPr>
            <w:tcW w:w="1340" w:type="dxa"/>
            <w:vAlign w:val="bottom"/>
            <w:shd w:val="clear" w:color="auto" w:fill="F1F2F2"/>
          </w:tcPr>
          <w:p>
            <w:pPr>
              <w:spacing w:after="0" w:line="20" w:lineRule="exact"/>
              <w:rPr>
                <w:sz w:val="1"/>
                <w:szCs w:val="1"/>
                <w:color w:val="auto"/>
              </w:rPr>
            </w:pPr>
          </w:p>
        </w:tc>
        <w:tc>
          <w:tcPr>
            <w:tcW w:w="144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60" w:hanging="332"/>
        <w:spacing w:after="0" w:line="266" w:lineRule="auto"/>
        <w:tabs>
          <w:tab w:leader="none" w:pos="3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actuarial present value of the lump-sum accumulated benefit payable at December 31, 2024, is equal to the annualized present value factor, multiplied by the monthly benefit. The amounts shown are calculated in accordance with FASB ASC Topic 715, using a 5.15% interest (discount) rate for the Supplemental Retirement Plan and 5.79% for the Consolidated Pension Plan as of December 31, 2024, and the Pri-2012 healthy retiree mortality rates, with a white collar adjustment, with generational projections of mortality improvement using scale MP-2021. The calculations assume payments are deferred until age 65 for all participants under our frozen Consolidated Pension Plan and until the earliest unreduced retirement age for each participant under our Supplemental Retirement Plan. Additional assumptions are included in Note 10 of the Consolidated Financial Statements for the fiscal year ended December 31, 2024, included in our Form 10-K.</w:t>
      </w:r>
    </w:p>
    <w:p>
      <w:pPr>
        <w:spacing w:after="0" w:line="76" w:lineRule="exact"/>
        <w:rPr>
          <w:rFonts w:ascii="Arial" w:cs="Arial" w:eastAsia="Arial" w:hAnsi="Arial"/>
          <w:sz w:val="14"/>
          <w:szCs w:val="14"/>
          <w:color w:val="auto"/>
        </w:rPr>
      </w:pPr>
    </w:p>
    <w:p>
      <w:pPr>
        <w:ind w:left="340" w:right="400" w:hanging="332"/>
        <w:spacing w:after="0" w:line="285" w:lineRule="auto"/>
        <w:tabs>
          <w:tab w:leader="none" w:pos="3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Messrs. Maskara and Quenzer are not eligible to participate in the frozen Consolidated Pension Plan or the closed Supplemental Retirement Plan. Mr. Torres was not eligible to participate in the Consolidated Pension Plan prior to the plan being frozen.</w:t>
      </w: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C60C35"/>
        </w:rPr>
        <w:t>2024 Nonqualified Deferred Compensation</w:t>
      </w:r>
    </w:p>
    <w:p>
      <w:pPr>
        <w:spacing w:after="0" w:line="5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provides information regarding contributions, earnings, withdrawals, and distributions under our frozen Profit Sharing Restoration Plan and our Defined Contribution Supplemental Restoration Plan in 2024 for each NEO, as well as each NEO’s aggregate balance in such plan at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60" w:type="dxa"/>
            <w:vAlign w:val="bottom"/>
            <w:shd w:val="clear" w:color="auto" w:fill="C60C35"/>
          </w:tcPr>
          <w:p>
            <w:pPr>
              <w:spacing w:after="0"/>
              <w:rPr>
                <w:sz w:val="16"/>
                <w:szCs w:val="16"/>
                <w:color w:val="auto"/>
              </w:rPr>
            </w:pPr>
          </w:p>
        </w:tc>
        <w:tc>
          <w:tcPr>
            <w:tcW w:w="2740" w:type="dxa"/>
            <w:vAlign w:val="bottom"/>
            <w:shd w:val="clear" w:color="auto" w:fill="C60C35"/>
          </w:tcPr>
          <w:p>
            <w:pPr>
              <w:spacing w:after="0"/>
              <w:rPr>
                <w:sz w:val="16"/>
                <w:szCs w:val="16"/>
                <w:color w:val="auto"/>
              </w:rPr>
            </w:pPr>
          </w:p>
        </w:tc>
        <w:tc>
          <w:tcPr>
            <w:tcW w:w="15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Executive</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Company</w:t>
            </w:r>
          </w:p>
        </w:tc>
        <w:tc>
          <w:tcPr>
            <w:tcW w:w="1260" w:type="dxa"/>
            <w:vAlign w:val="bottom"/>
            <w:shd w:val="clear" w:color="auto" w:fill="C60C35"/>
          </w:tcPr>
          <w:p>
            <w:pPr>
              <w:spacing w:after="0"/>
              <w:rPr>
                <w:sz w:val="16"/>
                <w:szCs w:val="16"/>
                <w:color w:val="auto"/>
              </w:rPr>
            </w:pPr>
          </w:p>
        </w:tc>
        <w:tc>
          <w:tcPr>
            <w:tcW w:w="1300" w:type="dxa"/>
            <w:vAlign w:val="bottom"/>
            <w:shd w:val="clear" w:color="auto" w:fill="C60C35"/>
          </w:tcPr>
          <w:p>
            <w:pPr>
              <w:spacing w:after="0"/>
              <w:rPr>
                <w:sz w:val="16"/>
                <w:szCs w:val="16"/>
                <w:color w:val="auto"/>
              </w:rPr>
            </w:pPr>
          </w:p>
        </w:tc>
        <w:tc>
          <w:tcPr>
            <w:tcW w:w="1340" w:type="dxa"/>
            <w:vAlign w:val="bottom"/>
            <w:shd w:val="clear" w:color="auto" w:fill="C60C3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60C35"/>
          </w:tcPr>
          <w:p>
            <w:pPr>
              <w:spacing w:after="0"/>
              <w:rPr>
                <w:sz w:val="15"/>
                <w:szCs w:val="15"/>
                <w:color w:val="auto"/>
              </w:rPr>
            </w:pPr>
          </w:p>
        </w:tc>
        <w:tc>
          <w:tcPr>
            <w:tcW w:w="2740" w:type="dxa"/>
            <w:vAlign w:val="bottom"/>
            <w:shd w:val="clear" w:color="auto" w:fill="C60C35"/>
          </w:tcPr>
          <w:p>
            <w:pPr>
              <w:spacing w:after="0"/>
              <w:rPr>
                <w:sz w:val="15"/>
                <w:szCs w:val="15"/>
                <w:color w:val="auto"/>
              </w:rPr>
            </w:pPr>
          </w:p>
        </w:tc>
        <w:tc>
          <w:tcPr>
            <w:tcW w:w="15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Contributions in</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Contributions in</w:t>
            </w:r>
          </w:p>
        </w:tc>
        <w:tc>
          <w:tcPr>
            <w:tcW w:w="1260" w:type="dxa"/>
            <w:vAlign w:val="bottom"/>
            <w:shd w:val="clear" w:color="auto" w:fill="C60C35"/>
          </w:tcPr>
          <w:p>
            <w:pPr>
              <w:jc w:val="right"/>
              <w:ind w:right="15"/>
              <w:spacing w:after="0"/>
              <w:rPr>
                <w:sz w:val="20"/>
                <w:szCs w:val="20"/>
                <w:color w:val="auto"/>
              </w:rPr>
            </w:pPr>
            <w:r>
              <w:rPr>
                <w:rFonts w:ascii="Arial" w:cs="Arial" w:eastAsia="Arial" w:hAnsi="Arial"/>
                <w:sz w:val="14"/>
                <w:szCs w:val="14"/>
                <w:b w:val="1"/>
                <w:bCs w:val="1"/>
                <w:color w:val="FFFFFF"/>
              </w:rPr>
              <w:t>Aggregate</w:t>
            </w:r>
          </w:p>
        </w:tc>
        <w:tc>
          <w:tcPr>
            <w:tcW w:w="1300" w:type="dxa"/>
            <w:vAlign w:val="bottom"/>
            <w:shd w:val="clear" w:color="auto" w:fill="C60C35"/>
          </w:tcPr>
          <w:p>
            <w:pPr>
              <w:jc w:val="right"/>
              <w:ind w:right="75"/>
              <w:spacing w:after="0"/>
              <w:rPr>
                <w:sz w:val="20"/>
                <w:szCs w:val="20"/>
                <w:color w:val="auto"/>
              </w:rPr>
            </w:pPr>
            <w:r>
              <w:rPr>
                <w:rFonts w:ascii="Arial" w:cs="Arial" w:eastAsia="Arial" w:hAnsi="Arial"/>
                <w:sz w:val="14"/>
                <w:szCs w:val="14"/>
                <w:b w:val="1"/>
                <w:bCs w:val="1"/>
                <w:color w:val="FFFFFF"/>
              </w:rPr>
              <w:t>Aggregate</w:t>
            </w:r>
          </w:p>
        </w:tc>
        <w:tc>
          <w:tcPr>
            <w:tcW w:w="1340" w:type="dxa"/>
            <w:vAlign w:val="bottom"/>
            <w:shd w:val="clear" w:color="auto" w:fill="C60C35"/>
          </w:tcPr>
          <w:p>
            <w:pPr>
              <w:jc w:val="right"/>
              <w:ind w:right="95"/>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173"/>
        </w:trPr>
        <w:tc>
          <w:tcPr>
            <w:tcW w:w="1860" w:type="dxa"/>
            <w:vAlign w:val="bottom"/>
            <w:vMerge w:val="restart"/>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2740" w:type="dxa"/>
            <w:vAlign w:val="bottom"/>
            <w:vMerge w:val="restart"/>
            <w:shd w:val="clear" w:color="auto" w:fill="C60C35"/>
          </w:tcPr>
          <w:p>
            <w:pPr>
              <w:ind w:left="20"/>
              <w:spacing w:after="0"/>
              <w:rPr>
                <w:sz w:val="20"/>
                <w:szCs w:val="20"/>
                <w:color w:val="auto"/>
              </w:rPr>
            </w:pPr>
            <w:r>
              <w:rPr>
                <w:rFonts w:ascii="Arial" w:cs="Arial" w:eastAsia="Arial" w:hAnsi="Arial"/>
                <w:sz w:val="14"/>
                <w:szCs w:val="14"/>
                <w:b w:val="1"/>
                <w:bCs w:val="1"/>
                <w:color w:val="FFFFFF"/>
              </w:rPr>
              <w:t>Plan Name</w:t>
            </w:r>
          </w:p>
        </w:tc>
        <w:tc>
          <w:tcPr>
            <w:tcW w:w="1500" w:type="dxa"/>
            <w:vAlign w:val="bottom"/>
            <w:shd w:val="clear" w:color="auto" w:fill="C60C35"/>
          </w:tcPr>
          <w:p>
            <w:pPr>
              <w:jc w:val="right"/>
              <w:ind w:right="34"/>
              <w:spacing w:after="0"/>
              <w:rPr>
                <w:sz w:val="20"/>
                <w:szCs w:val="20"/>
                <w:color w:val="auto"/>
              </w:rPr>
            </w:pPr>
            <w:r>
              <w:rPr>
                <w:rFonts w:ascii="Arial" w:cs="Arial" w:eastAsia="Arial" w:hAnsi="Arial"/>
                <w:sz w:val="14"/>
                <w:szCs w:val="14"/>
                <w:b w:val="1"/>
                <w:bCs w:val="1"/>
                <w:color w:val="FFFFFF"/>
              </w:rPr>
              <w:t>Last Year</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Last Year</w:t>
            </w:r>
          </w:p>
        </w:tc>
        <w:tc>
          <w:tcPr>
            <w:tcW w:w="1260" w:type="dxa"/>
            <w:vAlign w:val="bottom"/>
            <w:shd w:val="clear" w:color="auto" w:fill="C60C35"/>
          </w:tcPr>
          <w:p>
            <w:pPr>
              <w:jc w:val="right"/>
              <w:ind w:right="15"/>
              <w:spacing w:after="0"/>
              <w:rPr>
                <w:sz w:val="20"/>
                <w:szCs w:val="20"/>
                <w:color w:val="auto"/>
              </w:rPr>
            </w:pPr>
            <w:r>
              <w:rPr>
                <w:rFonts w:ascii="Arial" w:cs="Arial" w:eastAsia="Arial" w:hAnsi="Arial"/>
                <w:sz w:val="14"/>
                <w:szCs w:val="14"/>
                <w:b w:val="1"/>
                <w:bCs w:val="1"/>
                <w:color w:val="FFFFFF"/>
              </w:rPr>
              <w:t>Earnings in Last</w:t>
            </w:r>
          </w:p>
        </w:tc>
        <w:tc>
          <w:tcPr>
            <w:tcW w:w="1300" w:type="dxa"/>
            <w:vAlign w:val="bottom"/>
            <w:shd w:val="clear" w:color="auto" w:fill="C60C35"/>
          </w:tcPr>
          <w:p>
            <w:pPr>
              <w:jc w:val="right"/>
              <w:ind w:right="75"/>
              <w:spacing w:after="0"/>
              <w:rPr>
                <w:sz w:val="20"/>
                <w:szCs w:val="20"/>
                <w:color w:val="auto"/>
              </w:rPr>
            </w:pPr>
            <w:r>
              <w:rPr>
                <w:rFonts w:ascii="Arial" w:cs="Arial" w:eastAsia="Arial" w:hAnsi="Arial"/>
                <w:sz w:val="14"/>
                <w:szCs w:val="14"/>
                <w:b w:val="1"/>
                <w:bCs w:val="1"/>
                <w:color w:val="FFFFFF"/>
              </w:rPr>
              <w:t>Withdrawals/</w:t>
            </w:r>
          </w:p>
        </w:tc>
        <w:tc>
          <w:tcPr>
            <w:tcW w:w="1340" w:type="dxa"/>
            <w:vAlign w:val="bottom"/>
            <w:shd w:val="clear" w:color="auto" w:fill="C60C35"/>
          </w:tcPr>
          <w:p>
            <w:pPr>
              <w:jc w:val="right"/>
              <w:ind w:right="95"/>
              <w:spacing w:after="0"/>
              <w:rPr>
                <w:sz w:val="20"/>
                <w:szCs w:val="20"/>
                <w:color w:val="auto"/>
              </w:rPr>
            </w:pPr>
            <w:r>
              <w:rPr>
                <w:rFonts w:ascii="Arial" w:cs="Arial" w:eastAsia="Arial" w:hAnsi="Arial"/>
                <w:sz w:val="14"/>
                <w:szCs w:val="14"/>
                <w:b w:val="1"/>
                <w:bCs w:val="1"/>
                <w:color w:val="FFFFFF"/>
              </w:rPr>
              <w:t>Balance at Last</w:t>
            </w:r>
          </w:p>
        </w:tc>
        <w:tc>
          <w:tcPr>
            <w:tcW w:w="0" w:type="dxa"/>
            <w:vAlign w:val="bottom"/>
          </w:tcPr>
          <w:p>
            <w:pPr>
              <w:spacing w:after="0"/>
              <w:rPr>
                <w:sz w:val="1"/>
                <w:szCs w:val="1"/>
                <w:color w:val="auto"/>
              </w:rPr>
            </w:pPr>
          </w:p>
        </w:tc>
      </w:tr>
      <w:tr>
        <w:trPr>
          <w:trHeight w:val="235"/>
        </w:trPr>
        <w:tc>
          <w:tcPr>
            <w:tcW w:w="1860" w:type="dxa"/>
            <w:vAlign w:val="bottom"/>
            <w:tcBorders>
              <w:bottom w:val="single" w:sz="8" w:color="C60C35"/>
            </w:tcBorders>
            <w:vMerge w:val="continue"/>
            <w:shd w:val="clear" w:color="auto" w:fill="C60C35"/>
          </w:tcPr>
          <w:p>
            <w:pPr>
              <w:spacing w:after="0"/>
              <w:rPr>
                <w:sz w:val="20"/>
                <w:szCs w:val="20"/>
                <w:color w:val="auto"/>
              </w:rPr>
            </w:pPr>
          </w:p>
        </w:tc>
        <w:tc>
          <w:tcPr>
            <w:tcW w:w="2740" w:type="dxa"/>
            <w:vAlign w:val="bottom"/>
            <w:tcBorders>
              <w:bottom w:val="single" w:sz="8" w:color="C60C35"/>
            </w:tcBorders>
            <w:vMerge w:val="continue"/>
            <w:shd w:val="clear" w:color="auto" w:fill="C60C35"/>
          </w:tcPr>
          <w:p>
            <w:pPr>
              <w:spacing w:after="0"/>
              <w:rPr>
                <w:sz w:val="20"/>
                <w:szCs w:val="20"/>
                <w:color w:val="auto"/>
              </w:rPr>
            </w:pPr>
          </w:p>
        </w:tc>
        <w:tc>
          <w:tcPr>
            <w:tcW w:w="150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C60C35"/>
            </w:tcBorders>
            <w:shd w:val="clear" w:color="auto" w:fill="C60C35"/>
          </w:tcPr>
          <w:p>
            <w:pPr>
              <w:jc w:val="right"/>
              <w:spacing w:after="0" w:line="20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260" w:type="dxa"/>
            <w:vAlign w:val="bottom"/>
            <w:tcBorders>
              <w:bottom w:val="single" w:sz="8" w:color="C60C35"/>
            </w:tcBorders>
            <w:shd w:val="clear" w:color="auto" w:fill="C60C35"/>
          </w:tcPr>
          <w:p>
            <w:pPr>
              <w:jc w:val="right"/>
              <w:ind w:right="15"/>
              <w:spacing w:after="0" w:line="201" w:lineRule="exact"/>
              <w:rPr>
                <w:sz w:val="20"/>
                <w:szCs w:val="20"/>
                <w:color w:val="auto"/>
              </w:rPr>
            </w:pPr>
            <w:r>
              <w:rPr>
                <w:rFonts w:ascii="Arial" w:cs="Arial" w:eastAsia="Arial" w:hAnsi="Arial"/>
                <w:sz w:val="14"/>
                <w:szCs w:val="14"/>
                <w:b w:val="1"/>
                <w:bCs w:val="1"/>
                <w:color w:val="FFFFFF"/>
              </w:rPr>
              <w:t>Year ($)</w:t>
            </w:r>
            <w:r>
              <w:rPr>
                <w:rFonts w:ascii="Arial" w:cs="Arial" w:eastAsia="Arial" w:hAnsi="Arial"/>
                <w:sz w:val="18"/>
                <w:szCs w:val="18"/>
                <w:b w:val="1"/>
                <w:bCs w:val="1"/>
                <w:color w:val="FFFFFF"/>
                <w:vertAlign w:val="superscript"/>
              </w:rPr>
              <w:t>(2)</w:t>
            </w:r>
          </w:p>
        </w:tc>
        <w:tc>
          <w:tcPr>
            <w:tcW w:w="1300" w:type="dxa"/>
            <w:vAlign w:val="bottom"/>
            <w:tcBorders>
              <w:bottom w:val="single" w:sz="8" w:color="C60C35"/>
            </w:tcBorders>
            <w:shd w:val="clear" w:color="auto" w:fill="C60C35"/>
          </w:tcPr>
          <w:p>
            <w:pPr>
              <w:jc w:val="right"/>
              <w:ind w:right="75"/>
              <w:spacing w:after="0"/>
              <w:rPr>
                <w:sz w:val="20"/>
                <w:szCs w:val="20"/>
                <w:color w:val="auto"/>
              </w:rPr>
            </w:pPr>
            <w:r>
              <w:rPr>
                <w:rFonts w:ascii="Arial" w:cs="Arial" w:eastAsia="Arial" w:hAnsi="Arial"/>
                <w:sz w:val="14"/>
                <w:szCs w:val="14"/>
                <w:b w:val="1"/>
                <w:bCs w:val="1"/>
                <w:color w:val="FFFFFF"/>
              </w:rPr>
              <w:t>Distributions ($)</w:t>
            </w:r>
          </w:p>
        </w:tc>
        <w:tc>
          <w:tcPr>
            <w:tcW w:w="1340" w:type="dxa"/>
            <w:vAlign w:val="bottom"/>
            <w:tcBorders>
              <w:bottom w:val="single" w:sz="8" w:color="C60C35"/>
            </w:tcBorders>
            <w:shd w:val="clear" w:color="auto" w:fill="C60C35"/>
          </w:tcPr>
          <w:p>
            <w:pPr>
              <w:jc w:val="right"/>
              <w:ind w:right="95"/>
              <w:spacing w:after="0"/>
              <w:rPr>
                <w:sz w:val="20"/>
                <w:szCs w:val="20"/>
                <w:color w:val="auto"/>
              </w:rPr>
            </w:pPr>
            <w:r>
              <w:rPr>
                <w:rFonts w:ascii="Arial" w:cs="Arial" w:eastAsia="Arial" w:hAnsi="Arial"/>
                <w:sz w:val="14"/>
                <w:szCs w:val="14"/>
                <w:b w:val="1"/>
                <w:bCs w:val="1"/>
                <w:color w:val="FFFFFF"/>
              </w:rPr>
              <w:t>Year-End ($)</w:t>
            </w:r>
          </w:p>
        </w:tc>
        <w:tc>
          <w:tcPr>
            <w:tcW w:w="0" w:type="dxa"/>
            <w:vAlign w:val="bottom"/>
          </w:tcPr>
          <w:p>
            <w:pPr>
              <w:spacing w:after="0"/>
              <w:rPr>
                <w:sz w:val="1"/>
                <w:szCs w:val="1"/>
                <w:color w:val="auto"/>
              </w:rPr>
            </w:pPr>
          </w:p>
        </w:tc>
      </w:tr>
      <w:tr>
        <w:trPr>
          <w:trHeight w:val="203"/>
        </w:trPr>
        <w:tc>
          <w:tcPr>
            <w:tcW w:w="18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Alok Maskara</w:t>
            </w:r>
            <w:r>
              <w:rPr>
                <w:rFonts w:ascii="Arial" w:cs="Arial" w:eastAsia="Arial" w:hAnsi="Arial"/>
                <w:sz w:val="16"/>
                <w:szCs w:val="16"/>
                <w:color w:val="auto"/>
                <w:vertAlign w:val="superscript"/>
              </w:rPr>
              <w:t>(3)</w:t>
            </w:r>
          </w:p>
        </w:tc>
        <w:tc>
          <w:tcPr>
            <w:tcW w:w="2740" w:type="dxa"/>
            <w:vAlign w:val="bottom"/>
            <w:shd w:val="clear" w:color="auto" w:fill="F1F2F2"/>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6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N/A</w:t>
            </w:r>
          </w:p>
        </w:tc>
        <w:tc>
          <w:tcPr>
            <w:tcW w:w="1300" w:type="dxa"/>
            <w:vAlign w:val="bottom"/>
            <w:shd w:val="clear" w:color="auto" w:fill="F1F2F2"/>
          </w:tcPr>
          <w:p>
            <w:pPr>
              <w:jc w:val="right"/>
              <w:ind w:right="75"/>
              <w:spacing w:after="0"/>
              <w:rPr>
                <w:sz w:val="20"/>
                <w:szCs w:val="20"/>
                <w:color w:val="auto"/>
              </w:rPr>
            </w:pPr>
            <w:r>
              <w:rPr>
                <w:rFonts w:ascii="Arial" w:cs="Arial" w:eastAsia="Arial" w:hAnsi="Arial"/>
                <w:sz w:val="13"/>
                <w:szCs w:val="13"/>
                <w:color w:val="auto"/>
              </w:rPr>
              <w:t>N/A</w:t>
            </w:r>
          </w:p>
        </w:tc>
        <w:tc>
          <w:tcPr>
            <w:tcW w:w="1340" w:type="dxa"/>
            <w:vAlign w:val="bottom"/>
            <w:shd w:val="clear" w:color="auto" w:fill="F1F2F2"/>
          </w:tcPr>
          <w:p>
            <w:pPr>
              <w:jc w:val="right"/>
              <w:ind w:right="95"/>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F1F2F2"/>
            </w:tcBorders>
            <w:shd w:val="clear" w:color="auto" w:fill="F1F2F2"/>
          </w:tcPr>
          <w:p>
            <w:pPr>
              <w:spacing w:after="0"/>
              <w:rPr>
                <w:sz w:val="15"/>
                <w:szCs w:val="15"/>
                <w:color w:val="auto"/>
              </w:rPr>
            </w:pPr>
          </w:p>
        </w:tc>
        <w:tc>
          <w:tcPr>
            <w:tcW w:w="274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210,971</w:t>
            </w:r>
          </w:p>
        </w:tc>
        <w:tc>
          <w:tcPr>
            <w:tcW w:w="1260" w:type="dxa"/>
            <w:vAlign w:val="bottom"/>
            <w:tcBorders>
              <w:bottom w:val="single" w:sz="8" w:color="F1F2F2"/>
            </w:tcBorders>
            <w:shd w:val="clear" w:color="auto" w:fill="F1F2F2"/>
          </w:tcPr>
          <w:p>
            <w:pPr>
              <w:jc w:val="right"/>
              <w:ind w:right="15"/>
              <w:spacing w:after="0"/>
              <w:rPr>
                <w:sz w:val="20"/>
                <w:szCs w:val="20"/>
                <w:color w:val="auto"/>
              </w:rPr>
            </w:pPr>
            <w:r>
              <w:rPr>
                <w:rFonts w:ascii="Arial" w:cs="Arial" w:eastAsia="Arial" w:hAnsi="Arial"/>
                <w:sz w:val="13"/>
                <w:szCs w:val="13"/>
                <w:color w:val="auto"/>
              </w:rPr>
              <w:t>41,714</w:t>
            </w:r>
          </w:p>
        </w:tc>
        <w:tc>
          <w:tcPr>
            <w:tcW w:w="1300" w:type="dxa"/>
            <w:vAlign w:val="bottom"/>
            <w:tcBorders>
              <w:bottom w:val="single" w:sz="8" w:color="F1F2F2"/>
            </w:tcBorders>
            <w:shd w:val="clear" w:color="auto" w:fill="F1F2F2"/>
          </w:tcPr>
          <w:p>
            <w:pPr>
              <w:jc w:val="right"/>
              <w:ind w:right="75"/>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F1F2F2"/>
            </w:tcBorders>
            <w:shd w:val="clear" w:color="auto" w:fill="F1F2F2"/>
          </w:tcPr>
          <w:p>
            <w:pPr>
              <w:jc w:val="right"/>
              <w:ind w:right="95"/>
              <w:spacing w:after="0"/>
              <w:rPr>
                <w:sz w:val="20"/>
                <w:szCs w:val="20"/>
                <w:color w:val="auto"/>
              </w:rPr>
            </w:pPr>
            <w:r>
              <w:rPr>
                <w:rFonts w:ascii="Arial" w:cs="Arial" w:eastAsia="Arial" w:hAnsi="Arial"/>
                <w:sz w:val="13"/>
                <w:szCs w:val="13"/>
                <w:color w:val="auto"/>
              </w:rPr>
              <w:t>358,123</w:t>
            </w:r>
          </w:p>
        </w:tc>
        <w:tc>
          <w:tcPr>
            <w:tcW w:w="0" w:type="dxa"/>
            <w:vAlign w:val="bottom"/>
          </w:tcPr>
          <w:p>
            <w:pPr>
              <w:spacing w:after="0"/>
              <w:rPr>
                <w:sz w:val="1"/>
                <w:szCs w:val="1"/>
                <w:color w:val="auto"/>
              </w:rPr>
            </w:pPr>
          </w:p>
        </w:tc>
      </w:tr>
      <w:tr>
        <w:trPr>
          <w:trHeight w:val="212"/>
        </w:trPr>
        <w:tc>
          <w:tcPr>
            <w:tcW w:w="1860" w:type="dxa"/>
            <w:vAlign w:val="bottom"/>
          </w:tcPr>
          <w:p>
            <w:pPr>
              <w:ind w:left="100"/>
              <w:spacing w:after="0"/>
              <w:rPr>
                <w:sz w:val="20"/>
                <w:szCs w:val="20"/>
                <w:color w:val="auto"/>
              </w:rPr>
            </w:pPr>
            <w:r>
              <w:rPr>
                <w:rFonts w:ascii="Arial" w:cs="Arial" w:eastAsia="Arial" w:hAnsi="Arial"/>
                <w:sz w:val="13"/>
                <w:szCs w:val="13"/>
                <w:color w:val="auto"/>
              </w:rPr>
              <w:t>Michael P. Quenzer</w:t>
            </w:r>
            <w:r>
              <w:rPr>
                <w:rFonts w:ascii="Arial" w:cs="Arial" w:eastAsia="Arial" w:hAnsi="Arial"/>
                <w:sz w:val="16"/>
                <w:szCs w:val="16"/>
                <w:color w:val="auto"/>
                <w:vertAlign w:val="superscript"/>
              </w:rPr>
              <w:t>(3)</w:t>
            </w:r>
          </w:p>
        </w:tc>
        <w:tc>
          <w:tcPr>
            <w:tcW w:w="2740" w:type="dxa"/>
            <w:vAlign w:val="bottom"/>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Pr>
          <w:p>
            <w:pPr>
              <w:jc w:val="right"/>
              <w:spacing w:after="0"/>
              <w:rPr>
                <w:sz w:val="20"/>
                <w:szCs w:val="20"/>
                <w:color w:val="auto"/>
              </w:rPr>
            </w:pPr>
            <w:r>
              <w:rPr>
                <w:rFonts w:ascii="Arial" w:cs="Arial" w:eastAsia="Arial" w:hAnsi="Arial"/>
                <w:sz w:val="13"/>
                <w:szCs w:val="13"/>
                <w:color w:val="auto"/>
              </w:rPr>
              <w:t>N/A</w:t>
            </w: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N/A</w:t>
            </w: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N/A</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2740" w:type="dxa"/>
            <w:vAlign w:val="bottom"/>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32,491</w:t>
            </w: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857</w:t>
            </w: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33,348</w:t>
            </w: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Gary S. Bedard</w:t>
            </w:r>
            <w:r>
              <w:rPr>
                <w:rFonts w:ascii="Arial" w:cs="Arial" w:eastAsia="Arial" w:hAnsi="Arial"/>
                <w:sz w:val="16"/>
                <w:szCs w:val="16"/>
                <w:color w:val="auto"/>
                <w:vertAlign w:val="superscript"/>
              </w:rPr>
              <w:t>(3)(4)</w:t>
            </w:r>
          </w:p>
        </w:tc>
        <w:tc>
          <w:tcPr>
            <w:tcW w:w="2740" w:type="dxa"/>
            <w:vAlign w:val="bottom"/>
            <w:shd w:val="clear" w:color="auto" w:fill="F1F2F2"/>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6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N/A</w:t>
            </w:r>
          </w:p>
        </w:tc>
        <w:tc>
          <w:tcPr>
            <w:tcW w:w="1300" w:type="dxa"/>
            <w:vAlign w:val="bottom"/>
            <w:shd w:val="clear" w:color="auto" w:fill="F1F2F2"/>
          </w:tcPr>
          <w:p>
            <w:pPr>
              <w:jc w:val="right"/>
              <w:ind w:right="75"/>
              <w:spacing w:after="0"/>
              <w:rPr>
                <w:sz w:val="20"/>
                <w:szCs w:val="20"/>
                <w:color w:val="auto"/>
              </w:rPr>
            </w:pPr>
            <w:r>
              <w:rPr>
                <w:rFonts w:ascii="Arial" w:cs="Arial" w:eastAsia="Arial" w:hAnsi="Arial"/>
                <w:sz w:val="13"/>
                <w:szCs w:val="13"/>
                <w:color w:val="auto"/>
              </w:rPr>
              <w:t>N/A</w:t>
            </w:r>
          </w:p>
        </w:tc>
        <w:tc>
          <w:tcPr>
            <w:tcW w:w="1340" w:type="dxa"/>
            <w:vAlign w:val="bottom"/>
            <w:shd w:val="clear" w:color="auto" w:fill="F1F2F2"/>
          </w:tcPr>
          <w:p>
            <w:pPr>
              <w:jc w:val="right"/>
              <w:ind w:right="95"/>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F1F2F2"/>
            </w:tcBorders>
            <w:shd w:val="clear" w:color="auto" w:fill="F1F2F2"/>
          </w:tcPr>
          <w:p>
            <w:pPr>
              <w:spacing w:after="0"/>
              <w:rPr>
                <w:sz w:val="15"/>
                <w:szCs w:val="15"/>
                <w:color w:val="auto"/>
              </w:rPr>
            </w:pPr>
          </w:p>
        </w:tc>
        <w:tc>
          <w:tcPr>
            <w:tcW w:w="274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60" w:type="dxa"/>
            <w:vAlign w:val="bottom"/>
            <w:tcBorders>
              <w:bottom w:val="single" w:sz="8" w:color="F1F2F2"/>
            </w:tcBorders>
            <w:shd w:val="clear" w:color="auto" w:fill="F1F2F2"/>
          </w:tcPr>
          <w:p>
            <w:pPr>
              <w:jc w:val="right"/>
              <w:ind w:right="15"/>
              <w:spacing w:after="0"/>
              <w:rPr>
                <w:sz w:val="20"/>
                <w:szCs w:val="20"/>
                <w:color w:val="auto"/>
              </w:rPr>
            </w:pPr>
            <w:r>
              <w:rPr>
                <w:rFonts w:ascii="Arial" w:cs="Arial" w:eastAsia="Arial" w:hAnsi="Arial"/>
                <w:sz w:val="13"/>
                <w:szCs w:val="13"/>
                <w:color w:val="auto"/>
              </w:rPr>
              <w:t>N/A</w:t>
            </w:r>
          </w:p>
        </w:tc>
        <w:tc>
          <w:tcPr>
            <w:tcW w:w="1300" w:type="dxa"/>
            <w:vAlign w:val="bottom"/>
            <w:tcBorders>
              <w:bottom w:val="single" w:sz="8" w:color="F1F2F2"/>
            </w:tcBorders>
            <w:shd w:val="clear" w:color="auto" w:fill="F1F2F2"/>
          </w:tcPr>
          <w:p>
            <w:pPr>
              <w:jc w:val="right"/>
              <w:ind w:right="75"/>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F1F2F2"/>
            </w:tcBorders>
            <w:shd w:val="clear" w:color="auto" w:fill="F1F2F2"/>
          </w:tcPr>
          <w:p>
            <w:pPr>
              <w:jc w:val="right"/>
              <w:ind w:right="95"/>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12"/>
        </w:trPr>
        <w:tc>
          <w:tcPr>
            <w:tcW w:w="1860" w:type="dxa"/>
            <w:vAlign w:val="bottom"/>
          </w:tcPr>
          <w:p>
            <w:pPr>
              <w:ind w:left="100"/>
              <w:spacing w:after="0"/>
              <w:rPr>
                <w:sz w:val="20"/>
                <w:szCs w:val="20"/>
                <w:color w:val="auto"/>
              </w:rPr>
            </w:pPr>
            <w:r>
              <w:rPr>
                <w:rFonts w:ascii="Arial" w:cs="Arial" w:eastAsia="Arial" w:hAnsi="Arial"/>
                <w:sz w:val="13"/>
                <w:szCs w:val="13"/>
                <w:color w:val="auto"/>
              </w:rPr>
              <w:t>Daniel M. Sessa</w:t>
            </w:r>
            <w:r>
              <w:rPr>
                <w:rFonts w:ascii="Arial" w:cs="Arial" w:eastAsia="Arial" w:hAnsi="Arial"/>
                <w:sz w:val="16"/>
                <w:szCs w:val="16"/>
                <w:color w:val="auto"/>
                <w:vertAlign w:val="superscript"/>
              </w:rPr>
              <w:t>(4)</w:t>
            </w:r>
          </w:p>
        </w:tc>
        <w:tc>
          <w:tcPr>
            <w:tcW w:w="2740" w:type="dxa"/>
            <w:vAlign w:val="bottom"/>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1,722</w:t>
            </w: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27,983</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2740" w:type="dxa"/>
            <w:vAlign w:val="bottom"/>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Pr>
          <w:p>
            <w:pPr>
              <w:jc w:val="right"/>
              <w:spacing w:after="0"/>
              <w:rPr>
                <w:sz w:val="20"/>
                <w:szCs w:val="20"/>
                <w:color w:val="auto"/>
              </w:rPr>
            </w:pPr>
            <w:r>
              <w:rPr>
                <w:rFonts w:ascii="Arial" w:cs="Arial" w:eastAsia="Arial" w:hAnsi="Arial"/>
                <w:sz w:val="13"/>
                <w:szCs w:val="13"/>
                <w:color w:val="auto"/>
              </w:rPr>
              <w:t>N/A</w:t>
            </w: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N/A</w:t>
            </w: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N/A</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John D. Torres</w:t>
            </w:r>
            <w:r>
              <w:rPr>
                <w:rFonts w:ascii="Arial" w:cs="Arial" w:eastAsia="Arial" w:hAnsi="Arial"/>
                <w:sz w:val="16"/>
                <w:szCs w:val="16"/>
                <w:color w:val="auto"/>
                <w:vertAlign w:val="superscript"/>
              </w:rPr>
              <w:t>(3)(4)</w:t>
            </w:r>
          </w:p>
        </w:tc>
        <w:tc>
          <w:tcPr>
            <w:tcW w:w="2740" w:type="dxa"/>
            <w:vAlign w:val="bottom"/>
            <w:shd w:val="clear" w:color="auto" w:fill="F1F2F2"/>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6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N/A</w:t>
            </w:r>
          </w:p>
        </w:tc>
        <w:tc>
          <w:tcPr>
            <w:tcW w:w="1300" w:type="dxa"/>
            <w:vAlign w:val="bottom"/>
            <w:shd w:val="clear" w:color="auto" w:fill="F1F2F2"/>
          </w:tcPr>
          <w:p>
            <w:pPr>
              <w:jc w:val="right"/>
              <w:ind w:right="75"/>
              <w:spacing w:after="0"/>
              <w:rPr>
                <w:sz w:val="20"/>
                <w:szCs w:val="20"/>
                <w:color w:val="auto"/>
              </w:rPr>
            </w:pPr>
            <w:r>
              <w:rPr>
                <w:rFonts w:ascii="Arial" w:cs="Arial" w:eastAsia="Arial" w:hAnsi="Arial"/>
                <w:sz w:val="13"/>
                <w:szCs w:val="13"/>
                <w:color w:val="auto"/>
              </w:rPr>
              <w:t>N/A</w:t>
            </w:r>
          </w:p>
        </w:tc>
        <w:tc>
          <w:tcPr>
            <w:tcW w:w="1340" w:type="dxa"/>
            <w:vAlign w:val="bottom"/>
            <w:shd w:val="clear" w:color="auto" w:fill="F1F2F2"/>
          </w:tcPr>
          <w:p>
            <w:pPr>
              <w:jc w:val="right"/>
              <w:ind w:right="95"/>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5"/>
        </w:trPr>
        <w:tc>
          <w:tcPr>
            <w:tcW w:w="1860" w:type="dxa"/>
            <w:vAlign w:val="bottom"/>
            <w:shd w:val="clear" w:color="auto" w:fill="F1F2F2"/>
          </w:tcPr>
          <w:p>
            <w:pPr>
              <w:spacing w:after="0"/>
              <w:rPr>
                <w:sz w:val="15"/>
                <w:szCs w:val="15"/>
                <w:color w:val="auto"/>
              </w:rPr>
            </w:pPr>
          </w:p>
        </w:tc>
        <w:tc>
          <w:tcPr>
            <w:tcW w:w="2740" w:type="dxa"/>
            <w:vAlign w:val="bottom"/>
            <w:shd w:val="clear" w:color="auto" w:fill="F1F2F2"/>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60" w:type="dxa"/>
            <w:vAlign w:val="bottom"/>
            <w:shd w:val="clear" w:color="auto" w:fill="F1F2F2"/>
          </w:tcPr>
          <w:p>
            <w:pPr>
              <w:jc w:val="right"/>
              <w:ind w:right="15"/>
              <w:spacing w:after="0"/>
              <w:rPr>
                <w:sz w:val="20"/>
                <w:szCs w:val="20"/>
                <w:color w:val="auto"/>
              </w:rPr>
            </w:pPr>
            <w:r>
              <w:rPr>
                <w:rFonts w:ascii="Arial" w:cs="Arial" w:eastAsia="Arial" w:hAnsi="Arial"/>
                <w:sz w:val="13"/>
                <w:szCs w:val="13"/>
                <w:color w:val="auto"/>
              </w:rPr>
              <w:t>N/A</w:t>
            </w:r>
          </w:p>
        </w:tc>
        <w:tc>
          <w:tcPr>
            <w:tcW w:w="1300" w:type="dxa"/>
            <w:vAlign w:val="bottom"/>
            <w:shd w:val="clear" w:color="auto" w:fill="F1F2F2"/>
          </w:tcPr>
          <w:p>
            <w:pPr>
              <w:jc w:val="right"/>
              <w:ind w:right="75"/>
              <w:spacing w:after="0"/>
              <w:rPr>
                <w:sz w:val="20"/>
                <w:szCs w:val="20"/>
                <w:color w:val="auto"/>
              </w:rPr>
            </w:pPr>
            <w:r>
              <w:rPr>
                <w:rFonts w:ascii="Arial" w:cs="Arial" w:eastAsia="Arial" w:hAnsi="Arial"/>
                <w:sz w:val="13"/>
                <w:szCs w:val="13"/>
                <w:color w:val="auto"/>
              </w:rPr>
              <w:t>N/A</w:t>
            </w:r>
          </w:p>
        </w:tc>
        <w:tc>
          <w:tcPr>
            <w:tcW w:w="1340" w:type="dxa"/>
            <w:vAlign w:val="bottom"/>
            <w:shd w:val="clear" w:color="auto" w:fill="F1F2F2"/>
          </w:tcPr>
          <w:p>
            <w:pPr>
              <w:jc w:val="right"/>
              <w:ind w:right="95"/>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8"/>
        </w:trPr>
        <w:tc>
          <w:tcPr>
            <w:tcW w:w="1860" w:type="dxa"/>
            <w:vAlign w:val="bottom"/>
            <w:shd w:val="clear" w:color="auto" w:fill="F1F2F2"/>
          </w:tcPr>
          <w:p>
            <w:pPr>
              <w:spacing w:after="0"/>
              <w:rPr>
                <w:sz w:val="2"/>
                <w:szCs w:val="2"/>
                <w:color w:val="auto"/>
              </w:rPr>
            </w:pPr>
          </w:p>
        </w:tc>
        <w:tc>
          <w:tcPr>
            <w:tcW w:w="2740" w:type="dxa"/>
            <w:vAlign w:val="bottom"/>
            <w:shd w:val="clear" w:color="auto" w:fill="F1F2F2"/>
          </w:tcPr>
          <w:p>
            <w:pPr>
              <w:spacing w:after="0"/>
              <w:rPr>
                <w:sz w:val="2"/>
                <w:szCs w:val="2"/>
                <w:color w:val="auto"/>
              </w:rPr>
            </w:pPr>
          </w:p>
        </w:tc>
        <w:tc>
          <w:tcPr>
            <w:tcW w:w="1500" w:type="dxa"/>
            <w:vAlign w:val="bottom"/>
            <w:shd w:val="clear" w:color="auto" w:fill="F1F2F2"/>
          </w:tcPr>
          <w:p>
            <w:pPr>
              <w:spacing w:after="0"/>
              <w:rPr>
                <w:sz w:val="2"/>
                <w:szCs w:val="2"/>
                <w:color w:val="auto"/>
              </w:rPr>
            </w:pPr>
          </w:p>
        </w:tc>
        <w:tc>
          <w:tcPr>
            <w:tcW w:w="1240" w:type="dxa"/>
            <w:vAlign w:val="bottom"/>
            <w:shd w:val="clear" w:color="auto" w:fill="F1F2F2"/>
          </w:tcPr>
          <w:p>
            <w:pPr>
              <w:spacing w:after="0"/>
              <w:rPr>
                <w:sz w:val="2"/>
                <w:szCs w:val="2"/>
                <w:color w:val="auto"/>
              </w:rPr>
            </w:pPr>
          </w:p>
        </w:tc>
        <w:tc>
          <w:tcPr>
            <w:tcW w:w="1260" w:type="dxa"/>
            <w:vAlign w:val="bottom"/>
            <w:shd w:val="clear" w:color="auto" w:fill="F1F2F2"/>
          </w:tcPr>
          <w:p>
            <w:pPr>
              <w:spacing w:after="0"/>
              <w:rPr>
                <w:sz w:val="2"/>
                <w:szCs w:val="2"/>
                <w:color w:val="auto"/>
              </w:rPr>
            </w:pPr>
          </w:p>
        </w:tc>
        <w:tc>
          <w:tcPr>
            <w:tcW w:w="1300" w:type="dxa"/>
            <w:vAlign w:val="bottom"/>
            <w:shd w:val="clear" w:color="auto" w:fill="F1F2F2"/>
          </w:tcPr>
          <w:p>
            <w:pPr>
              <w:spacing w:after="0"/>
              <w:rPr>
                <w:sz w:val="2"/>
                <w:szCs w:val="2"/>
                <w:color w:val="auto"/>
              </w:rPr>
            </w:pPr>
          </w:p>
        </w:tc>
        <w:tc>
          <w:tcPr>
            <w:tcW w:w="1340" w:type="dxa"/>
            <w:vAlign w:val="bottom"/>
            <w:shd w:val="clear" w:color="auto" w:fill="F1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listed in this column were reported as compensation for the last fiscal year in the “All Other Compensation” column of the 2024 Summary Compensation Table.</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No amounts listed in the Aggregate Earnings column were reported in the 2024 Summary Compensation Table.</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Messrs. Maskara, Quenzer, Bedard, and Torres were not eligible to participate in the Profit Sharing Restoration Plan prior to the plan being frozen in 2009.</w:t>
      </w:r>
    </w:p>
    <w:p>
      <w:pPr>
        <w:spacing w:after="0" w:line="122" w:lineRule="exact"/>
        <w:rPr>
          <w:rFonts w:ascii="Arial" w:cs="Arial" w:eastAsia="Arial" w:hAnsi="Arial"/>
          <w:sz w:val="14"/>
          <w:szCs w:val="14"/>
          <w:color w:val="auto"/>
        </w:rPr>
      </w:pPr>
    </w:p>
    <w:p>
      <w:pPr>
        <w:ind w:left="340" w:right="440" w:hanging="332"/>
        <w:spacing w:after="0" w:line="305" w:lineRule="auto"/>
        <w:tabs>
          <w:tab w:leader="none" w:pos="327" w:val="left"/>
        </w:tabs>
        <w:numPr>
          <w:ilvl w:val="0"/>
          <w:numId w:val="80"/>
        </w:numPr>
        <w:rPr>
          <w:rFonts w:ascii="Arial" w:cs="Arial" w:eastAsia="Arial" w:hAnsi="Arial"/>
          <w:sz w:val="14"/>
          <w:szCs w:val="14"/>
          <w:color w:val="auto"/>
        </w:rPr>
      </w:pPr>
      <w:r>
        <w:rPr>
          <w:rFonts w:ascii="Arial" w:cs="Arial" w:eastAsia="Arial" w:hAnsi="Arial"/>
          <w:sz w:val="14"/>
          <w:szCs w:val="14"/>
          <w:color w:val="auto"/>
        </w:rPr>
        <w:t>Messrs. Bedard, Sessa, and Torres are not eligible to participate in the Defined Contribution Supplemental Restoration Retirement Plan since they became executive officers before January 1, 2019.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1" w:name="page62"/>
    <w:bookmarkEnd w:id="61"/>
    <w:p>
      <w:pPr>
        <w:ind w:right="2540" w:firstLine="2570"/>
        <w:spacing w:after="0" w:line="343" w:lineRule="auto"/>
        <w:rPr>
          <w:sz w:val="20"/>
          <w:szCs w:val="20"/>
          <w:color w:val="auto"/>
        </w:rPr>
      </w:pPr>
      <w:r>
        <w:rPr>
          <w:rFonts w:ascii="Arial" w:cs="Arial" w:eastAsia="Arial" w:hAnsi="Arial"/>
          <w:sz w:val="22"/>
          <w:szCs w:val="22"/>
          <w:b w:val="1"/>
          <w:bCs w:val="1"/>
          <w:color w:val="C60C35"/>
        </w:rPr>
        <w:t>Potential Payments Upon Termination or Change in Control Employment Agreements and Change in Control Severance Plan</w:t>
      </w:r>
    </w:p>
    <w:p>
      <w:pPr>
        <w:spacing w:after="0" w:line="2"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The Company generally provides employment agreements to our NEOs. These agreements serve as the basis for the payments and benefits to which each NEO would be entitled in the event of termination of employment not connected to a CIC transaction with our Company. In the event of termination in connection with a CIC, payments to NEOs are subject to our change-in-control severance plan (the “CIC Severance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Employment Agreements</w:t>
      </w:r>
    </w:p>
    <w:p>
      <w:pPr>
        <w:spacing w:after="0" w:line="156"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The employment agreements with our NEOs establish the basis of compensation and responsibilities for each NEO and contain post-employment covenants, including non-competition of employment (for employments entered into after 2007) and non-solicitation of employees and customers for a period of 24 months following termination of employment. On January 1 of each year, the agreements automatically renew for an additional year, unless either party notifies the other in writing at least 30 days prior to such date of its decision not to renew the agreement. Except as otherwise provided below, the terms and conditions of our employment agreement with each NEO are substantially similar.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Change in Control Severance Plan</w:t>
      </w:r>
    </w:p>
    <w:p>
      <w:pPr>
        <w:spacing w:after="0" w:line="156"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In 2022, the Company terminated all existing change-in-control agreements (“CIC Employment Agreements”) for its NEOs and adopted the CIC Severance Plan. As described below, severance benefits and equity vesting are both tied to “double trigger.” The CIC Severance Plan does not provide for any excise tax gross-ups.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Voluntary Termination or Upon For Cause Termination</w:t>
      </w:r>
    </w:p>
    <w:p>
      <w:pPr>
        <w:spacing w:after="0" w:line="17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If an NEO voluntarily terminates his employment with our Company or we terminate an NEO for cause, he will be entitled to receive base salary through the last day of employment and a lump-sum payment equal to unused, accrued vacation days. Unvested SARs, RSUs, and PSUs terminate on the NEO’s last day of employment. Vested SARs will be exercisable for 90 days after the last day of employment if the NEO voluntarily terminates his employment.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Retirement</w:t>
      </w:r>
    </w:p>
    <w:p>
      <w:pPr>
        <w:spacing w:after="0" w:line="158" w:lineRule="exact"/>
        <w:rPr>
          <w:sz w:val="20"/>
          <w:szCs w:val="20"/>
          <w:color w:val="auto"/>
        </w:rPr>
      </w:pPr>
    </w:p>
    <w:p>
      <w:pPr>
        <w:jc w:val="both"/>
        <w:ind w:right="100" w:firstLine="324"/>
        <w:spacing w:after="0" w:line="261" w:lineRule="auto"/>
        <w:rPr>
          <w:sz w:val="20"/>
          <w:szCs w:val="20"/>
          <w:color w:val="auto"/>
        </w:rPr>
      </w:pPr>
      <w:r>
        <w:rPr>
          <w:rFonts w:ascii="Arial" w:cs="Arial" w:eastAsia="Arial" w:hAnsi="Arial"/>
          <w:sz w:val="18"/>
          <w:szCs w:val="18"/>
          <w:color w:val="auto"/>
        </w:rPr>
        <w:t>If an NEO retires, he is entitled to receive his base salary through the last day of employment, a payment under our short-term incentive program based on company performance (prorated through the NEO’s last day of employment) and a lump-sum payment equal to unused, accrued vacation days. In addition, with respect to long-term incentive awards:</w:t>
      </w:r>
    </w:p>
    <w:p>
      <w:pPr>
        <w:spacing w:after="0" w:line="108" w:lineRule="exact"/>
        <w:rPr>
          <w:sz w:val="20"/>
          <w:szCs w:val="20"/>
          <w:color w:val="auto"/>
        </w:rPr>
      </w:pPr>
    </w:p>
    <w:p>
      <w:pPr>
        <w:ind w:left="660" w:right="180" w:hanging="328"/>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unvested SARs terminate on the NEO’s last day of employment and vested SARs remain exercisable for the remainder of the term of the award;</w:t>
      </w:r>
    </w:p>
    <w:p>
      <w:pPr>
        <w:spacing w:after="0" w:line="85"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RSUs, the NEO receives a prorated portion of shares based on the date of retirement at the end of the applicable vesting period; and</w:t>
      </w:r>
    </w:p>
    <w:p>
      <w:pPr>
        <w:spacing w:after="0" w:line="113"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PSUs, the NEO receives, to the extent earned based on achievement of specific performance measures, a prorated portion of shares based on the date of retirement at the end of the applicable performance period.</w:t>
      </w:r>
    </w:p>
    <w:p>
      <w:pPr>
        <w:spacing w:after="0" w:line="10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NEOs are eligible for retirement treatment for their long-term incentive awards if (i) they are at least age 65; (ii) they are at least age 62 and have 10 years of service; or (iii) if age plus years of service total 80. At December 31, 2024, Messrs. Bedard and Torres were eligible for retirement treatment for their long-term incentive awards.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Involuntary or Not for Cause Termination</w:t>
      </w:r>
    </w:p>
    <w:p>
      <w:pPr>
        <w:spacing w:after="0" w:line="171"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If we terminate an NEO prior to the expiration of his employment agreement (including non-renewal of the NEO’s agreement) for any reason other than for cause, the NEO is generally entitled to receive “normal severance compensation” or, in the NEO’s sole discretion, “enhanced severance benefits.” Under both severance packages:</w:t>
      </w:r>
    </w:p>
    <w:p>
      <w:pPr>
        <w:spacing w:after="0" w:line="128"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vested SARs continue to be exercisable for 90 days following the NEO’s last day of employment;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unvested equity awards (SARs, RSUs, and PSUs) terminate on the NEO’s last day of employment.</w:t>
      </w:r>
    </w:p>
    <w:p>
      <w:pPr>
        <w:spacing w:after="0" w:line="158"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i w:val="1"/>
          <w:iCs w:val="1"/>
          <w:u w:val="single" w:color="auto"/>
          <w:color w:val="auto"/>
        </w:rPr>
        <w:t>Normal Severance Compensation</w:t>
      </w:r>
      <w:r>
        <w:rPr>
          <w:rFonts w:ascii="Arial" w:cs="Arial" w:eastAsia="Arial" w:hAnsi="Arial"/>
          <w:sz w:val="18"/>
          <w:szCs w:val="18"/>
          <w:color w:val="auto"/>
        </w:rPr>
        <w:t>. If the NEO elects to receive “normal severance compensation,” he will receive monthly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greater of (1) his monthly base salary for the remainder of the employment</w:t>
      </w:r>
    </w:p>
    <w:p>
      <w:pPr>
        <w:sectPr>
          <w:pgSz w:w="11900" w:h="16838" w:orient="portrait"/>
          <w:cols w:equalWidth="0" w:num="1">
            <w:col w:w="11220"/>
          </w:cols>
          <w:pgMar w:left="320" w:top="881" w:right="359" w:bottom="1440" w:gutter="0" w:footer="0" w:header="0"/>
        </w:sect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62" w:name="page63"/>
    <w:bookmarkEnd w:id="62"/>
    <w:p>
      <w:pPr>
        <w:spacing w:after="0" w:line="271" w:lineRule="auto"/>
        <w:rPr>
          <w:sz w:val="20"/>
          <w:szCs w:val="20"/>
          <w:color w:val="auto"/>
        </w:rPr>
      </w:pPr>
      <w:r>
        <w:rPr>
          <w:rFonts w:ascii="Arial" w:cs="Arial" w:eastAsia="Arial" w:hAnsi="Arial"/>
          <w:sz w:val="18"/>
          <w:szCs w:val="18"/>
          <w:color w:val="auto"/>
        </w:rPr>
        <w:t>agreement’s term, or (2) three months of his monthly base salary in addition to any other compensation or benefits applicable to an employee at the NEO’s level, including a lump-sum payment equal to unused, accrued vacation days.</w:t>
      </w:r>
    </w:p>
    <w:p>
      <w:pPr>
        <w:spacing w:after="0" w:line="11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i w:val="1"/>
          <w:iCs w:val="1"/>
          <w:u w:val="single" w:color="auto"/>
          <w:color w:val="auto"/>
        </w:rPr>
        <w:t>Enhanced Severance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NEO agrees to execute a written general release of any and all possible claims against us existing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termination, we will provide the employee with “enhanced severance benefits.” Payments provided under this severance arrangement, which are dependent on years of service with our Company, generally include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Component</w:t>
            </w:r>
          </w:p>
        </w:tc>
        <w:tc>
          <w:tcPr>
            <w:tcW w:w="4120" w:type="dxa"/>
            <w:vAlign w:val="bottom"/>
            <w:shd w:val="clear" w:color="auto" w:fill="C60C35"/>
          </w:tcPr>
          <w:p>
            <w:pPr>
              <w:ind w:left="160"/>
              <w:spacing w:after="0"/>
              <w:rPr>
                <w:sz w:val="20"/>
                <w:szCs w:val="20"/>
                <w:color w:val="auto"/>
              </w:rPr>
            </w:pPr>
            <w:r>
              <w:rPr>
                <w:rFonts w:ascii="Arial" w:cs="Arial" w:eastAsia="Arial" w:hAnsi="Arial"/>
                <w:sz w:val="14"/>
                <w:szCs w:val="14"/>
                <w:b w:val="1"/>
                <w:bCs w:val="1"/>
                <w:color w:val="FFFFFF"/>
              </w:rPr>
              <w:t>Less than Three Years of Service</w:t>
            </w:r>
          </w:p>
        </w:tc>
        <w:tc>
          <w:tcPr>
            <w:tcW w:w="36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Three or More Years of Service</w:t>
            </w:r>
          </w:p>
        </w:tc>
      </w:tr>
      <w:tr>
        <w:trPr>
          <w:trHeight w:val="67"/>
        </w:trPr>
        <w:tc>
          <w:tcPr>
            <w:tcW w:w="3500" w:type="dxa"/>
            <w:vAlign w:val="bottom"/>
            <w:shd w:val="clear" w:color="auto" w:fill="C60C35"/>
          </w:tcPr>
          <w:p>
            <w:pPr>
              <w:spacing w:after="0"/>
              <w:rPr>
                <w:sz w:val="5"/>
                <w:szCs w:val="5"/>
                <w:color w:val="auto"/>
              </w:rPr>
            </w:pPr>
          </w:p>
        </w:tc>
        <w:tc>
          <w:tcPr>
            <w:tcW w:w="4120" w:type="dxa"/>
            <w:vAlign w:val="bottom"/>
            <w:shd w:val="clear" w:color="auto" w:fill="C60C35"/>
          </w:tcPr>
          <w:p>
            <w:pPr>
              <w:spacing w:after="0"/>
              <w:rPr>
                <w:sz w:val="5"/>
                <w:szCs w:val="5"/>
                <w:color w:val="auto"/>
              </w:rPr>
            </w:pPr>
          </w:p>
        </w:tc>
        <w:tc>
          <w:tcPr>
            <w:tcW w:w="3620" w:type="dxa"/>
            <w:vAlign w:val="bottom"/>
            <w:shd w:val="clear" w:color="auto" w:fill="C60C35"/>
          </w:tcPr>
          <w:p>
            <w:pPr>
              <w:spacing w:after="0"/>
              <w:rPr>
                <w:sz w:val="5"/>
                <w:szCs w:val="5"/>
                <w:color w:val="auto"/>
              </w:rPr>
            </w:pPr>
          </w:p>
        </w:tc>
      </w:tr>
      <w:tr>
        <w:trPr>
          <w:trHeight w:val="263"/>
        </w:trPr>
        <w:tc>
          <w:tcPr>
            <w:tcW w:w="35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Base Salary</w:t>
            </w:r>
          </w:p>
        </w:tc>
        <w:tc>
          <w:tcPr>
            <w:tcW w:w="412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One year of base salary</w:t>
            </w:r>
          </w:p>
        </w:tc>
        <w:tc>
          <w:tcPr>
            <w:tcW w:w="36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Two years of base salary</w:t>
            </w:r>
          </w:p>
        </w:tc>
      </w:tr>
      <w:tr>
        <w:trPr>
          <w:trHeight w:val="234"/>
        </w:trPr>
        <w:tc>
          <w:tcPr>
            <w:tcW w:w="3500" w:type="dxa"/>
            <w:vAlign w:val="bottom"/>
          </w:tcPr>
          <w:p>
            <w:pPr>
              <w:ind w:left="100"/>
              <w:spacing w:after="0"/>
              <w:rPr>
                <w:sz w:val="20"/>
                <w:szCs w:val="20"/>
                <w:color w:val="auto"/>
              </w:rPr>
            </w:pPr>
            <w:r>
              <w:rPr>
                <w:rFonts w:ascii="Arial" w:cs="Arial" w:eastAsia="Arial" w:hAnsi="Arial"/>
                <w:sz w:val="14"/>
                <w:szCs w:val="14"/>
                <w:color w:val="auto"/>
              </w:rPr>
              <w:t>Short-Term Incentive</w:t>
            </w:r>
          </w:p>
        </w:tc>
        <w:tc>
          <w:tcPr>
            <w:tcW w:w="4120" w:type="dxa"/>
            <w:vAlign w:val="bottom"/>
          </w:tcPr>
          <w:p>
            <w:pPr>
              <w:ind w:left="160"/>
              <w:spacing w:after="0"/>
              <w:rPr>
                <w:sz w:val="20"/>
                <w:szCs w:val="20"/>
                <w:color w:val="auto"/>
              </w:rPr>
            </w:pPr>
            <w:r>
              <w:rPr>
                <w:rFonts w:ascii="Arial" w:cs="Arial" w:eastAsia="Arial" w:hAnsi="Arial"/>
                <w:sz w:val="14"/>
                <w:szCs w:val="14"/>
                <w:color w:val="auto"/>
              </w:rPr>
              <w:t>Lump-sum payment equal to all payments under our STI</w:t>
            </w:r>
          </w:p>
        </w:tc>
        <w:tc>
          <w:tcPr>
            <w:tcW w:w="3620" w:type="dxa"/>
            <w:vAlign w:val="bottom"/>
          </w:tcPr>
          <w:p>
            <w:pPr>
              <w:ind w:left="100"/>
              <w:spacing w:after="0"/>
              <w:rPr>
                <w:sz w:val="20"/>
                <w:szCs w:val="20"/>
                <w:color w:val="auto"/>
              </w:rPr>
            </w:pPr>
            <w:r>
              <w:rPr>
                <w:rFonts w:ascii="Arial" w:cs="Arial" w:eastAsia="Arial" w:hAnsi="Arial"/>
                <w:sz w:val="14"/>
                <w:szCs w:val="14"/>
                <w:color w:val="auto"/>
              </w:rPr>
              <w:t>Lump-sum payment equal to all payments under our</w:t>
            </w:r>
          </w:p>
        </w:tc>
      </w:tr>
      <w:tr>
        <w:trPr>
          <w:trHeight w:val="176"/>
        </w:trPr>
        <w:tc>
          <w:tcPr>
            <w:tcW w:w="3500" w:type="dxa"/>
            <w:vAlign w:val="bottom"/>
          </w:tcPr>
          <w:p>
            <w:pPr>
              <w:spacing w:after="0"/>
              <w:rPr>
                <w:sz w:val="15"/>
                <w:szCs w:val="15"/>
                <w:color w:val="auto"/>
              </w:rPr>
            </w:pPr>
          </w:p>
        </w:tc>
        <w:tc>
          <w:tcPr>
            <w:tcW w:w="4120" w:type="dxa"/>
            <w:vAlign w:val="bottom"/>
          </w:tcPr>
          <w:p>
            <w:pPr>
              <w:ind w:left="160"/>
              <w:spacing w:after="0"/>
              <w:rPr>
                <w:sz w:val="20"/>
                <w:szCs w:val="20"/>
                <w:color w:val="auto"/>
              </w:rPr>
            </w:pPr>
            <w:r>
              <w:rPr>
                <w:rFonts w:ascii="Arial" w:cs="Arial" w:eastAsia="Arial" w:hAnsi="Arial"/>
                <w:sz w:val="14"/>
                <w:szCs w:val="14"/>
                <w:color w:val="auto"/>
              </w:rPr>
              <w:t>programs received by the NEO in the previous 12 months</w:t>
            </w:r>
          </w:p>
        </w:tc>
        <w:tc>
          <w:tcPr>
            <w:tcW w:w="3620" w:type="dxa"/>
            <w:vAlign w:val="bottom"/>
          </w:tcPr>
          <w:p>
            <w:pPr>
              <w:ind w:left="100"/>
              <w:spacing w:after="0"/>
              <w:rPr>
                <w:sz w:val="20"/>
                <w:szCs w:val="20"/>
                <w:color w:val="auto"/>
              </w:rPr>
            </w:pPr>
            <w:r>
              <w:rPr>
                <w:rFonts w:ascii="Arial" w:cs="Arial" w:eastAsia="Arial" w:hAnsi="Arial"/>
                <w:sz w:val="14"/>
                <w:szCs w:val="14"/>
                <w:color w:val="auto"/>
              </w:rPr>
              <w:t>STI programs received by the NEO in the previous</w:t>
            </w:r>
          </w:p>
        </w:tc>
      </w:tr>
      <w:tr>
        <w:trPr>
          <w:trHeight w:val="190"/>
        </w:trPr>
        <w:tc>
          <w:tcPr>
            <w:tcW w:w="35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24 months</w:t>
            </w:r>
          </w:p>
        </w:tc>
      </w:tr>
      <w:tr>
        <w:trPr>
          <w:trHeight w:val="22"/>
        </w:trPr>
        <w:tc>
          <w:tcPr>
            <w:tcW w:w="3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64"/>
        </w:trPr>
        <w:tc>
          <w:tcPr>
            <w:tcW w:w="35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Payment in Lieu of Outplacement Services</w:t>
            </w:r>
          </w:p>
        </w:tc>
        <w:tc>
          <w:tcPr>
            <w:tcW w:w="412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Lump-sum payment equal to 10% of base salary</w:t>
            </w:r>
          </w:p>
        </w:tc>
        <w:tc>
          <w:tcPr>
            <w:tcW w:w="36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Same</w:t>
            </w:r>
          </w:p>
        </w:tc>
      </w:tr>
      <w:tr>
        <w:trPr>
          <w:trHeight w:val="262"/>
        </w:trPr>
        <w:tc>
          <w:tcPr>
            <w:tcW w:w="3500" w:type="dxa"/>
            <w:vAlign w:val="bottom"/>
          </w:tcPr>
          <w:p>
            <w:pPr>
              <w:ind w:left="100"/>
              <w:spacing w:after="0"/>
              <w:rPr>
                <w:sz w:val="20"/>
                <w:szCs w:val="20"/>
                <w:color w:val="auto"/>
              </w:rPr>
            </w:pPr>
            <w:r>
              <w:rPr>
                <w:rFonts w:ascii="Arial" w:cs="Arial" w:eastAsia="Arial" w:hAnsi="Arial"/>
                <w:sz w:val="14"/>
                <w:szCs w:val="14"/>
                <w:color w:val="auto"/>
              </w:rPr>
              <w:t>Payment in Lieu of Perquisites</w:t>
            </w:r>
          </w:p>
        </w:tc>
        <w:tc>
          <w:tcPr>
            <w:tcW w:w="4120" w:type="dxa"/>
            <w:vAlign w:val="bottom"/>
          </w:tcPr>
          <w:p>
            <w:pPr>
              <w:ind w:left="160"/>
              <w:spacing w:after="0"/>
              <w:rPr>
                <w:sz w:val="20"/>
                <w:szCs w:val="20"/>
                <w:color w:val="auto"/>
              </w:rPr>
            </w:pPr>
            <w:r>
              <w:rPr>
                <w:rFonts w:ascii="Arial" w:cs="Arial" w:eastAsia="Arial" w:hAnsi="Arial"/>
                <w:sz w:val="14"/>
                <w:szCs w:val="14"/>
                <w:color w:val="auto"/>
              </w:rPr>
              <w:t>Lump-sum payment equal to 10% of base salary</w:t>
            </w:r>
          </w:p>
        </w:tc>
        <w:tc>
          <w:tcPr>
            <w:tcW w:w="3620" w:type="dxa"/>
            <w:vAlign w:val="bottom"/>
          </w:tcPr>
          <w:p>
            <w:pPr>
              <w:ind w:left="100"/>
              <w:spacing w:after="0"/>
              <w:rPr>
                <w:sz w:val="20"/>
                <w:szCs w:val="20"/>
                <w:color w:val="auto"/>
              </w:rPr>
            </w:pPr>
            <w:r>
              <w:rPr>
                <w:rFonts w:ascii="Arial" w:cs="Arial" w:eastAsia="Arial" w:hAnsi="Arial"/>
                <w:sz w:val="14"/>
                <w:szCs w:val="14"/>
                <w:color w:val="auto"/>
              </w:rPr>
              <w:t>Same</w:t>
            </w:r>
          </w:p>
        </w:tc>
      </w:tr>
      <w:tr>
        <w:trPr>
          <w:trHeight w:val="22"/>
        </w:trPr>
        <w:tc>
          <w:tcPr>
            <w:tcW w:w="3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4"/>
        </w:trPr>
        <w:tc>
          <w:tcPr>
            <w:tcW w:w="3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Post-Employment Health Care Coverage</w:t>
            </w: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Payment of COBRA premiums for up to 18 months while the</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Same</w:t>
            </w:r>
          </w:p>
        </w:tc>
      </w:tr>
      <w:tr>
        <w:trPr>
          <w:trHeight w:val="176"/>
        </w:trPr>
        <w:tc>
          <w:tcPr>
            <w:tcW w:w="3500" w:type="dxa"/>
            <w:vAlign w:val="bottom"/>
            <w:shd w:val="clear" w:color="auto" w:fill="F1F2F2"/>
          </w:tcPr>
          <w:p>
            <w:pPr>
              <w:spacing w:after="0"/>
              <w:rPr>
                <w:sz w:val="15"/>
                <w:szCs w:val="15"/>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NEO is unemployed and not eligible for other group health</w:t>
            </w:r>
          </w:p>
        </w:tc>
        <w:tc>
          <w:tcPr>
            <w:tcW w:w="3620" w:type="dxa"/>
            <w:vAlign w:val="bottom"/>
            <w:shd w:val="clear" w:color="auto" w:fill="F1F2F2"/>
          </w:tcPr>
          <w:p>
            <w:pPr>
              <w:spacing w:after="0"/>
              <w:rPr>
                <w:sz w:val="15"/>
                <w:szCs w:val="15"/>
                <w:color w:val="auto"/>
              </w:rPr>
            </w:pPr>
          </w:p>
        </w:tc>
      </w:tr>
      <w:tr>
        <w:trPr>
          <w:trHeight w:val="175"/>
        </w:trPr>
        <w:tc>
          <w:tcPr>
            <w:tcW w:w="3500" w:type="dxa"/>
            <w:vAlign w:val="bottom"/>
            <w:shd w:val="clear" w:color="auto" w:fill="F1F2F2"/>
          </w:tcPr>
          <w:p>
            <w:pPr>
              <w:spacing w:after="0"/>
              <w:rPr>
                <w:sz w:val="15"/>
                <w:szCs w:val="15"/>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coverage and payment of the equivalent of such premium for</w:t>
            </w:r>
          </w:p>
        </w:tc>
        <w:tc>
          <w:tcPr>
            <w:tcW w:w="3620" w:type="dxa"/>
            <w:vAlign w:val="bottom"/>
            <w:shd w:val="clear" w:color="auto" w:fill="F1F2F2"/>
          </w:tcPr>
          <w:p>
            <w:pPr>
              <w:spacing w:after="0"/>
              <w:rPr>
                <w:sz w:val="15"/>
                <w:szCs w:val="15"/>
                <w:color w:val="auto"/>
              </w:rPr>
            </w:pPr>
          </w:p>
        </w:tc>
      </w:tr>
      <w:tr>
        <w:trPr>
          <w:trHeight w:val="176"/>
        </w:trPr>
        <w:tc>
          <w:tcPr>
            <w:tcW w:w="3500" w:type="dxa"/>
            <w:vAlign w:val="bottom"/>
            <w:shd w:val="clear" w:color="auto" w:fill="F1F2F2"/>
          </w:tcPr>
          <w:p>
            <w:pPr>
              <w:spacing w:after="0"/>
              <w:rPr>
                <w:sz w:val="15"/>
                <w:szCs w:val="15"/>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up to an additional six months, should the NEO remain</w:t>
            </w:r>
          </w:p>
        </w:tc>
        <w:tc>
          <w:tcPr>
            <w:tcW w:w="3620" w:type="dxa"/>
            <w:vAlign w:val="bottom"/>
            <w:shd w:val="clear" w:color="auto" w:fill="F1F2F2"/>
          </w:tcPr>
          <w:p>
            <w:pPr>
              <w:spacing w:after="0"/>
              <w:rPr>
                <w:sz w:val="15"/>
                <w:szCs w:val="15"/>
                <w:color w:val="auto"/>
              </w:rPr>
            </w:pPr>
          </w:p>
        </w:tc>
      </w:tr>
      <w:tr>
        <w:trPr>
          <w:trHeight w:val="192"/>
        </w:trPr>
        <w:tc>
          <w:tcPr>
            <w:tcW w:w="3500" w:type="dxa"/>
            <w:vAlign w:val="bottom"/>
            <w:tcBorders>
              <w:bottom w:val="single" w:sz="8" w:color="F1F2F2"/>
            </w:tcBorders>
            <w:shd w:val="clear" w:color="auto" w:fill="F1F2F2"/>
          </w:tcPr>
          <w:p>
            <w:pPr>
              <w:spacing w:after="0"/>
              <w:rPr>
                <w:sz w:val="16"/>
                <w:szCs w:val="16"/>
                <w:color w:val="auto"/>
              </w:rPr>
            </w:pPr>
          </w:p>
        </w:tc>
        <w:tc>
          <w:tcPr>
            <w:tcW w:w="412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unemployed</w:t>
            </w:r>
          </w:p>
        </w:tc>
        <w:tc>
          <w:tcPr>
            <w:tcW w:w="3620" w:type="dxa"/>
            <w:vAlign w:val="bottom"/>
            <w:tcBorders>
              <w:bottom w:val="single" w:sz="8" w:color="F1F2F2"/>
            </w:tcBorders>
            <w:shd w:val="clear" w:color="auto" w:fill="F1F2F2"/>
          </w:tcPr>
          <w:p>
            <w:pPr>
              <w:spacing w:after="0"/>
              <w:rPr>
                <w:sz w:val="16"/>
                <w:szCs w:val="16"/>
                <w:color w:val="auto"/>
              </w:rPr>
            </w:pPr>
          </w:p>
        </w:tc>
      </w:tr>
      <w:tr>
        <w:trPr>
          <w:trHeight w:val="234"/>
        </w:trPr>
        <w:tc>
          <w:tcPr>
            <w:tcW w:w="3500" w:type="dxa"/>
            <w:vAlign w:val="bottom"/>
          </w:tcPr>
          <w:p>
            <w:pPr>
              <w:ind w:left="100"/>
              <w:spacing w:after="0"/>
              <w:rPr>
                <w:sz w:val="20"/>
                <w:szCs w:val="20"/>
                <w:color w:val="auto"/>
              </w:rPr>
            </w:pPr>
            <w:r>
              <w:rPr>
                <w:rFonts w:ascii="Arial" w:cs="Arial" w:eastAsia="Arial" w:hAnsi="Arial"/>
                <w:sz w:val="14"/>
                <w:szCs w:val="14"/>
                <w:color w:val="auto"/>
              </w:rPr>
              <w:t>Death Benefit</w:t>
            </w:r>
          </w:p>
        </w:tc>
        <w:tc>
          <w:tcPr>
            <w:tcW w:w="4120" w:type="dxa"/>
            <w:vAlign w:val="bottom"/>
          </w:tcPr>
          <w:p>
            <w:pPr>
              <w:ind w:left="160"/>
              <w:spacing w:after="0"/>
              <w:rPr>
                <w:sz w:val="20"/>
                <w:szCs w:val="20"/>
                <w:color w:val="auto"/>
              </w:rPr>
            </w:pPr>
            <w:r>
              <w:rPr>
                <w:rFonts w:ascii="Arial" w:cs="Arial" w:eastAsia="Arial" w:hAnsi="Arial"/>
                <w:sz w:val="14"/>
                <w:szCs w:val="14"/>
                <w:color w:val="auto"/>
              </w:rPr>
              <w:t>If the NEO dies during the enhanced severance period, a</w:t>
            </w:r>
          </w:p>
        </w:tc>
        <w:tc>
          <w:tcPr>
            <w:tcW w:w="3620" w:type="dxa"/>
            <w:vAlign w:val="bottom"/>
          </w:tcPr>
          <w:p>
            <w:pPr>
              <w:ind w:left="100"/>
              <w:spacing w:after="0"/>
              <w:rPr>
                <w:sz w:val="20"/>
                <w:szCs w:val="20"/>
                <w:color w:val="auto"/>
              </w:rPr>
            </w:pPr>
            <w:r>
              <w:rPr>
                <w:rFonts w:ascii="Arial" w:cs="Arial" w:eastAsia="Arial" w:hAnsi="Arial"/>
                <w:sz w:val="14"/>
                <w:szCs w:val="14"/>
                <w:color w:val="auto"/>
              </w:rPr>
              <w:t>Same</w:t>
            </w:r>
          </w:p>
        </w:tc>
      </w:tr>
      <w:tr>
        <w:trPr>
          <w:trHeight w:val="176"/>
        </w:trPr>
        <w:tc>
          <w:tcPr>
            <w:tcW w:w="3500" w:type="dxa"/>
            <w:vAlign w:val="bottom"/>
          </w:tcPr>
          <w:p>
            <w:pPr>
              <w:spacing w:after="0"/>
              <w:rPr>
                <w:sz w:val="15"/>
                <w:szCs w:val="15"/>
                <w:color w:val="auto"/>
              </w:rPr>
            </w:pPr>
          </w:p>
        </w:tc>
        <w:tc>
          <w:tcPr>
            <w:tcW w:w="4120" w:type="dxa"/>
            <w:vAlign w:val="bottom"/>
          </w:tcPr>
          <w:p>
            <w:pPr>
              <w:ind w:left="160"/>
              <w:spacing w:after="0"/>
              <w:rPr>
                <w:sz w:val="20"/>
                <w:szCs w:val="20"/>
                <w:color w:val="auto"/>
              </w:rPr>
            </w:pPr>
            <w:r>
              <w:rPr>
                <w:rFonts w:ascii="Arial" w:cs="Arial" w:eastAsia="Arial" w:hAnsi="Arial"/>
                <w:sz w:val="14"/>
                <w:szCs w:val="14"/>
                <w:color w:val="auto"/>
              </w:rPr>
              <w:t>lump-sum death benefit equal to six months of the NEO’s</w:t>
            </w:r>
          </w:p>
        </w:tc>
        <w:tc>
          <w:tcPr>
            <w:tcW w:w="3620" w:type="dxa"/>
            <w:vAlign w:val="bottom"/>
          </w:tcPr>
          <w:p>
            <w:pPr>
              <w:spacing w:after="0"/>
              <w:rPr>
                <w:sz w:val="15"/>
                <w:szCs w:val="15"/>
                <w:color w:val="auto"/>
              </w:rPr>
            </w:pPr>
          </w:p>
        </w:tc>
      </w:tr>
      <w:tr>
        <w:trPr>
          <w:trHeight w:val="190"/>
        </w:trPr>
        <w:tc>
          <w:tcPr>
            <w:tcW w:w="350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4"/>
                <w:szCs w:val="14"/>
                <w:color w:val="auto"/>
              </w:rPr>
              <w:t>base salary will be paid to the NEO’s beneficiary</w:t>
            </w:r>
          </w:p>
        </w:tc>
        <w:tc>
          <w:tcPr>
            <w:tcW w:w="3620" w:type="dxa"/>
            <w:vAlign w:val="bottom"/>
          </w:tcPr>
          <w:p>
            <w:pPr>
              <w:spacing w:after="0"/>
              <w:rPr>
                <w:sz w:val="16"/>
                <w:szCs w:val="16"/>
                <w:color w:val="auto"/>
              </w:rPr>
            </w:pPr>
          </w:p>
        </w:tc>
      </w:tr>
      <w:tr>
        <w:trPr>
          <w:trHeight w:val="22"/>
        </w:trPr>
        <w:tc>
          <w:tcPr>
            <w:tcW w:w="3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4"/>
        </w:trPr>
        <w:tc>
          <w:tcPr>
            <w:tcW w:w="3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Accrued Vacation</w:t>
            </w: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A lump-sum payment equal to unused, accrued vacation</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Same</w:t>
            </w:r>
          </w:p>
        </w:tc>
      </w:tr>
      <w:tr>
        <w:trPr>
          <w:trHeight w:val="190"/>
        </w:trPr>
        <w:tc>
          <w:tcPr>
            <w:tcW w:w="3500" w:type="dxa"/>
            <w:vAlign w:val="bottom"/>
            <w:shd w:val="clear" w:color="auto" w:fill="F1F2F2"/>
          </w:tcPr>
          <w:p>
            <w:pPr>
              <w:spacing w:after="0"/>
              <w:rPr>
                <w:sz w:val="16"/>
                <w:szCs w:val="16"/>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days</w:t>
            </w:r>
          </w:p>
        </w:tc>
        <w:tc>
          <w:tcPr>
            <w:tcW w:w="3620" w:type="dxa"/>
            <w:vAlign w:val="bottom"/>
            <w:shd w:val="clear" w:color="auto" w:fill="F1F2F2"/>
          </w:tcPr>
          <w:p>
            <w:pPr>
              <w:spacing w:after="0"/>
              <w:rPr>
                <w:sz w:val="16"/>
                <w:szCs w:val="16"/>
                <w:color w:val="auto"/>
              </w:rPr>
            </w:pPr>
          </w:p>
        </w:tc>
      </w:tr>
      <w:tr>
        <w:trPr>
          <w:trHeight w:val="35"/>
        </w:trPr>
        <w:tc>
          <w:tcPr>
            <w:tcW w:w="3500" w:type="dxa"/>
            <w:vAlign w:val="bottom"/>
            <w:shd w:val="clear" w:color="auto" w:fill="F1F2F2"/>
          </w:tcPr>
          <w:p>
            <w:pPr>
              <w:spacing w:after="0"/>
              <w:rPr>
                <w:sz w:val="3"/>
                <w:szCs w:val="3"/>
                <w:color w:val="auto"/>
              </w:rPr>
            </w:pPr>
          </w:p>
        </w:tc>
        <w:tc>
          <w:tcPr>
            <w:tcW w:w="4120" w:type="dxa"/>
            <w:vAlign w:val="bottom"/>
            <w:shd w:val="clear" w:color="auto" w:fill="F1F2F2"/>
          </w:tcPr>
          <w:p>
            <w:pPr>
              <w:spacing w:after="0"/>
              <w:rPr>
                <w:sz w:val="3"/>
                <w:szCs w:val="3"/>
                <w:color w:val="auto"/>
              </w:rPr>
            </w:pPr>
          </w:p>
        </w:tc>
        <w:tc>
          <w:tcPr>
            <w:tcW w:w="3620" w:type="dxa"/>
            <w:vAlign w:val="bottom"/>
            <w:shd w:val="clear" w:color="auto" w:fill="F1F2F2"/>
          </w:tcPr>
          <w:p>
            <w:pPr>
              <w:spacing w:after="0"/>
              <w:rPr>
                <w:sz w:val="3"/>
                <w:szCs w:val="3"/>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Death or Disability</w:t>
      </w:r>
    </w:p>
    <w:p>
      <w:pPr>
        <w:spacing w:after="0" w:line="17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Generally, if an NEO dies during the term of his employment agreement, the NEO’s beneficiary is entitled to receive “normal severance compensation,” as described above. If an NEO becomes permanently disabled during the agreement term, he will generally be entitled to, at the NEO’s option, either “normal severance compensation” or “enhanced severance benefits,” as described above. In the case of either death or disability, with respect to long-term incentive awards:</w:t>
      </w:r>
    </w:p>
    <w:p>
      <w:pPr>
        <w:spacing w:after="0" w:line="116"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SARs vest immediately and remain exercisable for the duration of the term;</w:t>
      </w:r>
    </w:p>
    <w:p>
      <w:pPr>
        <w:spacing w:after="0" w:line="157"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RSUs, the NEO, or his beneficiary, receives a prorated payment based upon the portion of the vesting period the NEO actually served as an employee payable at the time employment ceases; and</w:t>
      </w:r>
    </w:p>
    <w:p>
      <w:pPr>
        <w:spacing w:after="0" w:line="85" w:lineRule="exact"/>
        <w:rPr>
          <w:rFonts w:ascii="Arial" w:cs="Arial" w:eastAsia="Arial" w:hAnsi="Arial"/>
          <w:sz w:val="18"/>
          <w:szCs w:val="18"/>
          <w:color w:val="auto"/>
        </w:rPr>
      </w:pPr>
    </w:p>
    <w:p>
      <w:pPr>
        <w:jc w:val="both"/>
        <w:ind w:left="660" w:right="280" w:hanging="328"/>
        <w:spacing w:after="0" w:line="26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PSUs, the NEO, or his beneficiary, receives, to the extent earned based on achievement of performance measures, a prorated portion of shares based upon the portion of the performance period the NEO actually served as an employee, payable at the time employment ceases.</w:t>
      </w:r>
    </w:p>
    <w:p>
      <w:pPr>
        <w:spacing w:after="0" w:line="108"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b w:val="1"/>
          <w:bCs w:val="1"/>
          <w:color w:val="C60C35"/>
        </w:rPr>
        <w:t>Payments Made to our CEO if he Terminates his Employment for “Good Reason,” Upon Involuntary — Not for Cause Termination, or Upon Death or Disability</w:t>
      </w:r>
    </w:p>
    <w:p>
      <w:pPr>
        <w:spacing w:after="0" w:line="96"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Except as described below, Mr. Maskara receives similar severance benefits as the other NEOs. Mr. Maskara’s employment agreement provides for certain severance benefits in the event he terminates his employment for “good reason.” “Good reason” includes:</w:t>
      </w:r>
    </w:p>
    <w:p>
      <w:pPr>
        <w:spacing w:after="0" w:line="100" w:lineRule="exact"/>
        <w:rPr>
          <w:sz w:val="20"/>
          <w:szCs w:val="20"/>
          <w:color w:val="auto"/>
        </w:rPr>
      </w:pPr>
    </w:p>
    <w:p>
      <w:pPr>
        <w:ind w:left="660" w:right="2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change in Mr. Maskara’s position, authority, duties, or responsibilities inconsistent with the position of CEO (excluding de minimis changes and an isolated, insubstantial, and inadvertent action not taken in bad faith and promptly remedied by the Company after notice);</w:t>
      </w:r>
    </w:p>
    <w:p>
      <w:pPr>
        <w:spacing w:after="0" w:line="107"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failure by the Company to comply with any of the provisions of Mr. Maskara’s employment agreement (excluding an isolated, insubstantial, and inadvertent action not taken in bad faith and promptly remedied by the Company after notice);</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ind w:left="660" w:right="60" w:hanging="328"/>
        <w:spacing w:after="0" w:line="27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relocation of the principal place of Mr. Maskara’s employment by more than thirty-five (35) miles from our current headquarters in Richardson, Texas; or</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failure by our Board to nominate him for election by the stockholders as a director.</w:t>
      </w:r>
    </w:p>
    <w:p>
      <w:pPr>
        <w:spacing w:after="0" w:line="158"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Pursuant to his employment agreement, in the event (1) Mr. Maskara terminates his employment for “good reason,” (2) we terminate his employment prior to the expiration of his employment agreement (including non-renewal of his agreement) for any reason other than for cause, or (3) Mr. Maskara becomes permanently disabled during the term of his employment agreement, he is entitled to receive “enhanced severance benefits” as described above under “Payments Made Upon Involuntary or Not For Cause Termination,” provided Mr. Maskara (or his personal representative, as applicable) agrees to execute a written general release of any and all possible claims against the Company existing at the time of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a Change in Control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Definition of Change in Control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CIC generally includes the occurrence of any of the following events, subject to certain exceptions:</w:t>
      </w:r>
    </w:p>
    <w:p>
      <w:pPr>
        <w:spacing w:after="0" w:line="158"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acquisition by a third party of 35% or more of our voting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change in a majority of Board members without majority Board approval;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stockholder approval of the liquidation or dissolution of our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consummation of a merger, consolidation, or reorganization;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consummation of the sale of substantially all corporate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Definition of Good Reason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 reason,” under the CIC Severance Plan, includes:</w:t>
      </w:r>
    </w:p>
    <w:p>
      <w:pPr>
        <w:spacing w:after="0" w:line="158"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change in the NEO’s authorities, duties, or responsibilities (excluding de minimis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reduction in the NEO’s base salary, target STI bonus, or annual LTI awards;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required relocation of more than 50 miles of the Company’s headquarters;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failure by any successor to adopt and comply with the CIC Severance Plan;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failure to re-elect to the Board any NEO serving as a member of the Board.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Change in Control Benefits</w:t>
      </w:r>
    </w:p>
    <w:p>
      <w:pPr>
        <w:spacing w:after="0" w:line="156"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If an NEO’s employment is terminated by the Company without cause or by the NEO for “good reason” either (1) within two years following a CIC, or (2) within six months prior to a CIC, we will provide the NEO with the following CIC benefits: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60C35"/>
          </w:tcPr>
          <w:p>
            <w:pPr>
              <w:ind w:left="20"/>
              <w:spacing w:after="0"/>
              <w:rPr>
                <w:sz w:val="20"/>
                <w:szCs w:val="20"/>
                <w:color w:val="auto"/>
              </w:rPr>
            </w:pPr>
            <w:r>
              <w:rPr>
                <w:rFonts w:ascii="Arial" w:cs="Arial" w:eastAsia="Arial" w:hAnsi="Arial"/>
                <w:sz w:val="14"/>
                <w:szCs w:val="14"/>
                <w:b w:val="1"/>
                <w:bCs w:val="1"/>
                <w:color w:val="FFFFFF"/>
              </w:rPr>
              <w:t>  Component</w:t>
            </w:r>
          </w:p>
        </w:tc>
        <w:tc>
          <w:tcPr>
            <w:tcW w:w="7240" w:type="dxa"/>
            <w:vAlign w:val="bottom"/>
            <w:shd w:val="clear" w:color="auto" w:fill="C60C35"/>
          </w:tcPr>
          <w:p>
            <w:pPr>
              <w:ind w:left="160"/>
              <w:spacing w:after="0"/>
              <w:rPr>
                <w:sz w:val="20"/>
                <w:szCs w:val="20"/>
                <w:color w:val="auto"/>
              </w:rPr>
            </w:pPr>
            <w:r>
              <w:rPr>
                <w:rFonts w:ascii="Arial" w:cs="Arial" w:eastAsia="Arial" w:hAnsi="Arial"/>
                <w:sz w:val="14"/>
                <w:szCs w:val="14"/>
                <w:b w:val="1"/>
                <w:bCs w:val="1"/>
                <w:color w:val="FFFFFF"/>
              </w:rPr>
              <w:t>CIC Benefit</w:t>
            </w:r>
          </w:p>
        </w:tc>
      </w:tr>
      <w:tr>
        <w:trPr>
          <w:trHeight w:val="67"/>
        </w:trPr>
        <w:tc>
          <w:tcPr>
            <w:tcW w:w="4000" w:type="dxa"/>
            <w:vAlign w:val="bottom"/>
            <w:shd w:val="clear" w:color="auto" w:fill="C60C35"/>
          </w:tcPr>
          <w:p>
            <w:pPr>
              <w:spacing w:after="0"/>
              <w:rPr>
                <w:sz w:val="5"/>
                <w:szCs w:val="5"/>
                <w:color w:val="auto"/>
              </w:rPr>
            </w:pPr>
          </w:p>
        </w:tc>
        <w:tc>
          <w:tcPr>
            <w:tcW w:w="7240" w:type="dxa"/>
            <w:vAlign w:val="bottom"/>
            <w:shd w:val="clear" w:color="auto" w:fill="C60C35"/>
          </w:tcPr>
          <w:p>
            <w:pPr>
              <w:spacing w:after="0"/>
              <w:rPr>
                <w:sz w:val="5"/>
                <w:szCs w:val="5"/>
                <w:color w:val="auto"/>
              </w:rPr>
            </w:pPr>
          </w:p>
        </w:tc>
      </w:tr>
      <w:tr>
        <w:trPr>
          <w:trHeight w:val="247"/>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Base Salary Severance</w:t>
            </w:r>
          </w:p>
        </w:tc>
        <w:tc>
          <w:tcPr>
            <w:tcW w:w="7240" w:type="dxa"/>
            <w:vAlign w:val="bottom"/>
            <w:shd w:val="clear" w:color="auto" w:fill="F1F2F2"/>
          </w:tcPr>
          <w:p>
            <w:pPr>
              <w:ind w:left="160"/>
              <w:spacing w:after="0"/>
              <w:rPr>
                <w:sz w:val="20"/>
                <w:szCs w:val="20"/>
                <w:color w:val="auto"/>
              </w:rPr>
            </w:pPr>
            <w:r>
              <w:rPr>
                <w:rFonts w:ascii="Arial" w:cs="Arial" w:eastAsia="Arial" w:hAnsi="Arial"/>
                <w:sz w:val="14"/>
                <w:szCs w:val="14"/>
                <w:color w:val="auto"/>
              </w:rPr>
              <w:t>Lump-sum payment equal to three times the CEO’s annual base salary, and two times annual base salary for</w:t>
            </w:r>
          </w:p>
        </w:tc>
      </w:tr>
      <w:tr>
        <w:trPr>
          <w:trHeight w:val="192"/>
        </w:trPr>
        <w:tc>
          <w:tcPr>
            <w:tcW w:w="4000" w:type="dxa"/>
            <w:vAlign w:val="bottom"/>
            <w:tcBorders>
              <w:bottom w:val="single" w:sz="8" w:color="F1F2F2"/>
            </w:tcBorders>
            <w:shd w:val="clear" w:color="auto" w:fill="F1F2F2"/>
          </w:tcPr>
          <w:p>
            <w:pPr>
              <w:spacing w:after="0"/>
              <w:rPr>
                <w:sz w:val="16"/>
                <w:szCs w:val="16"/>
                <w:color w:val="auto"/>
              </w:rPr>
            </w:pPr>
          </w:p>
        </w:tc>
        <w:tc>
          <w:tcPr>
            <w:tcW w:w="724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other NEOs.</w:t>
            </w:r>
          </w:p>
        </w:tc>
      </w:tr>
      <w:tr>
        <w:trPr>
          <w:trHeight w:val="262"/>
        </w:trPr>
        <w:tc>
          <w:tcPr>
            <w:tcW w:w="4000" w:type="dxa"/>
            <w:vAlign w:val="bottom"/>
          </w:tcPr>
          <w:p>
            <w:pPr>
              <w:ind w:left="100"/>
              <w:spacing w:after="0"/>
              <w:rPr>
                <w:sz w:val="20"/>
                <w:szCs w:val="20"/>
                <w:color w:val="auto"/>
              </w:rPr>
            </w:pPr>
            <w:r>
              <w:rPr>
                <w:rFonts w:ascii="Arial" w:cs="Arial" w:eastAsia="Arial" w:hAnsi="Arial"/>
                <w:sz w:val="14"/>
                <w:szCs w:val="14"/>
                <w:color w:val="auto"/>
              </w:rPr>
              <w:t>Prorated Bonus</w:t>
            </w:r>
          </w:p>
        </w:tc>
        <w:tc>
          <w:tcPr>
            <w:tcW w:w="7240" w:type="dxa"/>
            <w:vAlign w:val="bottom"/>
          </w:tcPr>
          <w:p>
            <w:pPr>
              <w:ind w:left="160"/>
              <w:spacing w:after="0"/>
              <w:rPr>
                <w:sz w:val="20"/>
                <w:szCs w:val="20"/>
                <w:color w:val="auto"/>
              </w:rPr>
            </w:pPr>
            <w:r>
              <w:rPr>
                <w:rFonts w:ascii="Arial" w:cs="Arial" w:eastAsia="Arial" w:hAnsi="Arial"/>
                <w:sz w:val="14"/>
                <w:szCs w:val="14"/>
                <w:color w:val="auto"/>
              </w:rPr>
              <w:t>Lump-sum payment equal to the NEO’s target bonus, prorated based on the last day of employment.</w:t>
            </w:r>
          </w:p>
        </w:tc>
      </w:tr>
      <w:tr>
        <w:trPr>
          <w:trHeight w:val="22"/>
        </w:trPr>
        <w:tc>
          <w:tcPr>
            <w:tcW w:w="40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47"/>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Bonus Severance</w:t>
            </w:r>
          </w:p>
        </w:tc>
        <w:tc>
          <w:tcPr>
            <w:tcW w:w="7240" w:type="dxa"/>
            <w:vAlign w:val="bottom"/>
            <w:shd w:val="clear" w:color="auto" w:fill="F1F2F2"/>
          </w:tcPr>
          <w:p>
            <w:pPr>
              <w:ind w:left="160"/>
              <w:spacing w:after="0"/>
              <w:rPr>
                <w:sz w:val="20"/>
                <w:szCs w:val="20"/>
                <w:color w:val="auto"/>
              </w:rPr>
            </w:pPr>
            <w:r>
              <w:rPr>
                <w:rFonts w:ascii="Arial" w:cs="Arial" w:eastAsia="Arial" w:hAnsi="Arial"/>
                <w:sz w:val="14"/>
                <w:szCs w:val="14"/>
                <w:color w:val="auto"/>
              </w:rPr>
              <w:t>Lump-sum payment equal to three times the CEO’s target bonus, and two times target bonus for other</w:t>
            </w:r>
          </w:p>
        </w:tc>
      </w:tr>
      <w:tr>
        <w:trPr>
          <w:trHeight w:val="192"/>
        </w:trPr>
        <w:tc>
          <w:tcPr>
            <w:tcW w:w="4000" w:type="dxa"/>
            <w:vAlign w:val="bottom"/>
            <w:tcBorders>
              <w:bottom w:val="single" w:sz="8" w:color="F1F2F2"/>
            </w:tcBorders>
            <w:shd w:val="clear" w:color="auto" w:fill="F1F2F2"/>
          </w:tcPr>
          <w:p>
            <w:pPr>
              <w:spacing w:after="0"/>
              <w:rPr>
                <w:sz w:val="16"/>
                <w:szCs w:val="16"/>
                <w:color w:val="auto"/>
              </w:rPr>
            </w:pPr>
          </w:p>
        </w:tc>
        <w:tc>
          <w:tcPr>
            <w:tcW w:w="724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NEOs.</w:t>
            </w:r>
          </w:p>
        </w:tc>
      </w:tr>
      <w:tr>
        <w:trPr>
          <w:trHeight w:val="262"/>
        </w:trPr>
        <w:tc>
          <w:tcPr>
            <w:tcW w:w="4000" w:type="dxa"/>
            <w:vAlign w:val="bottom"/>
          </w:tcPr>
          <w:p>
            <w:pPr>
              <w:ind w:left="100"/>
              <w:spacing w:after="0"/>
              <w:rPr>
                <w:sz w:val="20"/>
                <w:szCs w:val="20"/>
                <w:color w:val="auto"/>
              </w:rPr>
            </w:pPr>
            <w:r>
              <w:rPr>
                <w:rFonts w:ascii="Arial" w:cs="Arial" w:eastAsia="Arial" w:hAnsi="Arial"/>
                <w:sz w:val="14"/>
                <w:szCs w:val="14"/>
                <w:color w:val="auto"/>
              </w:rPr>
              <w:t>Payment in Lieu of Outplacement Services</w:t>
            </w:r>
          </w:p>
        </w:tc>
        <w:tc>
          <w:tcPr>
            <w:tcW w:w="7240" w:type="dxa"/>
            <w:vAlign w:val="bottom"/>
          </w:tcPr>
          <w:p>
            <w:pPr>
              <w:ind w:left="160"/>
              <w:spacing w:after="0"/>
              <w:rPr>
                <w:sz w:val="20"/>
                <w:szCs w:val="20"/>
                <w:color w:val="auto"/>
              </w:rPr>
            </w:pPr>
            <w:r>
              <w:rPr>
                <w:rFonts w:ascii="Arial" w:cs="Arial" w:eastAsia="Arial" w:hAnsi="Arial"/>
                <w:sz w:val="14"/>
                <w:szCs w:val="14"/>
                <w:color w:val="auto"/>
              </w:rPr>
              <w:t>Payment for actual cost of outplacement services.</w:t>
            </w:r>
          </w:p>
        </w:tc>
      </w:tr>
      <w:tr>
        <w:trPr>
          <w:trHeight w:val="22"/>
        </w:trPr>
        <w:tc>
          <w:tcPr>
            <w:tcW w:w="40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47"/>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Post-Employment Health Care Coverage</w:t>
            </w:r>
          </w:p>
        </w:tc>
        <w:tc>
          <w:tcPr>
            <w:tcW w:w="7240" w:type="dxa"/>
            <w:vAlign w:val="bottom"/>
            <w:shd w:val="clear" w:color="auto" w:fill="F1F2F2"/>
          </w:tcPr>
          <w:p>
            <w:pPr>
              <w:ind w:left="160"/>
              <w:spacing w:after="0"/>
              <w:rPr>
                <w:sz w:val="20"/>
                <w:szCs w:val="20"/>
                <w:color w:val="auto"/>
              </w:rPr>
            </w:pPr>
            <w:r>
              <w:rPr>
                <w:rFonts w:ascii="Arial" w:cs="Arial" w:eastAsia="Arial" w:hAnsi="Arial"/>
                <w:sz w:val="14"/>
                <w:szCs w:val="14"/>
                <w:color w:val="auto"/>
              </w:rPr>
              <w:t>Payment of COBRA premiums for up to 36 months for the CEO and 24 months for other NEOs while the</w:t>
            </w:r>
          </w:p>
        </w:tc>
      </w:tr>
      <w:tr>
        <w:trPr>
          <w:trHeight w:val="192"/>
        </w:trPr>
        <w:tc>
          <w:tcPr>
            <w:tcW w:w="4000" w:type="dxa"/>
            <w:vAlign w:val="bottom"/>
            <w:tcBorders>
              <w:bottom w:val="single" w:sz="8" w:color="F1F2F2"/>
            </w:tcBorders>
            <w:shd w:val="clear" w:color="auto" w:fill="F1F2F2"/>
          </w:tcPr>
          <w:p>
            <w:pPr>
              <w:spacing w:after="0"/>
              <w:rPr>
                <w:sz w:val="16"/>
                <w:szCs w:val="16"/>
                <w:color w:val="auto"/>
              </w:rPr>
            </w:pPr>
          </w:p>
        </w:tc>
        <w:tc>
          <w:tcPr>
            <w:tcW w:w="724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NEO is unemployed and not eligible for other group health coverage.</w:t>
            </w:r>
          </w:p>
        </w:tc>
      </w:tr>
      <w:tr>
        <w:trPr>
          <w:trHeight w:val="262"/>
        </w:trPr>
        <w:tc>
          <w:tcPr>
            <w:tcW w:w="4000" w:type="dxa"/>
            <w:vAlign w:val="bottom"/>
          </w:tcPr>
          <w:p>
            <w:pPr>
              <w:ind w:left="100"/>
              <w:spacing w:after="0"/>
              <w:rPr>
                <w:sz w:val="20"/>
                <w:szCs w:val="20"/>
                <w:color w:val="auto"/>
              </w:rPr>
            </w:pPr>
            <w:r>
              <w:rPr>
                <w:rFonts w:ascii="Arial" w:cs="Arial" w:eastAsia="Arial" w:hAnsi="Arial"/>
                <w:sz w:val="14"/>
                <w:szCs w:val="14"/>
                <w:color w:val="auto"/>
              </w:rPr>
              <w:t>Accrued Vacation</w:t>
            </w:r>
          </w:p>
        </w:tc>
        <w:tc>
          <w:tcPr>
            <w:tcW w:w="7240" w:type="dxa"/>
            <w:vAlign w:val="bottom"/>
          </w:tcPr>
          <w:p>
            <w:pPr>
              <w:ind w:left="160"/>
              <w:spacing w:after="0"/>
              <w:rPr>
                <w:sz w:val="20"/>
                <w:szCs w:val="20"/>
                <w:color w:val="auto"/>
              </w:rPr>
            </w:pPr>
            <w:r>
              <w:rPr>
                <w:rFonts w:ascii="Arial" w:cs="Arial" w:eastAsia="Arial" w:hAnsi="Arial"/>
                <w:sz w:val="14"/>
                <w:szCs w:val="14"/>
                <w:color w:val="auto"/>
              </w:rPr>
              <w:t>A lump-sum payment equal to unused, accrued vacation days.</w:t>
            </w:r>
          </w:p>
        </w:tc>
      </w:tr>
    </w:tbl>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ind w:right="320" w:firstLine="324"/>
        <w:spacing w:after="0" w:line="261" w:lineRule="auto"/>
        <w:rPr>
          <w:sz w:val="20"/>
          <w:szCs w:val="20"/>
          <w:color w:val="auto"/>
        </w:rPr>
      </w:pPr>
      <w:r>
        <w:rPr>
          <w:rFonts w:ascii="Arial" w:cs="Arial" w:eastAsia="Arial" w:hAnsi="Arial"/>
          <w:sz w:val="18"/>
          <w:szCs w:val="18"/>
          <w:color w:val="auto"/>
        </w:rPr>
        <w:t>Upon termination in connection with CIC, all outstanding SARs, RSUs and PSUs held by the NEO immediately vest and become exercisable, with applicable performance measures for outstanding PSUs deemed to have been satisfied at the greater of target or actual performance level. NEOs who are terminated within one year following a CIC have 90 days to exercise outstanding SARs.</w:t>
      </w:r>
    </w:p>
    <w:p>
      <w:pPr>
        <w:spacing w:after="0" w:line="108"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To receive these CIC benefits, NEOs agree to certain post-employment covenants, including non-competition of employment and non-solicitation of employees and customers.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Tables Illustrating Potential Payments Upon Termination or Change in Control</w:t>
      </w:r>
    </w:p>
    <w:p>
      <w:pPr>
        <w:spacing w:after="0" w:line="108" w:lineRule="exact"/>
        <w:rPr>
          <w:sz w:val="20"/>
          <w:szCs w:val="20"/>
          <w:color w:val="auto"/>
        </w:rPr>
      </w:pPr>
    </w:p>
    <w:p>
      <w:pPr>
        <w:ind w:right="160" w:firstLine="324"/>
        <w:spacing w:after="0" w:line="245" w:lineRule="auto"/>
        <w:rPr>
          <w:sz w:val="20"/>
          <w:szCs w:val="20"/>
          <w:color w:val="auto"/>
        </w:rPr>
      </w:pPr>
      <w:r>
        <w:rPr>
          <w:rFonts w:ascii="Arial" w:cs="Arial" w:eastAsia="Arial" w:hAnsi="Arial"/>
          <w:sz w:val="18"/>
          <w:szCs w:val="18"/>
          <w:color w:val="auto"/>
        </w:rPr>
        <w:t>The following tables provide information regarding the benefits to which each NEO would be entitled in the event of termination of such individual’s employment with our Company under specified circumstances, including a CIC. Except as otherwise noted, the amounts shown</w:t>
      </w:r>
    </w:p>
    <w:p>
      <w:pPr>
        <w:ind w:right="200" w:firstLine="8"/>
        <w:spacing w:after="0" w:line="259" w:lineRule="auto"/>
        <w:tabs>
          <w:tab w:leader="none" w:pos="27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are estimates only, and (2) assume that (a) termination was effective as of December 31, 2024, (b) the NEO did not take any vacation days in 2024, (c) in the case of disability, the NEO elects to receive “enhanced severance benefits,” (d) in the case of CIC, the NEO terminates for “good reason” or is involuntarily terminated without cause, and (e) that financial performance is tracking at target for PSU awards. The amounts shown for Long-Term Equity Accelerated Vesting reflect pro-rata vesting of unvested RSUs and PSUs in the event of retirement, death, and disability and immediate vesting of unvested SARs in the event of death and disability, as described above. These amounts are based on the NYSE closing price of our common stock on December 31, 2024, which was $609.30. The tables do not include pension or deferred compensation benefits described above under 2024 Pension Benefits and 2024 Nonqualified Deferred Compensation.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14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92" w:lineRule="exact"/>
        <w:rPr>
          <w:sz w:val="20"/>
          <w:szCs w:val="20"/>
          <w:color w:val="auto"/>
        </w:rPr>
      </w:pPr>
    </w:p>
    <w:p>
      <w:pPr>
        <w:jc w:val="center"/>
        <w:ind w:left="560"/>
        <w:spacing w:after="0"/>
        <w:rPr>
          <w:sz w:val="20"/>
          <w:szCs w:val="20"/>
          <w:color w:val="auto"/>
        </w:rPr>
      </w:pPr>
      <w:r>
        <w:rPr>
          <w:rFonts w:ascii="Arial" w:cs="Arial" w:eastAsia="Arial" w:hAnsi="Arial"/>
          <w:sz w:val="13"/>
          <w:szCs w:val="13"/>
          <w:b w:val="1"/>
          <w:bCs w:val="1"/>
          <w:color w:val="FFFFFF"/>
        </w:rPr>
        <w:t>Involuntary-Not For Cause</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3"/>
          <w:szCs w:val="13"/>
          <w:b w:val="1"/>
          <w:bCs w:val="1"/>
          <w:color w:val="FFFFFF"/>
        </w:rPr>
        <w:t>Termination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100" w:type="dxa"/>
            <w:vAlign w:val="bottom"/>
            <w:shd w:val="clear" w:color="auto" w:fill="C60C35"/>
          </w:tcPr>
          <w:p>
            <w:pPr>
              <w:spacing w:after="0"/>
              <w:rPr>
                <w:sz w:val="18"/>
                <w:szCs w:val="18"/>
                <w:color w:val="auto"/>
              </w:rPr>
            </w:pPr>
          </w:p>
        </w:tc>
        <w:tc>
          <w:tcPr>
            <w:tcW w:w="124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Normal</w:t>
            </w:r>
          </w:p>
        </w:tc>
        <w:tc>
          <w:tcPr>
            <w:tcW w:w="104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Enhanced</w:t>
            </w:r>
          </w:p>
        </w:tc>
        <w:tc>
          <w:tcPr>
            <w:tcW w:w="1020" w:type="dxa"/>
            <w:vAlign w:val="bottom"/>
            <w:shd w:val="clear" w:color="auto" w:fill="C60C35"/>
          </w:tcPr>
          <w:p>
            <w:pPr>
              <w:spacing w:after="0"/>
              <w:rPr>
                <w:sz w:val="18"/>
                <w:szCs w:val="18"/>
                <w:color w:val="auto"/>
              </w:rPr>
            </w:pPr>
          </w:p>
        </w:tc>
        <w:tc>
          <w:tcPr>
            <w:tcW w:w="1040" w:type="dxa"/>
            <w:vAlign w:val="bottom"/>
            <w:shd w:val="clear" w:color="auto" w:fill="C60C35"/>
          </w:tcPr>
          <w:p>
            <w:pPr>
              <w:spacing w:after="0"/>
              <w:rPr>
                <w:sz w:val="18"/>
                <w:szCs w:val="18"/>
                <w:color w:val="auto"/>
              </w:rPr>
            </w:pPr>
          </w:p>
        </w:tc>
        <w:tc>
          <w:tcPr>
            <w:tcW w:w="106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For Cause</w:t>
            </w:r>
          </w:p>
        </w:tc>
        <w:tc>
          <w:tcPr>
            <w:tcW w:w="102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227"/>
        </w:trPr>
        <w:tc>
          <w:tcPr>
            <w:tcW w:w="2640" w:type="dxa"/>
            <w:vAlign w:val="bottom"/>
          </w:tcPr>
          <w:p>
            <w:pPr>
              <w:ind w:left="100"/>
              <w:spacing w:after="0"/>
              <w:rPr>
                <w:sz w:val="20"/>
                <w:szCs w:val="20"/>
                <w:color w:val="auto"/>
              </w:rPr>
            </w:pPr>
            <w:r>
              <w:rPr>
                <w:rFonts w:ascii="Arial" w:cs="Arial" w:eastAsia="Arial" w:hAnsi="Arial"/>
                <w:sz w:val="13"/>
                <w:szCs w:val="13"/>
                <w:b w:val="1"/>
                <w:bCs w:val="1"/>
                <w:color w:val="FFFFFF"/>
              </w:rPr>
              <w:t>Component</w:t>
            </w:r>
          </w:p>
        </w:tc>
        <w:tc>
          <w:tcPr>
            <w:tcW w:w="10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10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124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Severance</w:t>
            </w:r>
          </w:p>
        </w:tc>
        <w:tc>
          <w:tcPr>
            <w:tcW w:w="104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Severance</w:t>
            </w:r>
            <w:r>
              <w:rPr>
                <w:rFonts w:ascii="Arial" w:cs="Arial" w:eastAsia="Arial" w:hAnsi="Arial"/>
                <w:sz w:val="16"/>
                <w:szCs w:val="16"/>
                <w:b w:val="1"/>
                <w:bCs w:val="1"/>
                <w:color w:val="FFFFFF"/>
                <w:vertAlign w:val="superscript"/>
              </w:rPr>
              <w:t>(2)</w:t>
            </w:r>
          </w:p>
        </w:tc>
        <w:tc>
          <w:tcPr>
            <w:tcW w:w="102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Death</w:t>
            </w:r>
          </w:p>
        </w:tc>
        <w:tc>
          <w:tcPr>
            <w:tcW w:w="104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Disability</w:t>
            </w:r>
          </w:p>
        </w:tc>
        <w:tc>
          <w:tcPr>
            <w:tcW w:w="106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Termination</w:t>
            </w:r>
          </w:p>
        </w:tc>
        <w:tc>
          <w:tcPr>
            <w:tcW w:w="102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Base Salary</w:t>
            </w:r>
          </w:p>
        </w:tc>
        <w:tc>
          <w:tcPr>
            <w:tcW w:w="10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$287,500</w:t>
            </w:r>
          </w:p>
        </w:tc>
        <w:tc>
          <w:tcPr>
            <w:tcW w:w="10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$1,150,000</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$287,500</w:t>
            </w:r>
          </w:p>
        </w:tc>
        <w:tc>
          <w:tcPr>
            <w:tcW w:w="104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$1,150,000</w:t>
            </w:r>
          </w:p>
        </w:tc>
        <w:tc>
          <w:tcPr>
            <w:tcW w:w="10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$3,450,000</w:t>
            </w:r>
          </w:p>
        </w:tc>
        <w:tc>
          <w:tcPr>
            <w:tcW w:w="0" w:type="dxa"/>
            <w:vAlign w:val="bottom"/>
          </w:tcPr>
          <w:p>
            <w:pPr>
              <w:spacing w:after="0"/>
              <w:rPr>
                <w:sz w:val="1"/>
                <w:szCs w:val="1"/>
                <w:color w:val="auto"/>
              </w:rPr>
            </w:pPr>
          </w:p>
        </w:tc>
      </w:tr>
      <w:tr>
        <w:trPr>
          <w:trHeight w:val="175"/>
        </w:trPr>
        <w:tc>
          <w:tcPr>
            <w:tcW w:w="26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80" w:type="dxa"/>
            <w:vAlign w:val="bottom"/>
          </w:tcPr>
          <w:p>
            <w:pPr>
              <w:jc w:val="right"/>
              <w:spacing w:after="0"/>
              <w:rPr>
                <w:sz w:val="20"/>
                <w:szCs w:val="20"/>
                <w:color w:val="auto"/>
              </w:rPr>
            </w:pPr>
            <w:r>
              <w:rPr>
                <w:rFonts w:ascii="Arial" w:cs="Arial" w:eastAsia="Arial" w:hAnsi="Arial"/>
                <w:sz w:val="13"/>
                <w:szCs w:val="13"/>
                <w:color w:val="auto"/>
              </w:rPr>
              <w:t>n/a</w:t>
            </w:r>
          </w:p>
        </w:tc>
        <w:tc>
          <w:tcPr>
            <w:tcW w:w="1100" w:type="dxa"/>
            <w:vAlign w:val="bottom"/>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1,380,000</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Bonus</w:t>
            </w:r>
          </w:p>
        </w:tc>
        <w:tc>
          <w:tcPr>
            <w:tcW w:w="10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2,729,934</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2,729,934</w:t>
            </w:r>
          </w:p>
        </w:tc>
        <w:tc>
          <w:tcPr>
            <w:tcW w:w="10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4,140,000</w:t>
            </w:r>
          </w:p>
        </w:tc>
        <w:tc>
          <w:tcPr>
            <w:tcW w:w="0" w:type="dxa"/>
            <w:vAlign w:val="bottom"/>
          </w:tcPr>
          <w:p>
            <w:pPr>
              <w:spacing w:after="0"/>
              <w:rPr>
                <w:sz w:val="1"/>
                <w:szCs w:val="1"/>
                <w:color w:val="auto"/>
              </w:rPr>
            </w:pPr>
          </w:p>
        </w:tc>
      </w:tr>
      <w:tr>
        <w:trPr>
          <w:trHeight w:val="158"/>
        </w:trPr>
        <w:tc>
          <w:tcPr>
            <w:tcW w:w="2640" w:type="dxa"/>
            <w:vAlign w:val="bottom"/>
          </w:tcPr>
          <w:p>
            <w:pPr>
              <w:ind w:left="100"/>
              <w:spacing w:after="0"/>
              <w:rPr>
                <w:sz w:val="20"/>
                <w:szCs w:val="20"/>
                <w:color w:val="auto"/>
              </w:rPr>
            </w:pPr>
            <w:r>
              <w:rPr>
                <w:rFonts w:ascii="Arial" w:cs="Arial" w:eastAsia="Arial" w:hAnsi="Arial"/>
                <w:sz w:val="13"/>
                <w:szCs w:val="13"/>
                <w:color w:val="auto"/>
              </w:rPr>
              <w:t>Outplacement Services (or</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12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115,000</w:t>
            </w:r>
          </w:p>
        </w:tc>
        <w:tc>
          <w:tcPr>
            <w:tcW w:w="102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115,000</w:t>
            </w:r>
          </w:p>
        </w:tc>
        <w:tc>
          <w:tcPr>
            <w:tcW w:w="10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85"/>
        </w:trPr>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payment in lieu)</w:t>
            </w:r>
          </w:p>
        </w:tc>
        <w:tc>
          <w:tcPr>
            <w:tcW w:w="10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4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Payment in Lieu of Perquisites</w:t>
            </w:r>
          </w:p>
        </w:tc>
        <w:tc>
          <w:tcPr>
            <w:tcW w:w="10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115,000</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115,000</w:t>
            </w:r>
          </w:p>
        </w:tc>
        <w:tc>
          <w:tcPr>
            <w:tcW w:w="10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59,807</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92,632</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640" w:type="dxa"/>
            <w:vAlign w:val="bottom"/>
            <w:shd w:val="clear" w:color="auto" w:fill="F1F2F2"/>
          </w:tcPr>
          <w:p>
            <w:pPr>
              <w:ind w:left="100"/>
              <w:spacing w:after="0"/>
              <w:rPr>
                <w:sz w:val="20"/>
                <w:szCs w:val="20"/>
                <w:color w:val="auto"/>
              </w:rPr>
            </w:pPr>
            <w:r>
              <w:rPr>
                <w:rFonts w:ascii="Arial" w:cs="Arial" w:eastAsia="Arial" w:hAnsi="Arial"/>
                <w:sz w:val="13"/>
                <w:szCs w:val="13"/>
                <w:color w:val="auto"/>
              </w:rPr>
              <w:t>Long-Term Equity Accelerated</w:t>
            </w:r>
          </w:p>
        </w:tc>
        <w:tc>
          <w:tcPr>
            <w:tcW w:w="10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240" w:type="dxa"/>
            <w:vAlign w:val="bottom"/>
            <w:vMerge w:val="restart"/>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F1F2F2"/>
          </w:tcPr>
          <w:p>
            <w:pPr>
              <w:jc w:val="right"/>
              <w:ind w:right="7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F1F2F2"/>
          </w:tcPr>
          <w:p>
            <w:pPr>
              <w:jc w:val="right"/>
              <w:ind w:right="117"/>
              <w:spacing w:after="0"/>
              <w:rPr>
                <w:sz w:val="20"/>
                <w:szCs w:val="20"/>
                <w:color w:val="auto"/>
              </w:rPr>
            </w:pPr>
            <w:r>
              <w:rPr>
                <w:rFonts w:ascii="Arial" w:cs="Arial" w:eastAsia="Arial" w:hAnsi="Arial"/>
                <w:sz w:val="13"/>
                <w:szCs w:val="13"/>
                <w:color w:val="auto"/>
              </w:rPr>
              <w:t>17,096,041</w:t>
            </w:r>
          </w:p>
        </w:tc>
        <w:tc>
          <w:tcPr>
            <w:tcW w:w="1040" w:type="dxa"/>
            <w:vAlign w:val="bottom"/>
            <w:vMerge w:val="restart"/>
            <w:shd w:val="clear" w:color="auto" w:fill="F1F2F2"/>
          </w:tcPr>
          <w:p>
            <w:pPr>
              <w:jc w:val="right"/>
              <w:ind w:right="117"/>
              <w:spacing w:after="0"/>
              <w:rPr>
                <w:sz w:val="20"/>
                <w:szCs w:val="20"/>
                <w:color w:val="auto"/>
              </w:rPr>
            </w:pPr>
            <w:r>
              <w:rPr>
                <w:rFonts w:ascii="Arial" w:cs="Arial" w:eastAsia="Arial" w:hAnsi="Arial"/>
                <w:sz w:val="13"/>
                <w:szCs w:val="13"/>
                <w:color w:val="auto"/>
              </w:rPr>
              <w:t>17,096,041</w:t>
            </w:r>
          </w:p>
        </w:tc>
        <w:tc>
          <w:tcPr>
            <w:tcW w:w="106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19,189,595</w:t>
            </w:r>
          </w:p>
        </w:tc>
        <w:tc>
          <w:tcPr>
            <w:tcW w:w="0" w:type="dxa"/>
            <w:vAlign w:val="bottom"/>
          </w:tcPr>
          <w:p>
            <w:pPr>
              <w:spacing w:after="0"/>
              <w:rPr>
                <w:sz w:val="1"/>
                <w:szCs w:val="1"/>
                <w:color w:val="auto"/>
              </w:rPr>
            </w:pPr>
          </w:p>
        </w:tc>
      </w:tr>
      <w:tr>
        <w:trPr>
          <w:trHeight w:val="85"/>
        </w:trPr>
        <w:tc>
          <w:tcPr>
            <w:tcW w:w="264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Vesting</w:t>
            </w:r>
          </w:p>
        </w:tc>
        <w:tc>
          <w:tcPr>
            <w:tcW w:w="1080" w:type="dxa"/>
            <w:vAlign w:val="bottom"/>
            <w:vMerge w:val="continue"/>
            <w:shd w:val="clear" w:color="auto" w:fill="F1F2F2"/>
          </w:tcPr>
          <w:p>
            <w:pPr>
              <w:spacing w:after="0"/>
              <w:rPr>
                <w:sz w:val="7"/>
                <w:szCs w:val="7"/>
                <w:color w:val="auto"/>
              </w:rPr>
            </w:pPr>
          </w:p>
        </w:tc>
        <w:tc>
          <w:tcPr>
            <w:tcW w:w="1100" w:type="dxa"/>
            <w:vAlign w:val="bottom"/>
            <w:vMerge w:val="continue"/>
            <w:shd w:val="clear" w:color="auto" w:fill="F1F2F2"/>
          </w:tcPr>
          <w:p>
            <w:pPr>
              <w:spacing w:after="0"/>
              <w:rPr>
                <w:sz w:val="7"/>
                <w:szCs w:val="7"/>
                <w:color w:val="auto"/>
              </w:rPr>
            </w:pPr>
          </w:p>
        </w:tc>
        <w:tc>
          <w:tcPr>
            <w:tcW w:w="1240" w:type="dxa"/>
            <w:vAlign w:val="bottom"/>
            <w:vMerge w:val="continue"/>
            <w:shd w:val="clear" w:color="auto" w:fill="F1F2F2"/>
          </w:tcPr>
          <w:p>
            <w:pPr>
              <w:spacing w:after="0"/>
              <w:rPr>
                <w:sz w:val="7"/>
                <w:szCs w:val="7"/>
                <w:color w:val="auto"/>
              </w:rPr>
            </w:pPr>
          </w:p>
        </w:tc>
        <w:tc>
          <w:tcPr>
            <w:tcW w:w="1040" w:type="dxa"/>
            <w:vAlign w:val="bottom"/>
            <w:vMerge w:val="continue"/>
            <w:shd w:val="clear" w:color="auto" w:fill="F1F2F2"/>
          </w:tcPr>
          <w:p>
            <w:pPr>
              <w:spacing w:after="0"/>
              <w:rPr>
                <w:sz w:val="7"/>
                <w:szCs w:val="7"/>
                <w:color w:val="auto"/>
              </w:rPr>
            </w:pPr>
          </w:p>
        </w:tc>
        <w:tc>
          <w:tcPr>
            <w:tcW w:w="1020" w:type="dxa"/>
            <w:vAlign w:val="bottom"/>
            <w:vMerge w:val="continue"/>
            <w:shd w:val="clear" w:color="auto" w:fill="F1F2F2"/>
          </w:tcPr>
          <w:p>
            <w:pPr>
              <w:spacing w:after="0"/>
              <w:rPr>
                <w:sz w:val="7"/>
                <w:szCs w:val="7"/>
                <w:color w:val="auto"/>
              </w:rPr>
            </w:pPr>
          </w:p>
        </w:tc>
        <w:tc>
          <w:tcPr>
            <w:tcW w:w="1040" w:type="dxa"/>
            <w:vAlign w:val="bottom"/>
            <w:vMerge w:val="continue"/>
            <w:shd w:val="clear" w:color="auto" w:fill="F1F2F2"/>
          </w:tcPr>
          <w:p>
            <w:pPr>
              <w:spacing w:after="0"/>
              <w:rPr>
                <w:sz w:val="7"/>
                <w:szCs w:val="7"/>
                <w:color w:val="auto"/>
              </w:rPr>
            </w:pPr>
          </w:p>
        </w:tc>
        <w:tc>
          <w:tcPr>
            <w:tcW w:w="1060" w:type="dxa"/>
            <w:vAlign w:val="bottom"/>
            <w:vMerge w:val="continue"/>
            <w:shd w:val="clear" w:color="auto" w:fill="F1F2F2"/>
          </w:tcPr>
          <w:p>
            <w:pPr>
              <w:spacing w:after="0"/>
              <w:rPr>
                <w:sz w:val="7"/>
                <w:szCs w:val="7"/>
                <w:color w:val="auto"/>
              </w:rPr>
            </w:pPr>
          </w:p>
        </w:tc>
        <w:tc>
          <w:tcPr>
            <w:tcW w:w="102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40" w:type="dxa"/>
            <w:vAlign w:val="bottom"/>
            <w:tcBorders>
              <w:bottom w:val="single" w:sz="8" w:color="F1F2F2"/>
            </w:tcBorders>
            <w:vMerge w:val="continue"/>
            <w:shd w:val="clear" w:color="auto" w:fill="F1F2F2"/>
          </w:tcPr>
          <w:p>
            <w:pPr>
              <w:spacing w:after="0"/>
              <w:rPr>
                <w:sz w:val="7"/>
                <w:szCs w:val="7"/>
                <w:color w:val="auto"/>
              </w:rPr>
            </w:pPr>
          </w:p>
        </w:tc>
        <w:tc>
          <w:tcPr>
            <w:tcW w:w="1080" w:type="dxa"/>
            <w:vAlign w:val="bottom"/>
            <w:tcBorders>
              <w:bottom w:val="single" w:sz="8" w:color="F1F2F2"/>
            </w:tcBorders>
            <w:shd w:val="clear" w:color="auto" w:fill="F1F2F2"/>
          </w:tcPr>
          <w:p>
            <w:pPr>
              <w:spacing w:after="0"/>
              <w:rPr>
                <w:sz w:val="7"/>
                <w:szCs w:val="7"/>
                <w:color w:val="auto"/>
              </w:rPr>
            </w:pPr>
          </w:p>
        </w:tc>
        <w:tc>
          <w:tcPr>
            <w:tcW w:w="1100" w:type="dxa"/>
            <w:vAlign w:val="bottom"/>
            <w:tcBorders>
              <w:bottom w:val="single" w:sz="8" w:color="F1F2F2"/>
            </w:tcBorders>
            <w:shd w:val="clear" w:color="auto" w:fill="F1F2F2"/>
          </w:tcPr>
          <w:p>
            <w:pPr>
              <w:spacing w:after="0"/>
              <w:rPr>
                <w:sz w:val="7"/>
                <w:szCs w:val="7"/>
                <w:color w:val="auto"/>
              </w:rPr>
            </w:pPr>
          </w:p>
        </w:tc>
        <w:tc>
          <w:tcPr>
            <w:tcW w:w="1240" w:type="dxa"/>
            <w:vAlign w:val="bottom"/>
            <w:tcBorders>
              <w:bottom w:val="single" w:sz="8" w:color="F1F2F2"/>
            </w:tcBorders>
            <w:shd w:val="clear" w:color="auto" w:fill="F1F2F2"/>
          </w:tcPr>
          <w:p>
            <w:pPr>
              <w:spacing w:after="0"/>
              <w:rPr>
                <w:sz w:val="7"/>
                <w:szCs w:val="7"/>
                <w:color w:val="auto"/>
              </w:rPr>
            </w:pPr>
          </w:p>
        </w:tc>
        <w:tc>
          <w:tcPr>
            <w:tcW w:w="1040" w:type="dxa"/>
            <w:vAlign w:val="bottom"/>
            <w:tcBorders>
              <w:bottom w:val="single" w:sz="8" w:color="F1F2F2"/>
            </w:tcBorders>
            <w:shd w:val="clear" w:color="auto" w:fill="F1F2F2"/>
          </w:tcPr>
          <w:p>
            <w:pPr>
              <w:spacing w:after="0"/>
              <w:rPr>
                <w:sz w:val="7"/>
                <w:szCs w:val="7"/>
                <w:color w:val="auto"/>
              </w:rPr>
            </w:pPr>
          </w:p>
        </w:tc>
        <w:tc>
          <w:tcPr>
            <w:tcW w:w="1020" w:type="dxa"/>
            <w:vAlign w:val="bottom"/>
            <w:tcBorders>
              <w:bottom w:val="single" w:sz="8" w:color="F1F2F2"/>
            </w:tcBorders>
            <w:shd w:val="clear" w:color="auto" w:fill="F1F2F2"/>
          </w:tcPr>
          <w:p>
            <w:pPr>
              <w:spacing w:after="0"/>
              <w:rPr>
                <w:sz w:val="7"/>
                <w:szCs w:val="7"/>
                <w:color w:val="auto"/>
              </w:rPr>
            </w:pPr>
          </w:p>
        </w:tc>
        <w:tc>
          <w:tcPr>
            <w:tcW w:w="1040" w:type="dxa"/>
            <w:vAlign w:val="bottom"/>
            <w:tcBorders>
              <w:bottom w:val="single" w:sz="8" w:color="F1F2F2"/>
            </w:tcBorders>
            <w:shd w:val="clear" w:color="auto" w:fill="F1F2F2"/>
          </w:tcPr>
          <w:p>
            <w:pPr>
              <w:spacing w:after="0"/>
              <w:rPr>
                <w:sz w:val="7"/>
                <w:szCs w:val="7"/>
                <w:color w:val="auto"/>
              </w:rPr>
            </w:pPr>
          </w:p>
        </w:tc>
        <w:tc>
          <w:tcPr>
            <w:tcW w:w="1060" w:type="dxa"/>
            <w:vAlign w:val="bottom"/>
            <w:tcBorders>
              <w:bottom w:val="single" w:sz="8" w:color="F1F2F2"/>
            </w:tcBorders>
            <w:shd w:val="clear" w:color="auto" w:fill="F1F2F2"/>
          </w:tcPr>
          <w:p>
            <w:pPr>
              <w:spacing w:after="0"/>
              <w:rPr>
                <w:sz w:val="7"/>
                <w:szCs w:val="7"/>
                <w:color w:val="auto"/>
              </w:rPr>
            </w:pPr>
          </w:p>
        </w:tc>
        <w:tc>
          <w:tcPr>
            <w:tcW w:w="1020" w:type="dxa"/>
            <w:vAlign w:val="bottom"/>
            <w:tcBorders>
              <w:bottom w:val="single" w:sz="8" w:color="F1F2F2"/>
            </w:tcBorders>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80" w:type="dxa"/>
            <w:vAlign w:val="bottom"/>
          </w:tcPr>
          <w:p>
            <w:pPr>
              <w:jc w:val="right"/>
              <w:spacing w:after="0"/>
              <w:rPr>
                <w:sz w:val="20"/>
                <w:szCs w:val="20"/>
                <w:color w:val="auto"/>
              </w:rPr>
            </w:pPr>
            <w:r>
              <w:rPr>
                <w:rFonts w:ascii="Arial" w:cs="Arial" w:eastAsia="Arial" w:hAnsi="Arial"/>
                <w:sz w:val="13"/>
                <w:szCs w:val="13"/>
                <w:color w:val="auto"/>
              </w:rPr>
              <w:t>110,577</w:t>
            </w:r>
          </w:p>
        </w:tc>
        <w:tc>
          <w:tcPr>
            <w:tcW w:w="1100" w:type="dxa"/>
            <w:vAlign w:val="bottom"/>
          </w:tcPr>
          <w:p>
            <w:pPr>
              <w:jc w:val="right"/>
              <w:spacing w:after="0"/>
              <w:rPr>
                <w:sz w:val="20"/>
                <w:szCs w:val="20"/>
                <w:color w:val="auto"/>
              </w:rPr>
            </w:pPr>
            <w:r>
              <w:rPr>
                <w:rFonts w:ascii="Arial" w:cs="Arial" w:eastAsia="Arial" w:hAnsi="Arial"/>
                <w:sz w:val="13"/>
                <w:szCs w:val="13"/>
                <w:color w:val="auto"/>
              </w:rPr>
              <w:t>n/a</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110,577</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110,577</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110,577</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110,577</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110,577</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110,577</w:t>
            </w:r>
          </w:p>
        </w:tc>
        <w:tc>
          <w:tcPr>
            <w:tcW w:w="0" w:type="dxa"/>
            <w:vAlign w:val="bottom"/>
          </w:tcPr>
          <w:p>
            <w:pPr>
              <w:spacing w:after="0"/>
              <w:rPr>
                <w:sz w:val="1"/>
                <w:szCs w:val="1"/>
                <w:color w:val="auto"/>
              </w:rPr>
            </w:pPr>
          </w:p>
        </w:tc>
      </w:tr>
      <w:tr>
        <w:trPr>
          <w:trHeight w:val="28"/>
        </w:trPr>
        <w:tc>
          <w:tcPr>
            <w:tcW w:w="2640" w:type="dxa"/>
            <w:vAlign w:val="bottom"/>
            <w:tcBorders>
              <w:bottom w:val="single" w:sz="8" w:color="F1F2F2"/>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08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$110,577</w:t>
            </w:r>
          </w:p>
        </w:tc>
        <w:tc>
          <w:tcPr>
            <w:tcW w:w="110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n/a</w:t>
            </w:r>
          </w:p>
        </w:tc>
        <w:tc>
          <w:tcPr>
            <w:tcW w:w="124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$398,077</w:t>
            </w:r>
          </w:p>
        </w:tc>
        <w:tc>
          <w:tcPr>
            <w:tcW w:w="104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$4,280,318</w:t>
            </w:r>
          </w:p>
        </w:tc>
        <w:tc>
          <w:tcPr>
            <w:tcW w:w="102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$17,494,118</w:t>
            </w:r>
          </w:p>
        </w:tc>
        <w:tc>
          <w:tcPr>
            <w:tcW w:w="104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$21,316,552</w:t>
            </w:r>
          </w:p>
        </w:tc>
        <w:tc>
          <w:tcPr>
            <w:tcW w:w="106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$110,577</w:t>
            </w:r>
          </w:p>
        </w:tc>
        <w:tc>
          <w:tcPr>
            <w:tcW w:w="102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$28,368,779</w:t>
            </w:r>
          </w:p>
        </w:tc>
        <w:tc>
          <w:tcPr>
            <w:tcW w:w="0" w:type="dxa"/>
            <w:vAlign w:val="bottom"/>
          </w:tcPr>
          <w:p>
            <w:pPr>
              <w:spacing w:after="0"/>
              <w:rPr>
                <w:sz w:val="1"/>
                <w:szCs w:val="1"/>
                <w:color w:val="auto"/>
              </w:rPr>
            </w:pPr>
          </w:p>
        </w:tc>
      </w:tr>
      <w:tr>
        <w:trPr>
          <w:trHeight w:val="22"/>
        </w:trPr>
        <w:tc>
          <w:tcPr>
            <w:tcW w:w="2640" w:type="dxa"/>
            <w:vAlign w:val="bottom"/>
            <w:shd w:val="clear" w:color="auto" w:fill="F1F2F2"/>
          </w:tcPr>
          <w:p>
            <w:pPr>
              <w:spacing w:after="0" w:line="20" w:lineRule="exact"/>
              <w:rPr>
                <w:sz w:val="1"/>
                <w:szCs w:val="1"/>
                <w:color w:val="auto"/>
              </w:rPr>
            </w:pPr>
          </w:p>
        </w:tc>
        <w:tc>
          <w:tcPr>
            <w:tcW w:w="1080" w:type="dxa"/>
            <w:vAlign w:val="bottom"/>
            <w:shd w:val="clear" w:color="auto" w:fill="F1F2F2"/>
          </w:tcPr>
          <w:p>
            <w:pPr>
              <w:spacing w:after="0" w:line="20" w:lineRule="exact"/>
              <w:rPr>
                <w:sz w:val="1"/>
                <w:szCs w:val="1"/>
                <w:color w:val="auto"/>
              </w:rPr>
            </w:pPr>
          </w:p>
        </w:tc>
        <w:tc>
          <w:tcPr>
            <w:tcW w:w="1100" w:type="dxa"/>
            <w:vAlign w:val="bottom"/>
            <w:shd w:val="clear" w:color="auto" w:fill="F1F2F2"/>
          </w:tcPr>
          <w:p>
            <w:pPr>
              <w:spacing w:after="0" w:line="20" w:lineRule="exact"/>
              <w:rPr>
                <w:sz w:val="1"/>
                <w:szCs w:val="1"/>
                <w:color w:val="auto"/>
              </w:rPr>
            </w:pPr>
          </w:p>
        </w:tc>
        <w:tc>
          <w:tcPr>
            <w:tcW w:w="124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106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Maskara did not meet retirement eligibility requirements on December 31, 2024.</w:t>
      </w:r>
    </w:p>
    <w:p>
      <w:pPr>
        <w:spacing w:after="0" w:line="122" w:lineRule="exact"/>
        <w:rPr>
          <w:rFonts w:ascii="Arial" w:cs="Arial" w:eastAsia="Arial" w:hAnsi="Arial"/>
          <w:sz w:val="14"/>
          <w:szCs w:val="14"/>
          <w:color w:val="auto"/>
        </w:rPr>
      </w:pPr>
    </w:p>
    <w:p>
      <w:pPr>
        <w:ind w:left="340" w:right="240" w:hanging="332"/>
        <w:spacing w:after="0" w:line="285" w:lineRule="auto"/>
        <w:tabs>
          <w:tab w:leader="none" w:pos="327"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amounts shown reflect the same severance benefits that would be provided to Mr. Maskara if he terminated employment with our Company for “good reason” under his employment agreement as discussed above.</w:t>
      </w: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C60C35"/>
        </w:rPr>
        <w:t>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19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Involuntary-Not For Cause</w:t>
      </w:r>
    </w:p>
    <w:p>
      <w:pPr>
        <w:spacing w:after="0" w:line="2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Termination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vMerge w:val="restart"/>
          </w:tcPr>
          <w:p>
            <w:pPr>
              <w:ind w:left="100"/>
              <w:spacing w:after="0"/>
              <w:rPr>
                <w:sz w:val="20"/>
                <w:szCs w:val="20"/>
                <w:color w:val="auto"/>
              </w:rPr>
            </w:pPr>
            <w:r>
              <w:rPr>
                <w:rFonts w:ascii="Arial" w:cs="Arial" w:eastAsia="Arial" w:hAnsi="Arial"/>
                <w:sz w:val="13"/>
                <w:szCs w:val="13"/>
                <w:b w:val="1"/>
                <w:bCs w:val="1"/>
                <w:color w:val="FFFFFF"/>
              </w:rPr>
              <w:t>Component</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160" w:type="dxa"/>
            <w:vAlign w:val="bottom"/>
            <w:vMerge w:val="restart"/>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9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96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Enhanced</w:t>
            </w:r>
          </w:p>
        </w:tc>
        <w:tc>
          <w:tcPr>
            <w:tcW w:w="940" w:type="dxa"/>
            <w:vAlign w:val="bottom"/>
            <w:vMerge w:val="restart"/>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60" w:type="dxa"/>
            <w:vAlign w:val="bottom"/>
            <w:vMerge w:val="restart"/>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Disability</w:t>
            </w:r>
          </w:p>
        </w:tc>
        <w:tc>
          <w:tcPr>
            <w:tcW w:w="10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160" w:type="dxa"/>
            <w:vAlign w:val="bottom"/>
            <w:tcBorders>
              <w:bottom w:val="single" w:sz="8" w:color="C60C35"/>
            </w:tcBorders>
            <w:vMerge w:val="continue"/>
            <w:shd w:val="clear" w:color="auto" w:fill="C60C35"/>
          </w:tcPr>
          <w:p>
            <w:pPr>
              <w:spacing w:after="0"/>
              <w:rPr>
                <w:sz w:val="18"/>
                <w:szCs w:val="18"/>
                <w:color w:val="auto"/>
              </w:rPr>
            </w:pPr>
          </w:p>
        </w:tc>
        <w:tc>
          <w:tcPr>
            <w:tcW w:w="96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96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Severance</w:t>
            </w:r>
          </w:p>
        </w:tc>
        <w:tc>
          <w:tcPr>
            <w:tcW w:w="940" w:type="dxa"/>
            <w:vAlign w:val="bottom"/>
            <w:tcBorders>
              <w:bottom w:val="single" w:sz="8" w:color="C60C35"/>
            </w:tcBorders>
            <w:vMerge w:val="continue"/>
            <w:shd w:val="clear" w:color="auto" w:fill="C60C35"/>
          </w:tcPr>
          <w:p>
            <w:pPr>
              <w:spacing w:after="0"/>
              <w:rPr>
                <w:sz w:val="18"/>
                <w:szCs w:val="18"/>
                <w:color w:val="auto"/>
              </w:rPr>
            </w:pPr>
          </w:p>
        </w:tc>
        <w:tc>
          <w:tcPr>
            <w:tcW w:w="960" w:type="dxa"/>
            <w:vAlign w:val="bottom"/>
            <w:tcBorders>
              <w:bottom w:val="single" w:sz="8" w:color="C60C35"/>
            </w:tcBorders>
            <w:vMerge w:val="continue"/>
            <w:shd w:val="clear" w:color="auto" w:fill="C60C35"/>
          </w:tcPr>
          <w:p>
            <w:pPr>
              <w:spacing w:after="0"/>
              <w:rPr>
                <w:sz w:val="18"/>
                <w:szCs w:val="18"/>
                <w:color w:val="auto"/>
              </w:rPr>
            </w:pPr>
          </w:p>
        </w:tc>
        <w:tc>
          <w:tcPr>
            <w:tcW w:w="10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Base Salary</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$137,500</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$1,100,000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$137,500</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$1,100,000</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$1,100,000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412,500</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Bonus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369,778</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369,778</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825,000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 payment in lieu)</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55,000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55,000</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Payment in Lieu of Perquisites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55,000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55,000</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56,106</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56,106</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Long-Term Equity Accelerated Vesting</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1,376,435</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1,376,435</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1,861,437</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40" w:type="dxa"/>
            <w:vAlign w:val="bottom"/>
          </w:tcPr>
          <w:p>
            <w:pPr>
              <w:jc w:val="right"/>
              <w:spacing w:after="0"/>
              <w:rPr>
                <w:sz w:val="20"/>
                <w:szCs w:val="20"/>
                <w:color w:val="auto"/>
              </w:rPr>
            </w:pPr>
            <w:r>
              <w:rPr>
                <w:rFonts w:ascii="Arial" w:cs="Arial" w:eastAsia="Arial" w:hAnsi="Arial"/>
                <w:sz w:val="13"/>
                <w:szCs w:val="13"/>
                <w:color w:val="auto"/>
              </w:rPr>
              <w:t>52,885</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52,885</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52,885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52,885</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52,885</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52,885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52,885</w:t>
            </w:r>
          </w:p>
        </w:tc>
        <w:tc>
          <w:tcPr>
            <w:tcW w:w="0" w:type="dxa"/>
            <w:vAlign w:val="bottom"/>
          </w:tcPr>
          <w:p>
            <w:pPr>
              <w:spacing w:after="0"/>
              <w:rPr>
                <w:sz w:val="1"/>
                <w:szCs w:val="1"/>
                <w:color w:val="auto"/>
              </w:rPr>
            </w:pPr>
          </w:p>
        </w:tc>
      </w:tr>
      <w:tr>
        <w:trPr>
          <w:trHeight w:val="28"/>
        </w:trPr>
        <w:tc>
          <w:tcPr>
            <w:tcW w:w="3240" w:type="dxa"/>
            <w:vAlign w:val="bottom"/>
            <w:tcBorders>
              <w:bottom w:val="single" w:sz="8" w:color="F1F2F2"/>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$52,885</w:t>
            </w:r>
          </w:p>
        </w:tc>
        <w:tc>
          <w:tcPr>
            <w:tcW w:w="116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n/a</w:t>
            </w:r>
          </w:p>
        </w:tc>
        <w:tc>
          <w:tcPr>
            <w:tcW w:w="960" w:type="dxa"/>
            <w:vAlign w:val="bottom"/>
            <w:shd w:val="clear" w:color="auto" w:fill="F1F2F2"/>
          </w:tcPr>
          <w:p>
            <w:pPr>
              <w:jc w:val="right"/>
              <w:ind w:right="137"/>
              <w:spacing w:after="0"/>
              <w:rPr>
                <w:sz w:val="20"/>
                <w:szCs w:val="20"/>
                <w:color w:val="auto"/>
              </w:rPr>
            </w:pPr>
            <w:r>
              <w:rPr>
                <w:rFonts w:ascii="Arial" w:cs="Arial" w:eastAsia="Arial" w:hAnsi="Arial"/>
                <w:sz w:val="13"/>
                <w:szCs w:val="13"/>
                <w:b w:val="1"/>
                <w:bCs w:val="1"/>
                <w:color w:val="auto"/>
              </w:rPr>
              <w:t>$190,385</w:t>
            </w:r>
          </w:p>
        </w:tc>
        <w:tc>
          <w:tcPr>
            <w:tcW w:w="96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$1,688,769</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$1,566,820</w:t>
            </w:r>
          </w:p>
        </w:tc>
        <w:tc>
          <w:tcPr>
            <w:tcW w:w="96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$3,009,098</w:t>
            </w:r>
          </w:p>
        </w:tc>
        <w:tc>
          <w:tcPr>
            <w:tcW w:w="10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$52,885</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$4,313,903</w:t>
            </w:r>
          </w:p>
        </w:tc>
        <w:tc>
          <w:tcPr>
            <w:tcW w:w="0" w:type="dxa"/>
            <w:vAlign w:val="bottom"/>
          </w:tcPr>
          <w:p>
            <w:pPr>
              <w:spacing w:after="0"/>
              <w:rPr>
                <w:sz w:val="1"/>
                <w:szCs w:val="1"/>
                <w:color w:val="auto"/>
              </w:rPr>
            </w:pPr>
          </w:p>
        </w:tc>
      </w:tr>
      <w:tr>
        <w:trPr>
          <w:trHeight w:val="22"/>
        </w:trPr>
        <w:tc>
          <w:tcPr>
            <w:tcW w:w="324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116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Mr. Quenzer did not meet retirement eligibility requirements on December 31, 2024.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Gary S. Bedard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14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92" w:lineRule="exact"/>
        <w:rPr>
          <w:sz w:val="20"/>
          <w:szCs w:val="20"/>
          <w:color w:val="auto"/>
        </w:rPr>
      </w:pPr>
    </w:p>
    <w:p>
      <w:pPr>
        <w:jc w:val="center"/>
        <w:ind w:left="1420"/>
        <w:spacing w:after="0"/>
        <w:rPr>
          <w:sz w:val="20"/>
          <w:szCs w:val="20"/>
          <w:color w:val="auto"/>
        </w:rPr>
      </w:pPr>
      <w:r>
        <w:rPr>
          <w:rFonts w:ascii="Arial" w:cs="Arial" w:eastAsia="Arial" w:hAnsi="Arial"/>
          <w:sz w:val="13"/>
          <w:szCs w:val="13"/>
          <w:b w:val="1"/>
          <w:bCs w:val="1"/>
          <w:color w:val="FFFFFF"/>
        </w:rPr>
        <w:t>Involuntary-Not For Cause</w:t>
      </w:r>
    </w:p>
    <w:p>
      <w:pPr>
        <w:spacing w:after="0" w:line="11" w:lineRule="exact"/>
        <w:rPr>
          <w:sz w:val="20"/>
          <w:szCs w:val="20"/>
          <w:color w:val="auto"/>
        </w:rPr>
      </w:pPr>
    </w:p>
    <w:p>
      <w:pPr>
        <w:jc w:val="center"/>
        <w:ind w:left="1420"/>
        <w:spacing w:after="0"/>
        <w:rPr>
          <w:sz w:val="20"/>
          <w:szCs w:val="20"/>
          <w:color w:val="auto"/>
        </w:rPr>
      </w:pPr>
      <w:r>
        <w:rPr>
          <w:rFonts w:ascii="Arial" w:cs="Arial" w:eastAsia="Arial" w:hAnsi="Arial"/>
          <w:sz w:val="13"/>
          <w:szCs w:val="13"/>
          <w:b w:val="1"/>
          <w:bCs w:val="1"/>
          <w:color w:val="FFFFFF"/>
        </w:rPr>
        <w:t>Termination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060" w:type="dxa"/>
            <w:vAlign w:val="bottom"/>
            <w:shd w:val="clear" w:color="auto" w:fill="C60C35"/>
          </w:tcPr>
          <w:p>
            <w:pPr>
              <w:spacing w:after="0"/>
              <w:rPr>
                <w:sz w:val="18"/>
                <w:szCs w:val="18"/>
                <w:color w:val="auto"/>
              </w:rPr>
            </w:pPr>
          </w:p>
        </w:tc>
        <w:tc>
          <w:tcPr>
            <w:tcW w:w="108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96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Enhanced</w:t>
            </w:r>
          </w:p>
        </w:tc>
        <w:tc>
          <w:tcPr>
            <w:tcW w:w="920" w:type="dxa"/>
            <w:vAlign w:val="bottom"/>
            <w:shd w:val="clear" w:color="auto" w:fill="C60C35"/>
          </w:tcPr>
          <w:p>
            <w:pPr>
              <w:spacing w:after="0"/>
              <w:rPr>
                <w:sz w:val="18"/>
                <w:szCs w:val="18"/>
                <w:color w:val="auto"/>
              </w:rPr>
            </w:pPr>
          </w:p>
        </w:tc>
        <w:tc>
          <w:tcPr>
            <w:tcW w:w="940" w:type="dxa"/>
            <w:vAlign w:val="bottom"/>
            <w:shd w:val="clear" w:color="auto" w:fill="C60C35"/>
          </w:tcPr>
          <w:p>
            <w:pPr>
              <w:spacing w:after="0"/>
              <w:rPr>
                <w:sz w:val="18"/>
                <w:szCs w:val="18"/>
                <w:color w:val="auto"/>
              </w:rPr>
            </w:pPr>
          </w:p>
        </w:tc>
        <w:tc>
          <w:tcPr>
            <w:tcW w:w="102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172"/>
        </w:trPr>
        <w:tc>
          <w:tcPr>
            <w:tcW w:w="3300" w:type="dxa"/>
            <w:vAlign w:val="bottom"/>
          </w:tcPr>
          <w:p>
            <w:pPr>
              <w:ind w:left="100"/>
              <w:spacing w:after="0"/>
              <w:rPr>
                <w:sz w:val="20"/>
                <w:szCs w:val="20"/>
                <w:color w:val="auto"/>
              </w:rPr>
            </w:pPr>
            <w:r>
              <w:rPr>
                <w:rFonts w:ascii="Arial" w:cs="Arial" w:eastAsia="Arial" w:hAnsi="Arial"/>
                <w:sz w:val="13"/>
                <w:szCs w:val="13"/>
                <w:b w:val="1"/>
                <w:bCs w:val="1"/>
                <w:color w:val="FFFFFF"/>
              </w:rPr>
              <w:t>Component</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0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Retirement</w:t>
            </w:r>
          </w:p>
        </w:tc>
        <w:tc>
          <w:tcPr>
            <w:tcW w:w="108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96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Severance</w:t>
            </w:r>
          </w:p>
        </w:tc>
        <w:tc>
          <w:tcPr>
            <w:tcW w:w="92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4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Disability</w:t>
            </w:r>
          </w:p>
        </w:tc>
        <w:tc>
          <w:tcPr>
            <w:tcW w:w="102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76"/>
        </w:trPr>
        <w:tc>
          <w:tcPr>
            <w:tcW w:w="3300" w:type="dxa"/>
            <w:vAlign w:val="bottom"/>
          </w:tcPr>
          <w:p>
            <w:pPr>
              <w:spacing w:after="0"/>
              <w:rPr>
                <w:sz w:val="6"/>
                <w:szCs w:val="6"/>
                <w:color w:val="auto"/>
              </w:rPr>
            </w:pPr>
          </w:p>
        </w:tc>
        <w:tc>
          <w:tcPr>
            <w:tcW w:w="1020" w:type="dxa"/>
            <w:vAlign w:val="bottom"/>
            <w:shd w:val="clear" w:color="auto" w:fill="C60C35"/>
          </w:tcPr>
          <w:p>
            <w:pPr>
              <w:spacing w:after="0"/>
              <w:rPr>
                <w:sz w:val="6"/>
                <w:szCs w:val="6"/>
                <w:color w:val="auto"/>
              </w:rPr>
            </w:pPr>
          </w:p>
        </w:tc>
        <w:tc>
          <w:tcPr>
            <w:tcW w:w="1060" w:type="dxa"/>
            <w:vAlign w:val="bottom"/>
            <w:shd w:val="clear" w:color="auto" w:fill="C60C35"/>
          </w:tcPr>
          <w:p>
            <w:pPr>
              <w:spacing w:after="0"/>
              <w:rPr>
                <w:sz w:val="6"/>
                <w:szCs w:val="6"/>
                <w:color w:val="auto"/>
              </w:rPr>
            </w:pPr>
          </w:p>
        </w:tc>
        <w:tc>
          <w:tcPr>
            <w:tcW w:w="1080" w:type="dxa"/>
            <w:vAlign w:val="bottom"/>
            <w:shd w:val="clear" w:color="auto" w:fill="C60C35"/>
          </w:tcPr>
          <w:p>
            <w:pPr>
              <w:spacing w:after="0"/>
              <w:rPr>
                <w:sz w:val="6"/>
                <w:szCs w:val="6"/>
                <w:color w:val="auto"/>
              </w:rPr>
            </w:pPr>
          </w:p>
        </w:tc>
        <w:tc>
          <w:tcPr>
            <w:tcW w:w="960" w:type="dxa"/>
            <w:vAlign w:val="bottom"/>
            <w:shd w:val="clear" w:color="auto" w:fill="C60C35"/>
          </w:tcPr>
          <w:p>
            <w:pPr>
              <w:spacing w:after="0"/>
              <w:rPr>
                <w:sz w:val="6"/>
                <w:szCs w:val="6"/>
                <w:color w:val="auto"/>
              </w:rPr>
            </w:pPr>
          </w:p>
        </w:tc>
        <w:tc>
          <w:tcPr>
            <w:tcW w:w="920" w:type="dxa"/>
            <w:vAlign w:val="bottom"/>
            <w:shd w:val="clear" w:color="auto" w:fill="C60C35"/>
          </w:tcPr>
          <w:p>
            <w:pPr>
              <w:spacing w:after="0"/>
              <w:rPr>
                <w:sz w:val="6"/>
                <w:szCs w:val="6"/>
                <w:color w:val="auto"/>
              </w:rPr>
            </w:pPr>
          </w:p>
        </w:tc>
        <w:tc>
          <w:tcPr>
            <w:tcW w:w="940" w:type="dxa"/>
            <w:vAlign w:val="bottom"/>
            <w:shd w:val="clear" w:color="auto" w:fill="C60C35"/>
          </w:tcPr>
          <w:p>
            <w:pPr>
              <w:spacing w:after="0"/>
              <w:rPr>
                <w:sz w:val="6"/>
                <w:szCs w:val="6"/>
                <w:color w:val="auto"/>
              </w:rPr>
            </w:pPr>
          </w:p>
        </w:tc>
        <w:tc>
          <w:tcPr>
            <w:tcW w:w="1020" w:type="dxa"/>
            <w:vAlign w:val="bottom"/>
            <w:shd w:val="clear" w:color="auto" w:fill="C60C35"/>
          </w:tcPr>
          <w:p>
            <w:pPr>
              <w:spacing w:after="0"/>
              <w:rPr>
                <w:sz w:val="6"/>
                <w:szCs w:val="6"/>
                <w:color w:val="auto"/>
              </w:rPr>
            </w:pPr>
          </w:p>
        </w:tc>
        <w:tc>
          <w:tcPr>
            <w:tcW w:w="94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Base Salary</w:t>
            </w: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$145,000</w:t>
            </w:r>
          </w:p>
        </w:tc>
        <w:tc>
          <w:tcPr>
            <w:tcW w:w="9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$1,160,000</w:t>
            </w:r>
          </w:p>
        </w:tc>
        <w:tc>
          <w:tcPr>
            <w:tcW w:w="92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$145,000</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$1,160,000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$1,160,000</w:t>
            </w:r>
          </w:p>
        </w:tc>
        <w:tc>
          <w:tcPr>
            <w:tcW w:w="0" w:type="dxa"/>
            <w:vAlign w:val="bottom"/>
          </w:tcPr>
          <w:p>
            <w:pPr>
              <w:spacing w:after="0"/>
              <w:rPr>
                <w:sz w:val="1"/>
                <w:szCs w:val="1"/>
                <w:color w:val="auto"/>
              </w:rPr>
            </w:pPr>
          </w:p>
        </w:tc>
      </w:tr>
      <w:tr>
        <w:trPr>
          <w:trHeight w:val="175"/>
        </w:trPr>
        <w:tc>
          <w:tcPr>
            <w:tcW w:w="330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20" w:type="dxa"/>
            <w:vAlign w:val="bottom"/>
          </w:tcPr>
          <w:p>
            <w:pPr>
              <w:jc w:val="right"/>
              <w:spacing w:after="0"/>
              <w:rPr>
                <w:sz w:val="20"/>
                <w:szCs w:val="20"/>
                <w:color w:val="auto"/>
              </w:rPr>
            </w:pPr>
            <w:r>
              <w:rPr>
                <w:rFonts w:ascii="Arial" w:cs="Arial" w:eastAsia="Arial" w:hAnsi="Arial"/>
                <w:sz w:val="13"/>
                <w:szCs w:val="13"/>
                <w:color w:val="auto"/>
              </w:rPr>
              <w:t>n/a</w:t>
            </w:r>
          </w:p>
        </w:tc>
        <w:tc>
          <w:tcPr>
            <w:tcW w:w="1060" w:type="dxa"/>
            <w:vAlign w:val="bottom"/>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435,000</w:t>
            </w:r>
          </w:p>
        </w:tc>
        <w:tc>
          <w:tcPr>
            <w:tcW w:w="0" w:type="dxa"/>
            <w:vAlign w:val="bottom"/>
          </w:tcPr>
          <w:p>
            <w:pPr>
              <w:spacing w:after="0"/>
              <w:rPr>
                <w:sz w:val="1"/>
                <w:szCs w:val="1"/>
                <w:color w:val="auto"/>
              </w:rPr>
            </w:pPr>
          </w:p>
        </w:tc>
      </w:tr>
      <w:tr>
        <w:trPr>
          <w:trHeight w:val="28"/>
        </w:trPr>
        <w:tc>
          <w:tcPr>
            <w:tcW w:w="3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Bonus</w:t>
            </w: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1,205,727</w:t>
            </w:r>
          </w:p>
        </w:tc>
        <w:tc>
          <w:tcPr>
            <w:tcW w:w="92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1,205,727</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870,000</w:t>
            </w:r>
          </w:p>
        </w:tc>
        <w:tc>
          <w:tcPr>
            <w:tcW w:w="0" w:type="dxa"/>
            <w:vAlign w:val="bottom"/>
          </w:tcPr>
          <w:p>
            <w:pPr>
              <w:spacing w:after="0"/>
              <w:rPr>
                <w:sz w:val="1"/>
                <w:szCs w:val="1"/>
                <w:color w:val="auto"/>
              </w:rPr>
            </w:pPr>
          </w:p>
        </w:tc>
      </w:tr>
      <w:tr>
        <w:trPr>
          <w:trHeight w:val="158"/>
        </w:trPr>
        <w:tc>
          <w:tcPr>
            <w:tcW w:w="3300" w:type="dxa"/>
            <w:vAlign w:val="bottom"/>
          </w:tcPr>
          <w:p>
            <w:pPr>
              <w:ind w:left="100"/>
              <w:spacing w:after="0"/>
              <w:rPr>
                <w:sz w:val="20"/>
                <w:szCs w:val="20"/>
                <w:color w:val="auto"/>
              </w:rPr>
            </w:pPr>
            <w:r>
              <w:rPr>
                <w:rFonts w:ascii="Arial" w:cs="Arial" w:eastAsia="Arial" w:hAnsi="Arial"/>
                <w:sz w:val="13"/>
                <w:szCs w:val="13"/>
                <w:color w:val="auto"/>
              </w:rPr>
              <w:t>Outplacement Services (or</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58,000</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58,000</w:t>
            </w:r>
          </w:p>
        </w:tc>
        <w:tc>
          <w:tcPr>
            <w:tcW w:w="102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85"/>
        </w:trPr>
        <w:tc>
          <w:tcPr>
            <w:tcW w:w="3300" w:type="dxa"/>
            <w:vAlign w:val="bottom"/>
            <w:vMerge w:val="restart"/>
          </w:tcPr>
          <w:p>
            <w:pPr>
              <w:ind w:left="100"/>
              <w:spacing w:after="0"/>
              <w:rPr>
                <w:sz w:val="20"/>
                <w:szCs w:val="20"/>
                <w:color w:val="auto"/>
              </w:rPr>
            </w:pPr>
            <w:r>
              <w:rPr>
                <w:rFonts w:ascii="Arial" w:cs="Arial" w:eastAsia="Arial" w:hAnsi="Arial"/>
                <w:sz w:val="13"/>
                <w:szCs w:val="13"/>
                <w:color w:val="auto"/>
              </w:rPr>
              <w:t>payment in lieu)</w:t>
            </w:r>
          </w:p>
        </w:tc>
        <w:tc>
          <w:tcPr>
            <w:tcW w:w="10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3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Payment in Lieu of Perquisites</w:t>
            </w: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58,000</w:t>
            </w:r>
          </w:p>
        </w:tc>
        <w:tc>
          <w:tcPr>
            <w:tcW w:w="92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58,000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30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54,191</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54,191</w:t>
            </w:r>
          </w:p>
        </w:tc>
        <w:tc>
          <w:tcPr>
            <w:tcW w:w="0" w:type="dxa"/>
            <w:vAlign w:val="bottom"/>
          </w:tcPr>
          <w:p>
            <w:pPr>
              <w:spacing w:after="0"/>
              <w:rPr>
                <w:sz w:val="1"/>
                <w:szCs w:val="1"/>
                <w:color w:val="auto"/>
              </w:rPr>
            </w:pPr>
          </w:p>
        </w:tc>
      </w:tr>
      <w:tr>
        <w:trPr>
          <w:trHeight w:val="28"/>
        </w:trPr>
        <w:tc>
          <w:tcPr>
            <w:tcW w:w="3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Long-Term Equity Accelerated Vesting</w:t>
            </w: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3,257,927</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4,042,507</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4,042,507</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4,511,059</w:t>
            </w:r>
          </w:p>
        </w:tc>
        <w:tc>
          <w:tcPr>
            <w:tcW w:w="0" w:type="dxa"/>
            <w:vAlign w:val="bottom"/>
          </w:tcPr>
          <w:p>
            <w:pPr>
              <w:spacing w:after="0"/>
              <w:rPr>
                <w:sz w:val="1"/>
                <w:szCs w:val="1"/>
                <w:color w:val="auto"/>
              </w:rPr>
            </w:pPr>
          </w:p>
        </w:tc>
      </w:tr>
      <w:tr>
        <w:trPr>
          <w:trHeight w:val="175"/>
        </w:trPr>
        <w:tc>
          <w:tcPr>
            <w:tcW w:w="330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20" w:type="dxa"/>
            <w:vAlign w:val="bottom"/>
          </w:tcPr>
          <w:p>
            <w:pPr>
              <w:jc w:val="right"/>
              <w:spacing w:after="0"/>
              <w:rPr>
                <w:sz w:val="20"/>
                <w:szCs w:val="20"/>
                <w:color w:val="auto"/>
              </w:rPr>
            </w:pPr>
            <w:r>
              <w:rPr>
                <w:rFonts w:ascii="Arial" w:cs="Arial" w:eastAsia="Arial" w:hAnsi="Arial"/>
                <w:sz w:val="13"/>
                <w:szCs w:val="13"/>
                <w:color w:val="auto"/>
              </w:rPr>
              <w:t>55,769</w:t>
            </w:r>
          </w:p>
        </w:tc>
        <w:tc>
          <w:tcPr>
            <w:tcW w:w="1060" w:type="dxa"/>
            <w:vAlign w:val="bottom"/>
          </w:tcPr>
          <w:p>
            <w:pPr>
              <w:jc w:val="right"/>
              <w:spacing w:after="0"/>
              <w:rPr>
                <w:sz w:val="20"/>
                <w:szCs w:val="20"/>
                <w:color w:val="auto"/>
              </w:rPr>
            </w:pPr>
            <w:r>
              <w:rPr>
                <w:rFonts w:ascii="Arial" w:cs="Arial" w:eastAsia="Arial" w:hAnsi="Arial"/>
                <w:sz w:val="13"/>
                <w:szCs w:val="13"/>
                <w:color w:val="auto"/>
              </w:rPr>
              <w:t>55,769</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55,769</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55,769</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55,769</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55,769</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55,769</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55,769</w:t>
            </w:r>
          </w:p>
        </w:tc>
        <w:tc>
          <w:tcPr>
            <w:tcW w:w="0" w:type="dxa"/>
            <w:vAlign w:val="bottom"/>
          </w:tcPr>
          <w:p>
            <w:pPr>
              <w:spacing w:after="0"/>
              <w:rPr>
                <w:sz w:val="1"/>
                <w:szCs w:val="1"/>
                <w:color w:val="auto"/>
              </w:rPr>
            </w:pPr>
          </w:p>
        </w:tc>
      </w:tr>
      <w:tr>
        <w:trPr>
          <w:trHeight w:val="28"/>
        </w:trPr>
        <w:tc>
          <w:tcPr>
            <w:tcW w:w="3300" w:type="dxa"/>
            <w:vAlign w:val="bottom"/>
            <w:tcBorders>
              <w:bottom w:val="single" w:sz="8" w:color="F3F3F3"/>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F3F3F3"/>
          </w:tcPr>
          <w:p>
            <w:pPr>
              <w:ind w:left="100"/>
              <w:spacing w:after="0"/>
              <w:rPr>
                <w:sz w:val="20"/>
                <w:szCs w:val="20"/>
                <w:color w:val="auto"/>
              </w:rPr>
            </w:pPr>
            <w:r>
              <w:rPr>
                <w:rFonts w:ascii="Arial" w:cs="Arial" w:eastAsia="Arial" w:hAnsi="Arial"/>
                <w:sz w:val="13"/>
                <w:szCs w:val="13"/>
                <w:b w:val="1"/>
                <w:bCs w:val="1"/>
                <w:color w:val="auto"/>
              </w:rPr>
              <w:t>TOTAL</w:t>
            </w:r>
          </w:p>
        </w:tc>
        <w:tc>
          <w:tcPr>
            <w:tcW w:w="1020" w:type="dxa"/>
            <w:vAlign w:val="bottom"/>
            <w:shd w:val="clear" w:color="auto" w:fill="F3F3F3"/>
          </w:tcPr>
          <w:p>
            <w:pPr>
              <w:jc w:val="right"/>
              <w:spacing w:after="0"/>
              <w:rPr>
                <w:sz w:val="20"/>
                <w:szCs w:val="20"/>
                <w:color w:val="auto"/>
              </w:rPr>
            </w:pPr>
            <w:r>
              <w:rPr>
                <w:rFonts w:ascii="Arial" w:cs="Arial" w:eastAsia="Arial" w:hAnsi="Arial"/>
                <w:sz w:val="13"/>
                <w:szCs w:val="13"/>
                <w:b w:val="1"/>
                <w:bCs w:val="1"/>
                <w:color w:val="auto"/>
              </w:rPr>
              <w:t>$55,769</w:t>
            </w:r>
          </w:p>
        </w:tc>
        <w:tc>
          <w:tcPr>
            <w:tcW w:w="1060" w:type="dxa"/>
            <w:vAlign w:val="bottom"/>
            <w:shd w:val="clear" w:color="auto" w:fill="F3F3F3"/>
          </w:tcPr>
          <w:p>
            <w:pPr>
              <w:jc w:val="right"/>
              <w:spacing w:after="0"/>
              <w:rPr>
                <w:sz w:val="20"/>
                <w:szCs w:val="20"/>
                <w:color w:val="auto"/>
              </w:rPr>
            </w:pPr>
            <w:r>
              <w:rPr>
                <w:rFonts w:ascii="Arial" w:cs="Arial" w:eastAsia="Arial" w:hAnsi="Arial"/>
                <w:sz w:val="13"/>
                <w:szCs w:val="13"/>
                <w:b w:val="1"/>
                <w:bCs w:val="1"/>
                <w:color w:val="auto"/>
              </w:rPr>
              <w:t>$3,313,696</w:t>
            </w:r>
          </w:p>
        </w:tc>
        <w:tc>
          <w:tcPr>
            <w:tcW w:w="1080" w:type="dxa"/>
            <w:vAlign w:val="bottom"/>
            <w:shd w:val="clear" w:color="auto" w:fill="F3F3F3"/>
          </w:tcPr>
          <w:p>
            <w:pPr>
              <w:jc w:val="right"/>
              <w:ind w:right="137"/>
              <w:spacing w:after="0"/>
              <w:rPr>
                <w:sz w:val="20"/>
                <w:szCs w:val="20"/>
                <w:color w:val="auto"/>
              </w:rPr>
            </w:pPr>
            <w:r>
              <w:rPr>
                <w:rFonts w:ascii="Arial" w:cs="Arial" w:eastAsia="Arial" w:hAnsi="Arial"/>
                <w:sz w:val="13"/>
                <w:szCs w:val="13"/>
                <w:b w:val="1"/>
                <w:bCs w:val="1"/>
                <w:color w:val="auto"/>
              </w:rPr>
              <w:t>$200,769</w:t>
            </w:r>
          </w:p>
        </w:tc>
        <w:tc>
          <w:tcPr>
            <w:tcW w:w="960" w:type="dxa"/>
            <w:vAlign w:val="bottom"/>
            <w:shd w:val="clear" w:color="auto" w:fill="F3F3F3"/>
          </w:tcPr>
          <w:p>
            <w:pPr>
              <w:jc w:val="right"/>
              <w:ind w:right="77"/>
              <w:spacing w:after="0"/>
              <w:rPr>
                <w:sz w:val="20"/>
                <w:szCs w:val="20"/>
                <w:color w:val="auto"/>
              </w:rPr>
            </w:pPr>
            <w:r>
              <w:rPr>
                <w:rFonts w:ascii="Arial" w:cs="Arial" w:eastAsia="Arial" w:hAnsi="Arial"/>
                <w:sz w:val="13"/>
                <w:szCs w:val="13"/>
                <w:b w:val="1"/>
                <w:bCs w:val="1"/>
                <w:color w:val="auto"/>
              </w:rPr>
              <w:t>$2,591,687</w:t>
            </w:r>
          </w:p>
        </w:tc>
        <w:tc>
          <w:tcPr>
            <w:tcW w:w="92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$4,243,276</w:t>
            </w:r>
          </w:p>
        </w:tc>
        <w:tc>
          <w:tcPr>
            <w:tcW w:w="940" w:type="dxa"/>
            <w:vAlign w:val="bottom"/>
            <w:shd w:val="clear" w:color="auto" w:fill="F3F3F3"/>
          </w:tcPr>
          <w:p>
            <w:pPr>
              <w:jc w:val="right"/>
              <w:ind w:right="77"/>
              <w:spacing w:after="0"/>
              <w:rPr>
                <w:sz w:val="20"/>
                <w:szCs w:val="20"/>
                <w:color w:val="auto"/>
              </w:rPr>
            </w:pPr>
            <w:r>
              <w:rPr>
                <w:rFonts w:ascii="Arial" w:cs="Arial" w:eastAsia="Arial" w:hAnsi="Arial"/>
                <w:sz w:val="13"/>
                <w:szCs w:val="13"/>
                <w:b w:val="1"/>
                <w:bCs w:val="1"/>
                <w:color w:val="auto"/>
              </w:rPr>
              <w:t>$6,580,003</w:t>
            </w:r>
          </w:p>
        </w:tc>
        <w:tc>
          <w:tcPr>
            <w:tcW w:w="1020" w:type="dxa"/>
            <w:vAlign w:val="bottom"/>
            <w:shd w:val="clear" w:color="auto" w:fill="F3F3F3"/>
          </w:tcPr>
          <w:p>
            <w:pPr>
              <w:jc w:val="right"/>
              <w:ind w:right="117"/>
              <w:spacing w:after="0"/>
              <w:rPr>
                <w:sz w:val="20"/>
                <w:szCs w:val="20"/>
                <w:color w:val="auto"/>
              </w:rPr>
            </w:pPr>
            <w:r>
              <w:rPr>
                <w:rFonts w:ascii="Arial" w:cs="Arial" w:eastAsia="Arial" w:hAnsi="Arial"/>
                <w:sz w:val="13"/>
                <w:szCs w:val="13"/>
                <w:b w:val="1"/>
                <w:bCs w:val="1"/>
                <w:color w:val="auto"/>
              </w:rPr>
              <w:t>$55,769</w:t>
            </w:r>
          </w:p>
        </w:tc>
        <w:tc>
          <w:tcPr>
            <w:tcW w:w="94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$7,091,994</w:t>
            </w:r>
          </w:p>
        </w:tc>
        <w:tc>
          <w:tcPr>
            <w:tcW w:w="0" w:type="dxa"/>
            <w:vAlign w:val="bottom"/>
          </w:tcPr>
          <w:p>
            <w:pPr>
              <w:spacing w:after="0"/>
              <w:rPr>
                <w:sz w:val="1"/>
                <w:szCs w:val="1"/>
                <w:color w:val="auto"/>
              </w:rPr>
            </w:pPr>
          </w:p>
        </w:tc>
      </w:tr>
      <w:tr>
        <w:trPr>
          <w:trHeight w:val="22"/>
        </w:trPr>
        <w:tc>
          <w:tcPr>
            <w:tcW w:w="3300" w:type="dxa"/>
            <w:vAlign w:val="bottom"/>
            <w:shd w:val="clear" w:color="auto" w:fill="F3F3F3"/>
          </w:tcPr>
          <w:p>
            <w:pPr>
              <w:spacing w:after="0" w:line="20" w:lineRule="exact"/>
              <w:rPr>
                <w:sz w:val="1"/>
                <w:szCs w:val="1"/>
                <w:color w:val="auto"/>
              </w:rPr>
            </w:pPr>
          </w:p>
        </w:tc>
        <w:tc>
          <w:tcPr>
            <w:tcW w:w="1020" w:type="dxa"/>
            <w:vAlign w:val="bottom"/>
            <w:shd w:val="clear" w:color="auto" w:fill="F3F3F3"/>
          </w:tcPr>
          <w:p>
            <w:pPr>
              <w:spacing w:after="0" w:line="20" w:lineRule="exact"/>
              <w:rPr>
                <w:sz w:val="1"/>
                <w:szCs w:val="1"/>
                <w:color w:val="auto"/>
              </w:rPr>
            </w:pPr>
          </w:p>
        </w:tc>
        <w:tc>
          <w:tcPr>
            <w:tcW w:w="1060" w:type="dxa"/>
            <w:vAlign w:val="bottom"/>
            <w:shd w:val="clear" w:color="auto" w:fill="F3F3F3"/>
          </w:tcPr>
          <w:p>
            <w:pPr>
              <w:spacing w:after="0" w:line="20" w:lineRule="exact"/>
              <w:rPr>
                <w:sz w:val="1"/>
                <w:szCs w:val="1"/>
                <w:color w:val="auto"/>
              </w:rPr>
            </w:pPr>
          </w:p>
        </w:tc>
        <w:tc>
          <w:tcPr>
            <w:tcW w:w="1080" w:type="dxa"/>
            <w:vAlign w:val="bottom"/>
            <w:shd w:val="clear" w:color="auto" w:fill="F3F3F3"/>
          </w:tcPr>
          <w:p>
            <w:pPr>
              <w:spacing w:after="0" w:line="20" w:lineRule="exact"/>
              <w:rPr>
                <w:sz w:val="1"/>
                <w:szCs w:val="1"/>
                <w:color w:val="auto"/>
              </w:rPr>
            </w:pPr>
          </w:p>
        </w:tc>
        <w:tc>
          <w:tcPr>
            <w:tcW w:w="960" w:type="dxa"/>
            <w:vAlign w:val="bottom"/>
            <w:shd w:val="clear" w:color="auto" w:fill="F3F3F3"/>
          </w:tcPr>
          <w:p>
            <w:pPr>
              <w:spacing w:after="0" w:line="20" w:lineRule="exact"/>
              <w:rPr>
                <w:sz w:val="1"/>
                <w:szCs w:val="1"/>
                <w:color w:val="auto"/>
              </w:rPr>
            </w:pPr>
          </w:p>
        </w:tc>
        <w:tc>
          <w:tcPr>
            <w:tcW w:w="92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102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C60C35"/>
        </w:rPr>
        <w:t>Daniel M. Sessa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9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19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Involuntary-Not For Cause</w:t>
      </w:r>
    </w:p>
    <w:p>
      <w:pPr>
        <w:spacing w:after="0" w:line="2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Termination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vMerge w:val="restart"/>
          </w:tcPr>
          <w:p>
            <w:pPr>
              <w:ind w:left="100"/>
              <w:spacing w:after="0"/>
              <w:rPr>
                <w:sz w:val="20"/>
                <w:szCs w:val="20"/>
                <w:color w:val="auto"/>
              </w:rPr>
            </w:pPr>
            <w:r>
              <w:rPr>
                <w:rFonts w:ascii="Arial" w:cs="Arial" w:eastAsia="Arial" w:hAnsi="Arial"/>
                <w:sz w:val="13"/>
                <w:szCs w:val="13"/>
                <w:b w:val="1"/>
                <w:bCs w:val="1"/>
                <w:color w:val="FFFFFF"/>
              </w:rPr>
              <w:t>Component</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160" w:type="dxa"/>
            <w:vAlign w:val="bottom"/>
            <w:vMerge w:val="restart"/>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9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100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Enhanced</w:t>
            </w:r>
          </w:p>
        </w:tc>
        <w:tc>
          <w:tcPr>
            <w:tcW w:w="940" w:type="dxa"/>
            <w:vAlign w:val="bottom"/>
            <w:vMerge w:val="restart"/>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40" w:type="dxa"/>
            <w:vAlign w:val="bottom"/>
            <w:vMerge w:val="restart"/>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Disability</w:t>
            </w:r>
          </w:p>
        </w:tc>
        <w:tc>
          <w:tcPr>
            <w:tcW w:w="102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160" w:type="dxa"/>
            <w:vAlign w:val="bottom"/>
            <w:tcBorders>
              <w:bottom w:val="single" w:sz="8" w:color="C60C35"/>
            </w:tcBorders>
            <w:vMerge w:val="continue"/>
            <w:shd w:val="clear" w:color="auto" w:fill="C60C35"/>
          </w:tcPr>
          <w:p>
            <w:pPr>
              <w:spacing w:after="0"/>
              <w:rPr>
                <w:sz w:val="18"/>
                <w:szCs w:val="18"/>
                <w:color w:val="auto"/>
              </w:rPr>
            </w:pPr>
          </w:p>
        </w:tc>
        <w:tc>
          <w:tcPr>
            <w:tcW w:w="96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100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Severance</w:t>
            </w:r>
          </w:p>
        </w:tc>
        <w:tc>
          <w:tcPr>
            <w:tcW w:w="940" w:type="dxa"/>
            <w:vAlign w:val="bottom"/>
            <w:tcBorders>
              <w:bottom w:val="single" w:sz="8" w:color="C60C35"/>
            </w:tcBorders>
            <w:vMerge w:val="continue"/>
            <w:shd w:val="clear" w:color="auto" w:fill="C60C35"/>
          </w:tcPr>
          <w:p>
            <w:pPr>
              <w:spacing w:after="0"/>
              <w:rPr>
                <w:sz w:val="18"/>
                <w:szCs w:val="18"/>
                <w:color w:val="auto"/>
              </w:rPr>
            </w:pPr>
          </w:p>
        </w:tc>
        <w:tc>
          <w:tcPr>
            <w:tcW w:w="940" w:type="dxa"/>
            <w:vAlign w:val="bottom"/>
            <w:tcBorders>
              <w:bottom w:val="single" w:sz="8" w:color="C60C35"/>
            </w:tcBorders>
            <w:vMerge w:val="continue"/>
            <w:shd w:val="clear" w:color="auto" w:fill="C60C35"/>
          </w:tcPr>
          <w:p>
            <w:pPr>
              <w:spacing w:after="0"/>
              <w:rPr>
                <w:sz w:val="18"/>
                <w:szCs w:val="18"/>
                <w:color w:val="auto"/>
              </w:rPr>
            </w:pPr>
          </w:p>
        </w:tc>
        <w:tc>
          <w:tcPr>
            <w:tcW w:w="102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Base Salary</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$147,500</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$1,180,000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$147,500</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$1,180,000</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$1,180,000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442,500</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Bonus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1,212,090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1,212,090</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885,000</w:t>
            </w:r>
          </w:p>
        </w:tc>
        <w:tc>
          <w:tcPr>
            <w:tcW w:w="0" w:type="dxa"/>
            <w:vAlign w:val="bottom"/>
          </w:tcPr>
          <w:p>
            <w:pPr>
              <w:spacing w:after="0"/>
              <w:rPr>
                <w:sz w:val="1"/>
                <w:szCs w:val="1"/>
                <w:color w:val="auto"/>
              </w:rPr>
            </w:pPr>
          </w:p>
        </w:tc>
      </w:tr>
      <w:tr>
        <w:trPr>
          <w:trHeight w:val="171"/>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59,000</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59,000</w:t>
            </w:r>
          </w:p>
        </w:tc>
        <w:tc>
          <w:tcPr>
            <w:tcW w:w="102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71"/>
        </w:trPr>
        <w:tc>
          <w:tcPr>
            <w:tcW w:w="3240" w:type="dxa"/>
            <w:vAlign w:val="bottom"/>
            <w:vMerge w:val="restart"/>
          </w:tcPr>
          <w:p>
            <w:pPr>
              <w:ind w:left="100"/>
              <w:spacing w:after="0"/>
              <w:rPr>
                <w:sz w:val="20"/>
                <w:szCs w:val="20"/>
                <w:color w:val="auto"/>
              </w:rPr>
            </w:pPr>
            <w:r>
              <w:rPr>
                <w:rFonts w:ascii="Arial" w:cs="Arial" w:eastAsia="Arial" w:hAnsi="Arial"/>
                <w:sz w:val="13"/>
                <w:szCs w:val="13"/>
                <w:color w:val="auto"/>
              </w:rPr>
              <w:t>payment in lieu)</w:t>
            </w:r>
          </w:p>
        </w:tc>
        <w:tc>
          <w:tcPr>
            <w:tcW w:w="10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32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Payment in Lieu of Perquisites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59,000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59,000</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36,565</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36,565</w:t>
            </w:r>
          </w:p>
        </w:tc>
        <w:tc>
          <w:tcPr>
            <w:tcW w:w="0" w:type="dxa"/>
            <w:vAlign w:val="bottom"/>
          </w:tcPr>
          <w:p>
            <w:pPr>
              <w:spacing w:after="0"/>
              <w:rPr>
                <w:sz w:val="1"/>
                <w:szCs w:val="1"/>
                <w:color w:val="auto"/>
              </w:rPr>
            </w:pPr>
          </w:p>
        </w:tc>
      </w:tr>
      <w:tr>
        <w:trPr>
          <w:trHeight w:val="71"/>
        </w:trPr>
        <w:tc>
          <w:tcPr>
            <w:tcW w:w="3240" w:type="dxa"/>
            <w:vAlign w:val="bottom"/>
            <w:vMerge w:val="restart"/>
          </w:tcPr>
          <w:p>
            <w:pPr>
              <w:ind w:left="100"/>
              <w:spacing w:after="0"/>
              <w:rPr>
                <w:sz w:val="20"/>
                <w:szCs w:val="20"/>
                <w:color w:val="auto"/>
              </w:rPr>
            </w:pPr>
            <w:r>
              <w:rPr>
                <w:rFonts w:ascii="Arial" w:cs="Arial" w:eastAsia="Arial" w:hAnsi="Arial"/>
                <w:sz w:val="13"/>
                <w:szCs w:val="13"/>
                <w:color w:val="auto"/>
              </w:rPr>
              <w:t>Coverage</w:t>
            </w:r>
          </w:p>
        </w:tc>
        <w:tc>
          <w:tcPr>
            <w:tcW w:w="10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2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Long-Term Equity Accelerated Vesting</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3,835,536</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3,835,536</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4,260,219</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40" w:type="dxa"/>
            <w:vAlign w:val="bottom"/>
          </w:tcPr>
          <w:p>
            <w:pPr>
              <w:jc w:val="right"/>
              <w:spacing w:after="0"/>
              <w:rPr>
                <w:sz w:val="20"/>
                <w:szCs w:val="20"/>
                <w:color w:val="auto"/>
              </w:rPr>
            </w:pPr>
            <w:r>
              <w:rPr>
                <w:rFonts w:ascii="Arial" w:cs="Arial" w:eastAsia="Arial" w:hAnsi="Arial"/>
                <w:sz w:val="13"/>
                <w:szCs w:val="13"/>
                <w:color w:val="auto"/>
              </w:rPr>
              <w:t>56,731</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56,731</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56,731</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56,731</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56,731</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56,731</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56,731</w:t>
            </w:r>
          </w:p>
        </w:tc>
        <w:tc>
          <w:tcPr>
            <w:tcW w:w="0" w:type="dxa"/>
            <w:vAlign w:val="bottom"/>
          </w:tcPr>
          <w:p>
            <w:pPr>
              <w:spacing w:after="0"/>
              <w:rPr>
                <w:sz w:val="1"/>
                <w:szCs w:val="1"/>
                <w:color w:val="auto"/>
              </w:rPr>
            </w:pPr>
          </w:p>
        </w:tc>
      </w:tr>
      <w:tr>
        <w:trPr>
          <w:trHeight w:val="28"/>
        </w:trPr>
        <w:tc>
          <w:tcPr>
            <w:tcW w:w="3240" w:type="dxa"/>
            <w:vAlign w:val="bottom"/>
            <w:tcBorders>
              <w:bottom w:val="single" w:sz="8" w:color="F1F2F2"/>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$56,731</w:t>
            </w:r>
          </w:p>
        </w:tc>
        <w:tc>
          <w:tcPr>
            <w:tcW w:w="116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n/a</w:t>
            </w:r>
          </w:p>
        </w:tc>
        <w:tc>
          <w:tcPr>
            <w:tcW w:w="960" w:type="dxa"/>
            <w:vAlign w:val="bottom"/>
            <w:shd w:val="clear" w:color="auto" w:fill="F1F2F2"/>
          </w:tcPr>
          <w:p>
            <w:pPr>
              <w:jc w:val="right"/>
              <w:ind w:right="137"/>
              <w:spacing w:after="0"/>
              <w:rPr>
                <w:sz w:val="20"/>
                <w:szCs w:val="20"/>
                <w:color w:val="auto"/>
              </w:rPr>
            </w:pPr>
            <w:r>
              <w:rPr>
                <w:rFonts w:ascii="Arial" w:cs="Arial" w:eastAsia="Arial" w:hAnsi="Arial"/>
                <w:sz w:val="13"/>
                <w:szCs w:val="13"/>
                <w:b w:val="1"/>
                <w:bCs w:val="1"/>
                <w:color w:val="auto"/>
              </w:rPr>
              <w:t>$204,231</w:t>
            </w:r>
          </w:p>
        </w:tc>
        <w:tc>
          <w:tcPr>
            <w:tcW w:w="100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$2,603,386</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$4,039,767</w:t>
            </w:r>
          </w:p>
        </w:tc>
        <w:tc>
          <w:tcPr>
            <w:tcW w:w="94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$6,402,357</w:t>
            </w:r>
          </w:p>
        </w:tc>
        <w:tc>
          <w:tcPr>
            <w:tcW w:w="102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$56,731</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$6,866,990</w:t>
            </w:r>
          </w:p>
        </w:tc>
        <w:tc>
          <w:tcPr>
            <w:tcW w:w="0" w:type="dxa"/>
            <w:vAlign w:val="bottom"/>
          </w:tcPr>
          <w:p>
            <w:pPr>
              <w:spacing w:after="0"/>
              <w:rPr>
                <w:sz w:val="1"/>
                <w:szCs w:val="1"/>
                <w:color w:val="auto"/>
              </w:rPr>
            </w:pPr>
          </w:p>
        </w:tc>
      </w:tr>
      <w:tr>
        <w:trPr>
          <w:trHeight w:val="22"/>
        </w:trPr>
        <w:tc>
          <w:tcPr>
            <w:tcW w:w="324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116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100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Mr. Sessa did not meet retirement eligibility requirements on December 31, 2024.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John D.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3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19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Involuntary-Not For Cause</w:t>
      </w:r>
    </w:p>
    <w:p>
      <w:pPr>
        <w:spacing w:after="0" w:line="11"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Termination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160" w:type="dxa"/>
            <w:vAlign w:val="bottom"/>
            <w:shd w:val="clear" w:color="auto" w:fill="C60C35"/>
          </w:tcPr>
          <w:p>
            <w:pPr>
              <w:spacing w:after="0"/>
              <w:rPr>
                <w:sz w:val="14"/>
                <w:szCs w:val="14"/>
                <w:color w:val="auto"/>
              </w:rPr>
            </w:pPr>
          </w:p>
        </w:tc>
        <w:tc>
          <w:tcPr>
            <w:tcW w:w="9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100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Enhanced</w:t>
            </w:r>
          </w:p>
        </w:tc>
        <w:tc>
          <w:tcPr>
            <w:tcW w:w="940" w:type="dxa"/>
            <w:vAlign w:val="bottom"/>
            <w:shd w:val="clear" w:color="auto" w:fill="C60C35"/>
          </w:tcPr>
          <w:p>
            <w:pPr>
              <w:spacing w:after="0"/>
              <w:rPr>
                <w:sz w:val="14"/>
                <w:szCs w:val="14"/>
                <w:color w:val="auto"/>
              </w:rPr>
            </w:pPr>
          </w:p>
        </w:tc>
        <w:tc>
          <w:tcPr>
            <w:tcW w:w="940" w:type="dxa"/>
            <w:vAlign w:val="bottom"/>
            <w:shd w:val="clear" w:color="auto" w:fill="C60C35"/>
          </w:tcPr>
          <w:p>
            <w:pPr>
              <w:spacing w:after="0"/>
              <w:rPr>
                <w:sz w:val="14"/>
                <w:szCs w:val="14"/>
                <w:color w:val="auto"/>
              </w:rPr>
            </w:pPr>
          </w:p>
        </w:tc>
        <w:tc>
          <w:tcPr>
            <w:tcW w:w="102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227"/>
        </w:trPr>
        <w:tc>
          <w:tcPr>
            <w:tcW w:w="3240" w:type="dxa"/>
            <w:vAlign w:val="bottom"/>
          </w:tcPr>
          <w:p>
            <w:pPr>
              <w:ind w:left="100"/>
              <w:spacing w:after="0"/>
              <w:rPr>
                <w:sz w:val="20"/>
                <w:szCs w:val="20"/>
                <w:color w:val="auto"/>
              </w:rPr>
            </w:pPr>
            <w:r>
              <w:rPr>
                <w:rFonts w:ascii="Arial" w:cs="Arial" w:eastAsia="Arial" w:hAnsi="Arial"/>
                <w:sz w:val="13"/>
                <w:szCs w:val="13"/>
                <w:b w:val="1"/>
                <w:bCs w:val="1"/>
                <w:color w:val="FFFFFF"/>
              </w:rPr>
              <w:t>Component</w:t>
            </w: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16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96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100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Severance</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4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Disability</w:t>
            </w:r>
          </w:p>
        </w:tc>
        <w:tc>
          <w:tcPr>
            <w:tcW w:w="102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Base Salary</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$142,500</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$1,140,000</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$142,500</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$1,140,000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$1,140,000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427,500</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Bonus</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1,114,471</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1,114,471</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855,000</w:t>
            </w:r>
          </w:p>
        </w:tc>
        <w:tc>
          <w:tcPr>
            <w:tcW w:w="0" w:type="dxa"/>
            <w:vAlign w:val="bottom"/>
          </w:tcPr>
          <w:p>
            <w:pPr>
              <w:spacing w:after="0"/>
              <w:rPr>
                <w:sz w:val="1"/>
                <w:szCs w:val="1"/>
                <w:color w:val="auto"/>
              </w:rPr>
            </w:pPr>
          </w:p>
        </w:tc>
      </w:tr>
      <w:tr>
        <w:trPr>
          <w:trHeight w:val="158"/>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57,000</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57,000</w:t>
            </w:r>
          </w:p>
        </w:tc>
        <w:tc>
          <w:tcPr>
            <w:tcW w:w="102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85"/>
        </w:trPr>
        <w:tc>
          <w:tcPr>
            <w:tcW w:w="3240" w:type="dxa"/>
            <w:vAlign w:val="bottom"/>
            <w:vMerge w:val="restart"/>
          </w:tcPr>
          <w:p>
            <w:pPr>
              <w:ind w:left="100"/>
              <w:spacing w:after="0"/>
              <w:rPr>
                <w:sz w:val="20"/>
                <w:szCs w:val="20"/>
                <w:color w:val="auto"/>
              </w:rPr>
            </w:pPr>
            <w:r>
              <w:rPr>
                <w:rFonts w:ascii="Arial" w:cs="Arial" w:eastAsia="Arial" w:hAnsi="Arial"/>
                <w:sz w:val="13"/>
                <w:szCs w:val="13"/>
                <w:color w:val="auto"/>
              </w:rPr>
              <w:t>payment in lieu)</w:t>
            </w:r>
          </w:p>
        </w:tc>
        <w:tc>
          <w:tcPr>
            <w:tcW w:w="10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Payment in Lieu of Perquisites</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57,000</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57,000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37,539</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37,539</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Long-Term Equity Accelerated Vesting</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2,991,663</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3,713,250</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3,713,250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4,147,071</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40" w:type="dxa"/>
            <w:vAlign w:val="bottom"/>
          </w:tcPr>
          <w:p>
            <w:pPr>
              <w:jc w:val="right"/>
              <w:spacing w:after="0"/>
              <w:rPr>
                <w:sz w:val="20"/>
                <w:szCs w:val="20"/>
                <w:color w:val="auto"/>
              </w:rPr>
            </w:pPr>
            <w:r>
              <w:rPr>
                <w:rFonts w:ascii="Arial" w:cs="Arial" w:eastAsia="Arial" w:hAnsi="Arial"/>
                <w:sz w:val="13"/>
                <w:szCs w:val="13"/>
                <w:color w:val="auto"/>
              </w:rPr>
              <w:t>54,808</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54,808</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54,808</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54,808</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54,808</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54,808</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54,808</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54,808</w:t>
            </w:r>
          </w:p>
        </w:tc>
        <w:tc>
          <w:tcPr>
            <w:tcW w:w="0" w:type="dxa"/>
            <w:vAlign w:val="bottom"/>
          </w:tcPr>
          <w:p>
            <w:pPr>
              <w:spacing w:after="0"/>
              <w:rPr>
                <w:sz w:val="1"/>
                <w:szCs w:val="1"/>
                <w:color w:val="auto"/>
              </w:rPr>
            </w:pPr>
          </w:p>
        </w:tc>
      </w:tr>
      <w:tr>
        <w:trPr>
          <w:trHeight w:val="28"/>
        </w:trPr>
        <w:tc>
          <w:tcPr>
            <w:tcW w:w="3240" w:type="dxa"/>
            <w:vAlign w:val="bottom"/>
            <w:tcBorders>
              <w:bottom w:val="single" w:sz="8" w:color="F3F3F3"/>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F3F3F3"/>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shd w:val="clear" w:color="auto" w:fill="F3F3F3"/>
          </w:tcPr>
          <w:p>
            <w:pPr>
              <w:jc w:val="right"/>
              <w:spacing w:after="0"/>
              <w:rPr>
                <w:sz w:val="20"/>
                <w:szCs w:val="20"/>
                <w:color w:val="auto"/>
              </w:rPr>
            </w:pPr>
            <w:r>
              <w:rPr>
                <w:rFonts w:ascii="Arial" w:cs="Arial" w:eastAsia="Arial" w:hAnsi="Arial"/>
                <w:sz w:val="13"/>
                <w:szCs w:val="13"/>
                <w:b w:val="1"/>
                <w:bCs w:val="1"/>
                <w:color w:val="auto"/>
              </w:rPr>
              <w:t>$54,808</w:t>
            </w:r>
          </w:p>
        </w:tc>
        <w:tc>
          <w:tcPr>
            <w:tcW w:w="1160" w:type="dxa"/>
            <w:vAlign w:val="bottom"/>
            <w:shd w:val="clear" w:color="auto" w:fill="F3F3F3"/>
          </w:tcPr>
          <w:p>
            <w:pPr>
              <w:jc w:val="right"/>
              <w:ind w:right="77"/>
              <w:spacing w:after="0"/>
              <w:rPr>
                <w:sz w:val="20"/>
                <w:szCs w:val="20"/>
                <w:color w:val="auto"/>
              </w:rPr>
            </w:pPr>
            <w:r>
              <w:rPr>
                <w:rFonts w:ascii="Arial" w:cs="Arial" w:eastAsia="Arial" w:hAnsi="Arial"/>
                <w:sz w:val="13"/>
                <w:szCs w:val="13"/>
                <w:b w:val="1"/>
                <w:bCs w:val="1"/>
                <w:color w:val="auto"/>
              </w:rPr>
              <w:t>$3,046,471</w:t>
            </w:r>
          </w:p>
        </w:tc>
        <w:tc>
          <w:tcPr>
            <w:tcW w:w="960" w:type="dxa"/>
            <w:vAlign w:val="bottom"/>
            <w:shd w:val="clear" w:color="auto" w:fill="F3F3F3"/>
          </w:tcPr>
          <w:p>
            <w:pPr>
              <w:jc w:val="right"/>
              <w:ind w:right="137"/>
              <w:spacing w:after="0"/>
              <w:rPr>
                <w:sz w:val="20"/>
                <w:szCs w:val="20"/>
                <w:color w:val="auto"/>
              </w:rPr>
            </w:pPr>
            <w:r>
              <w:rPr>
                <w:rFonts w:ascii="Arial" w:cs="Arial" w:eastAsia="Arial" w:hAnsi="Arial"/>
                <w:sz w:val="13"/>
                <w:szCs w:val="13"/>
                <w:b w:val="1"/>
                <w:bCs w:val="1"/>
                <w:color w:val="auto"/>
              </w:rPr>
              <w:t>$197,308</w:t>
            </w:r>
          </w:p>
        </w:tc>
        <w:tc>
          <w:tcPr>
            <w:tcW w:w="1000" w:type="dxa"/>
            <w:vAlign w:val="bottom"/>
            <w:shd w:val="clear" w:color="auto" w:fill="F3F3F3"/>
          </w:tcPr>
          <w:p>
            <w:pPr>
              <w:jc w:val="right"/>
              <w:ind w:right="117"/>
              <w:spacing w:after="0"/>
              <w:rPr>
                <w:sz w:val="20"/>
                <w:szCs w:val="20"/>
                <w:color w:val="auto"/>
              </w:rPr>
            </w:pPr>
            <w:r>
              <w:rPr>
                <w:rFonts w:ascii="Arial" w:cs="Arial" w:eastAsia="Arial" w:hAnsi="Arial"/>
                <w:sz w:val="13"/>
                <w:szCs w:val="13"/>
                <w:b w:val="1"/>
                <w:bCs w:val="1"/>
                <w:color w:val="auto"/>
              </w:rPr>
              <w:t>$2,460,818</w:t>
            </w:r>
          </w:p>
        </w:tc>
        <w:tc>
          <w:tcPr>
            <w:tcW w:w="94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$3,910,558</w:t>
            </w:r>
          </w:p>
        </w:tc>
        <w:tc>
          <w:tcPr>
            <w:tcW w:w="940" w:type="dxa"/>
            <w:vAlign w:val="bottom"/>
            <w:shd w:val="clear" w:color="auto" w:fill="F3F3F3"/>
          </w:tcPr>
          <w:p>
            <w:pPr>
              <w:jc w:val="right"/>
              <w:ind w:right="77"/>
              <w:spacing w:after="0"/>
              <w:rPr>
                <w:sz w:val="20"/>
                <w:szCs w:val="20"/>
                <w:color w:val="auto"/>
              </w:rPr>
            </w:pPr>
            <w:r>
              <w:rPr>
                <w:rFonts w:ascii="Arial" w:cs="Arial" w:eastAsia="Arial" w:hAnsi="Arial"/>
                <w:sz w:val="13"/>
                <w:szCs w:val="13"/>
                <w:b w:val="1"/>
                <w:bCs w:val="1"/>
                <w:color w:val="auto"/>
              </w:rPr>
              <w:t>$6,136,529</w:t>
            </w:r>
          </w:p>
        </w:tc>
        <w:tc>
          <w:tcPr>
            <w:tcW w:w="1020" w:type="dxa"/>
            <w:vAlign w:val="bottom"/>
            <w:shd w:val="clear" w:color="auto" w:fill="F3F3F3"/>
          </w:tcPr>
          <w:p>
            <w:pPr>
              <w:jc w:val="right"/>
              <w:ind w:right="117"/>
              <w:spacing w:after="0"/>
              <w:rPr>
                <w:sz w:val="20"/>
                <w:szCs w:val="20"/>
                <w:color w:val="auto"/>
              </w:rPr>
            </w:pPr>
            <w:r>
              <w:rPr>
                <w:rFonts w:ascii="Arial" w:cs="Arial" w:eastAsia="Arial" w:hAnsi="Arial"/>
                <w:sz w:val="13"/>
                <w:szCs w:val="13"/>
                <w:b w:val="1"/>
                <w:bCs w:val="1"/>
                <w:color w:val="auto"/>
              </w:rPr>
              <w:t>$54,808</w:t>
            </w:r>
          </w:p>
        </w:tc>
        <w:tc>
          <w:tcPr>
            <w:tcW w:w="94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$6,667,893</w:t>
            </w:r>
          </w:p>
        </w:tc>
        <w:tc>
          <w:tcPr>
            <w:tcW w:w="0" w:type="dxa"/>
            <w:vAlign w:val="bottom"/>
          </w:tcPr>
          <w:p>
            <w:pPr>
              <w:spacing w:after="0"/>
              <w:rPr>
                <w:sz w:val="1"/>
                <w:szCs w:val="1"/>
                <w:color w:val="auto"/>
              </w:rPr>
            </w:pPr>
          </w:p>
        </w:tc>
      </w:tr>
      <w:tr>
        <w:trPr>
          <w:trHeight w:val="22"/>
        </w:trPr>
        <w:tc>
          <w:tcPr>
            <w:tcW w:w="3240" w:type="dxa"/>
            <w:vAlign w:val="bottom"/>
            <w:shd w:val="clear" w:color="auto" w:fill="F3F3F3"/>
          </w:tcPr>
          <w:p>
            <w:pPr>
              <w:spacing w:after="0" w:line="20" w:lineRule="exact"/>
              <w:rPr>
                <w:sz w:val="1"/>
                <w:szCs w:val="1"/>
                <w:color w:val="auto"/>
              </w:rPr>
            </w:pPr>
          </w:p>
        </w:tc>
        <w:tc>
          <w:tcPr>
            <w:tcW w:w="1040" w:type="dxa"/>
            <w:vAlign w:val="bottom"/>
            <w:shd w:val="clear" w:color="auto" w:fill="F3F3F3"/>
          </w:tcPr>
          <w:p>
            <w:pPr>
              <w:spacing w:after="0" w:line="20" w:lineRule="exact"/>
              <w:rPr>
                <w:sz w:val="1"/>
                <w:szCs w:val="1"/>
                <w:color w:val="auto"/>
              </w:rPr>
            </w:pPr>
          </w:p>
        </w:tc>
        <w:tc>
          <w:tcPr>
            <w:tcW w:w="1160" w:type="dxa"/>
            <w:vAlign w:val="bottom"/>
            <w:shd w:val="clear" w:color="auto" w:fill="F3F3F3"/>
          </w:tcPr>
          <w:p>
            <w:pPr>
              <w:spacing w:after="0" w:line="20" w:lineRule="exact"/>
              <w:rPr>
                <w:sz w:val="1"/>
                <w:szCs w:val="1"/>
                <w:color w:val="auto"/>
              </w:rPr>
            </w:pPr>
          </w:p>
        </w:tc>
        <w:tc>
          <w:tcPr>
            <w:tcW w:w="960" w:type="dxa"/>
            <w:vAlign w:val="bottom"/>
            <w:shd w:val="clear" w:color="auto" w:fill="F3F3F3"/>
          </w:tcPr>
          <w:p>
            <w:pPr>
              <w:spacing w:after="0" w:line="20" w:lineRule="exact"/>
              <w:rPr>
                <w:sz w:val="1"/>
                <w:szCs w:val="1"/>
                <w:color w:val="auto"/>
              </w:rPr>
            </w:pPr>
          </w:p>
        </w:tc>
        <w:tc>
          <w:tcPr>
            <w:tcW w:w="100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102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80" w:hanging="332"/>
        <w:spacing w:after="0" w:line="273"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Torres retired on February 28, 2025. Upon his termination, he received amounts calculated consistent with those disclosed in the “Retirement” column. He will also receive his vested benefits under the retirement plans in which he participated, included as described above under 2024 Pension Benefits and 2024 Nonqualified Deferred Compensation.</w:t>
      </w: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29"/>
          <w:szCs w:val="29"/>
          <w:b w:val="1"/>
          <w:bCs w:val="1"/>
          <w:color w:val="C60C35"/>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15175" cy="8255"/>
                    </a:xfrm>
                    <a:prstGeom prst="rect">
                      <a:avLst/>
                    </a:prstGeom>
                    <a:noFill/>
                  </pic:spPr>
                </pic:pic>
              </a:graphicData>
            </a:graphic>
          </wp:anchor>
        </w:drawing>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1151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6"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For 2024, the ratio of the annual total compensation of the CEO to the median of the annual total compensation of all employees of the Company other than the CEO was approximately 162 to 1. This pay ratio is a reasonable estimate calculated in a manner consistent with Item 402(u) of Regulation S-K using the data and assumptions summarized below.</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900" w:type="dxa"/>
            <w:vAlign w:val="bottom"/>
            <w:tcBorders>
              <w:top w:val="single" w:sz="8" w:color="auto"/>
              <w:left w:val="single" w:sz="8" w:color="auto"/>
              <w:right w:val="single" w:sz="8" w:color="auto"/>
            </w:tcBorders>
            <w:shd w:val="clear" w:color="auto" w:fill="F1F2F2"/>
          </w:tcPr>
          <w:p>
            <w:pPr>
              <w:ind w:left="120"/>
              <w:spacing w:after="0"/>
              <w:rPr>
                <w:sz w:val="20"/>
                <w:szCs w:val="20"/>
                <w:color w:val="auto"/>
              </w:rPr>
            </w:pPr>
            <w:r>
              <w:rPr>
                <w:rFonts w:ascii="Arial" w:cs="Arial" w:eastAsia="Arial" w:hAnsi="Arial"/>
                <w:sz w:val="18"/>
                <w:szCs w:val="18"/>
                <w:color w:val="auto"/>
              </w:rPr>
              <w:t>Date Used to Identify Median</w:t>
            </w:r>
          </w:p>
        </w:tc>
        <w:tc>
          <w:tcPr>
            <w:tcW w:w="8360" w:type="dxa"/>
            <w:vAlign w:val="bottom"/>
            <w:tcBorders>
              <w:top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10/31/2024</w:t>
            </w: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Employee</w:t>
            </w:r>
          </w:p>
        </w:tc>
        <w:tc>
          <w:tcPr>
            <w:tcW w:w="8360" w:type="dxa"/>
            <w:vAlign w:val="bottom"/>
            <w:tcBorders>
              <w:right w:val="single" w:sz="8" w:color="auto"/>
            </w:tcBorders>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bottom w:val="single" w:sz="8" w:color="F1F2F2"/>
              <w:right w:val="single" w:sz="8" w:color="auto"/>
            </w:tcBorders>
            <w:vMerge w:val="continue"/>
            <w:shd w:val="clear" w:color="auto" w:fill="F1F2F2"/>
          </w:tcPr>
          <w:p>
            <w:pPr>
              <w:spacing w:after="0"/>
              <w:rPr>
                <w:sz w:val="11"/>
                <w:szCs w:val="11"/>
                <w:color w:val="auto"/>
              </w:rPr>
            </w:pPr>
          </w:p>
        </w:tc>
        <w:tc>
          <w:tcPr>
            <w:tcW w:w="8360" w:type="dxa"/>
            <w:vAlign w:val="bottom"/>
            <w:tcBorders>
              <w:bottom w:val="single" w:sz="8" w:color="F1F2F2"/>
              <w:right w:val="single" w:sz="8" w:color="auto"/>
            </w:tcBorders>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83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Our employee population consisted of approximately 14,089 individuals on October 31, 2024. In</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determining the median employee, we excluded all employees from certain non-U.S. countries under</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Employee Pool Used to Identify</w:t>
            </w: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de minimis exemption under applicable SEC regulations. The list of excluded countries, together</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tcPr>
          <w:p>
            <w:pPr>
              <w:spacing w:after="0"/>
              <w:rPr>
                <w:sz w:val="9"/>
                <w:szCs w:val="9"/>
                <w:color w:val="auto"/>
              </w:rPr>
            </w:pPr>
          </w:p>
        </w:tc>
        <w:tc>
          <w:tcPr>
            <w:tcW w:w="8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with the number of employees excluded in each country, was as follows: China (29) and Canada</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Median Employee</w:t>
            </w:r>
          </w:p>
        </w:tc>
        <w:tc>
          <w:tcPr>
            <w:tcW w:w="8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continue"/>
          </w:tcPr>
          <w:p>
            <w:pPr>
              <w:spacing w:after="0"/>
              <w:rPr>
                <w:sz w:val="11"/>
                <w:szCs w:val="11"/>
                <w:color w:val="auto"/>
              </w:rPr>
            </w:pPr>
          </w:p>
        </w:tc>
        <w:tc>
          <w:tcPr>
            <w:tcW w:w="8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(240). In total, we excluded 269 employees under the de minimis exemption, representing</w:t>
            </w:r>
          </w:p>
        </w:tc>
        <w:tc>
          <w:tcPr>
            <w:tcW w:w="0" w:type="dxa"/>
            <w:vAlign w:val="bottom"/>
          </w:tcPr>
          <w:p>
            <w:pPr>
              <w:spacing w:after="0"/>
              <w:rPr>
                <w:sz w:val="1"/>
                <w:szCs w:val="1"/>
                <w:color w:val="auto"/>
              </w:rPr>
            </w:pPr>
          </w:p>
        </w:tc>
      </w:tr>
      <w:tr>
        <w:trPr>
          <w:trHeight w:val="85"/>
        </w:trPr>
        <w:tc>
          <w:tcPr>
            <w:tcW w:w="2900" w:type="dxa"/>
            <w:vAlign w:val="bottom"/>
            <w:tcBorders>
              <w:left w:val="single" w:sz="8" w:color="auto"/>
              <w:right w:val="single" w:sz="8" w:color="auto"/>
            </w:tcBorders>
          </w:tcPr>
          <w:p>
            <w:pPr>
              <w:spacing w:after="0"/>
              <w:rPr>
                <w:sz w:val="7"/>
                <w:szCs w:val="7"/>
                <w:color w:val="auto"/>
              </w:rPr>
            </w:pPr>
          </w:p>
        </w:tc>
        <w:tc>
          <w:tcPr>
            <w:tcW w:w="8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approximately 1.9% of our total employee population as of October 31, 2024. Therefore, there were</w:t>
            </w:r>
          </w:p>
        </w:tc>
        <w:tc>
          <w:tcPr>
            <w:tcW w:w="0" w:type="dxa"/>
            <w:vAlign w:val="bottom"/>
          </w:tcPr>
          <w:p>
            <w:pPr>
              <w:spacing w:after="0"/>
              <w:rPr>
                <w:sz w:val="1"/>
                <w:szCs w:val="1"/>
                <w:color w:val="auto"/>
              </w:rPr>
            </w:pPr>
          </w:p>
        </w:tc>
      </w:tr>
      <w:tr>
        <w:trPr>
          <w:trHeight w:val="239"/>
        </w:trPr>
        <w:tc>
          <w:tcPr>
            <w:tcW w:w="2900" w:type="dxa"/>
            <w:vAlign w:val="bottom"/>
            <w:tcBorders>
              <w:left w:val="single" w:sz="8" w:color="auto"/>
              <w:right w:val="single" w:sz="8" w:color="auto"/>
            </w:tcBorders>
          </w:tcPr>
          <w:p>
            <w:pPr>
              <w:spacing w:after="0"/>
              <w:rPr>
                <w:sz w:val="20"/>
                <w:szCs w:val="20"/>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13,820 employees used for purposes of identifying our median employee.</w:t>
            </w:r>
          </w:p>
        </w:tc>
        <w:tc>
          <w:tcPr>
            <w:tcW w:w="0" w:type="dxa"/>
            <w:vAlign w:val="bottom"/>
          </w:tcPr>
          <w:p>
            <w:pPr>
              <w:spacing w:after="0"/>
              <w:rPr>
                <w:sz w:val="1"/>
                <w:szCs w:val="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Borders>
              <w:left w:val="single" w:sz="8" w:color="auto"/>
              <w:right w:val="single" w:sz="8" w:color="auto"/>
            </w:tcBorders>
            <w:shd w:val="clear" w:color="auto" w:fill="F1F2F2"/>
          </w:tcPr>
          <w:p>
            <w:pPr>
              <w:ind w:left="120"/>
              <w:spacing w:after="0"/>
              <w:rPr>
                <w:sz w:val="20"/>
                <w:szCs w:val="20"/>
                <w:color w:val="auto"/>
              </w:rPr>
            </w:pPr>
            <w:r>
              <w:rPr>
                <w:rFonts w:ascii="Arial" w:cs="Arial" w:eastAsia="Arial" w:hAnsi="Arial"/>
                <w:sz w:val="18"/>
                <w:szCs w:val="18"/>
                <w:color w:val="auto"/>
              </w:rPr>
              <w:t>Compensation Used to Identify</w:t>
            </w:r>
          </w:p>
        </w:tc>
        <w:tc>
          <w:tcPr>
            <w:tcW w:w="8360" w:type="dxa"/>
            <w:vAlign w:val="bottom"/>
            <w:tcBorders>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Total gross wages as derived from the Company’s payroll records.</w:t>
            </w: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Median Employee</w:t>
            </w:r>
          </w:p>
        </w:tc>
        <w:tc>
          <w:tcPr>
            <w:tcW w:w="8360" w:type="dxa"/>
            <w:vAlign w:val="bottom"/>
            <w:tcBorders>
              <w:right w:val="single" w:sz="8" w:color="auto"/>
            </w:tcBorders>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bottom w:val="single" w:sz="8" w:color="F1F2F2"/>
              <w:right w:val="single" w:sz="8" w:color="auto"/>
            </w:tcBorders>
            <w:vMerge w:val="continue"/>
            <w:shd w:val="clear" w:color="auto" w:fill="F1F2F2"/>
          </w:tcPr>
          <w:p>
            <w:pPr>
              <w:spacing w:after="0"/>
              <w:rPr>
                <w:sz w:val="11"/>
                <w:szCs w:val="11"/>
                <w:color w:val="auto"/>
              </w:rPr>
            </w:pPr>
          </w:p>
        </w:tc>
        <w:tc>
          <w:tcPr>
            <w:tcW w:w="8360" w:type="dxa"/>
            <w:vAlign w:val="bottom"/>
            <w:tcBorders>
              <w:bottom w:val="single" w:sz="8" w:color="F1F2F2"/>
              <w:right w:val="single" w:sz="8" w:color="auto"/>
            </w:tcBorders>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83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$61,166, which includes the value of the median employee’s health and welfare benefits and</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Median Employee Annual Total</w:t>
            </w: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retirement benefits. We calculated the median employee’s compensation in the same manner as we</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 for 2024</w:t>
            </w: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calculated total compensation of the CEO in the 2024 Summary Compensation Table and then added</w:t>
            </w:r>
          </w:p>
        </w:tc>
        <w:tc>
          <w:tcPr>
            <w:tcW w:w="0" w:type="dxa"/>
            <w:vAlign w:val="bottom"/>
          </w:tcPr>
          <w:p>
            <w:pPr>
              <w:spacing w:after="0"/>
              <w:rPr>
                <w:sz w:val="1"/>
                <w:szCs w:val="1"/>
                <w:color w:val="auto"/>
              </w:rPr>
            </w:pPr>
          </w:p>
        </w:tc>
      </w:tr>
      <w:tr>
        <w:trPr>
          <w:trHeight w:val="239"/>
        </w:trPr>
        <w:tc>
          <w:tcPr>
            <w:tcW w:w="2900" w:type="dxa"/>
            <w:vAlign w:val="bottom"/>
            <w:tcBorders>
              <w:left w:val="single" w:sz="8" w:color="auto"/>
              <w:right w:val="single" w:sz="8" w:color="auto"/>
            </w:tcBorders>
          </w:tcPr>
          <w:p>
            <w:pPr>
              <w:spacing w:after="0"/>
              <w:rPr>
                <w:sz w:val="20"/>
                <w:szCs w:val="20"/>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value of health and welfare benefits.</w:t>
            </w:r>
          </w:p>
        </w:tc>
        <w:tc>
          <w:tcPr>
            <w:tcW w:w="0" w:type="dxa"/>
            <w:vAlign w:val="bottom"/>
          </w:tcPr>
          <w:p>
            <w:pPr>
              <w:spacing w:after="0"/>
              <w:rPr>
                <w:sz w:val="1"/>
                <w:szCs w:val="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CEO Annual Total Compensation</w:t>
            </w:r>
          </w:p>
        </w:tc>
        <w:tc>
          <w:tcPr>
            <w:tcW w:w="8360" w:type="dxa"/>
            <w:vAlign w:val="bottom"/>
            <w:tcBorders>
              <w:right w:val="single" w:sz="8" w:color="auto"/>
            </w:tcBorders>
            <w:shd w:val="clear" w:color="auto" w:fill="F1F2F2"/>
          </w:tcPr>
          <w:p>
            <w:pPr>
              <w:ind w:left="120"/>
              <w:spacing w:after="0"/>
              <w:rPr>
                <w:sz w:val="20"/>
                <w:szCs w:val="20"/>
                <w:color w:val="auto"/>
              </w:rPr>
            </w:pPr>
            <w:r>
              <w:rPr>
                <w:rFonts w:ascii="Arial" w:cs="Arial" w:eastAsia="Arial" w:hAnsi="Arial"/>
                <w:sz w:val="18"/>
                <w:szCs w:val="18"/>
                <w:color w:val="auto"/>
              </w:rPr>
              <w:t>$9,923,347, which is $15,436 more than the amount disclosed in the 2024 Summary Compensation</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shd w:val="clear" w:color="auto" w:fill="F1F2F2"/>
          </w:tcPr>
          <w:p>
            <w:pPr>
              <w:spacing w:after="0"/>
              <w:rPr>
                <w:sz w:val="9"/>
                <w:szCs w:val="9"/>
                <w:color w:val="auto"/>
              </w:rPr>
            </w:pPr>
          </w:p>
        </w:tc>
        <w:tc>
          <w:tcPr>
            <w:tcW w:w="8360" w:type="dxa"/>
            <w:vAlign w:val="bottom"/>
            <w:tcBorders>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Table. The increase reflects the value of health and welfare benefits, which are excluded from the</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for 2024</w:t>
            </w:r>
          </w:p>
        </w:tc>
        <w:tc>
          <w:tcPr>
            <w:tcW w:w="8360" w:type="dxa"/>
            <w:vAlign w:val="bottom"/>
            <w:tcBorders>
              <w:right w:val="single" w:sz="8" w:color="auto"/>
            </w:tcBorders>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continue"/>
            <w:shd w:val="clear" w:color="auto" w:fill="F1F2F2"/>
          </w:tcPr>
          <w:p>
            <w:pPr>
              <w:spacing w:after="0"/>
              <w:rPr>
                <w:sz w:val="11"/>
                <w:szCs w:val="11"/>
                <w:color w:val="auto"/>
              </w:rPr>
            </w:pPr>
          </w:p>
        </w:tc>
        <w:tc>
          <w:tcPr>
            <w:tcW w:w="8360" w:type="dxa"/>
            <w:vAlign w:val="bottom"/>
            <w:tcBorders>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2024 Summary Compensation Table under SEC rules.</w:t>
            </w: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bottom w:val="single" w:sz="8" w:color="F1F2F2"/>
              <w:right w:val="single" w:sz="8" w:color="auto"/>
            </w:tcBorders>
            <w:shd w:val="clear" w:color="auto" w:fill="F1F2F2"/>
          </w:tcPr>
          <w:p>
            <w:pPr>
              <w:spacing w:after="0"/>
              <w:rPr>
                <w:sz w:val="11"/>
                <w:szCs w:val="11"/>
                <w:color w:val="auto"/>
              </w:rPr>
            </w:pPr>
          </w:p>
        </w:tc>
        <w:tc>
          <w:tcPr>
            <w:tcW w:w="8360" w:type="dxa"/>
            <w:vAlign w:val="bottom"/>
            <w:tcBorders>
              <w:bottom w:val="single" w:sz="8" w:color="F1F2F2"/>
              <w:right w:val="single" w:sz="8" w:color="auto"/>
            </w:tcBorders>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Pay Ratio</w:t>
            </w:r>
          </w:p>
        </w:tc>
        <w:tc>
          <w:tcPr>
            <w:tcW w:w="83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162:1</w:t>
            </w:r>
          </w:p>
        </w:tc>
        <w:tc>
          <w:tcPr>
            <w:tcW w:w="0" w:type="dxa"/>
            <w:vAlign w:val="bottom"/>
          </w:tcPr>
          <w:p>
            <w:pPr>
              <w:spacing w:after="0"/>
              <w:rPr>
                <w:sz w:val="1"/>
                <w:szCs w:val="1"/>
                <w:color w:val="auto"/>
              </w:rPr>
            </w:pPr>
          </w:p>
        </w:tc>
      </w:tr>
      <w:tr>
        <w:trPr>
          <w:trHeight w:val="746"/>
        </w:trPr>
        <w:tc>
          <w:tcPr>
            <w:tcW w:w="2900" w:type="dxa"/>
            <w:vAlign w:val="bottom"/>
          </w:tcPr>
          <w:p>
            <w:pPr>
              <w:spacing w:after="0"/>
              <w:rPr>
                <w:sz w:val="24"/>
                <w:szCs w:val="24"/>
                <w:color w:val="auto"/>
              </w:rPr>
            </w:pPr>
          </w:p>
        </w:tc>
        <w:tc>
          <w:tcPr>
            <w:tcW w:w="8360" w:type="dxa"/>
            <w:vAlign w:val="bottom"/>
          </w:tcPr>
          <w:p>
            <w:pPr>
              <w:ind w:left="27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0"/>
        </w:trPr>
        <w:tc>
          <w:tcPr>
            <w:tcW w:w="2900" w:type="dxa"/>
            <w:vAlign w:val="bottom"/>
            <w:tcBorders>
              <w:bottom w:val="single" w:sz="8" w:color="9A9A9A"/>
            </w:tcBorders>
          </w:tcPr>
          <w:p>
            <w:pPr>
              <w:spacing w:after="0"/>
              <w:rPr>
                <w:sz w:val="22"/>
                <w:szCs w:val="22"/>
                <w:color w:val="auto"/>
              </w:rPr>
            </w:pPr>
          </w:p>
        </w:tc>
        <w:tc>
          <w:tcPr>
            <w:tcW w:w="83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29"/>
          <w:szCs w:val="29"/>
          <w:b w:val="1"/>
          <w:bCs w:val="1"/>
          <w:color w:val="C6093B"/>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Pay Versus Performance Table</w:t>
      </w:r>
    </w:p>
    <w:p>
      <w:pPr>
        <w:spacing w:after="0" w:line="108" w:lineRule="exact"/>
        <w:rPr>
          <w:sz w:val="20"/>
          <w:szCs w:val="20"/>
          <w:color w:val="auto"/>
        </w:rPr>
      </w:pPr>
    </w:p>
    <w:p>
      <w:pPr>
        <w:ind w:right="200" w:firstLine="324"/>
        <w:spacing w:after="0" w:line="247"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or “CAP” and certain financial performance of the Company. You should refer to the “Compensation Discussion and Analysis” in this proxy statement for a more detailed description of how executive compensation relates to Company performance and how the Compensation and Human Resources Committee makes its decisions.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shd w:val="clear" w:color="auto" w:fill="C60C35"/>
          </w:tcPr>
          <w:p>
            <w:pPr>
              <w:spacing w:after="0"/>
              <w:rPr>
                <w:sz w:val="18"/>
                <w:szCs w:val="18"/>
                <w:color w:val="auto"/>
              </w:rPr>
            </w:pPr>
          </w:p>
        </w:tc>
        <w:tc>
          <w:tcPr>
            <w:tcW w:w="1180" w:type="dxa"/>
            <w:vAlign w:val="bottom"/>
            <w:shd w:val="clear" w:color="auto" w:fill="C60C35"/>
          </w:tcPr>
          <w:p>
            <w:pPr>
              <w:spacing w:after="0"/>
              <w:rPr>
                <w:sz w:val="18"/>
                <w:szCs w:val="18"/>
                <w:color w:val="auto"/>
              </w:rPr>
            </w:pPr>
          </w:p>
        </w:tc>
        <w:tc>
          <w:tcPr>
            <w:tcW w:w="1200" w:type="dxa"/>
            <w:vAlign w:val="bottom"/>
            <w:shd w:val="clear" w:color="auto" w:fill="C60C35"/>
          </w:tcPr>
          <w:p>
            <w:pPr>
              <w:spacing w:after="0"/>
              <w:rPr>
                <w:sz w:val="18"/>
                <w:szCs w:val="18"/>
                <w:color w:val="auto"/>
              </w:rPr>
            </w:pPr>
          </w:p>
        </w:tc>
        <w:tc>
          <w:tcPr>
            <w:tcW w:w="720" w:type="dxa"/>
            <w:vAlign w:val="bottom"/>
            <w:shd w:val="clear" w:color="auto" w:fill="C60C35"/>
          </w:tcPr>
          <w:p>
            <w:pPr>
              <w:spacing w:after="0"/>
              <w:rPr>
                <w:sz w:val="18"/>
                <w:szCs w:val="18"/>
                <w:color w:val="auto"/>
              </w:rPr>
            </w:pPr>
          </w:p>
        </w:tc>
        <w:tc>
          <w:tcPr>
            <w:tcW w:w="620" w:type="dxa"/>
            <w:vAlign w:val="bottom"/>
            <w:shd w:val="clear" w:color="auto" w:fill="C60C35"/>
          </w:tcPr>
          <w:p>
            <w:pPr>
              <w:spacing w:after="0"/>
              <w:rPr>
                <w:sz w:val="18"/>
                <w:szCs w:val="18"/>
                <w:color w:val="auto"/>
              </w:rPr>
            </w:pPr>
          </w:p>
        </w:tc>
        <w:tc>
          <w:tcPr>
            <w:tcW w:w="880" w:type="dxa"/>
            <w:vAlign w:val="bottom"/>
            <w:shd w:val="clear" w:color="auto" w:fill="C60C35"/>
          </w:tcPr>
          <w:p>
            <w:pPr>
              <w:spacing w:after="0"/>
              <w:rPr>
                <w:sz w:val="18"/>
                <w:szCs w:val="18"/>
                <w:color w:val="auto"/>
              </w:rPr>
            </w:pPr>
          </w:p>
        </w:tc>
        <w:tc>
          <w:tcPr>
            <w:tcW w:w="700" w:type="dxa"/>
            <w:vAlign w:val="bottom"/>
            <w:shd w:val="clear" w:color="auto" w:fill="C60C35"/>
          </w:tcPr>
          <w:p>
            <w:pPr>
              <w:spacing w:after="0"/>
              <w:rPr>
                <w:sz w:val="18"/>
                <w:szCs w:val="18"/>
                <w:color w:val="auto"/>
              </w:rPr>
            </w:pPr>
          </w:p>
        </w:tc>
        <w:tc>
          <w:tcPr>
            <w:tcW w:w="860" w:type="dxa"/>
            <w:vAlign w:val="bottom"/>
            <w:shd w:val="clear" w:color="auto" w:fill="C60C35"/>
          </w:tcPr>
          <w:p>
            <w:pPr>
              <w:spacing w:after="0"/>
              <w:rPr>
                <w:sz w:val="18"/>
                <w:szCs w:val="18"/>
                <w:color w:val="auto"/>
              </w:rPr>
            </w:pPr>
          </w:p>
        </w:tc>
        <w:tc>
          <w:tcPr>
            <w:tcW w:w="860" w:type="dxa"/>
            <w:vAlign w:val="bottom"/>
            <w:shd w:val="clear" w:color="auto" w:fill="C60C35"/>
          </w:tcPr>
          <w:p>
            <w:pPr>
              <w:spacing w:after="0"/>
              <w:rPr>
                <w:sz w:val="18"/>
                <w:szCs w:val="18"/>
                <w:color w:val="auto"/>
              </w:rPr>
            </w:pPr>
          </w:p>
        </w:tc>
        <w:tc>
          <w:tcPr>
            <w:tcW w:w="2040" w:type="dxa"/>
            <w:vAlign w:val="bottom"/>
            <w:gridSpan w:val="2"/>
            <w:shd w:val="clear" w:color="auto" w:fill="C60C35"/>
          </w:tcPr>
          <w:p>
            <w:pPr>
              <w:jc w:val="right"/>
              <w:ind w:right="201"/>
              <w:spacing w:after="0"/>
              <w:rPr>
                <w:sz w:val="20"/>
                <w:szCs w:val="20"/>
                <w:color w:val="auto"/>
              </w:rPr>
            </w:pPr>
            <w:r>
              <w:rPr>
                <w:rFonts w:ascii="Arial" w:cs="Arial" w:eastAsia="Arial" w:hAnsi="Arial"/>
                <w:sz w:val="13"/>
                <w:szCs w:val="13"/>
                <w:b w:val="1"/>
                <w:bCs w:val="1"/>
                <w:color w:val="FFFFFF"/>
              </w:rPr>
              <w:t>Value of Initial Fixed $100</w:t>
            </w:r>
          </w:p>
        </w:tc>
        <w:tc>
          <w:tcPr>
            <w:tcW w:w="820" w:type="dxa"/>
            <w:vAlign w:val="bottom"/>
            <w:shd w:val="clear" w:color="auto" w:fill="C60C35"/>
          </w:tcPr>
          <w:p>
            <w:pPr>
              <w:spacing w:after="0"/>
              <w:rPr>
                <w:sz w:val="18"/>
                <w:szCs w:val="18"/>
                <w:color w:val="auto"/>
              </w:rPr>
            </w:pPr>
          </w:p>
        </w:tc>
        <w:tc>
          <w:tcPr>
            <w:tcW w:w="860" w:type="dxa"/>
            <w:vAlign w:val="bottom"/>
            <w:shd w:val="clear" w:color="auto" w:fill="C60C35"/>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0" w:type="dxa"/>
            <w:vAlign w:val="bottom"/>
            <w:shd w:val="clear" w:color="auto" w:fill="C60C35"/>
          </w:tcPr>
          <w:p>
            <w:pPr>
              <w:spacing w:after="0"/>
              <w:rPr>
                <w:sz w:val="14"/>
                <w:szCs w:val="14"/>
                <w:color w:val="auto"/>
              </w:rPr>
            </w:pPr>
          </w:p>
        </w:tc>
        <w:tc>
          <w:tcPr>
            <w:tcW w:w="118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Summary</w:t>
            </w:r>
          </w:p>
        </w:tc>
        <w:tc>
          <w:tcPr>
            <w:tcW w:w="1200" w:type="dxa"/>
            <w:vAlign w:val="bottom"/>
            <w:shd w:val="clear" w:color="auto" w:fill="C60C35"/>
          </w:tcPr>
          <w:p>
            <w:pPr>
              <w:spacing w:after="0"/>
              <w:rPr>
                <w:sz w:val="14"/>
                <w:szCs w:val="14"/>
                <w:color w:val="auto"/>
              </w:rPr>
            </w:pPr>
          </w:p>
        </w:tc>
        <w:tc>
          <w:tcPr>
            <w:tcW w:w="720" w:type="dxa"/>
            <w:vAlign w:val="bottom"/>
            <w:shd w:val="clear" w:color="auto" w:fill="C60C35"/>
          </w:tcPr>
          <w:p>
            <w:pPr>
              <w:spacing w:after="0"/>
              <w:rPr>
                <w:sz w:val="14"/>
                <w:szCs w:val="14"/>
                <w:color w:val="auto"/>
              </w:rPr>
            </w:pPr>
          </w:p>
        </w:tc>
        <w:tc>
          <w:tcPr>
            <w:tcW w:w="620" w:type="dxa"/>
            <w:vAlign w:val="bottom"/>
            <w:shd w:val="clear" w:color="auto" w:fill="C60C35"/>
          </w:tcPr>
          <w:p>
            <w:pPr>
              <w:spacing w:after="0"/>
              <w:rPr>
                <w:sz w:val="14"/>
                <w:szCs w:val="14"/>
                <w:color w:val="auto"/>
              </w:rPr>
            </w:pPr>
          </w:p>
        </w:tc>
        <w:tc>
          <w:tcPr>
            <w:tcW w:w="880" w:type="dxa"/>
            <w:vAlign w:val="bottom"/>
            <w:shd w:val="clear" w:color="auto" w:fill="C60C35"/>
          </w:tcPr>
          <w:p>
            <w:pPr>
              <w:spacing w:after="0"/>
              <w:rPr>
                <w:sz w:val="14"/>
                <w:szCs w:val="14"/>
                <w:color w:val="auto"/>
              </w:rPr>
            </w:pPr>
          </w:p>
        </w:tc>
        <w:tc>
          <w:tcPr>
            <w:tcW w:w="700" w:type="dxa"/>
            <w:vAlign w:val="bottom"/>
            <w:shd w:val="clear" w:color="auto" w:fill="C60C35"/>
          </w:tcPr>
          <w:p>
            <w:pPr>
              <w:spacing w:after="0"/>
              <w:rPr>
                <w:sz w:val="14"/>
                <w:szCs w:val="14"/>
                <w:color w:val="auto"/>
              </w:rPr>
            </w:pPr>
          </w:p>
        </w:tc>
        <w:tc>
          <w:tcPr>
            <w:tcW w:w="86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w w:val="96"/>
              </w:rPr>
              <w:t>Average SCT</w:t>
            </w:r>
          </w:p>
        </w:tc>
        <w:tc>
          <w:tcPr>
            <w:tcW w:w="860" w:type="dxa"/>
            <w:vAlign w:val="bottom"/>
            <w:shd w:val="clear" w:color="auto" w:fill="C60C35"/>
          </w:tcPr>
          <w:p>
            <w:pPr>
              <w:spacing w:after="0"/>
              <w:rPr>
                <w:sz w:val="14"/>
                <w:szCs w:val="14"/>
                <w:color w:val="auto"/>
              </w:rPr>
            </w:pPr>
          </w:p>
        </w:tc>
        <w:tc>
          <w:tcPr>
            <w:tcW w:w="2040" w:type="dxa"/>
            <w:vAlign w:val="bottom"/>
            <w:gridSpan w:val="2"/>
            <w:shd w:val="clear" w:color="auto" w:fill="C60C35"/>
          </w:tcPr>
          <w:p>
            <w:pPr>
              <w:jc w:val="right"/>
              <w:ind w:right="301"/>
              <w:spacing w:after="0"/>
              <w:rPr>
                <w:sz w:val="20"/>
                <w:szCs w:val="20"/>
                <w:color w:val="auto"/>
              </w:rPr>
            </w:pPr>
            <w:r>
              <w:rPr>
                <w:rFonts w:ascii="Arial" w:cs="Arial" w:eastAsia="Arial" w:hAnsi="Arial"/>
                <w:sz w:val="13"/>
                <w:szCs w:val="13"/>
                <w:b w:val="1"/>
                <w:bCs w:val="1"/>
                <w:color w:val="FFFFFF"/>
              </w:rPr>
              <w:t>Investment Based On:</w:t>
            </w:r>
          </w:p>
        </w:tc>
        <w:tc>
          <w:tcPr>
            <w:tcW w:w="820" w:type="dxa"/>
            <w:vAlign w:val="bottom"/>
            <w:shd w:val="clear" w:color="auto" w:fill="C60C35"/>
          </w:tcPr>
          <w:p>
            <w:pPr>
              <w:spacing w:after="0"/>
              <w:rPr>
                <w:sz w:val="14"/>
                <w:szCs w:val="14"/>
                <w:color w:val="auto"/>
              </w:rPr>
            </w:pPr>
          </w:p>
        </w:tc>
        <w:tc>
          <w:tcPr>
            <w:tcW w:w="86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00" w:type="dxa"/>
            <w:vAlign w:val="bottom"/>
            <w:shd w:val="clear" w:color="auto" w:fill="C60C35"/>
          </w:tcPr>
          <w:p>
            <w:pPr>
              <w:spacing w:after="0"/>
              <w:rPr>
                <w:sz w:val="4"/>
                <w:szCs w:val="4"/>
                <w:color w:val="auto"/>
              </w:rPr>
            </w:pPr>
          </w:p>
        </w:tc>
        <w:tc>
          <w:tcPr>
            <w:tcW w:w="1180" w:type="dxa"/>
            <w:vAlign w:val="bottom"/>
            <w:vMerge w:val="continue"/>
            <w:shd w:val="clear" w:color="auto" w:fill="C60C35"/>
          </w:tcPr>
          <w:p>
            <w:pPr>
              <w:spacing w:after="0"/>
              <w:rPr>
                <w:sz w:val="4"/>
                <w:szCs w:val="4"/>
                <w:color w:val="auto"/>
              </w:rPr>
            </w:pPr>
          </w:p>
        </w:tc>
        <w:tc>
          <w:tcPr>
            <w:tcW w:w="1200" w:type="dxa"/>
            <w:vAlign w:val="bottom"/>
            <w:shd w:val="clear" w:color="auto" w:fill="C60C35"/>
          </w:tcPr>
          <w:p>
            <w:pPr>
              <w:spacing w:after="0"/>
              <w:rPr>
                <w:sz w:val="4"/>
                <w:szCs w:val="4"/>
                <w:color w:val="auto"/>
              </w:rPr>
            </w:pPr>
          </w:p>
        </w:tc>
        <w:tc>
          <w:tcPr>
            <w:tcW w:w="720" w:type="dxa"/>
            <w:vAlign w:val="bottom"/>
            <w:shd w:val="clear" w:color="auto" w:fill="C60C35"/>
          </w:tcPr>
          <w:p>
            <w:pPr>
              <w:spacing w:after="0"/>
              <w:rPr>
                <w:sz w:val="4"/>
                <w:szCs w:val="4"/>
                <w:color w:val="auto"/>
              </w:rPr>
            </w:pPr>
          </w:p>
        </w:tc>
        <w:tc>
          <w:tcPr>
            <w:tcW w:w="620" w:type="dxa"/>
            <w:vAlign w:val="bottom"/>
            <w:shd w:val="clear" w:color="auto" w:fill="C60C35"/>
          </w:tcPr>
          <w:p>
            <w:pPr>
              <w:spacing w:after="0"/>
              <w:rPr>
                <w:sz w:val="4"/>
                <w:szCs w:val="4"/>
                <w:color w:val="auto"/>
              </w:rPr>
            </w:pPr>
          </w:p>
        </w:tc>
        <w:tc>
          <w:tcPr>
            <w:tcW w:w="880" w:type="dxa"/>
            <w:vAlign w:val="bottom"/>
            <w:shd w:val="clear" w:color="auto" w:fill="C60C35"/>
          </w:tcPr>
          <w:p>
            <w:pPr>
              <w:spacing w:after="0"/>
              <w:rPr>
                <w:sz w:val="4"/>
                <w:szCs w:val="4"/>
                <w:color w:val="auto"/>
              </w:rPr>
            </w:pPr>
          </w:p>
        </w:tc>
        <w:tc>
          <w:tcPr>
            <w:tcW w:w="700" w:type="dxa"/>
            <w:vAlign w:val="bottom"/>
            <w:shd w:val="clear" w:color="auto" w:fill="C60C35"/>
          </w:tcPr>
          <w:p>
            <w:pPr>
              <w:spacing w:after="0"/>
              <w:rPr>
                <w:sz w:val="4"/>
                <w:szCs w:val="4"/>
                <w:color w:val="auto"/>
              </w:rPr>
            </w:pPr>
          </w:p>
        </w:tc>
        <w:tc>
          <w:tcPr>
            <w:tcW w:w="860" w:type="dxa"/>
            <w:vAlign w:val="bottom"/>
            <w:vMerge w:val="continue"/>
            <w:shd w:val="clear" w:color="auto" w:fill="C60C35"/>
          </w:tcPr>
          <w:p>
            <w:pPr>
              <w:spacing w:after="0"/>
              <w:rPr>
                <w:sz w:val="4"/>
                <w:szCs w:val="4"/>
                <w:color w:val="auto"/>
              </w:rPr>
            </w:pPr>
          </w:p>
        </w:tc>
        <w:tc>
          <w:tcPr>
            <w:tcW w:w="860" w:type="dxa"/>
            <w:vAlign w:val="bottom"/>
            <w:shd w:val="clear" w:color="auto" w:fill="C60C35"/>
          </w:tcPr>
          <w:p>
            <w:pPr>
              <w:spacing w:after="0"/>
              <w:rPr>
                <w:sz w:val="4"/>
                <w:szCs w:val="4"/>
                <w:color w:val="auto"/>
              </w:rPr>
            </w:pPr>
          </w:p>
        </w:tc>
        <w:tc>
          <w:tcPr>
            <w:tcW w:w="1020" w:type="dxa"/>
            <w:vAlign w:val="bottom"/>
            <w:shd w:val="clear" w:color="auto" w:fill="C60C35"/>
          </w:tcPr>
          <w:p>
            <w:pPr>
              <w:spacing w:after="0"/>
              <w:rPr>
                <w:sz w:val="4"/>
                <w:szCs w:val="4"/>
                <w:color w:val="auto"/>
              </w:rPr>
            </w:pPr>
          </w:p>
        </w:tc>
        <w:tc>
          <w:tcPr>
            <w:tcW w:w="1020" w:type="dxa"/>
            <w:vAlign w:val="bottom"/>
            <w:shd w:val="clear" w:color="auto" w:fill="C60C35"/>
          </w:tcPr>
          <w:p>
            <w:pPr>
              <w:spacing w:after="0"/>
              <w:rPr>
                <w:sz w:val="4"/>
                <w:szCs w:val="4"/>
                <w:color w:val="auto"/>
              </w:rPr>
            </w:pPr>
          </w:p>
        </w:tc>
        <w:tc>
          <w:tcPr>
            <w:tcW w:w="820" w:type="dxa"/>
            <w:vAlign w:val="bottom"/>
            <w:shd w:val="clear" w:color="auto" w:fill="C60C35"/>
          </w:tcPr>
          <w:p>
            <w:pPr>
              <w:spacing w:after="0"/>
              <w:rPr>
                <w:sz w:val="4"/>
                <w:szCs w:val="4"/>
                <w:color w:val="auto"/>
              </w:rPr>
            </w:pPr>
          </w:p>
        </w:tc>
        <w:tc>
          <w:tcPr>
            <w:tcW w:w="860" w:type="dxa"/>
            <w:vAlign w:val="bottom"/>
            <w:shd w:val="clear" w:color="auto" w:fill="C60C35"/>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0" w:type="dxa"/>
            <w:vAlign w:val="bottom"/>
            <w:shd w:val="clear" w:color="auto" w:fill="C60C35"/>
          </w:tcPr>
          <w:p>
            <w:pPr>
              <w:spacing w:after="0"/>
              <w:rPr>
                <w:sz w:val="14"/>
                <w:szCs w:val="14"/>
                <w:color w:val="auto"/>
              </w:rPr>
            </w:pPr>
          </w:p>
        </w:tc>
        <w:tc>
          <w:tcPr>
            <w:tcW w:w="11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Compensation</w:t>
            </w:r>
          </w:p>
        </w:tc>
        <w:tc>
          <w:tcPr>
            <w:tcW w:w="12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Compensation</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SCT</w:t>
            </w:r>
          </w:p>
        </w:tc>
        <w:tc>
          <w:tcPr>
            <w:tcW w:w="620" w:type="dxa"/>
            <w:vAlign w:val="bottom"/>
            <w:shd w:val="clear" w:color="auto" w:fill="C60C35"/>
          </w:tcPr>
          <w:p>
            <w:pPr>
              <w:spacing w:after="0"/>
              <w:rPr>
                <w:sz w:val="14"/>
                <w:szCs w:val="14"/>
                <w:color w:val="auto"/>
              </w:rPr>
            </w:pPr>
          </w:p>
        </w:tc>
        <w:tc>
          <w:tcPr>
            <w:tcW w:w="880" w:type="dxa"/>
            <w:vAlign w:val="bottom"/>
            <w:shd w:val="clear" w:color="auto" w:fill="C60C35"/>
          </w:tcPr>
          <w:p>
            <w:pPr>
              <w:spacing w:after="0"/>
              <w:rPr>
                <w:sz w:val="14"/>
                <w:szCs w:val="14"/>
                <w:color w:val="auto"/>
              </w:rPr>
            </w:pPr>
          </w:p>
        </w:tc>
        <w:tc>
          <w:tcPr>
            <w:tcW w:w="700" w:type="dxa"/>
            <w:vAlign w:val="bottom"/>
            <w:shd w:val="clear" w:color="auto" w:fill="C60C35"/>
          </w:tcPr>
          <w:p>
            <w:pPr>
              <w:spacing w:after="0"/>
              <w:rPr>
                <w:sz w:val="14"/>
                <w:szCs w:val="14"/>
                <w:color w:val="auto"/>
              </w:rPr>
            </w:pP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Total for</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w w:val="99"/>
              </w:rPr>
              <w:t>Average CAP</w:t>
            </w:r>
          </w:p>
        </w:tc>
        <w:tc>
          <w:tcPr>
            <w:tcW w:w="1020" w:type="dxa"/>
            <w:vAlign w:val="bottom"/>
            <w:shd w:val="clear" w:color="auto" w:fill="C60C35"/>
          </w:tcPr>
          <w:p>
            <w:pPr>
              <w:spacing w:after="0"/>
              <w:rPr>
                <w:sz w:val="14"/>
                <w:szCs w:val="14"/>
                <w:color w:val="auto"/>
              </w:rPr>
            </w:pP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Peer</w:t>
            </w:r>
          </w:p>
        </w:tc>
        <w:tc>
          <w:tcPr>
            <w:tcW w:w="820" w:type="dxa"/>
            <w:vAlign w:val="bottom"/>
            <w:shd w:val="clear" w:color="auto" w:fill="C60C35"/>
          </w:tcPr>
          <w:p>
            <w:pPr>
              <w:spacing w:after="0"/>
              <w:rPr>
                <w:sz w:val="14"/>
                <w:szCs w:val="14"/>
                <w:color w:val="auto"/>
              </w:rPr>
            </w:pPr>
          </w:p>
        </w:tc>
        <w:tc>
          <w:tcPr>
            <w:tcW w:w="86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shd w:val="clear" w:color="auto" w:fill="C60C35"/>
          </w:tcPr>
          <w:p>
            <w:pPr>
              <w:spacing w:after="0"/>
              <w:rPr>
                <w:sz w:val="12"/>
                <w:szCs w:val="12"/>
                <w:color w:val="auto"/>
              </w:rPr>
            </w:pPr>
          </w:p>
        </w:tc>
        <w:tc>
          <w:tcPr>
            <w:tcW w:w="11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Table (SCT)</w:t>
            </w:r>
          </w:p>
        </w:tc>
        <w:tc>
          <w:tcPr>
            <w:tcW w:w="12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Actually Paid</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Total for</w:t>
            </w:r>
          </w:p>
        </w:tc>
        <w:tc>
          <w:tcPr>
            <w:tcW w:w="6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CAP to</w:t>
            </w:r>
          </w:p>
        </w:tc>
        <w:tc>
          <w:tcPr>
            <w:tcW w:w="88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SCT</w:t>
            </w:r>
          </w:p>
        </w:tc>
        <w:tc>
          <w:tcPr>
            <w:tcW w:w="700" w:type="dxa"/>
            <w:vAlign w:val="bottom"/>
            <w:shd w:val="clear" w:color="auto" w:fill="C60C35"/>
          </w:tcPr>
          <w:p>
            <w:pPr>
              <w:spacing w:after="0"/>
              <w:rPr>
                <w:sz w:val="12"/>
                <w:szCs w:val="12"/>
                <w:color w:val="auto"/>
              </w:rPr>
            </w:pP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Non-PEO</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 Non-PEO</w:t>
            </w:r>
          </w:p>
        </w:tc>
        <w:tc>
          <w:tcPr>
            <w:tcW w:w="1020" w:type="dxa"/>
            <w:vAlign w:val="bottom"/>
            <w:shd w:val="clear" w:color="auto" w:fill="C60C35"/>
          </w:tcPr>
          <w:p>
            <w:pPr>
              <w:spacing w:after="0"/>
              <w:rPr>
                <w:sz w:val="12"/>
                <w:szCs w:val="12"/>
                <w:color w:val="auto"/>
              </w:rPr>
            </w:pP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Group</w:t>
            </w:r>
          </w:p>
        </w:tc>
        <w:tc>
          <w:tcPr>
            <w:tcW w:w="820" w:type="dxa"/>
            <w:vAlign w:val="bottom"/>
            <w:shd w:val="clear" w:color="auto" w:fill="C60C35"/>
          </w:tcPr>
          <w:p>
            <w:pPr>
              <w:spacing w:after="0"/>
              <w:rPr>
                <w:sz w:val="12"/>
                <w:szCs w:val="12"/>
                <w:color w:val="auto"/>
              </w:rPr>
            </w:pP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Company</w:t>
            </w:r>
          </w:p>
        </w:tc>
        <w:tc>
          <w:tcPr>
            <w:tcW w:w="0" w:type="dxa"/>
            <w:vAlign w:val="bottom"/>
          </w:tcPr>
          <w:p>
            <w:pPr>
              <w:spacing w:after="0"/>
              <w:rPr>
                <w:sz w:val="1"/>
                <w:szCs w:val="1"/>
                <w:color w:val="auto"/>
              </w:rPr>
            </w:pPr>
          </w:p>
        </w:tc>
      </w:tr>
      <w:tr>
        <w:trPr>
          <w:trHeight w:val="148"/>
        </w:trPr>
        <w:tc>
          <w:tcPr>
            <w:tcW w:w="500" w:type="dxa"/>
            <w:vAlign w:val="bottom"/>
            <w:shd w:val="clear" w:color="auto" w:fill="C60C35"/>
          </w:tcPr>
          <w:p>
            <w:pPr>
              <w:spacing w:after="0"/>
              <w:rPr>
                <w:sz w:val="12"/>
                <w:szCs w:val="12"/>
                <w:color w:val="auto"/>
              </w:rPr>
            </w:pPr>
          </w:p>
        </w:tc>
        <w:tc>
          <w:tcPr>
            <w:tcW w:w="11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Total for PEO</w:t>
            </w:r>
          </w:p>
        </w:tc>
        <w:tc>
          <w:tcPr>
            <w:tcW w:w="12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(“CAP”) to PEO 1</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PEO 2</w:t>
            </w:r>
          </w:p>
        </w:tc>
        <w:tc>
          <w:tcPr>
            <w:tcW w:w="6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PEO 2</w:t>
            </w:r>
          </w:p>
        </w:tc>
        <w:tc>
          <w:tcPr>
            <w:tcW w:w="1580" w:type="dxa"/>
            <w:vAlign w:val="bottom"/>
            <w:gridSpan w:val="2"/>
            <w:shd w:val="clear" w:color="auto" w:fill="C60C35"/>
          </w:tcPr>
          <w:p>
            <w:pPr>
              <w:jc w:val="right"/>
              <w:spacing w:after="0"/>
              <w:rPr>
                <w:sz w:val="20"/>
                <w:szCs w:val="20"/>
                <w:color w:val="auto"/>
              </w:rPr>
            </w:pPr>
            <w:r>
              <w:rPr>
                <w:rFonts w:ascii="Arial" w:cs="Arial" w:eastAsia="Arial" w:hAnsi="Arial"/>
                <w:sz w:val="13"/>
                <w:szCs w:val="13"/>
                <w:b w:val="1"/>
                <w:bCs w:val="1"/>
                <w:color w:val="FFFFFF"/>
              </w:rPr>
              <w:t>Total for CAP to PEO</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Named</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Named</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Total</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Total</w:t>
            </w:r>
          </w:p>
        </w:tc>
        <w:tc>
          <w:tcPr>
            <w:tcW w:w="820" w:type="dxa"/>
            <w:vAlign w:val="bottom"/>
            <w:shd w:val="clear" w:color="auto" w:fill="C60C35"/>
          </w:tcPr>
          <w:p>
            <w:pPr>
              <w:spacing w:after="0"/>
              <w:rPr>
                <w:sz w:val="12"/>
                <w:szCs w:val="12"/>
                <w:color w:val="auto"/>
              </w:rPr>
            </w:pP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Core Net</w:t>
            </w:r>
          </w:p>
        </w:tc>
        <w:tc>
          <w:tcPr>
            <w:tcW w:w="0" w:type="dxa"/>
            <w:vAlign w:val="bottom"/>
          </w:tcPr>
          <w:p>
            <w:pPr>
              <w:spacing w:after="0"/>
              <w:rPr>
                <w:sz w:val="1"/>
                <w:szCs w:val="1"/>
                <w:color w:val="auto"/>
              </w:rPr>
            </w:pPr>
          </w:p>
        </w:tc>
      </w:tr>
      <w:tr>
        <w:trPr>
          <w:trHeight w:val="148"/>
        </w:trPr>
        <w:tc>
          <w:tcPr>
            <w:tcW w:w="500" w:type="dxa"/>
            <w:vAlign w:val="bottom"/>
            <w:shd w:val="clear" w:color="auto" w:fill="C60C35"/>
          </w:tcPr>
          <w:p>
            <w:pPr>
              <w:spacing w:after="0"/>
              <w:rPr>
                <w:sz w:val="12"/>
                <w:szCs w:val="12"/>
                <w:color w:val="auto"/>
              </w:rPr>
            </w:pPr>
          </w:p>
        </w:tc>
        <w:tc>
          <w:tcPr>
            <w:tcW w:w="11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1 (Todd M.</w:t>
            </w:r>
          </w:p>
        </w:tc>
        <w:tc>
          <w:tcPr>
            <w:tcW w:w="12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(Todd M.</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(Todd J.</w:t>
            </w:r>
          </w:p>
        </w:tc>
        <w:tc>
          <w:tcPr>
            <w:tcW w:w="6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(Todd J.</w:t>
            </w:r>
          </w:p>
        </w:tc>
        <w:tc>
          <w:tcPr>
            <w:tcW w:w="88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w w:val="99"/>
              </w:rPr>
              <w:t>PEO 3 (Alok</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3 (Alok</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Executive</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Executive</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Shareholder</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Shareholder</w:t>
            </w:r>
          </w:p>
        </w:tc>
        <w:tc>
          <w:tcPr>
            <w:tcW w:w="8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Net Income</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Income</w:t>
            </w:r>
          </w:p>
        </w:tc>
        <w:tc>
          <w:tcPr>
            <w:tcW w:w="0" w:type="dxa"/>
            <w:vAlign w:val="bottom"/>
          </w:tcPr>
          <w:p>
            <w:pPr>
              <w:spacing w:after="0"/>
              <w:rPr>
                <w:sz w:val="1"/>
                <w:szCs w:val="1"/>
                <w:color w:val="auto"/>
              </w:rPr>
            </w:pPr>
          </w:p>
        </w:tc>
      </w:tr>
      <w:tr>
        <w:trPr>
          <w:trHeight w:val="152"/>
        </w:trPr>
        <w:tc>
          <w:tcPr>
            <w:tcW w:w="500" w:type="dxa"/>
            <w:vAlign w:val="bottom"/>
            <w:shd w:val="clear" w:color="auto" w:fill="C60C35"/>
          </w:tcPr>
          <w:p>
            <w:pPr>
              <w:spacing w:after="0"/>
              <w:rPr>
                <w:sz w:val="13"/>
                <w:szCs w:val="13"/>
                <w:color w:val="auto"/>
              </w:rPr>
            </w:pPr>
          </w:p>
        </w:tc>
        <w:tc>
          <w:tcPr>
            <w:tcW w:w="11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Bluedorn)</w:t>
            </w:r>
          </w:p>
        </w:tc>
        <w:tc>
          <w:tcPr>
            <w:tcW w:w="12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Bluedorn)</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Teske)</w:t>
            </w:r>
          </w:p>
        </w:tc>
        <w:tc>
          <w:tcPr>
            <w:tcW w:w="6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Teske)</w:t>
            </w:r>
          </w:p>
        </w:tc>
        <w:tc>
          <w:tcPr>
            <w:tcW w:w="88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Maskara)</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Maskara)</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Officers</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Officers</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Return</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Return</w:t>
            </w:r>
          </w:p>
        </w:tc>
        <w:tc>
          <w:tcPr>
            <w:tcW w:w="8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w w:val="99"/>
              </w:rPr>
              <w:t>(in $millions)</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(in $millions)</w:t>
            </w:r>
          </w:p>
        </w:tc>
        <w:tc>
          <w:tcPr>
            <w:tcW w:w="0" w:type="dxa"/>
            <w:vAlign w:val="bottom"/>
          </w:tcPr>
          <w:p>
            <w:pPr>
              <w:spacing w:after="0"/>
              <w:rPr>
                <w:sz w:val="1"/>
                <w:szCs w:val="1"/>
                <w:color w:val="auto"/>
              </w:rPr>
            </w:pPr>
          </w:p>
        </w:tc>
      </w:tr>
      <w:tr>
        <w:trPr>
          <w:trHeight w:val="159"/>
        </w:trPr>
        <w:tc>
          <w:tcPr>
            <w:tcW w:w="5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0"/>
              </w:rPr>
              <w:t> Year</w:t>
            </w:r>
          </w:p>
        </w:tc>
        <w:tc>
          <w:tcPr>
            <w:tcW w:w="118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(b)</w:t>
            </w:r>
            <w:r>
              <w:rPr>
                <w:rFonts w:ascii="Arial" w:cs="Arial" w:eastAsia="Arial" w:hAnsi="Arial"/>
                <w:sz w:val="16"/>
                <w:szCs w:val="16"/>
                <w:b w:val="1"/>
                <w:bCs w:val="1"/>
                <w:color w:val="FFFFFF"/>
                <w:vertAlign w:val="superscript"/>
              </w:rPr>
              <w:t>(1)</w:t>
            </w:r>
          </w:p>
        </w:tc>
        <w:tc>
          <w:tcPr>
            <w:tcW w:w="1200" w:type="dxa"/>
            <w:vAlign w:val="bottom"/>
            <w:shd w:val="clear" w:color="auto" w:fill="C60C35"/>
          </w:tcPr>
          <w:p>
            <w:pPr>
              <w:jc w:val="right"/>
              <w:ind w:right="41"/>
              <w:spacing w:after="0" w:line="158" w:lineRule="exact"/>
              <w:rPr>
                <w:sz w:val="20"/>
                <w:szCs w:val="20"/>
                <w:color w:val="auto"/>
              </w:rPr>
            </w:pPr>
            <w:r>
              <w:rPr>
                <w:rFonts w:ascii="Arial" w:cs="Arial" w:eastAsia="Arial" w:hAnsi="Arial"/>
                <w:sz w:val="13"/>
                <w:szCs w:val="13"/>
                <w:b w:val="1"/>
                <w:bCs w:val="1"/>
                <w:color w:val="FFFFFF"/>
              </w:rPr>
              <w:t>(c)</w:t>
            </w:r>
            <w:r>
              <w:rPr>
                <w:rFonts w:ascii="Arial" w:cs="Arial" w:eastAsia="Arial" w:hAnsi="Arial"/>
                <w:sz w:val="16"/>
                <w:szCs w:val="16"/>
                <w:b w:val="1"/>
                <w:bCs w:val="1"/>
                <w:color w:val="FFFFFF"/>
                <w:vertAlign w:val="superscript"/>
              </w:rPr>
              <w:t>(1)</w:t>
            </w:r>
          </w:p>
        </w:tc>
        <w:tc>
          <w:tcPr>
            <w:tcW w:w="720" w:type="dxa"/>
            <w:vAlign w:val="bottom"/>
            <w:shd w:val="clear" w:color="auto" w:fill="C60C35"/>
          </w:tcPr>
          <w:p>
            <w:pPr>
              <w:jc w:val="right"/>
              <w:ind w:right="61"/>
              <w:spacing w:after="0" w:line="158" w:lineRule="exact"/>
              <w:rPr>
                <w:sz w:val="20"/>
                <w:szCs w:val="20"/>
                <w:color w:val="auto"/>
              </w:rPr>
            </w:pPr>
            <w:r>
              <w:rPr>
                <w:rFonts w:ascii="Arial" w:cs="Arial" w:eastAsia="Arial" w:hAnsi="Arial"/>
                <w:sz w:val="13"/>
                <w:szCs w:val="13"/>
                <w:b w:val="1"/>
                <w:bCs w:val="1"/>
                <w:color w:val="FFFFFF"/>
              </w:rPr>
              <w:t>(b)</w:t>
            </w:r>
            <w:r>
              <w:rPr>
                <w:rFonts w:ascii="Arial" w:cs="Arial" w:eastAsia="Arial" w:hAnsi="Arial"/>
                <w:sz w:val="16"/>
                <w:szCs w:val="16"/>
                <w:b w:val="1"/>
                <w:bCs w:val="1"/>
                <w:color w:val="FFFFFF"/>
                <w:vertAlign w:val="superscript"/>
              </w:rPr>
              <w:t>(1)</w:t>
            </w:r>
          </w:p>
        </w:tc>
        <w:tc>
          <w:tcPr>
            <w:tcW w:w="62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(c)</w:t>
            </w:r>
            <w:r>
              <w:rPr>
                <w:rFonts w:ascii="Arial" w:cs="Arial" w:eastAsia="Arial" w:hAnsi="Arial"/>
                <w:sz w:val="16"/>
                <w:szCs w:val="16"/>
                <w:b w:val="1"/>
                <w:bCs w:val="1"/>
                <w:color w:val="FFFFFF"/>
                <w:vertAlign w:val="superscript"/>
              </w:rPr>
              <w:t>(1)</w:t>
            </w:r>
          </w:p>
        </w:tc>
        <w:tc>
          <w:tcPr>
            <w:tcW w:w="880" w:type="dxa"/>
            <w:vAlign w:val="bottom"/>
            <w:shd w:val="clear" w:color="auto" w:fill="C60C35"/>
          </w:tcPr>
          <w:p>
            <w:pPr>
              <w:jc w:val="right"/>
              <w:ind w:right="61"/>
              <w:spacing w:after="0" w:line="158" w:lineRule="exact"/>
              <w:rPr>
                <w:sz w:val="20"/>
                <w:szCs w:val="20"/>
                <w:color w:val="auto"/>
              </w:rPr>
            </w:pPr>
            <w:r>
              <w:rPr>
                <w:rFonts w:ascii="Arial" w:cs="Arial" w:eastAsia="Arial" w:hAnsi="Arial"/>
                <w:sz w:val="13"/>
                <w:szCs w:val="13"/>
                <w:b w:val="1"/>
                <w:bCs w:val="1"/>
                <w:color w:val="FFFFFF"/>
              </w:rPr>
              <w:t>(b)</w:t>
            </w:r>
            <w:r>
              <w:rPr>
                <w:rFonts w:ascii="Arial" w:cs="Arial" w:eastAsia="Arial" w:hAnsi="Arial"/>
                <w:sz w:val="16"/>
                <w:szCs w:val="16"/>
                <w:b w:val="1"/>
                <w:bCs w:val="1"/>
                <w:color w:val="FFFFFF"/>
                <w:vertAlign w:val="superscript"/>
              </w:rPr>
              <w:t>(1)</w:t>
            </w:r>
          </w:p>
        </w:tc>
        <w:tc>
          <w:tcPr>
            <w:tcW w:w="700" w:type="dxa"/>
            <w:vAlign w:val="bottom"/>
            <w:shd w:val="clear" w:color="auto" w:fill="C60C35"/>
          </w:tcPr>
          <w:p>
            <w:pPr>
              <w:jc w:val="right"/>
              <w:spacing w:after="0" w:line="158" w:lineRule="exact"/>
              <w:rPr>
                <w:sz w:val="20"/>
                <w:szCs w:val="20"/>
                <w:color w:val="auto"/>
              </w:rPr>
            </w:pPr>
            <w:r>
              <w:rPr>
                <w:rFonts w:ascii="Arial" w:cs="Arial" w:eastAsia="Arial" w:hAnsi="Arial"/>
                <w:sz w:val="18"/>
                <w:szCs w:val="18"/>
                <w:b w:val="1"/>
                <w:bCs w:val="1"/>
                <w:color w:val="FFFFFF"/>
                <w:vertAlign w:val="subscript"/>
              </w:rPr>
              <w:t>(c)</w:t>
            </w:r>
            <w:r>
              <w:rPr>
                <w:rFonts w:ascii="Arial" w:cs="Arial" w:eastAsia="Arial" w:hAnsi="Arial"/>
                <w:sz w:val="7"/>
                <w:szCs w:val="7"/>
                <w:b w:val="1"/>
                <w:bCs w:val="1"/>
                <w:color w:val="FFFFFF"/>
              </w:rPr>
              <w:t>(1)(2)</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(d)</w:t>
            </w:r>
          </w:p>
        </w:tc>
        <w:tc>
          <w:tcPr>
            <w:tcW w:w="860" w:type="dxa"/>
            <w:vAlign w:val="bottom"/>
            <w:shd w:val="clear" w:color="auto" w:fill="C60C35"/>
          </w:tcPr>
          <w:p>
            <w:pPr>
              <w:jc w:val="right"/>
              <w:spacing w:after="0" w:line="158" w:lineRule="exact"/>
              <w:rPr>
                <w:sz w:val="20"/>
                <w:szCs w:val="20"/>
                <w:color w:val="auto"/>
              </w:rPr>
            </w:pPr>
            <w:r>
              <w:rPr>
                <w:rFonts w:ascii="Arial" w:cs="Arial" w:eastAsia="Arial" w:hAnsi="Arial"/>
                <w:sz w:val="18"/>
                <w:szCs w:val="18"/>
                <w:b w:val="1"/>
                <w:bCs w:val="1"/>
                <w:color w:val="FFFFFF"/>
                <w:vertAlign w:val="subscript"/>
              </w:rPr>
              <w:t>(e)</w:t>
            </w:r>
            <w:r>
              <w:rPr>
                <w:rFonts w:ascii="Arial" w:cs="Arial" w:eastAsia="Arial" w:hAnsi="Arial"/>
                <w:sz w:val="7"/>
                <w:szCs w:val="7"/>
                <w:b w:val="1"/>
                <w:bCs w:val="1"/>
                <w:color w:val="FFFFFF"/>
              </w:rPr>
              <w:t>(1)(2)</w:t>
            </w:r>
          </w:p>
        </w:tc>
        <w:tc>
          <w:tcPr>
            <w:tcW w:w="102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(f)</w:t>
            </w:r>
            <w:r>
              <w:rPr>
                <w:rFonts w:ascii="Arial" w:cs="Arial" w:eastAsia="Arial" w:hAnsi="Arial"/>
                <w:sz w:val="16"/>
                <w:szCs w:val="16"/>
                <w:b w:val="1"/>
                <w:bCs w:val="1"/>
                <w:color w:val="FFFFFF"/>
                <w:vertAlign w:val="superscript"/>
              </w:rPr>
              <w:t>(3)</w:t>
            </w:r>
          </w:p>
        </w:tc>
        <w:tc>
          <w:tcPr>
            <w:tcW w:w="102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(g)</w:t>
            </w:r>
            <w:r>
              <w:rPr>
                <w:rFonts w:ascii="Arial" w:cs="Arial" w:eastAsia="Arial" w:hAnsi="Arial"/>
                <w:sz w:val="16"/>
                <w:szCs w:val="16"/>
                <w:b w:val="1"/>
                <w:bCs w:val="1"/>
                <w:color w:val="FFFFFF"/>
                <w:vertAlign w:val="superscript"/>
              </w:rPr>
              <w:t>(3)</w:t>
            </w:r>
          </w:p>
        </w:tc>
        <w:tc>
          <w:tcPr>
            <w:tcW w:w="8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(h)</w:t>
            </w:r>
          </w:p>
        </w:tc>
        <w:tc>
          <w:tcPr>
            <w:tcW w:w="86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(i)</w:t>
            </w:r>
            <w:r>
              <w:rPr>
                <w:rFonts w:ascii="Arial" w:cs="Arial" w:eastAsia="Arial" w:hAnsi="Arial"/>
                <w:sz w:val="16"/>
                <w:szCs w:val="16"/>
                <w:b w:val="1"/>
                <w:bCs w:val="1"/>
                <w:color w:val="FFFFFF"/>
                <w:vertAlign w:val="superscript"/>
              </w:rPr>
              <w:t>(4)</w:t>
            </w:r>
          </w:p>
        </w:tc>
        <w:tc>
          <w:tcPr>
            <w:tcW w:w="0" w:type="dxa"/>
            <w:vAlign w:val="bottom"/>
          </w:tcPr>
          <w:p>
            <w:pPr>
              <w:spacing w:after="0"/>
              <w:rPr>
                <w:sz w:val="1"/>
                <w:szCs w:val="1"/>
                <w:color w:val="auto"/>
              </w:rPr>
            </w:pPr>
          </w:p>
        </w:tc>
      </w:tr>
      <w:tr>
        <w:trPr>
          <w:trHeight w:val="185"/>
        </w:trPr>
        <w:tc>
          <w:tcPr>
            <w:tcW w:w="50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87"/>
              </w:rPr>
              <w:t>(a)</w:t>
            </w:r>
          </w:p>
        </w:tc>
        <w:tc>
          <w:tcPr>
            <w:tcW w:w="11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w:t>
            </w:r>
          </w:p>
        </w:tc>
        <w:tc>
          <w:tcPr>
            <w:tcW w:w="6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500" w:type="dxa"/>
            <w:vAlign w:val="bottom"/>
            <w:shd w:val="clear" w:color="auto" w:fill="C60C35"/>
          </w:tcPr>
          <w:p>
            <w:pPr>
              <w:spacing w:after="0"/>
              <w:rPr>
                <w:sz w:val="5"/>
                <w:szCs w:val="5"/>
                <w:color w:val="auto"/>
              </w:rPr>
            </w:pPr>
          </w:p>
        </w:tc>
        <w:tc>
          <w:tcPr>
            <w:tcW w:w="1180" w:type="dxa"/>
            <w:vAlign w:val="bottom"/>
            <w:shd w:val="clear" w:color="auto" w:fill="C60C35"/>
          </w:tcPr>
          <w:p>
            <w:pPr>
              <w:spacing w:after="0"/>
              <w:rPr>
                <w:sz w:val="5"/>
                <w:szCs w:val="5"/>
                <w:color w:val="auto"/>
              </w:rPr>
            </w:pPr>
          </w:p>
        </w:tc>
        <w:tc>
          <w:tcPr>
            <w:tcW w:w="1200" w:type="dxa"/>
            <w:vAlign w:val="bottom"/>
            <w:shd w:val="clear" w:color="auto" w:fill="C60C35"/>
          </w:tcPr>
          <w:p>
            <w:pPr>
              <w:spacing w:after="0"/>
              <w:rPr>
                <w:sz w:val="5"/>
                <w:szCs w:val="5"/>
                <w:color w:val="auto"/>
              </w:rPr>
            </w:pPr>
          </w:p>
        </w:tc>
        <w:tc>
          <w:tcPr>
            <w:tcW w:w="720" w:type="dxa"/>
            <w:vAlign w:val="bottom"/>
            <w:shd w:val="clear" w:color="auto" w:fill="C60C35"/>
          </w:tcPr>
          <w:p>
            <w:pPr>
              <w:spacing w:after="0"/>
              <w:rPr>
                <w:sz w:val="5"/>
                <w:szCs w:val="5"/>
                <w:color w:val="auto"/>
              </w:rPr>
            </w:pPr>
          </w:p>
        </w:tc>
        <w:tc>
          <w:tcPr>
            <w:tcW w:w="620" w:type="dxa"/>
            <w:vAlign w:val="bottom"/>
            <w:shd w:val="clear" w:color="auto" w:fill="C60C35"/>
          </w:tcPr>
          <w:p>
            <w:pPr>
              <w:spacing w:after="0"/>
              <w:rPr>
                <w:sz w:val="5"/>
                <w:szCs w:val="5"/>
                <w:color w:val="auto"/>
              </w:rPr>
            </w:pPr>
          </w:p>
        </w:tc>
        <w:tc>
          <w:tcPr>
            <w:tcW w:w="880" w:type="dxa"/>
            <w:vAlign w:val="bottom"/>
            <w:shd w:val="clear" w:color="auto" w:fill="C60C35"/>
          </w:tcPr>
          <w:p>
            <w:pPr>
              <w:spacing w:after="0"/>
              <w:rPr>
                <w:sz w:val="5"/>
                <w:szCs w:val="5"/>
                <w:color w:val="auto"/>
              </w:rPr>
            </w:pPr>
          </w:p>
        </w:tc>
        <w:tc>
          <w:tcPr>
            <w:tcW w:w="700" w:type="dxa"/>
            <w:vAlign w:val="bottom"/>
            <w:shd w:val="clear" w:color="auto" w:fill="C60C35"/>
          </w:tcPr>
          <w:p>
            <w:pPr>
              <w:spacing w:after="0"/>
              <w:rPr>
                <w:sz w:val="5"/>
                <w:szCs w:val="5"/>
                <w:color w:val="auto"/>
              </w:rPr>
            </w:pPr>
          </w:p>
        </w:tc>
        <w:tc>
          <w:tcPr>
            <w:tcW w:w="860" w:type="dxa"/>
            <w:vAlign w:val="bottom"/>
            <w:shd w:val="clear" w:color="auto" w:fill="C60C35"/>
          </w:tcPr>
          <w:p>
            <w:pPr>
              <w:spacing w:after="0"/>
              <w:rPr>
                <w:sz w:val="5"/>
                <w:szCs w:val="5"/>
                <w:color w:val="auto"/>
              </w:rPr>
            </w:pPr>
          </w:p>
        </w:tc>
        <w:tc>
          <w:tcPr>
            <w:tcW w:w="860" w:type="dxa"/>
            <w:vAlign w:val="bottom"/>
            <w:shd w:val="clear" w:color="auto" w:fill="C60C35"/>
          </w:tcPr>
          <w:p>
            <w:pPr>
              <w:spacing w:after="0"/>
              <w:rPr>
                <w:sz w:val="5"/>
                <w:szCs w:val="5"/>
                <w:color w:val="auto"/>
              </w:rPr>
            </w:pPr>
          </w:p>
        </w:tc>
        <w:tc>
          <w:tcPr>
            <w:tcW w:w="1020" w:type="dxa"/>
            <w:vAlign w:val="bottom"/>
            <w:shd w:val="clear" w:color="auto" w:fill="C60C35"/>
          </w:tcPr>
          <w:p>
            <w:pPr>
              <w:spacing w:after="0"/>
              <w:rPr>
                <w:sz w:val="5"/>
                <w:szCs w:val="5"/>
                <w:color w:val="auto"/>
              </w:rPr>
            </w:pPr>
          </w:p>
        </w:tc>
        <w:tc>
          <w:tcPr>
            <w:tcW w:w="1020" w:type="dxa"/>
            <w:vAlign w:val="bottom"/>
            <w:shd w:val="clear" w:color="auto" w:fill="C60C35"/>
          </w:tcPr>
          <w:p>
            <w:pPr>
              <w:spacing w:after="0"/>
              <w:rPr>
                <w:sz w:val="5"/>
                <w:szCs w:val="5"/>
                <w:color w:val="auto"/>
              </w:rPr>
            </w:pPr>
          </w:p>
        </w:tc>
        <w:tc>
          <w:tcPr>
            <w:tcW w:w="820" w:type="dxa"/>
            <w:vAlign w:val="bottom"/>
            <w:shd w:val="clear" w:color="auto" w:fill="C60C35"/>
          </w:tcPr>
          <w:p>
            <w:pPr>
              <w:spacing w:after="0"/>
              <w:rPr>
                <w:sz w:val="5"/>
                <w:szCs w:val="5"/>
                <w:color w:val="auto"/>
              </w:rPr>
            </w:pPr>
          </w:p>
        </w:tc>
        <w:tc>
          <w:tcPr>
            <w:tcW w:w="860" w:type="dxa"/>
            <w:vAlign w:val="bottom"/>
            <w:shd w:val="clear" w:color="auto" w:fill="C60C35"/>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1"/>
                <w:szCs w:val="11"/>
                <w:color w:val="auto"/>
                <w:w w:val="97"/>
              </w:rPr>
              <w:t>2024</w:t>
            </w:r>
          </w:p>
        </w:tc>
        <w:tc>
          <w:tcPr>
            <w:tcW w:w="1180" w:type="dxa"/>
            <w:vAlign w:val="bottom"/>
            <w:tcBorders>
              <w:bottom w:val="single" w:sz="8" w:color="F1F2F2"/>
            </w:tcBorders>
            <w:shd w:val="clear" w:color="auto" w:fill="F1F2F2"/>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F1F2F2"/>
            </w:tcBorders>
            <w:shd w:val="clear" w:color="auto" w:fill="F1F2F2"/>
          </w:tcPr>
          <w:p>
            <w:pPr>
              <w:jc w:val="right"/>
              <w:ind w:right="81"/>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F1F2F2"/>
            </w:tcBorders>
            <w:shd w:val="clear" w:color="auto" w:fill="F1F2F2"/>
          </w:tcPr>
          <w:p>
            <w:pPr>
              <w:jc w:val="right"/>
              <w:ind w:right="101"/>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F1F2F2"/>
            </w:tcBorders>
            <w:shd w:val="clear" w:color="auto" w:fill="F1F2F2"/>
          </w:tcPr>
          <w:p>
            <w:pPr>
              <w:jc w:val="right"/>
              <w:ind w:right="21"/>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F1F2F2"/>
            </w:tcBorders>
            <w:shd w:val="clear" w:color="auto" w:fill="F1F2F2"/>
          </w:tcPr>
          <w:p>
            <w:pPr>
              <w:jc w:val="right"/>
              <w:ind w:right="101"/>
              <w:spacing w:after="0"/>
              <w:rPr>
                <w:sz w:val="20"/>
                <w:szCs w:val="20"/>
                <w:color w:val="auto"/>
              </w:rPr>
            </w:pPr>
            <w:r>
              <w:rPr>
                <w:rFonts w:ascii="Arial" w:cs="Arial" w:eastAsia="Arial" w:hAnsi="Arial"/>
                <w:sz w:val="11"/>
                <w:szCs w:val="11"/>
                <w:color w:val="auto"/>
              </w:rPr>
              <w:t>9,907,911</w:t>
            </w:r>
          </w:p>
        </w:tc>
        <w:tc>
          <w:tcPr>
            <w:tcW w:w="700" w:type="dxa"/>
            <w:vAlign w:val="bottom"/>
            <w:tcBorders>
              <w:bottom w:val="single" w:sz="8" w:color="F1F2F2"/>
            </w:tcBorders>
            <w:shd w:val="clear" w:color="auto" w:fill="F1F2F2"/>
          </w:tcPr>
          <w:p>
            <w:pPr>
              <w:jc w:val="right"/>
              <w:ind w:right="5"/>
              <w:spacing w:after="0"/>
              <w:rPr>
                <w:sz w:val="20"/>
                <w:szCs w:val="20"/>
                <w:color w:val="auto"/>
              </w:rPr>
            </w:pPr>
            <w:r>
              <w:rPr>
                <w:rFonts w:ascii="Arial" w:cs="Arial" w:eastAsia="Arial" w:hAnsi="Arial"/>
                <w:sz w:val="11"/>
                <w:szCs w:val="11"/>
                <w:color w:val="auto"/>
              </w:rPr>
              <w:t>26,216,189</w:t>
            </w:r>
          </w:p>
        </w:tc>
        <w:tc>
          <w:tcPr>
            <w:tcW w:w="860" w:type="dxa"/>
            <w:vAlign w:val="bottom"/>
            <w:tcBorders>
              <w:bottom w:val="single" w:sz="8" w:color="F1F2F2"/>
            </w:tcBorders>
            <w:shd w:val="clear" w:color="auto" w:fill="F1F2F2"/>
          </w:tcPr>
          <w:p>
            <w:pPr>
              <w:jc w:val="right"/>
              <w:ind w:right="40"/>
              <w:spacing w:after="0"/>
              <w:rPr>
                <w:sz w:val="20"/>
                <w:szCs w:val="20"/>
                <w:color w:val="auto"/>
              </w:rPr>
            </w:pPr>
            <w:r>
              <w:rPr>
                <w:rFonts w:ascii="Arial" w:cs="Arial" w:eastAsia="Arial" w:hAnsi="Arial"/>
                <w:sz w:val="11"/>
                <w:szCs w:val="11"/>
                <w:color w:val="auto"/>
              </w:rPr>
              <w:t>3,164,046</w:t>
            </w:r>
          </w:p>
        </w:tc>
        <w:tc>
          <w:tcPr>
            <w:tcW w:w="860" w:type="dxa"/>
            <w:vAlign w:val="bottom"/>
            <w:tcBorders>
              <w:bottom w:val="single" w:sz="8" w:color="F1F2F2"/>
            </w:tcBorders>
            <w:shd w:val="clear" w:color="auto" w:fill="F1F2F2"/>
          </w:tcPr>
          <w:p>
            <w:pPr>
              <w:jc w:val="right"/>
              <w:ind w:right="3"/>
              <w:spacing w:after="0"/>
              <w:rPr>
                <w:sz w:val="20"/>
                <w:szCs w:val="20"/>
                <w:color w:val="auto"/>
              </w:rPr>
            </w:pPr>
            <w:r>
              <w:rPr>
                <w:rFonts w:ascii="Arial" w:cs="Arial" w:eastAsia="Arial" w:hAnsi="Arial"/>
                <w:sz w:val="11"/>
                <w:szCs w:val="11"/>
                <w:color w:val="auto"/>
              </w:rPr>
              <w:t>5,947,816</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265.96</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186.57</w:t>
            </w:r>
          </w:p>
        </w:tc>
        <w:tc>
          <w:tcPr>
            <w:tcW w:w="8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806.9</w:t>
            </w:r>
          </w:p>
        </w:tc>
        <w:tc>
          <w:tcPr>
            <w:tcW w:w="8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808.4</w:t>
            </w:r>
          </w:p>
        </w:tc>
        <w:tc>
          <w:tcPr>
            <w:tcW w:w="0" w:type="dxa"/>
            <w:vAlign w:val="bottom"/>
          </w:tcPr>
          <w:p>
            <w:pPr>
              <w:spacing w:after="0"/>
              <w:rPr>
                <w:sz w:val="1"/>
                <w:szCs w:val="1"/>
                <w:color w:val="auto"/>
              </w:rPr>
            </w:pPr>
          </w:p>
        </w:tc>
      </w:tr>
      <w:tr>
        <w:trPr>
          <w:trHeight w:val="156"/>
        </w:trPr>
        <w:tc>
          <w:tcPr>
            <w:tcW w:w="50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80" w:type="dxa"/>
            <w:vAlign w:val="bottom"/>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81"/>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0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1"/>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1"/>
              <w:spacing w:after="0"/>
              <w:rPr>
                <w:sz w:val="20"/>
                <w:szCs w:val="20"/>
                <w:color w:val="auto"/>
              </w:rPr>
            </w:pPr>
            <w:r>
              <w:rPr>
                <w:rFonts w:ascii="Arial" w:cs="Arial" w:eastAsia="Arial" w:hAnsi="Arial"/>
                <w:sz w:val="11"/>
                <w:szCs w:val="11"/>
                <w:color w:val="auto"/>
              </w:rPr>
              <w:t>4,983,663</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17,440,536</w:t>
            </w:r>
          </w:p>
        </w:tc>
        <w:tc>
          <w:tcPr>
            <w:tcW w:w="860" w:type="dxa"/>
            <w:vAlign w:val="bottom"/>
          </w:tcPr>
          <w:p>
            <w:pPr>
              <w:jc w:val="right"/>
              <w:ind w:right="40"/>
              <w:spacing w:after="0"/>
              <w:rPr>
                <w:sz w:val="20"/>
                <w:szCs w:val="20"/>
                <w:color w:val="auto"/>
              </w:rPr>
            </w:pPr>
            <w:r>
              <w:rPr>
                <w:rFonts w:ascii="Arial" w:cs="Arial" w:eastAsia="Arial" w:hAnsi="Arial"/>
                <w:sz w:val="11"/>
                <w:szCs w:val="11"/>
                <w:color w:val="auto"/>
              </w:rPr>
              <w:t>2,113,404</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4,640,007</w:t>
            </w:r>
          </w:p>
        </w:tc>
        <w:tc>
          <w:tcPr>
            <w:tcW w:w="1020" w:type="dxa"/>
            <w:vAlign w:val="bottom"/>
          </w:tcPr>
          <w:p>
            <w:pPr>
              <w:jc w:val="right"/>
              <w:spacing w:after="0"/>
              <w:rPr>
                <w:sz w:val="20"/>
                <w:szCs w:val="20"/>
                <w:color w:val="auto"/>
              </w:rPr>
            </w:pPr>
            <w:r>
              <w:rPr>
                <w:rFonts w:ascii="Arial" w:cs="Arial" w:eastAsia="Arial" w:hAnsi="Arial"/>
                <w:sz w:val="11"/>
                <w:szCs w:val="11"/>
                <w:color w:val="auto"/>
              </w:rPr>
              <w:t>193.75</w:t>
            </w:r>
          </w:p>
        </w:tc>
        <w:tc>
          <w:tcPr>
            <w:tcW w:w="1020" w:type="dxa"/>
            <w:vAlign w:val="bottom"/>
          </w:tcPr>
          <w:p>
            <w:pPr>
              <w:jc w:val="right"/>
              <w:spacing w:after="0"/>
              <w:rPr>
                <w:sz w:val="20"/>
                <w:szCs w:val="20"/>
                <w:color w:val="auto"/>
              </w:rPr>
            </w:pPr>
            <w:r>
              <w:rPr>
                <w:rFonts w:ascii="Arial" w:cs="Arial" w:eastAsia="Arial" w:hAnsi="Arial"/>
                <w:sz w:val="11"/>
                <w:szCs w:val="11"/>
                <w:color w:val="auto"/>
              </w:rPr>
              <w:t>166.38</w:t>
            </w:r>
          </w:p>
        </w:tc>
        <w:tc>
          <w:tcPr>
            <w:tcW w:w="820" w:type="dxa"/>
            <w:vAlign w:val="bottom"/>
          </w:tcPr>
          <w:p>
            <w:pPr>
              <w:jc w:val="right"/>
              <w:spacing w:after="0"/>
              <w:rPr>
                <w:sz w:val="20"/>
                <w:szCs w:val="20"/>
                <w:color w:val="auto"/>
              </w:rPr>
            </w:pPr>
            <w:r>
              <w:rPr>
                <w:rFonts w:ascii="Arial" w:cs="Arial" w:eastAsia="Arial" w:hAnsi="Arial"/>
                <w:sz w:val="11"/>
                <w:szCs w:val="11"/>
                <w:color w:val="auto"/>
              </w:rPr>
              <w:t>590.1</w:t>
            </w:r>
          </w:p>
        </w:tc>
        <w:tc>
          <w:tcPr>
            <w:tcW w:w="860" w:type="dxa"/>
            <w:vAlign w:val="bottom"/>
          </w:tcPr>
          <w:p>
            <w:pPr>
              <w:jc w:val="right"/>
              <w:spacing w:after="0"/>
              <w:rPr>
                <w:sz w:val="20"/>
                <w:szCs w:val="20"/>
                <w:color w:val="auto"/>
              </w:rPr>
            </w:pPr>
            <w:r>
              <w:rPr>
                <w:rFonts w:ascii="Arial" w:cs="Arial" w:eastAsia="Arial" w:hAnsi="Arial"/>
                <w:sz w:val="11"/>
                <w:szCs w:val="11"/>
                <w:color w:val="auto"/>
              </w:rPr>
              <w:t>641.8</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1"/>
                <w:szCs w:val="11"/>
                <w:color w:val="auto"/>
                <w:w w:val="97"/>
              </w:rPr>
              <w:t>2022</w:t>
            </w:r>
          </w:p>
        </w:tc>
        <w:tc>
          <w:tcPr>
            <w:tcW w:w="1180" w:type="dxa"/>
            <w:vAlign w:val="bottom"/>
            <w:tcBorders>
              <w:bottom w:val="single" w:sz="8" w:color="F1F2F2"/>
            </w:tcBorders>
            <w:shd w:val="clear" w:color="auto" w:fill="F1F2F2"/>
          </w:tcPr>
          <w:p>
            <w:pPr>
              <w:jc w:val="right"/>
              <w:ind w:right="40"/>
              <w:spacing w:after="0"/>
              <w:rPr>
                <w:sz w:val="20"/>
                <w:szCs w:val="20"/>
                <w:color w:val="auto"/>
              </w:rPr>
            </w:pPr>
            <w:r>
              <w:rPr>
                <w:rFonts w:ascii="Arial" w:cs="Arial" w:eastAsia="Arial" w:hAnsi="Arial"/>
                <w:sz w:val="11"/>
                <w:szCs w:val="11"/>
                <w:color w:val="auto"/>
              </w:rPr>
              <w:t>307,131</w:t>
            </w:r>
          </w:p>
        </w:tc>
        <w:tc>
          <w:tcPr>
            <w:tcW w:w="120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1"/>
                <w:szCs w:val="11"/>
                <w:color w:val="auto"/>
              </w:rPr>
              <w:t>(14,370,215)</w:t>
            </w:r>
          </w:p>
        </w:tc>
        <w:tc>
          <w:tcPr>
            <w:tcW w:w="720" w:type="dxa"/>
            <w:vAlign w:val="bottom"/>
            <w:tcBorders>
              <w:bottom w:val="single" w:sz="8" w:color="F1F2F2"/>
            </w:tcBorders>
            <w:shd w:val="clear" w:color="auto" w:fill="F1F2F2"/>
          </w:tcPr>
          <w:p>
            <w:pPr>
              <w:jc w:val="right"/>
              <w:ind w:right="101"/>
              <w:spacing w:after="0"/>
              <w:rPr>
                <w:sz w:val="20"/>
                <w:szCs w:val="20"/>
                <w:color w:val="auto"/>
              </w:rPr>
            </w:pPr>
            <w:r>
              <w:rPr>
                <w:rFonts w:ascii="Arial" w:cs="Arial" w:eastAsia="Arial" w:hAnsi="Arial"/>
                <w:sz w:val="11"/>
                <w:szCs w:val="11"/>
                <w:color w:val="auto"/>
              </w:rPr>
              <w:t>593,636</w:t>
            </w:r>
          </w:p>
        </w:tc>
        <w:tc>
          <w:tcPr>
            <w:tcW w:w="620" w:type="dxa"/>
            <w:vAlign w:val="bottom"/>
            <w:tcBorders>
              <w:bottom w:val="single" w:sz="8" w:color="F1F2F2"/>
            </w:tcBorders>
            <w:shd w:val="clear" w:color="auto" w:fill="F1F2F2"/>
          </w:tcPr>
          <w:p>
            <w:pPr>
              <w:jc w:val="right"/>
              <w:ind w:right="21"/>
              <w:spacing w:after="0"/>
              <w:rPr>
                <w:sz w:val="20"/>
                <w:szCs w:val="20"/>
                <w:color w:val="auto"/>
              </w:rPr>
            </w:pPr>
            <w:r>
              <w:rPr>
                <w:rFonts w:ascii="Arial" w:cs="Arial" w:eastAsia="Arial" w:hAnsi="Arial"/>
                <w:sz w:val="11"/>
                <w:szCs w:val="11"/>
                <w:color w:val="auto"/>
              </w:rPr>
              <w:t>493,206</w:t>
            </w:r>
          </w:p>
        </w:tc>
        <w:tc>
          <w:tcPr>
            <w:tcW w:w="880" w:type="dxa"/>
            <w:vAlign w:val="bottom"/>
            <w:tcBorders>
              <w:bottom w:val="single" w:sz="8" w:color="F1F2F2"/>
            </w:tcBorders>
            <w:shd w:val="clear" w:color="auto" w:fill="F1F2F2"/>
          </w:tcPr>
          <w:p>
            <w:pPr>
              <w:jc w:val="right"/>
              <w:ind w:right="101"/>
              <w:spacing w:after="0"/>
              <w:rPr>
                <w:sz w:val="20"/>
                <w:szCs w:val="20"/>
                <w:color w:val="auto"/>
              </w:rPr>
            </w:pPr>
            <w:r>
              <w:rPr>
                <w:rFonts w:ascii="Arial" w:cs="Arial" w:eastAsia="Arial" w:hAnsi="Arial"/>
                <w:sz w:val="11"/>
                <w:szCs w:val="11"/>
                <w:color w:val="auto"/>
              </w:rPr>
              <w:t>10,097,779</w:t>
            </w:r>
          </w:p>
        </w:tc>
        <w:tc>
          <w:tcPr>
            <w:tcW w:w="700" w:type="dxa"/>
            <w:vAlign w:val="bottom"/>
            <w:tcBorders>
              <w:bottom w:val="single" w:sz="8" w:color="F1F2F2"/>
            </w:tcBorders>
            <w:shd w:val="clear" w:color="auto" w:fill="F1F2F2"/>
          </w:tcPr>
          <w:p>
            <w:pPr>
              <w:jc w:val="right"/>
              <w:ind w:right="5"/>
              <w:spacing w:after="0"/>
              <w:rPr>
                <w:sz w:val="20"/>
                <w:szCs w:val="20"/>
                <w:color w:val="auto"/>
              </w:rPr>
            </w:pPr>
            <w:r>
              <w:rPr>
                <w:rFonts w:ascii="Arial" w:cs="Arial" w:eastAsia="Arial" w:hAnsi="Arial"/>
                <w:sz w:val="11"/>
                <w:szCs w:val="11"/>
                <w:color w:val="auto"/>
              </w:rPr>
              <w:t>11,097,872</w:t>
            </w:r>
          </w:p>
        </w:tc>
        <w:tc>
          <w:tcPr>
            <w:tcW w:w="860" w:type="dxa"/>
            <w:vAlign w:val="bottom"/>
            <w:tcBorders>
              <w:bottom w:val="single" w:sz="8" w:color="F1F2F2"/>
            </w:tcBorders>
            <w:shd w:val="clear" w:color="auto" w:fill="F1F2F2"/>
          </w:tcPr>
          <w:p>
            <w:pPr>
              <w:jc w:val="right"/>
              <w:ind w:right="40"/>
              <w:spacing w:after="0"/>
              <w:rPr>
                <w:sz w:val="20"/>
                <w:szCs w:val="20"/>
                <w:color w:val="auto"/>
              </w:rPr>
            </w:pPr>
            <w:r>
              <w:rPr>
                <w:rFonts w:ascii="Arial" w:cs="Arial" w:eastAsia="Arial" w:hAnsi="Arial"/>
                <w:sz w:val="11"/>
                <w:szCs w:val="11"/>
                <w:color w:val="auto"/>
              </w:rPr>
              <w:t>2,397,526</w:t>
            </w:r>
          </w:p>
        </w:tc>
        <w:tc>
          <w:tcPr>
            <w:tcW w:w="860" w:type="dxa"/>
            <w:vAlign w:val="bottom"/>
            <w:tcBorders>
              <w:bottom w:val="single" w:sz="8" w:color="F1F2F2"/>
            </w:tcBorders>
            <w:shd w:val="clear" w:color="auto" w:fill="F1F2F2"/>
          </w:tcPr>
          <w:p>
            <w:pPr>
              <w:jc w:val="right"/>
              <w:ind w:right="3"/>
              <w:spacing w:after="0"/>
              <w:rPr>
                <w:sz w:val="20"/>
                <w:szCs w:val="20"/>
                <w:color w:val="auto"/>
              </w:rPr>
            </w:pPr>
            <w:r>
              <w:rPr>
                <w:rFonts w:ascii="Arial" w:cs="Arial" w:eastAsia="Arial" w:hAnsi="Arial"/>
                <w:sz w:val="11"/>
                <w:szCs w:val="11"/>
                <w:color w:val="auto"/>
              </w:rPr>
              <w:t>1,399,029</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102.22</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129.46</w:t>
            </w:r>
          </w:p>
        </w:tc>
        <w:tc>
          <w:tcPr>
            <w:tcW w:w="8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497.1</w:t>
            </w:r>
          </w:p>
        </w:tc>
        <w:tc>
          <w:tcPr>
            <w:tcW w:w="8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505.3</w:t>
            </w:r>
          </w:p>
        </w:tc>
        <w:tc>
          <w:tcPr>
            <w:tcW w:w="0" w:type="dxa"/>
            <w:vAlign w:val="bottom"/>
          </w:tcPr>
          <w:p>
            <w:pPr>
              <w:spacing w:after="0"/>
              <w:rPr>
                <w:sz w:val="1"/>
                <w:szCs w:val="1"/>
                <w:color w:val="auto"/>
              </w:rPr>
            </w:pPr>
          </w:p>
        </w:tc>
      </w:tr>
      <w:tr>
        <w:trPr>
          <w:trHeight w:val="156"/>
        </w:trPr>
        <w:tc>
          <w:tcPr>
            <w:tcW w:w="500" w:type="dxa"/>
            <w:vAlign w:val="bottom"/>
          </w:tcPr>
          <w:p>
            <w:pPr>
              <w:jc w:val="center"/>
              <w:spacing w:after="0"/>
              <w:rPr>
                <w:sz w:val="20"/>
                <w:szCs w:val="20"/>
                <w:color w:val="auto"/>
              </w:rPr>
            </w:pPr>
            <w:r>
              <w:rPr>
                <w:rFonts w:ascii="Arial" w:cs="Arial" w:eastAsia="Arial" w:hAnsi="Arial"/>
                <w:sz w:val="11"/>
                <w:szCs w:val="11"/>
                <w:color w:val="auto"/>
                <w:w w:val="97"/>
              </w:rPr>
              <w:t>2021</w:t>
            </w:r>
          </w:p>
        </w:tc>
        <w:tc>
          <w:tcPr>
            <w:tcW w:w="1180" w:type="dxa"/>
            <w:vAlign w:val="bottom"/>
          </w:tcPr>
          <w:p>
            <w:pPr>
              <w:jc w:val="right"/>
              <w:ind w:right="40"/>
              <w:spacing w:after="0"/>
              <w:rPr>
                <w:sz w:val="20"/>
                <w:szCs w:val="20"/>
                <w:color w:val="auto"/>
              </w:rPr>
            </w:pPr>
            <w:r>
              <w:rPr>
                <w:rFonts w:ascii="Arial" w:cs="Arial" w:eastAsia="Arial" w:hAnsi="Arial"/>
                <w:sz w:val="11"/>
                <w:szCs w:val="11"/>
                <w:color w:val="auto"/>
              </w:rPr>
              <w:t>5,027,345</w:t>
            </w:r>
          </w:p>
        </w:tc>
        <w:tc>
          <w:tcPr>
            <w:tcW w:w="1200" w:type="dxa"/>
            <w:vAlign w:val="bottom"/>
          </w:tcPr>
          <w:p>
            <w:pPr>
              <w:jc w:val="right"/>
              <w:ind w:right="81"/>
              <w:spacing w:after="0"/>
              <w:rPr>
                <w:sz w:val="20"/>
                <w:szCs w:val="20"/>
                <w:color w:val="auto"/>
              </w:rPr>
            </w:pPr>
            <w:r>
              <w:rPr>
                <w:rFonts w:ascii="Arial" w:cs="Arial" w:eastAsia="Arial" w:hAnsi="Arial"/>
                <w:sz w:val="11"/>
                <w:szCs w:val="11"/>
                <w:color w:val="auto"/>
              </w:rPr>
              <w:t>14,483,856</w:t>
            </w:r>
          </w:p>
        </w:tc>
        <w:tc>
          <w:tcPr>
            <w:tcW w:w="720" w:type="dxa"/>
            <w:vAlign w:val="bottom"/>
          </w:tcPr>
          <w:p>
            <w:pPr>
              <w:jc w:val="right"/>
              <w:ind w:right="10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1"/>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1"/>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0"/>
              <w:spacing w:after="0"/>
              <w:rPr>
                <w:sz w:val="20"/>
                <w:szCs w:val="20"/>
                <w:color w:val="auto"/>
              </w:rPr>
            </w:pPr>
            <w:r>
              <w:rPr>
                <w:rFonts w:ascii="Arial" w:cs="Arial" w:eastAsia="Arial" w:hAnsi="Arial"/>
                <w:sz w:val="11"/>
                <w:szCs w:val="11"/>
                <w:color w:val="auto"/>
              </w:rPr>
              <w:t>3,314,344</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4,935,005</w:t>
            </w:r>
          </w:p>
        </w:tc>
        <w:tc>
          <w:tcPr>
            <w:tcW w:w="1020" w:type="dxa"/>
            <w:vAlign w:val="bottom"/>
          </w:tcPr>
          <w:p>
            <w:pPr>
              <w:jc w:val="right"/>
              <w:spacing w:after="0"/>
              <w:rPr>
                <w:sz w:val="20"/>
                <w:szCs w:val="20"/>
                <w:color w:val="auto"/>
              </w:rPr>
            </w:pPr>
            <w:r>
              <w:rPr>
                <w:rFonts w:ascii="Arial" w:cs="Arial" w:eastAsia="Arial" w:hAnsi="Arial"/>
                <w:sz w:val="11"/>
                <w:szCs w:val="11"/>
                <w:color w:val="auto"/>
              </w:rPr>
              <w:t>136.21</w:t>
            </w:r>
          </w:p>
        </w:tc>
        <w:tc>
          <w:tcPr>
            <w:tcW w:w="1020" w:type="dxa"/>
            <w:vAlign w:val="bottom"/>
          </w:tcPr>
          <w:p>
            <w:pPr>
              <w:jc w:val="right"/>
              <w:spacing w:after="0"/>
              <w:rPr>
                <w:sz w:val="20"/>
                <w:szCs w:val="20"/>
                <w:color w:val="auto"/>
              </w:rPr>
            </w:pPr>
            <w:r>
              <w:rPr>
                <w:rFonts w:ascii="Arial" w:cs="Arial" w:eastAsia="Arial" w:hAnsi="Arial"/>
                <w:sz w:val="11"/>
                <w:szCs w:val="11"/>
                <w:color w:val="auto"/>
              </w:rPr>
              <w:t>157.26</w:t>
            </w:r>
          </w:p>
        </w:tc>
        <w:tc>
          <w:tcPr>
            <w:tcW w:w="820" w:type="dxa"/>
            <w:vAlign w:val="bottom"/>
          </w:tcPr>
          <w:p>
            <w:pPr>
              <w:jc w:val="right"/>
              <w:spacing w:after="0"/>
              <w:rPr>
                <w:sz w:val="20"/>
                <w:szCs w:val="20"/>
                <w:color w:val="auto"/>
              </w:rPr>
            </w:pPr>
            <w:r>
              <w:rPr>
                <w:rFonts w:ascii="Arial" w:cs="Arial" w:eastAsia="Arial" w:hAnsi="Arial"/>
                <w:sz w:val="11"/>
                <w:szCs w:val="11"/>
                <w:color w:val="auto"/>
              </w:rPr>
              <w:t>464.0</w:t>
            </w:r>
          </w:p>
        </w:tc>
        <w:tc>
          <w:tcPr>
            <w:tcW w:w="860" w:type="dxa"/>
            <w:vAlign w:val="bottom"/>
          </w:tcPr>
          <w:p>
            <w:pPr>
              <w:jc w:val="right"/>
              <w:spacing w:after="0"/>
              <w:rPr>
                <w:sz w:val="20"/>
                <w:szCs w:val="20"/>
                <w:color w:val="auto"/>
              </w:rPr>
            </w:pPr>
            <w:r>
              <w:rPr>
                <w:rFonts w:ascii="Arial" w:cs="Arial" w:eastAsia="Arial" w:hAnsi="Arial"/>
                <w:sz w:val="11"/>
                <w:szCs w:val="11"/>
                <w:color w:val="auto"/>
              </w:rPr>
              <w:t>464.5</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shd w:val="clear" w:color="auto" w:fill="F1F2F2"/>
          </w:tcPr>
          <w:p>
            <w:pPr>
              <w:jc w:val="center"/>
              <w:spacing w:after="0"/>
              <w:rPr>
                <w:sz w:val="20"/>
                <w:szCs w:val="20"/>
                <w:color w:val="auto"/>
              </w:rPr>
            </w:pPr>
            <w:r>
              <w:rPr>
                <w:rFonts w:ascii="Arial" w:cs="Arial" w:eastAsia="Arial" w:hAnsi="Arial"/>
                <w:sz w:val="11"/>
                <w:szCs w:val="11"/>
                <w:color w:val="auto"/>
                <w:w w:val="97"/>
              </w:rPr>
              <w:t>2020</w:t>
            </w:r>
          </w:p>
        </w:tc>
        <w:tc>
          <w:tcPr>
            <w:tcW w:w="1180" w:type="dxa"/>
            <w:vAlign w:val="bottom"/>
            <w:shd w:val="clear" w:color="auto" w:fill="F1F2F2"/>
          </w:tcPr>
          <w:p>
            <w:pPr>
              <w:jc w:val="right"/>
              <w:ind w:right="40"/>
              <w:spacing w:after="0"/>
              <w:rPr>
                <w:sz w:val="20"/>
                <w:szCs w:val="20"/>
                <w:color w:val="auto"/>
              </w:rPr>
            </w:pPr>
            <w:r>
              <w:rPr>
                <w:rFonts w:ascii="Arial" w:cs="Arial" w:eastAsia="Arial" w:hAnsi="Arial"/>
                <w:sz w:val="11"/>
                <w:szCs w:val="11"/>
                <w:color w:val="auto"/>
              </w:rPr>
              <w:t>14,475,348</w:t>
            </w:r>
          </w:p>
        </w:tc>
        <w:tc>
          <w:tcPr>
            <w:tcW w:w="1200" w:type="dxa"/>
            <w:vAlign w:val="bottom"/>
            <w:shd w:val="clear" w:color="auto" w:fill="F1F2F2"/>
          </w:tcPr>
          <w:p>
            <w:pPr>
              <w:jc w:val="right"/>
              <w:ind w:right="81"/>
              <w:spacing w:after="0"/>
              <w:rPr>
                <w:sz w:val="20"/>
                <w:szCs w:val="20"/>
                <w:color w:val="auto"/>
              </w:rPr>
            </w:pPr>
            <w:r>
              <w:rPr>
                <w:rFonts w:ascii="Arial" w:cs="Arial" w:eastAsia="Arial" w:hAnsi="Arial"/>
                <w:sz w:val="11"/>
                <w:szCs w:val="11"/>
                <w:color w:val="auto"/>
              </w:rPr>
              <w:t>12,279,138</w:t>
            </w:r>
          </w:p>
        </w:tc>
        <w:tc>
          <w:tcPr>
            <w:tcW w:w="720" w:type="dxa"/>
            <w:vAlign w:val="bottom"/>
            <w:shd w:val="clear" w:color="auto" w:fill="F1F2F2"/>
          </w:tcPr>
          <w:p>
            <w:pPr>
              <w:jc w:val="right"/>
              <w:ind w:right="101"/>
              <w:spacing w:after="0"/>
              <w:rPr>
                <w:sz w:val="20"/>
                <w:szCs w:val="20"/>
                <w:color w:val="auto"/>
              </w:rPr>
            </w:pPr>
            <w:r>
              <w:rPr>
                <w:rFonts w:ascii="Arial" w:cs="Arial" w:eastAsia="Arial" w:hAnsi="Arial"/>
                <w:sz w:val="11"/>
                <w:szCs w:val="11"/>
                <w:color w:val="auto"/>
              </w:rPr>
              <w:t>—</w:t>
            </w:r>
          </w:p>
        </w:tc>
        <w:tc>
          <w:tcPr>
            <w:tcW w:w="620" w:type="dxa"/>
            <w:vAlign w:val="bottom"/>
            <w:shd w:val="clear" w:color="auto" w:fill="F1F2F2"/>
          </w:tcPr>
          <w:p>
            <w:pPr>
              <w:jc w:val="right"/>
              <w:ind w:right="21"/>
              <w:spacing w:after="0"/>
              <w:rPr>
                <w:sz w:val="20"/>
                <w:szCs w:val="20"/>
                <w:color w:val="auto"/>
              </w:rPr>
            </w:pPr>
            <w:r>
              <w:rPr>
                <w:rFonts w:ascii="Arial" w:cs="Arial" w:eastAsia="Arial" w:hAnsi="Arial"/>
                <w:sz w:val="11"/>
                <w:szCs w:val="11"/>
                <w:color w:val="auto"/>
              </w:rPr>
              <w:t>—</w:t>
            </w:r>
          </w:p>
        </w:tc>
        <w:tc>
          <w:tcPr>
            <w:tcW w:w="880" w:type="dxa"/>
            <w:vAlign w:val="bottom"/>
            <w:shd w:val="clear" w:color="auto" w:fill="F1F2F2"/>
          </w:tcPr>
          <w:p>
            <w:pPr>
              <w:jc w:val="right"/>
              <w:ind w:right="101"/>
              <w:spacing w:after="0"/>
              <w:rPr>
                <w:sz w:val="20"/>
                <w:szCs w:val="20"/>
                <w:color w:val="auto"/>
              </w:rPr>
            </w:pPr>
            <w:r>
              <w:rPr>
                <w:rFonts w:ascii="Arial" w:cs="Arial" w:eastAsia="Arial" w:hAnsi="Arial"/>
                <w:sz w:val="11"/>
                <w:szCs w:val="11"/>
                <w:color w:val="auto"/>
              </w:rPr>
              <w:t>—</w:t>
            </w:r>
          </w:p>
        </w:tc>
        <w:tc>
          <w:tcPr>
            <w:tcW w:w="700" w:type="dxa"/>
            <w:vAlign w:val="bottom"/>
            <w:shd w:val="clear" w:color="auto" w:fill="F1F2F2"/>
          </w:tcPr>
          <w:p>
            <w:pPr>
              <w:jc w:val="right"/>
              <w:ind w:right="5"/>
              <w:spacing w:after="0"/>
              <w:rPr>
                <w:sz w:val="20"/>
                <w:szCs w:val="20"/>
                <w:color w:val="auto"/>
              </w:rPr>
            </w:pPr>
            <w:r>
              <w:rPr>
                <w:rFonts w:ascii="Arial" w:cs="Arial" w:eastAsia="Arial" w:hAnsi="Arial"/>
                <w:sz w:val="11"/>
                <w:szCs w:val="11"/>
                <w:color w:val="auto"/>
              </w:rPr>
              <w:t>—</w:t>
            </w:r>
          </w:p>
        </w:tc>
        <w:tc>
          <w:tcPr>
            <w:tcW w:w="860" w:type="dxa"/>
            <w:vAlign w:val="bottom"/>
            <w:shd w:val="clear" w:color="auto" w:fill="F1F2F2"/>
          </w:tcPr>
          <w:p>
            <w:pPr>
              <w:jc w:val="right"/>
              <w:ind w:right="40"/>
              <w:spacing w:after="0"/>
              <w:rPr>
                <w:sz w:val="20"/>
                <w:szCs w:val="20"/>
                <w:color w:val="auto"/>
              </w:rPr>
            </w:pPr>
            <w:r>
              <w:rPr>
                <w:rFonts w:ascii="Arial" w:cs="Arial" w:eastAsia="Arial" w:hAnsi="Arial"/>
                <w:sz w:val="11"/>
                <w:szCs w:val="11"/>
                <w:color w:val="auto"/>
              </w:rPr>
              <w:t>3,535,972</w:t>
            </w:r>
          </w:p>
        </w:tc>
        <w:tc>
          <w:tcPr>
            <w:tcW w:w="860" w:type="dxa"/>
            <w:vAlign w:val="bottom"/>
            <w:shd w:val="clear" w:color="auto" w:fill="F1F2F2"/>
          </w:tcPr>
          <w:p>
            <w:pPr>
              <w:jc w:val="right"/>
              <w:ind w:right="3"/>
              <w:spacing w:after="0"/>
              <w:rPr>
                <w:sz w:val="20"/>
                <w:szCs w:val="20"/>
                <w:color w:val="auto"/>
              </w:rPr>
            </w:pPr>
            <w:r>
              <w:rPr>
                <w:rFonts w:ascii="Arial" w:cs="Arial" w:eastAsia="Arial" w:hAnsi="Arial"/>
                <w:sz w:val="11"/>
                <w:szCs w:val="11"/>
                <w:color w:val="auto"/>
              </w:rPr>
              <w:t>3,015,242</w:t>
            </w:r>
          </w:p>
        </w:tc>
        <w:tc>
          <w:tcPr>
            <w:tcW w:w="1020" w:type="dxa"/>
            <w:vAlign w:val="bottom"/>
            <w:shd w:val="clear" w:color="auto" w:fill="F1F2F2"/>
          </w:tcPr>
          <w:p>
            <w:pPr>
              <w:jc w:val="right"/>
              <w:spacing w:after="0"/>
              <w:rPr>
                <w:sz w:val="20"/>
                <w:szCs w:val="20"/>
                <w:color w:val="auto"/>
              </w:rPr>
            </w:pPr>
            <w:r>
              <w:rPr>
                <w:rFonts w:ascii="Arial" w:cs="Arial" w:eastAsia="Arial" w:hAnsi="Arial"/>
                <w:sz w:val="11"/>
                <w:szCs w:val="11"/>
                <w:color w:val="auto"/>
              </w:rPr>
              <w:t>113.79</w:t>
            </w:r>
          </w:p>
        </w:tc>
        <w:tc>
          <w:tcPr>
            <w:tcW w:w="1020" w:type="dxa"/>
            <w:vAlign w:val="bottom"/>
            <w:shd w:val="clear" w:color="auto" w:fill="F1F2F2"/>
          </w:tcPr>
          <w:p>
            <w:pPr>
              <w:jc w:val="right"/>
              <w:spacing w:after="0"/>
              <w:rPr>
                <w:sz w:val="20"/>
                <w:szCs w:val="20"/>
                <w:color w:val="auto"/>
              </w:rPr>
            </w:pPr>
            <w:r>
              <w:rPr>
                <w:rFonts w:ascii="Arial" w:cs="Arial" w:eastAsia="Arial" w:hAnsi="Arial"/>
                <w:sz w:val="11"/>
                <w:szCs w:val="11"/>
                <w:color w:val="auto"/>
              </w:rPr>
              <w:t>117.41</w:t>
            </w:r>
          </w:p>
        </w:tc>
        <w:tc>
          <w:tcPr>
            <w:tcW w:w="820" w:type="dxa"/>
            <w:vAlign w:val="bottom"/>
            <w:shd w:val="clear" w:color="auto" w:fill="F1F2F2"/>
          </w:tcPr>
          <w:p>
            <w:pPr>
              <w:jc w:val="right"/>
              <w:spacing w:after="0"/>
              <w:rPr>
                <w:sz w:val="20"/>
                <w:szCs w:val="20"/>
                <w:color w:val="auto"/>
              </w:rPr>
            </w:pPr>
            <w:r>
              <w:rPr>
                <w:rFonts w:ascii="Arial" w:cs="Arial" w:eastAsia="Arial" w:hAnsi="Arial"/>
                <w:sz w:val="11"/>
                <w:szCs w:val="11"/>
                <w:color w:val="auto"/>
              </w:rPr>
              <w:t>356.3</w:t>
            </w:r>
          </w:p>
        </w:tc>
        <w:tc>
          <w:tcPr>
            <w:tcW w:w="860" w:type="dxa"/>
            <w:vAlign w:val="bottom"/>
            <w:shd w:val="clear" w:color="auto" w:fill="F1F2F2"/>
          </w:tcPr>
          <w:p>
            <w:pPr>
              <w:jc w:val="right"/>
              <w:spacing w:after="0"/>
              <w:rPr>
                <w:sz w:val="20"/>
                <w:szCs w:val="20"/>
                <w:color w:val="auto"/>
              </w:rPr>
            </w:pPr>
            <w:r>
              <w:rPr>
                <w:rFonts w:ascii="Arial" w:cs="Arial" w:eastAsia="Arial" w:hAnsi="Arial"/>
                <w:sz w:val="11"/>
                <w:szCs w:val="11"/>
                <w:color w:val="auto"/>
              </w:rPr>
              <w:t>399.3</w:t>
            </w:r>
          </w:p>
        </w:tc>
        <w:tc>
          <w:tcPr>
            <w:tcW w:w="0" w:type="dxa"/>
            <w:vAlign w:val="bottom"/>
          </w:tcPr>
          <w:p>
            <w:pPr>
              <w:spacing w:after="0"/>
              <w:rPr>
                <w:sz w:val="1"/>
                <w:szCs w:val="1"/>
                <w:color w:val="auto"/>
              </w:rPr>
            </w:pPr>
          </w:p>
        </w:tc>
      </w:tr>
      <w:tr>
        <w:trPr>
          <w:trHeight w:val="33"/>
        </w:trPr>
        <w:tc>
          <w:tcPr>
            <w:tcW w:w="500" w:type="dxa"/>
            <w:vAlign w:val="bottom"/>
            <w:shd w:val="clear" w:color="auto" w:fill="F1F2F2"/>
          </w:tcPr>
          <w:p>
            <w:pPr>
              <w:spacing w:after="0"/>
              <w:rPr>
                <w:sz w:val="2"/>
                <w:szCs w:val="2"/>
                <w:color w:val="auto"/>
              </w:rPr>
            </w:pPr>
          </w:p>
        </w:tc>
        <w:tc>
          <w:tcPr>
            <w:tcW w:w="1180" w:type="dxa"/>
            <w:vAlign w:val="bottom"/>
            <w:shd w:val="clear" w:color="auto" w:fill="F1F2F2"/>
          </w:tcPr>
          <w:p>
            <w:pPr>
              <w:spacing w:after="0"/>
              <w:rPr>
                <w:sz w:val="2"/>
                <w:szCs w:val="2"/>
                <w:color w:val="auto"/>
              </w:rPr>
            </w:pPr>
          </w:p>
        </w:tc>
        <w:tc>
          <w:tcPr>
            <w:tcW w:w="1200" w:type="dxa"/>
            <w:vAlign w:val="bottom"/>
            <w:shd w:val="clear" w:color="auto" w:fill="F1F2F2"/>
          </w:tcPr>
          <w:p>
            <w:pPr>
              <w:spacing w:after="0"/>
              <w:rPr>
                <w:sz w:val="2"/>
                <w:szCs w:val="2"/>
                <w:color w:val="auto"/>
              </w:rPr>
            </w:pPr>
          </w:p>
        </w:tc>
        <w:tc>
          <w:tcPr>
            <w:tcW w:w="720" w:type="dxa"/>
            <w:vAlign w:val="bottom"/>
            <w:shd w:val="clear" w:color="auto" w:fill="F1F2F2"/>
          </w:tcPr>
          <w:p>
            <w:pPr>
              <w:spacing w:after="0"/>
              <w:rPr>
                <w:sz w:val="2"/>
                <w:szCs w:val="2"/>
                <w:color w:val="auto"/>
              </w:rPr>
            </w:pPr>
          </w:p>
        </w:tc>
        <w:tc>
          <w:tcPr>
            <w:tcW w:w="620" w:type="dxa"/>
            <w:vAlign w:val="bottom"/>
            <w:shd w:val="clear" w:color="auto" w:fill="F1F2F2"/>
          </w:tcPr>
          <w:p>
            <w:pPr>
              <w:spacing w:after="0"/>
              <w:rPr>
                <w:sz w:val="2"/>
                <w:szCs w:val="2"/>
                <w:color w:val="auto"/>
              </w:rPr>
            </w:pPr>
          </w:p>
        </w:tc>
        <w:tc>
          <w:tcPr>
            <w:tcW w:w="880" w:type="dxa"/>
            <w:vAlign w:val="bottom"/>
            <w:shd w:val="clear" w:color="auto" w:fill="F1F2F2"/>
          </w:tcPr>
          <w:p>
            <w:pPr>
              <w:spacing w:after="0"/>
              <w:rPr>
                <w:sz w:val="2"/>
                <w:szCs w:val="2"/>
                <w:color w:val="auto"/>
              </w:rPr>
            </w:pPr>
          </w:p>
        </w:tc>
        <w:tc>
          <w:tcPr>
            <w:tcW w:w="700" w:type="dxa"/>
            <w:vAlign w:val="bottom"/>
            <w:shd w:val="clear" w:color="auto" w:fill="F1F2F2"/>
          </w:tcPr>
          <w:p>
            <w:pPr>
              <w:spacing w:after="0"/>
              <w:rPr>
                <w:sz w:val="2"/>
                <w:szCs w:val="2"/>
                <w:color w:val="auto"/>
              </w:rPr>
            </w:pPr>
          </w:p>
        </w:tc>
        <w:tc>
          <w:tcPr>
            <w:tcW w:w="860" w:type="dxa"/>
            <w:vAlign w:val="bottom"/>
            <w:shd w:val="clear" w:color="auto" w:fill="F1F2F2"/>
          </w:tcPr>
          <w:p>
            <w:pPr>
              <w:spacing w:after="0"/>
              <w:rPr>
                <w:sz w:val="2"/>
                <w:szCs w:val="2"/>
                <w:color w:val="auto"/>
              </w:rPr>
            </w:pPr>
          </w:p>
        </w:tc>
        <w:tc>
          <w:tcPr>
            <w:tcW w:w="860" w:type="dxa"/>
            <w:vAlign w:val="bottom"/>
            <w:shd w:val="clear" w:color="auto" w:fill="F1F2F2"/>
          </w:tcPr>
          <w:p>
            <w:pPr>
              <w:spacing w:after="0"/>
              <w:rPr>
                <w:sz w:val="2"/>
                <w:szCs w:val="2"/>
                <w:color w:val="auto"/>
              </w:rPr>
            </w:pPr>
          </w:p>
        </w:tc>
        <w:tc>
          <w:tcPr>
            <w:tcW w:w="1020" w:type="dxa"/>
            <w:vAlign w:val="bottom"/>
            <w:shd w:val="clear" w:color="auto" w:fill="F1F2F2"/>
          </w:tcPr>
          <w:p>
            <w:pPr>
              <w:spacing w:after="0"/>
              <w:rPr>
                <w:sz w:val="2"/>
                <w:szCs w:val="2"/>
                <w:color w:val="auto"/>
              </w:rPr>
            </w:pPr>
          </w:p>
        </w:tc>
        <w:tc>
          <w:tcPr>
            <w:tcW w:w="1020" w:type="dxa"/>
            <w:vAlign w:val="bottom"/>
            <w:shd w:val="clear" w:color="auto" w:fill="F1F2F2"/>
          </w:tcPr>
          <w:p>
            <w:pPr>
              <w:spacing w:after="0"/>
              <w:rPr>
                <w:sz w:val="2"/>
                <w:szCs w:val="2"/>
                <w:color w:val="auto"/>
              </w:rPr>
            </w:pPr>
          </w:p>
        </w:tc>
        <w:tc>
          <w:tcPr>
            <w:tcW w:w="820" w:type="dxa"/>
            <w:vAlign w:val="bottom"/>
            <w:shd w:val="clear" w:color="auto" w:fill="F1F2F2"/>
          </w:tcPr>
          <w:p>
            <w:pPr>
              <w:spacing w:after="0"/>
              <w:rPr>
                <w:sz w:val="2"/>
                <w:szCs w:val="2"/>
                <w:color w:val="auto"/>
              </w:rPr>
            </w:pPr>
          </w:p>
        </w:tc>
        <w:tc>
          <w:tcPr>
            <w:tcW w:w="860" w:type="dxa"/>
            <w:vAlign w:val="bottom"/>
            <w:shd w:val="clear" w:color="auto" w:fill="F1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-1345565</wp:posOffset>
            </wp:positionV>
            <wp:extent cx="13030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19" w:lineRule="exact"/>
        <w:rPr>
          <w:sz w:val="20"/>
          <w:szCs w:val="20"/>
          <w:color w:val="auto"/>
        </w:rPr>
      </w:pPr>
    </w:p>
    <w:p>
      <w:pPr>
        <w:ind w:left="340" w:right="120" w:hanging="332"/>
        <w:spacing w:after="0" w:line="267"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Todd M. Bluedorn (“PEO 1”) served as our principal executive officer (“PEO”) from January 1, 2022 to March 23, 2022, and for the full year for 2021 and 2020. Todd J. Teske (“PEO 2”) served as our PEO from March 23, 2022, through May 8, 2022. Alok Maskara (“PEO 3”) has served as our PEO from May 9, 2022, to present. For 2024, our non-PEO NEOs were Michael P. Quenzer, Gary S. Bedard, Daniel M. Sessa, and John D. Torres. For 2023, our non-PEO NEOs were Joseph W. Reitmeier, Joseph F. Nassab, Daniel M. Sessa, John D. Torres, and Douglas L. Young. For 2022, our non-PEO NEOs were Joseph W. Reitmeier, Gary S. Bedard, Douglas L. Young, and Joseph F. Nassab. For 2021 and 2020, our non-PEO NEOs were Joseph W. Reitmeier, Douglas L. Young, Daniel M. Sessa, and John D. Torres.</w:t>
      </w:r>
    </w:p>
    <w:p>
      <w:pPr>
        <w:spacing w:after="0" w:line="76" w:lineRule="exact"/>
        <w:rPr>
          <w:rFonts w:ascii="Arial" w:cs="Arial" w:eastAsia="Arial" w:hAnsi="Arial"/>
          <w:sz w:val="14"/>
          <w:szCs w:val="14"/>
          <w:color w:val="auto"/>
        </w:rPr>
      </w:pPr>
    </w:p>
    <w:p>
      <w:pPr>
        <w:ind w:left="340" w:right="180" w:hanging="332"/>
        <w:spacing w:after="0" w:line="305" w:lineRule="auto"/>
        <w:tabs>
          <w:tab w:leader="none" w:pos="3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2024, the values included in these columns for the compensation actually paid to our PEO and the average compensation actually paid to our non-PEO NEOs reflect the following adjustments to the values included in column (b) and column (d), respectively:</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7520" w:type="dxa"/>
            <w:vAlign w:val="bottom"/>
            <w:shd w:val="clear" w:color="auto" w:fill="C60C35"/>
          </w:tcPr>
          <w:p>
            <w:pPr>
              <w:spacing w:after="0"/>
              <w:rPr>
                <w:sz w:val="16"/>
                <w:szCs w:val="16"/>
                <w:color w:val="auto"/>
              </w:rPr>
            </w:pPr>
          </w:p>
        </w:tc>
        <w:tc>
          <w:tcPr>
            <w:tcW w:w="148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 Alok Maskara</w:t>
            </w:r>
          </w:p>
        </w:tc>
        <w:tc>
          <w:tcPr>
            <w:tcW w:w="152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Average for Non-</w:t>
            </w:r>
          </w:p>
        </w:tc>
      </w:tr>
      <w:tr>
        <w:trPr>
          <w:trHeight w:val="196"/>
        </w:trPr>
        <w:tc>
          <w:tcPr>
            <w:tcW w:w="7520" w:type="dxa"/>
            <w:vAlign w:val="bottom"/>
            <w:shd w:val="clear" w:color="auto" w:fill="C60C35"/>
          </w:tcPr>
          <w:p>
            <w:pPr>
              <w:spacing w:after="0"/>
              <w:rPr>
                <w:sz w:val="17"/>
                <w:szCs w:val="17"/>
                <w:color w:val="auto"/>
              </w:rPr>
            </w:pPr>
          </w:p>
        </w:tc>
        <w:tc>
          <w:tcPr>
            <w:tcW w:w="148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 (PEO 3)</w:t>
            </w:r>
          </w:p>
        </w:tc>
        <w:tc>
          <w:tcPr>
            <w:tcW w:w="152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PEO NEOs</w:t>
            </w:r>
          </w:p>
        </w:tc>
      </w:tr>
      <w:tr>
        <w:trPr>
          <w:trHeight w:val="69"/>
        </w:trPr>
        <w:tc>
          <w:tcPr>
            <w:tcW w:w="7520" w:type="dxa"/>
            <w:vAlign w:val="bottom"/>
            <w:shd w:val="clear" w:color="auto" w:fill="C60C35"/>
          </w:tcPr>
          <w:p>
            <w:pPr>
              <w:spacing w:after="0"/>
              <w:rPr>
                <w:sz w:val="6"/>
                <w:szCs w:val="6"/>
                <w:color w:val="auto"/>
              </w:rPr>
            </w:pPr>
          </w:p>
        </w:tc>
        <w:tc>
          <w:tcPr>
            <w:tcW w:w="1480" w:type="dxa"/>
            <w:vAlign w:val="bottom"/>
            <w:shd w:val="clear" w:color="auto" w:fill="C60C35"/>
          </w:tcPr>
          <w:p>
            <w:pPr>
              <w:spacing w:after="0"/>
              <w:rPr>
                <w:sz w:val="6"/>
                <w:szCs w:val="6"/>
                <w:color w:val="auto"/>
              </w:rPr>
            </w:pPr>
          </w:p>
        </w:tc>
        <w:tc>
          <w:tcPr>
            <w:tcW w:w="1520" w:type="dxa"/>
            <w:vAlign w:val="bottom"/>
            <w:shd w:val="clear" w:color="auto" w:fill="C60C35"/>
          </w:tcPr>
          <w:p>
            <w:pPr>
              <w:spacing w:after="0"/>
              <w:rPr>
                <w:sz w:val="6"/>
                <w:szCs w:val="6"/>
                <w:color w:val="auto"/>
              </w:rPr>
            </w:pPr>
          </w:p>
        </w:tc>
      </w:tr>
      <w:tr>
        <w:trPr>
          <w:trHeight w:val="230"/>
        </w:trPr>
        <w:tc>
          <w:tcPr>
            <w:tcW w:w="75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Summary Compensation Table Total Compensation</w:t>
            </w:r>
          </w:p>
        </w:tc>
        <w:tc>
          <w:tcPr>
            <w:tcW w:w="1480" w:type="dxa"/>
            <w:vAlign w:val="bottom"/>
            <w:shd w:val="clear" w:color="auto" w:fill="F1F2F2"/>
          </w:tcPr>
          <w:p>
            <w:pPr>
              <w:jc w:val="right"/>
              <w:ind w:right="148"/>
              <w:spacing w:after="0"/>
              <w:rPr>
                <w:sz w:val="20"/>
                <w:szCs w:val="20"/>
                <w:color w:val="auto"/>
              </w:rPr>
            </w:pPr>
            <w:r>
              <w:rPr>
                <w:rFonts w:ascii="Arial" w:cs="Arial" w:eastAsia="Arial" w:hAnsi="Arial"/>
                <w:sz w:val="14"/>
                <w:szCs w:val="14"/>
                <w:b w:val="1"/>
                <w:bCs w:val="1"/>
                <w:color w:val="auto"/>
              </w:rPr>
              <w:t>9,907,911</w:t>
            </w:r>
          </w:p>
        </w:tc>
        <w:tc>
          <w:tcPr>
            <w:tcW w:w="152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3,164,046</w:t>
            </w:r>
          </w:p>
        </w:tc>
      </w:tr>
    </w:tbl>
    <w:p>
      <w:pPr>
        <w:spacing w:after="0" w:line="18" w:lineRule="exact"/>
        <w:rPr>
          <w:sz w:val="20"/>
          <w:szCs w:val="20"/>
          <w:color w:val="auto"/>
        </w:rPr>
      </w:pPr>
    </w:p>
    <w:p>
      <w:pPr>
        <w:sectPr>
          <w:pgSz w:w="11900" w:h="16838" w:orient="portrait"/>
          <w:cols w:equalWidth="0" w:num="1">
            <w:col w:w="11240"/>
          </w:cols>
          <w:pgMar w:left="320" w:top="807" w:right="339" w:bottom="1440" w:gutter="0" w:footer="0" w:header="0"/>
        </w:sectPr>
      </w:pPr>
    </w:p>
    <w:p>
      <w:pPr>
        <w:ind w:left="520" w:right="3100" w:hanging="8"/>
        <w:spacing w:after="0" w:line="342" w:lineRule="auto"/>
        <w:tabs>
          <w:tab w:leader="none" w:pos="608" w:val="left"/>
        </w:tabs>
        <w:numPr>
          <w:ilvl w:val="0"/>
          <w:numId w:val="92"/>
        </w:numPr>
        <w:rPr>
          <w:rFonts w:ascii="Arial" w:cs="Arial" w:eastAsia="Arial" w:hAnsi="Arial"/>
          <w:sz w:val="14"/>
          <w:szCs w:val="14"/>
          <w:color w:val="auto"/>
        </w:rPr>
      </w:pPr>
      <w:r>
        <w:rPr>
          <w:rFonts w:ascii="Arial" w:cs="Arial" w:eastAsia="Arial" w:hAnsi="Arial"/>
          <w:sz w:val="14"/>
          <w:szCs w:val="14"/>
          <w:color w:val="auto"/>
        </w:rPr>
        <w:t>aggregate change in actuarial present value of pension benefits + service cost of pension benefits</w:t>
      </w:r>
    </w:p>
    <w:p>
      <w:pPr>
        <w:ind w:left="520"/>
        <w:spacing w:after="0"/>
        <w:rPr>
          <w:rFonts w:ascii="Arial" w:cs="Arial" w:eastAsia="Arial" w:hAnsi="Arial"/>
          <w:sz w:val="14"/>
          <w:szCs w:val="14"/>
          <w:color w:val="auto"/>
        </w:rPr>
      </w:pPr>
      <w:r>
        <w:rPr>
          <w:rFonts w:ascii="Arial" w:cs="Arial" w:eastAsia="Arial" w:hAnsi="Arial"/>
          <w:sz w:val="14"/>
          <w:szCs w:val="14"/>
          <w:color w:val="auto"/>
        </w:rPr>
        <w:t>+ prior service cost of pension benefit</w:t>
      </w:r>
    </w:p>
    <w:p>
      <w:pPr>
        <w:spacing w:after="0" w:line="68" w:lineRule="exact"/>
        <w:rPr>
          <w:rFonts w:ascii="Arial" w:cs="Arial" w:eastAsia="Arial" w:hAnsi="Arial"/>
          <w:sz w:val="14"/>
          <w:szCs w:val="14"/>
          <w:color w:val="auto"/>
        </w:rPr>
      </w:pPr>
    </w:p>
    <w:p>
      <w:pPr>
        <w:ind w:left="600" w:hanging="88"/>
        <w:spacing w:after="0"/>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SCT “Stock Awards” column value</w:t>
      </w:r>
    </w:p>
    <w:p>
      <w:pPr>
        <w:spacing w:after="0" w:line="68" w:lineRule="exact"/>
        <w:rPr>
          <w:rFonts w:ascii="Arial" w:cs="Arial" w:eastAsia="Arial" w:hAnsi="Arial"/>
          <w:sz w:val="14"/>
          <w:szCs w:val="14"/>
          <w:color w:val="auto"/>
        </w:rPr>
      </w:pPr>
    </w:p>
    <w:p>
      <w:pPr>
        <w:ind w:left="600" w:hanging="88"/>
        <w:spacing w:after="0"/>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SCT “Option Awards” column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-549910</wp:posOffset>
            </wp:positionV>
            <wp:extent cx="6686550"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8655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-258445</wp:posOffset>
            </wp:positionV>
            <wp:extent cx="668655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8655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32385</wp:posOffset>
            </wp:positionV>
            <wp:extent cx="6686550"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86550" cy="257175"/>
                    </a:xfrm>
                    <a:prstGeom prst="rect">
                      <a:avLst/>
                    </a:prstGeom>
                    <a:noFill/>
                  </pic:spPr>
                </pic:pic>
              </a:graphicData>
            </a:graphic>
          </wp:anchor>
        </w:drawing>
      </w:r>
    </w:p>
    <w:p>
      <w:pPr>
        <w:spacing w:after="0" w:line="49" w:lineRule="exact"/>
        <w:rPr>
          <w:sz w:val="20"/>
          <w:szCs w:val="20"/>
          <w:color w:val="auto"/>
        </w:rPr>
      </w:pPr>
    </w:p>
    <w:p>
      <w:pPr>
        <w:ind w:left="520" w:right="220" w:hanging="8"/>
        <w:spacing w:after="0" w:line="301" w:lineRule="auto"/>
        <w:tabs>
          <w:tab w:leader="none" w:pos="644" w:val="left"/>
        </w:tabs>
        <w:numPr>
          <w:ilvl w:val="0"/>
          <w:numId w:val="93"/>
        </w:numPr>
        <w:rPr>
          <w:rFonts w:ascii="Arial" w:cs="Arial" w:eastAsia="Arial" w:hAnsi="Arial"/>
          <w:sz w:val="14"/>
          <w:szCs w:val="14"/>
          <w:color w:val="auto"/>
        </w:rPr>
      </w:pPr>
      <w:r>
        <w:rPr>
          <w:rFonts w:ascii="Arial" w:cs="Arial" w:eastAsia="Arial" w:hAnsi="Arial"/>
          <w:sz w:val="14"/>
          <w:szCs w:val="14"/>
          <w:color w:val="auto"/>
        </w:rPr>
        <w:t>year-end fair value of equity awards granted in the covered year that are outstanding and unvested as of the covered year-end</w:t>
      </w:r>
    </w:p>
    <w:p>
      <w:pPr>
        <w:spacing w:after="0" w:line="1" w:lineRule="exact"/>
        <w:rPr>
          <w:sz w:val="20"/>
          <w:szCs w:val="20"/>
          <w:color w:val="auto"/>
        </w:rPr>
      </w:pPr>
    </w:p>
    <w:p>
      <w:pPr>
        <w:ind w:left="520"/>
        <w:spacing w:after="0" w:line="301" w:lineRule="auto"/>
        <w:rPr>
          <w:sz w:val="20"/>
          <w:szCs w:val="20"/>
          <w:color w:val="auto"/>
        </w:rPr>
      </w:pPr>
      <w:r>
        <w:rPr>
          <w:rFonts w:ascii="Arial" w:cs="Arial" w:eastAsia="Arial" w:hAnsi="Arial"/>
          <w:sz w:val="14"/>
          <w:szCs w:val="14"/>
          <w:color w:val="auto"/>
        </w:rPr>
        <w:t>[+/-] change in fair value (from prior year-end to covered year-end) of equity awards granted in prior years that are outstanding and unvested as of the covered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668655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86550" cy="14541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 vesting date fair value of equity awards granted and vested in the covered year</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4"/>
          <w:szCs w:val="14"/>
          <w:color w:val="auto"/>
        </w:rPr>
        <w:t>—466,043</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—73,977</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14"/>
          <w:szCs w:val="14"/>
          <w:color w:val="auto"/>
        </w:rPr>
        <w:t>4,429,662</w:t>
      </w:r>
      <w:r>
        <w:rPr>
          <w:sz w:val="20"/>
          <w:szCs w:val="20"/>
          <w:color w:val="auto"/>
        </w:rPr>
        <w:tab/>
      </w:r>
      <w:r>
        <w:rPr>
          <w:rFonts w:ascii="Arial" w:cs="Arial" w:eastAsia="Arial" w:hAnsi="Arial"/>
          <w:sz w:val="14"/>
          <w:szCs w:val="14"/>
          <w:color w:val="auto"/>
        </w:rPr>
        <w:t>913,182</w:t>
      </w:r>
    </w:p>
    <w:p>
      <w:pPr>
        <w:spacing w:after="0" w:line="69"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14"/>
          <w:szCs w:val="14"/>
          <w:color w:val="auto"/>
        </w:rPr>
        <w:t>1,125,423</w:t>
      </w:r>
      <w:r>
        <w:rPr>
          <w:sz w:val="20"/>
          <w:szCs w:val="20"/>
          <w:color w:val="auto"/>
        </w:rPr>
        <w:tab/>
      </w:r>
      <w:r>
        <w:rPr>
          <w:rFonts w:ascii="Arial" w:cs="Arial" w:eastAsia="Arial" w:hAnsi="Arial"/>
          <w:sz w:val="14"/>
          <w:szCs w:val="14"/>
          <w:color w:val="auto"/>
        </w:rPr>
        <w:t>232,018</w:t>
      </w:r>
    </w:p>
    <w:p>
      <w:pPr>
        <w:spacing w:after="0" w:line="150"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color w:val="auto"/>
        </w:rPr>
        <w:t>10,455,299</w:t>
      </w:r>
      <w:r>
        <w:rPr>
          <w:sz w:val="20"/>
          <w:szCs w:val="20"/>
          <w:color w:val="auto"/>
        </w:rPr>
        <w:tab/>
      </w:r>
      <w:r>
        <w:rPr>
          <w:rFonts w:ascii="Arial" w:cs="Arial" w:eastAsia="Arial" w:hAnsi="Arial"/>
          <w:sz w:val="14"/>
          <w:szCs w:val="14"/>
          <w:color w:val="auto"/>
        </w:rPr>
        <w:t>2,155,317</w:t>
      </w:r>
    </w:p>
    <w:p>
      <w:pPr>
        <w:spacing w:after="0" w:line="24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4"/>
          <w:szCs w:val="14"/>
          <w:color w:val="auto"/>
        </w:rPr>
        <w:t>5,519,984</w:t>
      </w:r>
      <w:r>
        <w:rPr>
          <w:sz w:val="20"/>
          <w:szCs w:val="20"/>
          <w:color w:val="auto"/>
        </w:rPr>
        <w:tab/>
      </w:r>
      <w:r>
        <w:rPr>
          <w:rFonts w:ascii="Arial" w:cs="Arial" w:eastAsia="Arial" w:hAnsi="Arial"/>
          <w:sz w:val="14"/>
          <w:szCs w:val="14"/>
          <w:color w:val="auto"/>
        </w:rPr>
        <w:t>1,010,228</w:t>
      </w:r>
    </w:p>
    <w:p>
      <w:pPr>
        <w:spacing w:after="0" w:line="163" w:lineRule="exact"/>
        <w:rPr>
          <w:sz w:val="20"/>
          <w:szCs w:val="20"/>
          <w:color w:val="auto"/>
        </w:rPr>
      </w:pPr>
    </w:p>
    <w:p>
      <w:pPr>
        <w:jc w:val="both"/>
        <w:ind w:left="580"/>
        <w:spacing w:after="0"/>
        <w:tabs>
          <w:tab w:leader="none" w:pos="2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7740" w:space="660"/>
            <w:col w:w="2840"/>
          </w:cols>
          <w:pgMar w:left="320" w:top="807" w:right="339" w:bottom="1440" w:gutter="0" w:footer="0" w:header="0"/>
          <w:type w:val="continuous"/>
        </w:sect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type w:val="continuous"/>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517525</wp:posOffset>
            </wp:positionV>
            <wp:extent cx="6686550" cy="291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86550" cy="291465"/>
                    </a:xfrm>
                    <a:prstGeom prst="rect">
                      <a:avLst/>
                    </a:prstGeom>
                    <a:noFill/>
                  </pic:spPr>
                </pic:pic>
              </a:graphicData>
            </a:graphic>
          </wp:anchor>
        </w:drawing>
      </w:r>
    </w:p>
    <w:p>
      <w:pPr>
        <w:spacing w:after="0" w:line="259" w:lineRule="exact"/>
        <w:rPr>
          <w:sz w:val="20"/>
          <w:szCs w:val="20"/>
          <w:color w:val="auto"/>
        </w:rPr>
      </w:pPr>
    </w:p>
    <w:p>
      <w:pPr>
        <w:ind w:left="520"/>
        <w:spacing w:after="0" w:line="301" w:lineRule="auto"/>
        <w:rPr>
          <w:sz w:val="20"/>
          <w:szCs w:val="20"/>
          <w:color w:val="auto"/>
        </w:rPr>
      </w:pPr>
      <w:r>
        <w:rPr>
          <w:rFonts w:ascii="Arial" w:cs="Arial" w:eastAsia="Arial" w:hAnsi="Arial"/>
          <w:sz w:val="14"/>
          <w:szCs w:val="14"/>
          <w:color w:val="auto"/>
        </w:rPr>
        <w:t>[+/-] change in fair value (from prior year-end to vesting date) of equity awards granted in prior years that vested in the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668655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86550" cy="145415"/>
                    </a:xfrm>
                    <a:prstGeom prst="rect">
                      <a:avLst/>
                    </a:prstGeom>
                    <a:noFill/>
                  </pic:spPr>
                </pic:pic>
              </a:graphicData>
            </a:graphic>
          </wp:anchor>
        </w:drawing>
      </w:r>
    </w:p>
    <w:p>
      <w:pPr>
        <w:ind w:left="520" w:right="420" w:hanging="8"/>
        <w:spacing w:after="0" w:line="342" w:lineRule="auto"/>
        <w:tabs>
          <w:tab w:leader="none" w:pos="608" w:val="left"/>
        </w:tabs>
        <w:numPr>
          <w:ilvl w:val="0"/>
          <w:numId w:val="95"/>
        </w:numPr>
        <w:rPr>
          <w:rFonts w:ascii="Arial" w:cs="Arial" w:eastAsia="Arial" w:hAnsi="Arial"/>
          <w:sz w:val="14"/>
          <w:szCs w:val="14"/>
          <w:color w:val="auto"/>
        </w:rPr>
      </w:pPr>
      <w:r>
        <w:rPr>
          <w:rFonts w:ascii="Arial" w:cs="Arial" w:eastAsia="Arial" w:hAnsi="Arial"/>
          <w:sz w:val="14"/>
          <w:szCs w:val="14"/>
          <w:color w:val="auto"/>
        </w:rPr>
        <w:t>fair value as of prior-year end of equity awards granted in prior years that failed to vest in the covered year + dollar value of dividends/earnings paid on equity awards in the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68655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86550" cy="1454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Compensation Actually Paid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FFFFFF"/>
              </w:rPr>
              <w:t> Alok Maskara</w:t>
            </w: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FFFFFF"/>
              </w:rPr>
              <w:t>Average for Non-</w:t>
            </w:r>
          </w:p>
        </w:tc>
      </w:tr>
      <w:tr>
        <w:trPr>
          <w:trHeight w:val="204"/>
        </w:trPr>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FFFFFF"/>
              </w:rPr>
              <w:t> (PEO 3)</w:t>
            </w: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FFFFFF"/>
              </w:rPr>
              <w:t>PEO NEOs</w:t>
            </w:r>
          </w:p>
        </w:tc>
      </w:tr>
      <w:tr>
        <w:trPr>
          <w:trHeight w:val="62"/>
        </w:trPr>
        <w:tc>
          <w:tcPr>
            <w:tcW w:w="1480" w:type="dxa"/>
            <w:vAlign w:val="bottom"/>
            <w:shd w:val="clear" w:color="auto" w:fill="C60C35"/>
          </w:tcPr>
          <w:p>
            <w:pPr>
              <w:spacing w:after="0"/>
              <w:rPr>
                <w:sz w:val="5"/>
                <w:szCs w:val="5"/>
                <w:color w:val="auto"/>
              </w:rPr>
            </w:pPr>
          </w:p>
        </w:tc>
        <w:tc>
          <w:tcPr>
            <w:tcW w:w="1520" w:type="dxa"/>
            <w:vAlign w:val="bottom"/>
            <w:shd w:val="clear" w:color="auto" w:fill="C60C35"/>
          </w:tcPr>
          <w:p>
            <w:pPr>
              <w:spacing w:after="0"/>
              <w:rPr>
                <w:sz w:val="5"/>
                <w:szCs w:val="5"/>
                <w:color w:val="auto"/>
              </w:rPr>
            </w:pPr>
          </w:p>
        </w:tc>
      </w:tr>
      <w:tr>
        <w:trPr>
          <w:trHeight w:val="289"/>
        </w:trPr>
        <w:tc>
          <w:tcPr>
            <w:tcW w:w="1480" w:type="dxa"/>
            <w:vAlign w:val="bottom"/>
          </w:tcPr>
          <w:p>
            <w:pPr>
              <w:jc w:val="right"/>
              <w:ind w:right="148"/>
              <w:spacing w:after="0"/>
              <w:rPr>
                <w:sz w:val="20"/>
                <w:szCs w:val="20"/>
                <w:color w:val="auto"/>
              </w:rPr>
            </w:pPr>
            <w:r>
              <w:rPr>
                <w:rFonts w:ascii="Arial" w:cs="Arial" w:eastAsia="Arial" w:hAnsi="Arial"/>
                <w:sz w:val="14"/>
                <w:szCs w:val="14"/>
                <w:color w:val="auto"/>
              </w:rPr>
              <w:t>5,888,080</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1,155,491</w:t>
            </w:r>
          </w:p>
        </w:tc>
      </w:tr>
      <w:tr>
        <w:trPr>
          <w:trHeight w:val="324"/>
        </w:trPr>
        <w:tc>
          <w:tcPr>
            <w:tcW w:w="1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0"/>
        </w:trPr>
        <w:tc>
          <w:tcPr>
            <w:tcW w:w="1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5"/>
        </w:trPr>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rPr>
              <w:t>26,216,189</w:t>
            </w: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auto"/>
              </w:rPr>
              <w:t>5,947,816</w:t>
            </w:r>
          </w:p>
        </w:tc>
      </w:tr>
    </w:tbl>
    <w:p>
      <w:pPr>
        <w:spacing w:after="0" w:line="199" w:lineRule="exact"/>
        <w:rPr>
          <w:sz w:val="20"/>
          <w:szCs w:val="20"/>
          <w:color w:val="auto"/>
        </w:rPr>
      </w:pPr>
    </w:p>
    <w:p>
      <w:pPr>
        <w:sectPr>
          <w:pgSz w:w="11900" w:h="16838" w:orient="portrait"/>
          <w:cols w:equalWidth="0" w:num="2">
            <w:col w:w="7760" w:space="100"/>
            <w:col w:w="3380"/>
          </w:cols>
          <w:pgMar w:left="320" w:top="832" w:right="339" w:bottom="1440" w:gutter="0" w:footer="0" w:header="0"/>
        </w:sectPr>
      </w:pPr>
    </w:p>
    <w:p>
      <w:pPr>
        <w:ind w:right="140"/>
        <w:spacing w:after="0" w:line="253" w:lineRule="auto"/>
        <w:rPr>
          <w:sz w:val="20"/>
          <w:szCs w:val="20"/>
          <w:color w:val="auto"/>
        </w:rPr>
      </w:pPr>
      <w:r>
        <w:rPr>
          <w:rFonts w:ascii="Arial" w:cs="Arial" w:eastAsia="Arial" w:hAnsi="Arial"/>
          <w:sz w:val="18"/>
          <w:szCs w:val="18"/>
          <w:color w:val="auto"/>
        </w:rPr>
        <w:t>The fair values reflected for equity awards are calculated in a manner consistent with the methodology used to account for share-based payments in our financial statements, as described in Note 15 of the Consolidated Financial Statements for the fiscal year ended December 31, 2024, included in our Form 10-K.</w:t>
      </w:r>
    </w:p>
    <w:p>
      <w:pPr>
        <w:spacing w:after="0" w:line="138" w:lineRule="exact"/>
        <w:rPr>
          <w:sz w:val="20"/>
          <w:szCs w:val="20"/>
          <w:color w:val="auto"/>
        </w:rPr>
      </w:pPr>
    </w:p>
    <w:p>
      <w:pPr>
        <w:ind w:left="340" w:hanging="332"/>
        <w:spacing w:after="0" w:line="269"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For purposes of this pay versus performance disclosure, our peer group consists of the following entities for 2024, which are the same entitles included in the peer group for 2023: A. O. Smith Corporation, Acuity Brands, Inc., Dover Corporation, Flowserve Corporation, Fortune Brands Innovations, Inc., Hubbell Inc., IDEX Corporation, Masco Corporation, Owens Corning, Pentair, Inc., Regal Rexnord Corporation, Rockwell Automation, Inc., Snap-On Incorporated, The Timken Company, and Xylem Inc. (the “Peer Group”).</w:t>
      </w:r>
    </w:p>
    <w:p>
      <w:pPr>
        <w:spacing w:after="0" w:line="74" w:lineRule="exact"/>
        <w:rPr>
          <w:rFonts w:ascii="Arial" w:cs="Arial" w:eastAsia="Arial" w:hAnsi="Arial"/>
          <w:sz w:val="14"/>
          <w:szCs w:val="14"/>
          <w:color w:val="auto"/>
        </w:rPr>
      </w:pPr>
    </w:p>
    <w:p>
      <w:pPr>
        <w:ind w:left="340" w:right="40" w:hanging="332"/>
        <w:spacing w:after="0" w:line="273"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income from continuing operations, adjusted for restructuring charges, certain legal charges and contingency adjustments, unrealized gains and losses on unsettled futures contracts, impairments on assets held for sale, gain on sale of businesses, non-core business results, and certain other items.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Pay Versus Performance Relationship Descriptions</w:t>
      </w:r>
    </w:p>
    <w:p>
      <w:pPr>
        <w:spacing w:after="0" w:line="108" w:lineRule="exact"/>
        <w:rPr>
          <w:sz w:val="20"/>
          <w:szCs w:val="20"/>
          <w:color w:val="auto"/>
        </w:rPr>
      </w:pPr>
    </w:p>
    <w:p>
      <w:pPr>
        <w:ind w:right="260" w:firstLine="324"/>
        <w:spacing w:after="0" w:line="251" w:lineRule="auto"/>
        <w:rPr>
          <w:sz w:val="20"/>
          <w:szCs w:val="20"/>
          <w:color w:val="auto"/>
        </w:rPr>
      </w:pPr>
      <w:r>
        <w:rPr>
          <w:rFonts w:ascii="Arial" w:cs="Arial" w:eastAsia="Arial" w:hAnsi="Arial"/>
          <w:sz w:val="18"/>
          <w:szCs w:val="18"/>
          <w:color w:val="auto"/>
        </w:rPr>
        <w:t>The following graphical comparisons provide descriptions of the relationships between certain figures included in the Pay Versus Performance table for each of 2024, 2023, 2022, 2021, and 2020, including: (a) a comparison between our cumulative total shareholder return and the total shareholder return of the Peer Group; and (b) comparisons between (i) the compensation actually paid to the three PEOs, and the average compensation actually paid to our non-PEO NEOs and (ii) each of the performance measures set forth in columns (f), (h) and (i)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87630</wp:posOffset>
            </wp:positionV>
            <wp:extent cx="5254625" cy="27946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5462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type w:val="continuous"/>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500380</wp:posOffset>
            </wp:positionV>
            <wp:extent cx="5254625" cy="56489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54625" cy="564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Tabular List</w:t>
      </w:r>
    </w:p>
    <w:p>
      <w:pPr>
        <w:spacing w:after="0" w:line="264"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following table lists the four financial performance measures that we believe represent the most important financial performance measures the Company used to link compensation actually paid to our NEOs for fiscal 2024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100965</wp:posOffset>
            </wp:positionV>
            <wp:extent cx="4389120" cy="694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89120" cy="694690"/>
                    </a:xfrm>
                    <a:prstGeom prst="rect">
                      <a:avLst/>
                    </a:prstGeom>
                    <a:noFill/>
                  </pic:spPr>
                </pic:pic>
              </a:graphicData>
            </a:graphic>
          </wp:anchor>
        </w:drawing>
      </w:r>
    </w:p>
    <w:p>
      <w:pPr>
        <w:spacing w:after="0" w:line="16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Company Core Net Income</w:t>
      </w:r>
    </w:p>
    <w:p>
      <w:pPr>
        <w:spacing w:after="0" w:line="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Earnings Per Share</w:t>
      </w:r>
    </w:p>
    <w:p>
      <w:pPr>
        <w:spacing w:after="0" w:line="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ROIC</w:t>
      </w:r>
    </w:p>
    <w:p>
      <w:pPr>
        <w:spacing w:after="0" w:line="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Company Free Cash Flow</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71" w:name="page72"/>
    <w:bookmarkEnd w:id="71"/>
    <w:p>
      <w:pPr>
        <w:jc w:val="center"/>
        <w:spacing w:after="0"/>
        <w:rPr>
          <w:sz w:val="20"/>
          <w:szCs w:val="20"/>
          <w:color w:val="auto"/>
        </w:rPr>
      </w:pPr>
      <w:r>
        <w:rPr>
          <w:rFonts w:ascii="Arial" w:cs="Arial" w:eastAsia="Arial" w:hAnsi="Arial"/>
          <w:sz w:val="29"/>
          <w:szCs w:val="29"/>
          <w:b w:val="1"/>
          <w:bCs w:val="1"/>
          <w:color w:val="C6093B"/>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currently administer two equity compensation plans: the 2019 Equity and Incentive Compensation Plan and the 2022 Employee Stock Purchase Plan. The following table provides information as of December 31, 2024, regarding shares of our common stock that may be issued under these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20" w:type="dxa"/>
            <w:vAlign w:val="bottom"/>
            <w:shd w:val="clear" w:color="auto" w:fill="C60C35"/>
          </w:tcPr>
          <w:p>
            <w:pPr>
              <w:spacing w:after="0"/>
              <w:rPr>
                <w:sz w:val="15"/>
                <w:szCs w:val="15"/>
                <w:color w:val="auto"/>
              </w:rPr>
            </w:pPr>
          </w:p>
        </w:tc>
        <w:tc>
          <w:tcPr>
            <w:tcW w:w="1460" w:type="dxa"/>
            <w:vAlign w:val="bottom"/>
            <w:shd w:val="clear" w:color="auto" w:fill="C60C35"/>
          </w:tcPr>
          <w:p>
            <w:pPr>
              <w:spacing w:after="0"/>
              <w:rPr>
                <w:sz w:val="15"/>
                <w:szCs w:val="15"/>
                <w:color w:val="auto"/>
              </w:rPr>
            </w:pPr>
          </w:p>
        </w:tc>
        <w:tc>
          <w:tcPr>
            <w:tcW w:w="120" w:type="dxa"/>
            <w:vAlign w:val="bottom"/>
            <w:shd w:val="clear" w:color="auto" w:fill="C60C35"/>
          </w:tcPr>
          <w:p>
            <w:pPr>
              <w:spacing w:after="0"/>
              <w:rPr>
                <w:sz w:val="15"/>
                <w:szCs w:val="15"/>
                <w:color w:val="auto"/>
              </w:rPr>
            </w:pPr>
          </w:p>
        </w:tc>
        <w:tc>
          <w:tcPr>
            <w:tcW w:w="160" w:type="dxa"/>
            <w:vAlign w:val="bottom"/>
            <w:shd w:val="clear" w:color="auto" w:fill="C60C35"/>
          </w:tcPr>
          <w:p>
            <w:pPr>
              <w:spacing w:after="0"/>
              <w:rPr>
                <w:sz w:val="15"/>
                <w:szCs w:val="15"/>
                <w:color w:val="auto"/>
              </w:rPr>
            </w:pPr>
          </w:p>
        </w:tc>
        <w:tc>
          <w:tcPr>
            <w:tcW w:w="1300" w:type="dxa"/>
            <w:vAlign w:val="bottom"/>
            <w:shd w:val="clear" w:color="auto" w:fill="C60C35"/>
          </w:tcPr>
          <w:p>
            <w:pPr>
              <w:spacing w:after="0"/>
              <w:rPr>
                <w:sz w:val="15"/>
                <w:szCs w:val="15"/>
                <w:color w:val="auto"/>
              </w:rPr>
            </w:pPr>
          </w:p>
        </w:tc>
        <w:tc>
          <w:tcPr>
            <w:tcW w:w="280" w:type="dxa"/>
            <w:vAlign w:val="bottom"/>
            <w:shd w:val="clear" w:color="auto" w:fill="C60C35"/>
          </w:tcPr>
          <w:p>
            <w:pPr>
              <w:spacing w:after="0"/>
              <w:rPr>
                <w:sz w:val="15"/>
                <w:szCs w:val="15"/>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76"/>
        </w:trPr>
        <w:tc>
          <w:tcPr>
            <w:tcW w:w="6320" w:type="dxa"/>
            <w:vAlign w:val="bottom"/>
            <w:shd w:val="clear" w:color="auto" w:fill="C60C35"/>
          </w:tcPr>
          <w:p>
            <w:pPr>
              <w:spacing w:after="0"/>
              <w:rPr>
                <w:sz w:val="15"/>
                <w:szCs w:val="15"/>
                <w:color w:val="auto"/>
              </w:rPr>
            </w:pPr>
          </w:p>
        </w:tc>
        <w:tc>
          <w:tcPr>
            <w:tcW w:w="1460" w:type="dxa"/>
            <w:vAlign w:val="bottom"/>
            <w:shd w:val="clear" w:color="auto" w:fill="C60C35"/>
          </w:tcPr>
          <w:p>
            <w:pPr>
              <w:spacing w:after="0"/>
              <w:rPr>
                <w:sz w:val="15"/>
                <w:szCs w:val="15"/>
                <w:color w:val="auto"/>
              </w:rPr>
            </w:pPr>
          </w:p>
        </w:tc>
        <w:tc>
          <w:tcPr>
            <w:tcW w:w="120" w:type="dxa"/>
            <w:vAlign w:val="bottom"/>
            <w:shd w:val="clear" w:color="auto" w:fill="C60C35"/>
          </w:tcPr>
          <w:p>
            <w:pPr>
              <w:spacing w:after="0"/>
              <w:rPr>
                <w:sz w:val="15"/>
                <w:szCs w:val="15"/>
                <w:color w:val="auto"/>
              </w:rPr>
            </w:pPr>
          </w:p>
        </w:tc>
        <w:tc>
          <w:tcPr>
            <w:tcW w:w="160" w:type="dxa"/>
            <w:vAlign w:val="bottom"/>
            <w:shd w:val="clear" w:color="auto" w:fill="C60C35"/>
          </w:tcPr>
          <w:p>
            <w:pPr>
              <w:spacing w:after="0"/>
              <w:rPr>
                <w:sz w:val="15"/>
                <w:szCs w:val="15"/>
                <w:color w:val="auto"/>
              </w:rPr>
            </w:pPr>
          </w:p>
        </w:tc>
        <w:tc>
          <w:tcPr>
            <w:tcW w:w="1300" w:type="dxa"/>
            <w:vAlign w:val="bottom"/>
            <w:shd w:val="clear" w:color="auto" w:fill="C60C35"/>
          </w:tcPr>
          <w:p>
            <w:pPr>
              <w:spacing w:after="0"/>
              <w:rPr>
                <w:sz w:val="15"/>
                <w:szCs w:val="15"/>
                <w:color w:val="auto"/>
              </w:rPr>
            </w:pPr>
          </w:p>
        </w:tc>
        <w:tc>
          <w:tcPr>
            <w:tcW w:w="280" w:type="dxa"/>
            <w:vAlign w:val="bottom"/>
            <w:shd w:val="clear" w:color="auto" w:fill="C60C35"/>
          </w:tcPr>
          <w:p>
            <w:pPr>
              <w:spacing w:after="0"/>
              <w:rPr>
                <w:sz w:val="15"/>
                <w:szCs w:val="15"/>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Securities</w:t>
            </w:r>
          </w:p>
        </w:tc>
        <w:tc>
          <w:tcPr>
            <w:tcW w:w="0" w:type="dxa"/>
            <w:vAlign w:val="bottom"/>
          </w:tcPr>
          <w:p>
            <w:pPr>
              <w:spacing w:after="0"/>
              <w:rPr>
                <w:sz w:val="1"/>
                <w:szCs w:val="1"/>
                <w:color w:val="auto"/>
              </w:rPr>
            </w:pPr>
          </w:p>
        </w:tc>
      </w:tr>
      <w:tr>
        <w:trPr>
          <w:trHeight w:val="162"/>
        </w:trPr>
        <w:tc>
          <w:tcPr>
            <w:tcW w:w="6320" w:type="dxa"/>
            <w:vAlign w:val="bottom"/>
            <w:shd w:val="clear" w:color="auto" w:fill="C60C35"/>
          </w:tcPr>
          <w:p>
            <w:pPr>
              <w:spacing w:after="0"/>
              <w:rPr>
                <w:sz w:val="14"/>
                <w:szCs w:val="14"/>
                <w:color w:val="auto"/>
              </w:rPr>
            </w:pP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C60C35"/>
          </w:tcPr>
          <w:p>
            <w:pPr>
              <w:spacing w:after="0"/>
              <w:rPr>
                <w:sz w:val="14"/>
                <w:szCs w:val="14"/>
                <w:color w:val="auto"/>
              </w:rPr>
            </w:pPr>
          </w:p>
        </w:tc>
        <w:tc>
          <w:tcPr>
            <w:tcW w:w="1300" w:type="dxa"/>
            <w:vAlign w:val="bottom"/>
            <w:shd w:val="clear" w:color="auto" w:fill="C60C35"/>
          </w:tcPr>
          <w:p>
            <w:pPr>
              <w:spacing w:after="0"/>
              <w:rPr>
                <w:sz w:val="14"/>
                <w:szCs w:val="14"/>
                <w:color w:val="auto"/>
              </w:rPr>
            </w:pPr>
          </w:p>
        </w:tc>
        <w:tc>
          <w:tcPr>
            <w:tcW w:w="280" w:type="dxa"/>
            <w:vAlign w:val="bottom"/>
            <w:shd w:val="clear" w:color="auto" w:fill="C60C35"/>
          </w:tcPr>
          <w:p>
            <w:pPr>
              <w:spacing w:after="0"/>
              <w:rPr>
                <w:sz w:val="14"/>
                <w:szCs w:val="14"/>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Remaining Available</w:t>
            </w:r>
          </w:p>
        </w:tc>
        <w:tc>
          <w:tcPr>
            <w:tcW w:w="0" w:type="dxa"/>
            <w:vAlign w:val="bottom"/>
          </w:tcPr>
          <w:p>
            <w:pPr>
              <w:spacing w:after="0"/>
              <w:rPr>
                <w:sz w:val="1"/>
                <w:szCs w:val="1"/>
                <w:color w:val="auto"/>
              </w:rPr>
            </w:pPr>
          </w:p>
        </w:tc>
      </w:tr>
      <w:tr>
        <w:trPr>
          <w:trHeight w:val="176"/>
        </w:trPr>
        <w:tc>
          <w:tcPr>
            <w:tcW w:w="6320" w:type="dxa"/>
            <w:vAlign w:val="bottom"/>
            <w:shd w:val="clear" w:color="auto" w:fill="C60C35"/>
          </w:tcPr>
          <w:p>
            <w:pPr>
              <w:spacing w:after="0"/>
              <w:rPr>
                <w:sz w:val="15"/>
                <w:szCs w:val="15"/>
                <w:color w:val="auto"/>
              </w:rPr>
            </w:pP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Securities to be</w:t>
            </w:r>
          </w:p>
        </w:tc>
        <w:tc>
          <w:tcPr>
            <w:tcW w:w="160" w:type="dxa"/>
            <w:vAlign w:val="bottom"/>
            <w:shd w:val="clear" w:color="auto" w:fill="C60C35"/>
          </w:tcPr>
          <w:p>
            <w:pPr>
              <w:spacing w:after="0"/>
              <w:rPr>
                <w:sz w:val="15"/>
                <w:szCs w:val="15"/>
                <w:color w:val="auto"/>
              </w:rPr>
            </w:pPr>
          </w:p>
        </w:tc>
        <w:tc>
          <w:tcPr>
            <w:tcW w:w="1300" w:type="dxa"/>
            <w:vAlign w:val="bottom"/>
            <w:shd w:val="clear" w:color="auto" w:fill="C60C35"/>
          </w:tcPr>
          <w:p>
            <w:pPr>
              <w:spacing w:after="0"/>
              <w:rPr>
                <w:sz w:val="15"/>
                <w:szCs w:val="15"/>
                <w:color w:val="auto"/>
              </w:rPr>
            </w:pPr>
          </w:p>
        </w:tc>
        <w:tc>
          <w:tcPr>
            <w:tcW w:w="280" w:type="dxa"/>
            <w:vAlign w:val="bottom"/>
            <w:shd w:val="clear" w:color="auto" w:fill="C60C35"/>
          </w:tcPr>
          <w:p>
            <w:pPr>
              <w:spacing w:after="0"/>
              <w:rPr>
                <w:sz w:val="15"/>
                <w:szCs w:val="15"/>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for Future Issuance</w:t>
            </w:r>
          </w:p>
        </w:tc>
        <w:tc>
          <w:tcPr>
            <w:tcW w:w="0" w:type="dxa"/>
            <w:vAlign w:val="bottom"/>
          </w:tcPr>
          <w:p>
            <w:pPr>
              <w:spacing w:after="0"/>
              <w:rPr>
                <w:sz w:val="1"/>
                <w:szCs w:val="1"/>
                <w:color w:val="auto"/>
              </w:rPr>
            </w:pPr>
          </w:p>
        </w:tc>
      </w:tr>
      <w:tr>
        <w:trPr>
          <w:trHeight w:val="176"/>
        </w:trPr>
        <w:tc>
          <w:tcPr>
            <w:tcW w:w="6320" w:type="dxa"/>
            <w:vAlign w:val="bottom"/>
            <w:shd w:val="clear" w:color="auto" w:fill="C60C35"/>
          </w:tcPr>
          <w:p>
            <w:pPr>
              <w:spacing w:after="0"/>
              <w:rPr>
                <w:sz w:val="15"/>
                <w:szCs w:val="15"/>
                <w:color w:val="auto"/>
              </w:rPr>
            </w:pP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Issued Upon</w:t>
            </w:r>
          </w:p>
        </w:tc>
        <w:tc>
          <w:tcPr>
            <w:tcW w:w="160" w:type="dxa"/>
            <w:vAlign w:val="bottom"/>
            <w:shd w:val="clear" w:color="auto" w:fill="C60C35"/>
          </w:tcPr>
          <w:p>
            <w:pPr>
              <w:spacing w:after="0"/>
              <w:rPr>
                <w:sz w:val="15"/>
                <w:szCs w:val="15"/>
                <w:color w:val="auto"/>
              </w:rPr>
            </w:pPr>
          </w:p>
        </w:tc>
        <w:tc>
          <w:tcPr>
            <w:tcW w:w="13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80" w:type="dxa"/>
            <w:vAlign w:val="bottom"/>
            <w:shd w:val="clear" w:color="auto" w:fill="C60C35"/>
          </w:tcPr>
          <w:p>
            <w:pPr>
              <w:spacing w:after="0"/>
              <w:rPr>
                <w:sz w:val="15"/>
                <w:szCs w:val="15"/>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Under Equity</w:t>
            </w:r>
          </w:p>
        </w:tc>
        <w:tc>
          <w:tcPr>
            <w:tcW w:w="0" w:type="dxa"/>
            <w:vAlign w:val="bottom"/>
          </w:tcPr>
          <w:p>
            <w:pPr>
              <w:spacing w:after="0"/>
              <w:rPr>
                <w:sz w:val="1"/>
                <w:szCs w:val="1"/>
                <w:color w:val="auto"/>
              </w:rPr>
            </w:pPr>
          </w:p>
        </w:tc>
      </w:tr>
      <w:tr>
        <w:trPr>
          <w:trHeight w:val="175"/>
        </w:trPr>
        <w:tc>
          <w:tcPr>
            <w:tcW w:w="6320" w:type="dxa"/>
            <w:vAlign w:val="bottom"/>
            <w:shd w:val="clear" w:color="auto" w:fill="C60C35"/>
          </w:tcPr>
          <w:p>
            <w:pPr>
              <w:spacing w:after="0"/>
              <w:rPr>
                <w:sz w:val="15"/>
                <w:szCs w:val="15"/>
                <w:color w:val="auto"/>
              </w:rPr>
            </w:pP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Exercise of</w:t>
            </w:r>
          </w:p>
        </w:tc>
        <w:tc>
          <w:tcPr>
            <w:tcW w:w="160" w:type="dxa"/>
            <w:vAlign w:val="bottom"/>
            <w:shd w:val="clear" w:color="auto" w:fill="C60C35"/>
          </w:tcPr>
          <w:p>
            <w:pPr>
              <w:spacing w:after="0"/>
              <w:rPr>
                <w:sz w:val="15"/>
                <w:szCs w:val="15"/>
                <w:color w:val="auto"/>
              </w:rPr>
            </w:pPr>
          </w:p>
        </w:tc>
        <w:tc>
          <w:tcPr>
            <w:tcW w:w="13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Exercise Price of</w:t>
            </w:r>
          </w:p>
        </w:tc>
        <w:tc>
          <w:tcPr>
            <w:tcW w:w="280" w:type="dxa"/>
            <w:vAlign w:val="bottom"/>
            <w:shd w:val="clear" w:color="auto" w:fill="C60C35"/>
          </w:tcPr>
          <w:p>
            <w:pPr>
              <w:spacing w:after="0"/>
              <w:rPr>
                <w:sz w:val="15"/>
                <w:szCs w:val="15"/>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76"/>
        </w:trPr>
        <w:tc>
          <w:tcPr>
            <w:tcW w:w="6320" w:type="dxa"/>
            <w:vAlign w:val="bottom"/>
            <w:shd w:val="clear" w:color="auto" w:fill="C60C35"/>
          </w:tcPr>
          <w:p>
            <w:pPr>
              <w:spacing w:after="0"/>
              <w:rPr>
                <w:sz w:val="15"/>
                <w:szCs w:val="15"/>
                <w:color w:val="auto"/>
              </w:rPr>
            </w:pP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Outstanding</w:t>
            </w:r>
          </w:p>
        </w:tc>
        <w:tc>
          <w:tcPr>
            <w:tcW w:w="160" w:type="dxa"/>
            <w:vAlign w:val="bottom"/>
            <w:shd w:val="clear" w:color="auto" w:fill="C60C35"/>
          </w:tcPr>
          <w:p>
            <w:pPr>
              <w:spacing w:after="0"/>
              <w:rPr>
                <w:sz w:val="15"/>
                <w:szCs w:val="15"/>
                <w:color w:val="auto"/>
              </w:rPr>
            </w:pPr>
          </w:p>
        </w:tc>
        <w:tc>
          <w:tcPr>
            <w:tcW w:w="13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Outstanding</w:t>
            </w:r>
          </w:p>
        </w:tc>
        <w:tc>
          <w:tcPr>
            <w:tcW w:w="280" w:type="dxa"/>
            <w:vAlign w:val="bottom"/>
            <w:shd w:val="clear" w:color="auto" w:fill="C60C35"/>
          </w:tcPr>
          <w:p>
            <w:pPr>
              <w:spacing w:after="0"/>
              <w:rPr>
                <w:sz w:val="15"/>
                <w:szCs w:val="15"/>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Plans (excluding</w:t>
            </w:r>
          </w:p>
        </w:tc>
        <w:tc>
          <w:tcPr>
            <w:tcW w:w="0" w:type="dxa"/>
            <w:vAlign w:val="bottom"/>
          </w:tcPr>
          <w:p>
            <w:pPr>
              <w:spacing w:after="0"/>
              <w:rPr>
                <w:sz w:val="1"/>
                <w:szCs w:val="1"/>
                <w:color w:val="auto"/>
              </w:rPr>
            </w:pPr>
          </w:p>
        </w:tc>
      </w:tr>
      <w:tr>
        <w:trPr>
          <w:trHeight w:val="162"/>
        </w:trPr>
        <w:tc>
          <w:tcPr>
            <w:tcW w:w="6320" w:type="dxa"/>
            <w:vAlign w:val="bottom"/>
            <w:shd w:val="clear" w:color="auto" w:fill="C60C35"/>
          </w:tcPr>
          <w:p>
            <w:pPr>
              <w:spacing w:after="0"/>
              <w:rPr>
                <w:sz w:val="14"/>
                <w:szCs w:val="14"/>
                <w:color w:val="auto"/>
              </w:rPr>
            </w:pP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Options, Warrants</w:t>
            </w:r>
          </w:p>
        </w:tc>
        <w:tc>
          <w:tcPr>
            <w:tcW w:w="160" w:type="dxa"/>
            <w:vAlign w:val="bottom"/>
            <w:shd w:val="clear" w:color="auto" w:fill="C60C35"/>
          </w:tcPr>
          <w:p>
            <w:pPr>
              <w:spacing w:after="0"/>
              <w:rPr>
                <w:sz w:val="14"/>
                <w:szCs w:val="14"/>
                <w:color w:val="auto"/>
              </w:rPr>
            </w:pPr>
          </w:p>
        </w:tc>
        <w:tc>
          <w:tcPr>
            <w:tcW w:w="13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Options, Warrants</w:t>
            </w:r>
          </w:p>
        </w:tc>
        <w:tc>
          <w:tcPr>
            <w:tcW w:w="280" w:type="dxa"/>
            <w:vAlign w:val="bottom"/>
            <w:shd w:val="clear" w:color="auto" w:fill="C60C35"/>
          </w:tcPr>
          <w:p>
            <w:pPr>
              <w:spacing w:after="0"/>
              <w:rPr>
                <w:sz w:val="14"/>
                <w:szCs w:val="14"/>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securities reflected</w:t>
            </w:r>
          </w:p>
        </w:tc>
        <w:tc>
          <w:tcPr>
            <w:tcW w:w="0" w:type="dxa"/>
            <w:vAlign w:val="bottom"/>
          </w:tcPr>
          <w:p>
            <w:pPr>
              <w:spacing w:after="0"/>
              <w:rPr>
                <w:sz w:val="1"/>
                <w:szCs w:val="1"/>
                <w:color w:val="auto"/>
              </w:rPr>
            </w:pPr>
          </w:p>
        </w:tc>
      </w:tr>
      <w:tr>
        <w:trPr>
          <w:trHeight w:val="225"/>
        </w:trPr>
        <w:tc>
          <w:tcPr>
            <w:tcW w:w="63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Plan Category</w:t>
            </w: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and Rights</w:t>
            </w:r>
            <w:r>
              <w:rPr>
                <w:rFonts w:ascii="Arial" w:cs="Arial" w:eastAsia="Arial" w:hAnsi="Arial"/>
                <w:sz w:val="9"/>
                <w:szCs w:val="9"/>
                <w:b w:val="1"/>
                <w:bCs w:val="1"/>
                <w:color w:val="FFFFFF"/>
              </w:rPr>
              <w:t>(1)</w:t>
            </w:r>
          </w:p>
        </w:tc>
        <w:tc>
          <w:tcPr>
            <w:tcW w:w="160" w:type="dxa"/>
            <w:vAlign w:val="bottom"/>
            <w:shd w:val="clear" w:color="auto" w:fill="C60C35"/>
          </w:tcPr>
          <w:p>
            <w:pPr>
              <w:spacing w:after="0"/>
              <w:rPr>
                <w:sz w:val="19"/>
                <w:szCs w:val="19"/>
                <w:color w:val="auto"/>
              </w:rPr>
            </w:pPr>
          </w:p>
        </w:tc>
        <w:tc>
          <w:tcPr>
            <w:tcW w:w="13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and Rights</w:t>
            </w:r>
            <w:r>
              <w:rPr>
                <w:rFonts w:ascii="Arial" w:cs="Arial" w:eastAsia="Arial" w:hAnsi="Arial"/>
                <w:sz w:val="18"/>
                <w:szCs w:val="18"/>
                <w:b w:val="1"/>
                <w:bCs w:val="1"/>
                <w:color w:val="FFFFFF"/>
                <w:vertAlign w:val="superscript"/>
              </w:rPr>
              <w:t>(2)</w:t>
            </w:r>
          </w:p>
        </w:tc>
        <w:tc>
          <w:tcPr>
            <w:tcW w:w="280" w:type="dxa"/>
            <w:vAlign w:val="bottom"/>
            <w:shd w:val="clear" w:color="auto" w:fill="C60C35"/>
          </w:tcPr>
          <w:p>
            <w:pPr>
              <w:spacing w:after="0"/>
              <w:rPr>
                <w:sz w:val="19"/>
                <w:szCs w:val="19"/>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in column (a)</w:t>
            </w:r>
            <w:r>
              <w:rPr>
                <w:rFonts w:ascii="Arial" w:cs="Arial" w:eastAsia="Arial" w:hAnsi="Arial"/>
                <w:sz w:val="18"/>
                <w:szCs w:val="18"/>
                <w:b w:val="1"/>
                <w:bCs w:val="1"/>
                <w:color w:val="FFFFFF"/>
                <w:vertAlign w:val="superscript"/>
              </w:rPr>
              <w:t>(3)</w:t>
            </w:r>
          </w:p>
        </w:tc>
        <w:tc>
          <w:tcPr>
            <w:tcW w:w="0" w:type="dxa"/>
            <w:vAlign w:val="bottom"/>
          </w:tcPr>
          <w:p>
            <w:pPr>
              <w:spacing w:after="0"/>
              <w:rPr>
                <w:sz w:val="1"/>
                <w:szCs w:val="1"/>
                <w:color w:val="auto"/>
              </w:rPr>
            </w:pPr>
          </w:p>
        </w:tc>
      </w:tr>
      <w:tr>
        <w:trPr>
          <w:trHeight w:val="229"/>
        </w:trPr>
        <w:tc>
          <w:tcPr>
            <w:tcW w:w="6320" w:type="dxa"/>
            <w:vAlign w:val="bottom"/>
            <w:shd w:val="clear" w:color="auto" w:fill="C60C35"/>
          </w:tcPr>
          <w:p>
            <w:pPr>
              <w:spacing w:after="0"/>
              <w:rPr>
                <w:sz w:val="19"/>
                <w:szCs w:val="19"/>
                <w:color w:val="auto"/>
              </w:rPr>
            </w:pPr>
          </w:p>
        </w:tc>
        <w:tc>
          <w:tcPr>
            <w:tcW w:w="1580" w:type="dxa"/>
            <w:vAlign w:val="bottom"/>
            <w:gridSpan w:val="2"/>
            <w:shd w:val="clear" w:color="auto" w:fill="C60C35"/>
          </w:tcPr>
          <w:p>
            <w:pPr>
              <w:jc w:val="right"/>
              <w:ind w:right="140"/>
              <w:spacing w:after="0"/>
              <w:rPr>
                <w:sz w:val="20"/>
                <w:szCs w:val="20"/>
                <w:color w:val="auto"/>
              </w:rPr>
            </w:pPr>
            <w:r>
              <w:rPr>
                <w:rFonts w:ascii="Arial" w:cs="Arial" w:eastAsia="Arial" w:hAnsi="Arial"/>
                <w:sz w:val="14"/>
                <w:szCs w:val="14"/>
                <w:b w:val="1"/>
                <w:bCs w:val="1"/>
                <w:color w:val="FFFFFF"/>
              </w:rPr>
              <w:t>(a)</w:t>
            </w:r>
          </w:p>
        </w:tc>
        <w:tc>
          <w:tcPr>
            <w:tcW w:w="160" w:type="dxa"/>
            <w:vAlign w:val="bottom"/>
            <w:shd w:val="clear" w:color="auto" w:fill="C60C35"/>
          </w:tcPr>
          <w:p>
            <w:pPr>
              <w:spacing w:after="0"/>
              <w:rPr>
                <w:sz w:val="19"/>
                <w:szCs w:val="19"/>
                <w:color w:val="auto"/>
              </w:rPr>
            </w:pPr>
          </w:p>
        </w:tc>
        <w:tc>
          <w:tcPr>
            <w:tcW w:w="13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(b)</w:t>
            </w:r>
          </w:p>
        </w:tc>
        <w:tc>
          <w:tcPr>
            <w:tcW w:w="280" w:type="dxa"/>
            <w:vAlign w:val="bottom"/>
            <w:shd w:val="clear" w:color="auto" w:fill="C60C35"/>
          </w:tcPr>
          <w:p>
            <w:pPr>
              <w:spacing w:after="0"/>
              <w:rPr>
                <w:sz w:val="19"/>
                <w:szCs w:val="19"/>
                <w:color w:val="auto"/>
              </w:rPr>
            </w:pPr>
          </w:p>
        </w:tc>
        <w:tc>
          <w:tcPr>
            <w:tcW w:w="16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Equity compensation plans approved by security holders</w:t>
            </w:r>
          </w:p>
        </w:tc>
        <w:tc>
          <w:tcPr>
            <w:tcW w:w="1460" w:type="dxa"/>
            <w:vAlign w:val="bottom"/>
            <w:tcBorders>
              <w:bottom w:val="single" w:sz="8" w:color="F1F2F2"/>
            </w:tcBorders>
            <w:shd w:val="clear" w:color="auto" w:fill="F1F2F2"/>
          </w:tcPr>
          <w:p>
            <w:pPr>
              <w:spacing w:after="0"/>
              <w:rPr>
                <w:sz w:val="18"/>
                <w:szCs w:val="18"/>
                <w:color w:val="auto"/>
              </w:rPr>
            </w:pPr>
          </w:p>
        </w:tc>
        <w:tc>
          <w:tcPr>
            <w:tcW w:w="120" w:type="dxa"/>
            <w:vAlign w:val="bottom"/>
            <w:tcBorders>
              <w:bottom w:val="single" w:sz="8" w:color="F1F2F2"/>
            </w:tcBorders>
            <w:shd w:val="clear" w:color="auto" w:fill="F1F2F2"/>
          </w:tcPr>
          <w:p>
            <w:pPr>
              <w:spacing w:after="0"/>
              <w:rPr>
                <w:sz w:val="18"/>
                <w:szCs w:val="18"/>
                <w:color w:val="auto"/>
              </w:rPr>
            </w:pPr>
          </w:p>
        </w:tc>
        <w:tc>
          <w:tcPr>
            <w:tcW w:w="160" w:type="dxa"/>
            <w:vAlign w:val="bottom"/>
            <w:tcBorders>
              <w:bottom w:val="single" w:sz="8" w:color="F1F2F2"/>
            </w:tcBorders>
            <w:shd w:val="clear" w:color="auto" w:fill="F1F2F2"/>
          </w:tcPr>
          <w:p>
            <w:pPr>
              <w:spacing w:after="0"/>
              <w:rPr>
                <w:sz w:val="18"/>
                <w:szCs w:val="18"/>
                <w:color w:val="auto"/>
              </w:rPr>
            </w:pPr>
          </w:p>
        </w:tc>
        <w:tc>
          <w:tcPr>
            <w:tcW w:w="1300" w:type="dxa"/>
            <w:vAlign w:val="bottom"/>
            <w:tcBorders>
              <w:bottom w:val="single" w:sz="8" w:color="F1F2F2"/>
            </w:tcBorders>
            <w:shd w:val="clear" w:color="auto" w:fill="F1F2F2"/>
          </w:tcPr>
          <w:p>
            <w:pPr>
              <w:spacing w:after="0"/>
              <w:rPr>
                <w:sz w:val="18"/>
                <w:szCs w:val="18"/>
                <w:color w:val="auto"/>
              </w:rPr>
            </w:pPr>
          </w:p>
        </w:tc>
        <w:tc>
          <w:tcPr>
            <w:tcW w:w="280" w:type="dxa"/>
            <w:vAlign w:val="bottom"/>
            <w:tcBorders>
              <w:bottom w:val="single" w:sz="8" w:color="F1F2F2"/>
            </w:tcBorders>
            <w:shd w:val="clear" w:color="auto" w:fill="F1F2F2"/>
          </w:tcPr>
          <w:p>
            <w:pPr>
              <w:spacing w:after="0"/>
              <w:rPr>
                <w:sz w:val="18"/>
                <w:szCs w:val="18"/>
                <w:color w:val="auto"/>
              </w:rPr>
            </w:pPr>
          </w:p>
        </w:tc>
        <w:tc>
          <w:tcPr>
            <w:tcW w:w="16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6320" w:type="dxa"/>
            <w:vAlign w:val="bottom"/>
            <w:vMerge w:val="restart"/>
          </w:tcPr>
          <w:p>
            <w:pPr>
              <w:ind w:left="100"/>
              <w:spacing w:after="0"/>
              <w:rPr>
                <w:sz w:val="20"/>
                <w:szCs w:val="20"/>
                <w:color w:val="auto"/>
              </w:rPr>
            </w:pPr>
            <w:r>
              <w:rPr>
                <w:rFonts w:ascii="Arial" w:cs="Arial" w:eastAsia="Arial" w:hAnsi="Arial"/>
                <w:sz w:val="14"/>
                <w:szCs w:val="14"/>
                <w:color w:val="auto"/>
              </w:rPr>
              <w:t>• 2019 Equity and Incentive Compensation Plan</w:t>
            </w:r>
            <w:r>
              <w:rPr>
                <w:rFonts w:ascii="Arial" w:cs="Arial" w:eastAsia="Arial" w:hAnsi="Arial"/>
                <w:sz w:val="18"/>
                <w:szCs w:val="18"/>
                <w:color w:val="auto"/>
                <w:vertAlign w:val="superscript"/>
              </w:rPr>
              <w:t>(4)</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330,552</w:t>
            </w:r>
          </w:p>
        </w:tc>
        <w:tc>
          <w:tcPr>
            <w:tcW w:w="1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306.46</w:t>
            </w:r>
          </w:p>
        </w:tc>
        <w:tc>
          <w:tcPr>
            <w:tcW w:w="280" w:type="dxa"/>
            <w:vAlign w:val="bottom"/>
          </w:tcPr>
          <w:p>
            <w:pPr>
              <w:jc w:val="right"/>
              <w:spacing w:after="0"/>
              <w:rPr>
                <w:sz w:val="20"/>
                <w:szCs w:val="20"/>
                <w:color w:val="auto"/>
              </w:rPr>
            </w:pPr>
            <w:r>
              <w:rPr>
                <w:rFonts w:ascii="Arial" w:cs="Arial" w:eastAsia="Arial" w:hAnsi="Arial"/>
                <w:sz w:val="9"/>
                <w:szCs w:val="9"/>
                <w:color w:val="auto"/>
              </w:rPr>
              <w:t>(5)</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auto"/>
              </w:rPr>
              <w:t>1,637,606</w:t>
            </w:r>
          </w:p>
        </w:tc>
        <w:tc>
          <w:tcPr>
            <w:tcW w:w="0" w:type="dxa"/>
            <w:vAlign w:val="bottom"/>
          </w:tcPr>
          <w:p>
            <w:pPr>
              <w:spacing w:after="0"/>
              <w:rPr>
                <w:sz w:val="1"/>
                <w:szCs w:val="1"/>
                <w:color w:val="auto"/>
              </w:rPr>
            </w:pPr>
          </w:p>
        </w:tc>
      </w:tr>
      <w:tr>
        <w:trPr>
          <w:trHeight w:val="107"/>
        </w:trPr>
        <w:tc>
          <w:tcPr>
            <w:tcW w:w="63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 2022 Employee Stock Purchase Plan</w:t>
            </w:r>
          </w:p>
        </w:tc>
        <w:tc>
          <w:tcPr>
            <w:tcW w:w="1580" w:type="dxa"/>
            <w:vAlign w:val="bottom"/>
            <w:tcBorders>
              <w:bottom w:val="single" w:sz="8" w:color="F1F2F2"/>
            </w:tcBorders>
            <w:gridSpan w:val="2"/>
            <w:shd w:val="clear" w:color="auto" w:fill="F1F2F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2F2"/>
            </w:tcBorders>
            <w:shd w:val="clear" w:color="auto" w:fill="F1F2F2"/>
          </w:tcPr>
          <w:p>
            <w:pPr>
              <w:spacing w:after="0"/>
              <w:rPr>
                <w:sz w:val="18"/>
                <w:szCs w:val="18"/>
                <w:color w:val="auto"/>
              </w:rPr>
            </w:pPr>
          </w:p>
        </w:tc>
        <w:tc>
          <w:tcPr>
            <w:tcW w:w="13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F1F2F2"/>
            </w:tcBorders>
            <w:shd w:val="clear" w:color="auto" w:fill="F1F2F2"/>
          </w:tcPr>
          <w:p>
            <w:pPr>
              <w:spacing w:after="0"/>
              <w:rPr>
                <w:sz w:val="18"/>
                <w:szCs w:val="18"/>
                <w:color w:val="auto"/>
              </w:rPr>
            </w:pPr>
          </w:p>
        </w:tc>
        <w:tc>
          <w:tcPr>
            <w:tcW w:w="16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971,132</w:t>
            </w:r>
          </w:p>
        </w:tc>
        <w:tc>
          <w:tcPr>
            <w:tcW w:w="0" w:type="dxa"/>
            <w:vAlign w:val="bottom"/>
          </w:tcPr>
          <w:p>
            <w:pPr>
              <w:spacing w:after="0"/>
              <w:rPr>
                <w:sz w:val="1"/>
                <w:szCs w:val="1"/>
                <w:color w:val="auto"/>
              </w:rPr>
            </w:pPr>
          </w:p>
        </w:tc>
      </w:tr>
      <w:tr>
        <w:trPr>
          <w:trHeight w:val="208"/>
        </w:trPr>
        <w:tc>
          <w:tcPr>
            <w:tcW w:w="6320" w:type="dxa"/>
            <w:vAlign w:val="bottom"/>
          </w:tcPr>
          <w:p>
            <w:pPr>
              <w:ind w:left="100"/>
              <w:spacing w:after="0"/>
              <w:rPr>
                <w:sz w:val="20"/>
                <w:szCs w:val="20"/>
                <w:color w:val="auto"/>
              </w:rPr>
            </w:pPr>
            <w:r>
              <w:rPr>
                <w:rFonts w:ascii="Arial" w:cs="Arial" w:eastAsia="Arial" w:hAnsi="Arial"/>
                <w:sz w:val="14"/>
                <w:szCs w:val="14"/>
                <w:color w:val="auto"/>
              </w:rPr>
              <w:t>Equity compensation plans not approved by security holders</w:t>
            </w: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320" w:type="dxa"/>
            <w:vAlign w:val="bottom"/>
            <w:tcBorders>
              <w:bottom w:val="single" w:sz="8" w:color="F1F2F2"/>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1F2F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1F2F2"/>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63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330,552</w:t>
            </w:r>
          </w:p>
        </w:tc>
        <w:tc>
          <w:tcPr>
            <w:tcW w:w="120" w:type="dxa"/>
            <w:vAlign w:val="bottom"/>
            <w:tcBorders>
              <w:bottom w:val="single" w:sz="8" w:color="auto"/>
            </w:tcBorders>
            <w:shd w:val="clear" w:color="auto" w:fill="F1F2F2"/>
          </w:tcPr>
          <w:p>
            <w:pPr>
              <w:spacing w:after="0"/>
              <w:rPr>
                <w:sz w:val="20"/>
                <w:szCs w:val="20"/>
                <w:color w:val="auto"/>
              </w:rPr>
            </w:pPr>
          </w:p>
        </w:tc>
        <w:tc>
          <w:tcPr>
            <w:tcW w:w="16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306.46</w:t>
            </w:r>
          </w:p>
        </w:tc>
        <w:tc>
          <w:tcPr>
            <w:tcW w:w="280" w:type="dxa"/>
            <w:vAlign w:val="bottom"/>
            <w:tcBorders>
              <w:bottom w:val="single" w:sz="8" w:color="auto"/>
            </w:tcBorders>
            <w:shd w:val="clear" w:color="auto" w:fill="F1F2F2"/>
          </w:tcPr>
          <w:p>
            <w:pPr>
              <w:spacing w:after="0"/>
              <w:rPr>
                <w:sz w:val="20"/>
                <w:szCs w:val="20"/>
                <w:color w:val="auto"/>
              </w:rPr>
            </w:pPr>
          </w:p>
        </w:tc>
        <w:tc>
          <w:tcPr>
            <w:tcW w:w="1600" w:type="dxa"/>
            <w:vAlign w:val="bottom"/>
            <w:tcBorders>
              <w:bottom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2,608,738</w:t>
            </w:r>
          </w:p>
        </w:tc>
        <w:tc>
          <w:tcPr>
            <w:tcW w:w="0" w:type="dxa"/>
            <w:vAlign w:val="bottom"/>
          </w:tcPr>
          <w:p>
            <w:pPr>
              <w:spacing w:after="0"/>
              <w:rPr>
                <w:sz w:val="1"/>
                <w:szCs w:val="1"/>
                <w:color w:val="auto"/>
              </w:rPr>
            </w:pPr>
          </w:p>
        </w:tc>
      </w:tr>
      <w:tr>
        <w:trPr>
          <w:trHeight w:val="20"/>
        </w:trPr>
        <w:tc>
          <w:tcPr>
            <w:tcW w:w="6320" w:type="dxa"/>
            <w:vAlign w:val="bottom"/>
            <w:tcBorders>
              <w:top w:val="single" w:sz="8" w:color="F1F2F2"/>
            </w:tcBorders>
          </w:tcPr>
          <w:p>
            <w:pPr>
              <w:spacing w:after="0" w:line="20" w:lineRule="exact"/>
              <w:rPr>
                <w:sz w:val="1"/>
                <w:szCs w:val="1"/>
                <w:color w:val="auto"/>
              </w:rPr>
            </w:pPr>
          </w:p>
        </w:tc>
        <w:tc>
          <w:tcPr>
            <w:tcW w:w="1460" w:type="dxa"/>
            <w:vAlign w:val="bottom"/>
            <w:tcBorders>
              <w:top w:val="single" w:sz="8" w:color="F1F2F2"/>
              <w:bottom w:val="single" w:sz="8" w:color="auto"/>
            </w:tcBorders>
          </w:tcPr>
          <w:p>
            <w:pPr>
              <w:spacing w:after="0" w:line="20" w:lineRule="exact"/>
              <w:rPr>
                <w:sz w:val="1"/>
                <w:szCs w:val="1"/>
                <w:color w:val="auto"/>
              </w:rPr>
            </w:pPr>
          </w:p>
        </w:tc>
        <w:tc>
          <w:tcPr>
            <w:tcW w:w="120" w:type="dxa"/>
            <w:vAlign w:val="bottom"/>
            <w:tcBorders>
              <w:top w:val="single" w:sz="8" w:color="F1F2F2"/>
              <w:bottom w:val="single" w:sz="8" w:color="auto"/>
            </w:tcBorders>
          </w:tcPr>
          <w:p>
            <w:pPr>
              <w:spacing w:after="0" w:line="20" w:lineRule="exact"/>
              <w:rPr>
                <w:sz w:val="1"/>
                <w:szCs w:val="1"/>
                <w:color w:val="auto"/>
              </w:rPr>
            </w:pPr>
          </w:p>
        </w:tc>
        <w:tc>
          <w:tcPr>
            <w:tcW w:w="160" w:type="dxa"/>
            <w:vAlign w:val="bottom"/>
            <w:tcBorders>
              <w:top w:val="single" w:sz="8" w:color="F1F2F2"/>
              <w:bottom w:val="single" w:sz="8" w:color="auto"/>
            </w:tcBorders>
          </w:tcPr>
          <w:p>
            <w:pPr>
              <w:spacing w:after="0" w:line="20" w:lineRule="exact"/>
              <w:rPr>
                <w:sz w:val="1"/>
                <w:szCs w:val="1"/>
                <w:color w:val="auto"/>
              </w:rPr>
            </w:pPr>
          </w:p>
        </w:tc>
        <w:tc>
          <w:tcPr>
            <w:tcW w:w="1300" w:type="dxa"/>
            <w:vAlign w:val="bottom"/>
            <w:tcBorders>
              <w:top w:val="single" w:sz="8" w:color="F1F2F2"/>
              <w:bottom w:val="single" w:sz="8" w:color="auto"/>
            </w:tcBorders>
          </w:tcPr>
          <w:p>
            <w:pPr>
              <w:spacing w:after="0" w:line="20" w:lineRule="exact"/>
              <w:rPr>
                <w:sz w:val="1"/>
                <w:szCs w:val="1"/>
                <w:color w:val="auto"/>
              </w:rPr>
            </w:pPr>
          </w:p>
        </w:tc>
        <w:tc>
          <w:tcPr>
            <w:tcW w:w="280" w:type="dxa"/>
            <w:vAlign w:val="bottom"/>
            <w:tcBorders>
              <w:top w:val="single" w:sz="8" w:color="F1F2F2"/>
              <w:bottom w:val="single" w:sz="8" w:color="auto"/>
            </w:tcBorders>
          </w:tcPr>
          <w:p>
            <w:pPr>
              <w:spacing w:after="0" w:line="20" w:lineRule="exact"/>
              <w:rPr>
                <w:sz w:val="1"/>
                <w:szCs w:val="1"/>
                <w:color w:val="auto"/>
              </w:rPr>
            </w:pPr>
          </w:p>
        </w:tc>
        <w:tc>
          <w:tcPr>
            <w:tcW w:w="1600" w:type="dxa"/>
            <w:vAlign w:val="bottom"/>
            <w:tcBorders>
              <w:top w:val="single" w:sz="8" w:color="F1F2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the following:</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1"/>
          <w:numId w:val="97"/>
        </w:numPr>
        <w:rPr>
          <w:rFonts w:ascii="Arial" w:cs="Arial" w:eastAsia="Arial" w:hAnsi="Arial"/>
          <w:sz w:val="14"/>
          <w:szCs w:val="14"/>
          <w:color w:val="auto"/>
        </w:rPr>
      </w:pPr>
      <w:r>
        <w:rPr>
          <w:rFonts w:ascii="Arial" w:cs="Arial" w:eastAsia="Arial" w:hAnsi="Arial"/>
          <w:sz w:val="14"/>
          <w:szCs w:val="14"/>
          <w:color w:val="auto"/>
        </w:rPr>
        <w:t>203,304 SARs outstanding under the 2019 Equity and Incentive Compensation Plan, which, upon exercise, will be net-settled in shares of our common stock;</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1"/>
          <w:numId w:val="97"/>
        </w:numPr>
        <w:rPr>
          <w:rFonts w:ascii="Arial" w:cs="Arial" w:eastAsia="Arial" w:hAnsi="Arial"/>
          <w:sz w:val="14"/>
          <w:szCs w:val="14"/>
          <w:color w:val="auto"/>
        </w:rPr>
      </w:pPr>
      <w:r>
        <w:rPr>
          <w:rFonts w:ascii="Arial" w:cs="Arial" w:eastAsia="Arial" w:hAnsi="Arial"/>
          <w:sz w:val="14"/>
          <w:szCs w:val="14"/>
          <w:color w:val="auto"/>
        </w:rPr>
        <w:t>70,504 shares of our common stock to be issued upon the vesting of RSUs outstanding under the 2019 Equity and Incentive Compensation Plan; and</w:t>
      </w:r>
    </w:p>
    <w:p>
      <w:pPr>
        <w:spacing w:after="0" w:line="122" w:lineRule="exact"/>
        <w:rPr>
          <w:rFonts w:ascii="Arial" w:cs="Arial" w:eastAsia="Arial" w:hAnsi="Arial"/>
          <w:sz w:val="14"/>
          <w:szCs w:val="14"/>
          <w:color w:val="auto"/>
        </w:rPr>
      </w:pPr>
    </w:p>
    <w:p>
      <w:pPr>
        <w:ind w:left="660" w:right="600" w:hanging="328"/>
        <w:spacing w:after="0" w:line="285" w:lineRule="auto"/>
        <w:tabs>
          <w:tab w:leader="none" w:pos="656" w:val="left"/>
        </w:tabs>
        <w:numPr>
          <w:ilvl w:val="1"/>
          <w:numId w:val="97"/>
        </w:numPr>
        <w:rPr>
          <w:rFonts w:ascii="Arial" w:cs="Arial" w:eastAsia="Arial" w:hAnsi="Arial"/>
          <w:sz w:val="14"/>
          <w:szCs w:val="14"/>
          <w:color w:val="auto"/>
        </w:rPr>
      </w:pPr>
      <w:r>
        <w:rPr>
          <w:rFonts w:ascii="Arial" w:cs="Arial" w:eastAsia="Arial" w:hAnsi="Arial"/>
          <w:sz w:val="14"/>
          <w:szCs w:val="14"/>
          <w:color w:val="auto"/>
        </w:rPr>
        <w:t>56,744 shares of our common stock to be issued, assuming we meet the target performance goals for the applicable three-year performance period, of PSUs outstanding under the 2019 Equity and Incentive Compensation Plan.</w:t>
      </w:r>
    </w:p>
    <w:p>
      <w:pPr>
        <w:spacing w:after="0" w:line="54"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following table illustrates the number of shares of our common stock that may be issued pursuant to outstanding PSUs and the number of shares that may be available for future issuance under our equity compensation plans if our performance falls below or exceeds our target performance goals: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040" w:type="dxa"/>
            <w:vAlign w:val="bottom"/>
            <w:shd w:val="clear" w:color="auto" w:fill="C60C35"/>
          </w:tcPr>
          <w:p>
            <w:pPr>
              <w:spacing w:after="0"/>
              <w:rPr>
                <w:sz w:val="18"/>
                <w:szCs w:val="18"/>
                <w:color w:val="auto"/>
              </w:rPr>
            </w:pPr>
          </w:p>
        </w:tc>
        <w:tc>
          <w:tcPr>
            <w:tcW w:w="980" w:type="dxa"/>
            <w:vAlign w:val="bottom"/>
            <w:shd w:val="clear" w:color="auto" w:fill="C60C35"/>
          </w:tcPr>
          <w:p>
            <w:pPr>
              <w:spacing w:after="0"/>
              <w:rPr>
                <w:sz w:val="18"/>
                <w:szCs w:val="18"/>
                <w:color w:val="auto"/>
              </w:rPr>
            </w:pPr>
          </w:p>
        </w:tc>
        <w:tc>
          <w:tcPr>
            <w:tcW w:w="2460" w:type="dxa"/>
            <w:vAlign w:val="bottom"/>
            <w:gridSpan w:val="2"/>
            <w:shd w:val="clear" w:color="auto" w:fill="C60C35"/>
          </w:tcPr>
          <w:p>
            <w:pPr>
              <w:jc w:val="right"/>
              <w:ind w:right="548"/>
              <w:spacing w:after="0"/>
              <w:rPr>
                <w:sz w:val="20"/>
                <w:szCs w:val="20"/>
                <w:color w:val="auto"/>
              </w:rPr>
            </w:pPr>
            <w:r>
              <w:rPr>
                <w:rFonts w:ascii="Arial" w:cs="Arial" w:eastAsia="Arial" w:hAnsi="Arial"/>
                <w:sz w:val="14"/>
                <w:szCs w:val="14"/>
                <w:b w:val="1"/>
                <w:bCs w:val="1"/>
                <w:color w:val="FFFFFF"/>
              </w:rPr>
              <w:t>Performance Level</w:t>
            </w:r>
          </w:p>
        </w:tc>
        <w:tc>
          <w:tcPr>
            <w:tcW w:w="1040" w:type="dxa"/>
            <w:vAlign w:val="bottom"/>
            <w:shd w:val="clear" w:color="auto" w:fill="C60C35"/>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40" w:type="dxa"/>
            <w:vAlign w:val="bottom"/>
            <w:shd w:val="clear" w:color="auto" w:fill="C60C35"/>
          </w:tcPr>
          <w:p>
            <w:pPr>
              <w:spacing w:after="0"/>
              <w:rPr>
                <w:sz w:val="19"/>
                <w:szCs w:val="19"/>
                <w:color w:val="auto"/>
              </w:rPr>
            </w:pPr>
          </w:p>
        </w:tc>
        <w:tc>
          <w:tcPr>
            <w:tcW w:w="9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Below</w:t>
            </w:r>
          </w:p>
        </w:tc>
        <w:tc>
          <w:tcPr>
            <w:tcW w:w="1340" w:type="dxa"/>
            <w:vAlign w:val="bottom"/>
            <w:shd w:val="clear" w:color="auto" w:fill="C60C35"/>
          </w:tcPr>
          <w:p>
            <w:pPr>
              <w:spacing w:after="0"/>
              <w:rPr>
                <w:sz w:val="19"/>
                <w:szCs w:val="19"/>
                <w:color w:val="auto"/>
              </w:rPr>
            </w:pPr>
          </w:p>
        </w:tc>
        <w:tc>
          <w:tcPr>
            <w:tcW w:w="1120" w:type="dxa"/>
            <w:vAlign w:val="bottom"/>
            <w:shd w:val="clear" w:color="auto" w:fill="C60C35"/>
          </w:tcPr>
          <w:p>
            <w:pPr>
              <w:spacing w:after="0"/>
              <w:rPr>
                <w:sz w:val="19"/>
                <w:szCs w:val="19"/>
                <w:color w:val="auto"/>
              </w:rPr>
            </w:pPr>
          </w:p>
        </w:tc>
        <w:tc>
          <w:tcPr>
            <w:tcW w:w="1040" w:type="dxa"/>
            <w:vAlign w:val="bottom"/>
            <w:shd w:val="clear" w:color="auto" w:fill="C60C3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60C35"/>
          </w:tcPr>
          <w:p>
            <w:pPr>
              <w:spacing w:after="0"/>
              <w:rPr>
                <w:sz w:val="17"/>
                <w:szCs w:val="17"/>
                <w:color w:val="auto"/>
              </w:rPr>
            </w:pPr>
          </w:p>
        </w:tc>
        <w:tc>
          <w:tcPr>
            <w:tcW w:w="9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Threshold</w:t>
            </w:r>
          </w:p>
        </w:tc>
        <w:tc>
          <w:tcPr>
            <w:tcW w:w="112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Target</w:t>
            </w:r>
          </w:p>
        </w:tc>
        <w:tc>
          <w:tcPr>
            <w:tcW w:w="104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70"/>
        </w:trPr>
        <w:tc>
          <w:tcPr>
            <w:tcW w:w="6040" w:type="dxa"/>
            <w:vAlign w:val="bottom"/>
            <w:shd w:val="clear" w:color="auto" w:fill="C60C35"/>
          </w:tcPr>
          <w:p>
            <w:pPr>
              <w:spacing w:after="0"/>
              <w:rPr>
                <w:sz w:val="6"/>
                <w:szCs w:val="6"/>
                <w:color w:val="auto"/>
              </w:rPr>
            </w:pPr>
          </w:p>
        </w:tc>
        <w:tc>
          <w:tcPr>
            <w:tcW w:w="980" w:type="dxa"/>
            <w:vAlign w:val="bottom"/>
            <w:shd w:val="clear" w:color="auto" w:fill="C60C35"/>
          </w:tcPr>
          <w:p>
            <w:pPr>
              <w:spacing w:after="0"/>
              <w:rPr>
                <w:sz w:val="6"/>
                <w:szCs w:val="6"/>
                <w:color w:val="auto"/>
              </w:rPr>
            </w:pPr>
          </w:p>
        </w:tc>
        <w:tc>
          <w:tcPr>
            <w:tcW w:w="134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04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Shares to be Issued Pursuant to Outstanding</w:t>
            </w:r>
          </w:p>
        </w:tc>
        <w:tc>
          <w:tcPr>
            <w:tcW w:w="98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F1F2F2"/>
          </w:tcPr>
          <w:p>
            <w:pPr>
              <w:jc w:val="right"/>
              <w:ind w:right="168"/>
              <w:spacing w:after="0"/>
              <w:rPr>
                <w:sz w:val="20"/>
                <w:szCs w:val="20"/>
                <w:color w:val="auto"/>
              </w:rPr>
            </w:pPr>
            <w:r>
              <w:rPr>
                <w:rFonts w:ascii="Arial" w:cs="Arial" w:eastAsia="Arial" w:hAnsi="Arial"/>
                <w:sz w:val="14"/>
                <w:szCs w:val="14"/>
                <w:color w:val="auto"/>
              </w:rPr>
              <w:t>28,372</w:t>
            </w:r>
          </w:p>
        </w:tc>
        <w:tc>
          <w:tcPr>
            <w:tcW w:w="1120" w:type="dxa"/>
            <w:vAlign w:val="bottom"/>
            <w:vMerge w:val="restart"/>
            <w:shd w:val="clear" w:color="auto" w:fill="F1F2F2"/>
          </w:tcPr>
          <w:p>
            <w:pPr>
              <w:jc w:val="right"/>
              <w:ind w:right="168"/>
              <w:spacing w:after="0"/>
              <w:rPr>
                <w:sz w:val="20"/>
                <w:szCs w:val="20"/>
                <w:color w:val="auto"/>
              </w:rPr>
            </w:pPr>
            <w:r>
              <w:rPr>
                <w:rFonts w:ascii="Arial" w:cs="Arial" w:eastAsia="Arial" w:hAnsi="Arial"/>
                <w:sz w:val="14"/>
                <w:szCs w:val="14"/>
                <w:color w:val="auto"/>
              </w:rPr>
              <w:t>56,744</w:t>
            </w:r>
          </w:p>
        </w:tc>
        <w:tc>
          <w:tcPr>
            <w:tcW w:w="1040" w:type="dxa"/>
            <w:vAlign w:val="bottom"/>
            <w:vMerge w:val="restart"/>
            <w:shd w:val="clear" w:color="auto" w:fill="F1F2F2"/>
          </w:tcPr>
          <w:p>
            <w:pPr>
              <w:jc w:val="right"/>
              <w:ind w:right="88"/>
              <w:spacing w:after="0"/>
              <w:rPr>
                <w:sz w:val="20"/>
                <w:szCs w:val="20"/>
                <w:color w:val="auto"/>
              </w:rPr>
            </w:pPr>
            <w:r>
              <w:rPr>
                <w:rFonts w:ascii="Arial" w:cs="Arial" w:eastAsia="Arial" w:hAnsi="Arial"/>
                <w:sz w:val="14"/>
                <w:szCs w:val="14"/>
                <w:color w:val="auto"/>
              </w:rPr>
              <w:t>113,488</w:t>
            </w:r>
          </w:p>
        </w:tc>
        <w:tc>
          <w:tcPr>
            <w:tcW w:w="0" w:type="dxa"/>
            <w:vAlign w:val="bottom"/>
          </w:tcPr>
          <w:p>
            <w:pPr>
              <w:spacing w:after="0"/>
              <w:rPr>
                <w:sz w:val="1"/>
                <w:szCs w:val="1"/>
                <w:color w:val="auto"/>
              </w:rPr>
            </w:pPr>
          </w:p>
        </w:tc>
      </w:tr>
      <w:tr>
        <w:trPr>
          <w:trHeight w:val="96"/>
        </w:trPr>
        <w:tc>
          <w:tcPr>
            <w:tcW w:w="6040" w:type="dxa"/>
            <w:vAlign w:val="bottom"/>
            <w:vMerge w:val="restart"/>
            <w:shd w:val="clear" w:color="auto" w:fill="F1F2F2"/>
          </w:tcPr>
          <w:p>
            <w:pPr>
              <w:ind w:left="180"/>
              <w:spacing w:after="0"/>
              <w:rPr>
                <w:sz w:val="20"/>
                <w:szCs w:val="20"/>
                <w:color w:val="auto"/>
              </w:rPr>
            </w:pPr>
            <w:r>
              <w:rPr>
                <w:rFonts w:ascii="Arial" w:cs="Arial" w:eastAsia="Arial" w:hAnsi="Arial"/>
                <w:sz w:val="14"/>
                <w:szCs w:val="14"/>
                <w:color w:val="auto"/>
              </w:rPr>
              <w:t>PSUs</w:t>
            </w:r>
          </w:p>
        </w:tc>
        <w:tc>
          <w:tcPr>
            <w:tcW w:w="980" w:type="dxa"/>
            <w:vAlign w:val="bottom"/>
            <w:vMerge w:val="continue"/>
            <w:shd w:val="clear" w:color="auto" w:fill="F1F2F2"/>
          </w:tcPr>
          <w:p>
            <w:pPr>
              <w:spacing w:after="0"/>
              <w:rPr>
                <w:sz w:val="8"/>
                <w:szCs w:val="8"/>
                <w:color w:val="auto"/>
              </w:rPr>
            </w:pPr>
          </w:p>
        </w:tc>
        <w:tc>
          <w:tcPr>
            <w:tcW w:w="1340" w:type="dxa"/>
            <w:vAlign w:val="bottom"/>
            <w:vMerge w:val="continue"/>
            <w:shd w:val="clear" w:color="auto" w:fill="F1F2F2"/>
          </w:tcPr>
          <w:p>
            <w:pPr>
              <w:spacing w:after="0"/>
              <w:rPr>
                <w:sz w:val="8"/>
                <w:szCs w:val="8"/>
                <w:color w:val="auto"/>
              </w:rPr>
            </w:pPr>
          </w:p>
        </w:tc>
        <w:tc>
          <w:tcPr>
            <w:tcW w:w="1120" w:type="dxa"/>
            <w:vAlign w:val="bottom"/>
            <w:vMerge w:val="continue"/>
            <w:shd w:val="clear" w:color="auto" w:fill="F1F2F2"/>
          </w:tcPr>
          <w:p>
            <w:pPr>
              <w:spacing w:after="0"/>
              <w:rPr>
                <w:sz w:val="8"/>
                <w:szCs w:val="8"/>
                <w:color w:val="auto"/>
              </w:rPr>
            </w:pPr>
          </w:p>
        </w:tc>
        <w:tc>
          <w:tcPr>
            <w:tcW w:w="104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6040" w:type="dxa"/>
            <w:vAlign w:val="bottom"/>
            <w:tcBorders>
              <w:bottom w:val="single" w:sz="8" w:color="F1F2F2"/>
            </w:tcBorders>
            <w:vMerge w:val="continue"/>
            <w:shd w:val="clear" w:color="auto" w:fill="F1F2F2"/>
          </w:tcPr>
          <w:p>
            <w:pPr>
              <w:spacing w:after="0"/>
              <w:rPr>
                <w:sz w:val="8"/>
                <w:szCs w:val="8"/>
                <w:color w:val="auto"/>
              </w:rPr>
            </w:pPr>
          </w:p>
        </w:tc>
        <w:tc>
          <w:tcPr>
            <w:tcW w:w="980" w:type="dxa"/>
            <w:vAlign w:val="bottom"/>
            <w:tcBorders>
              <w:bottom w:val="single" w:sz="8" w:color="F1F2F2"/>
            </w:tcBorders>
            <w:shd w:val="clear" w:color="auto" w:fill="F1F2F2"/>
          </w:tcPr>
          <w:p>
            <w:pPr>
              <w:spacing w:after="0"/>
              <w:rPr>
                <w:sz w:val="8"/>
                <w:szCs w:val="8"/>
                <w:color w:val="auto"/>
              </w:rPr>
            </w:pPr>
          </w:p>
        </w:tc>
        <w:tc>
          <w:tcPr>
            <w:tcW w:w="1340" w:type="dxa"/>
            <w:vAlign w:val="bottom"/>
            <w:tcBorders>
              <w:bottom w:val="single" w:sz="8" w:color="F1F2F2"/>
            </w:tcBorders>
            <w:shd w:val="clear" w:color="auto" w:fill="F1F2F2"/>
          </w:tcPr>
          <w:p>
            <w:pPr>
              <w:spacing w:after="0"/>
              <w:rPr>
                <w:sz w:val="8"/>
                <w:szCs w:val="8"/>
                <w:color w:val="auto"/>
              </w:rPr>
            </w:pPr>
          </w:p>
        </w:tc>
        <w:tc>
          <w:tcPr>
            <w:tcW w:w="1120" w:type="dxa"/>
            <w:vAlign w:val="bottom"/>
            <w:tcBorders>
              <w:bottom w:val="single" w:sz="8" w:color="F1F2F2"/>
            </w:tcBorders>
            <w:shd w:val="clear" w:color="auto" w:fill="F1F2F2"/>
          </w:tcPr>
          <w:p>
            <w:pPr>
              <w:spacing w:after="0"/>
              <w:rPr>
                <w:sz w:val="8"/>
                <w:szCs w:val="8"/>
                <w:color w:val="auto"/>
              </w:rPr>
            </w:pPr>
          </w:p>
        </w:tc>
        <w:tc>
          <w:tcPr>
            <w:tcW w:w="1040" w:type="dxa"/>
            <w:vAlign w:val="bottom"/>
            <w:tcBorders>
              <w:bottom w:val="single" w:sz="8" w:color="F1F2F2"/>
            </w:tcBorders>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6040" w:type="dxa"/>
            <w:vAlign w:val="bottom"/>
          </w:tcPr>
          <w:p>
            <w:pPr>
              <w:ind w:left="100"/>
              <w:spacing w:after="0"/>
              <w:rPr>
                <w:sz w:val="20"/>
                <w:szCs w:val="20"/>
                <w:color w:val="auto"/>
              </w:rPr>
            </w:pPr>
            <w:r>
              <w:rPr>
                <w:rFonts w:ascii="Arial" w:cs="Arial" w:eastAsia="Arial" w:hAnsi="Arial"/>
                <w:sz w:val="14"/>
                <w:szCs w:val="14"/>
                <w:color w:val="auto"/>
              </w:rPr>
              <w:t>Number of Securities Remaining Available for</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2,665,482</w:t>
            </w:r>
          </w:p>
        </w:tc>
        <w:tc>
          <w:tcPr>
            <w:tcW w:w="1340" w:type="dxa"/>
            <w:vAlign w:val="bottom"/>
            <w:vMerge w:val="restart"/>
          </w:tcPr>
          <w:p>
            <w:pPr>
              <w:jc w:val="right"/>
              <w:ind w:right="168"/>
              <w:spacing w:after="0"/>
              <w:rPr>
                <w:sz w:val="20"/>
                <w:szCs w:val="20"/>
                <w:color w:val="auto"/>
              </w:rPr>
            </w:pPr>
            <w:r>
              <w:rPr>
                <w:rFonts w:ascii="Arial" w:cs="Arial" w:eastAsia="Arial" w:hAnsi="Arial"/>
                <w:sz w:val="14"/>
                <w:szCs w:val="14"/>
                <w:color w:val="auto"/>
              </w:rPr>
              <w:t>2,637,110</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2,608,738</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2,551,994</w:t>
            </w:r>
          </w:p>
        </w:tc>
        <w:tc>
          <w:tcPr>
            <w:tcW w:w="0" w:type="dxa"/>
            <w:vAlign w:val="bottom"/>
          </w:tcPr>
          <w:p>
            <w:pPr>
              <w:spacing w:after="0"/>
              <w:rPr>
                <w:sz w:val="1"/>
                <w:szCs w:val="1"/>
                <w:color w:val="auto"/>
              </w:rPr>
            </w:pPr>
          </w:p>
        </w:tc>
      </w:tr>
      <w:tr>
        <w:trPr>
          <w:trHeight w:val="96"/>
        </w:trPr>
        <w:tc>
          <w:tcPr>
            <w:tcW w:w="6040" w:type="dxa"/>
            <w:vAlign w:val="bottom"/>
            <w:vMerge w:val="restart"/>
          </w:tcPr>
          <w:p>
            <w:pPr>
              <w:ind w:left="180"/>
              <w:spacing w:after="0"/>
              <w:rPr>
                <w:sz w:val="20"/>
                <w:szCs w:val="20"/>
                <w:color w:val="auto"/>
              </w:rPr>
            </w:pPr>
            <w:r>
              <w:rPr>
                <w:rFonts w:ascii="Arial" w:cs="Arial" w:eastAsia="Arial" w:hAnsi="Arial"/>
                <w:sz w:val="14"/>
                <w:szCs w:val="14"/>
                <w:color w:val="auto"/>
              </w:rPr>
              <w:t>Future Issuance Under Equity Compensation Plans</w:t>
            </w:r>
          </w:p>
        </w:tc>
        <w:tc>
          <w:tcPr>
            <w:tcW w:w="9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-800100</wp:posOffset>
            </wp:positionV>
            <wp:extent cx="27603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95"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Excludes PSU and RSU awards because those awards do not have an exercise price.</w:t>
      </w:r>
    </w:p>
    <w:p>
      <w:pPr>
        <w:spacing w:after="0" w:line="122" w:lineRule="exact"/>
        <w:rPr>
          <w:rFonts w:ascii="Arial" w:cs="Arial" w:eastAsia="Arial" w:hAnsi="Arial"/>
          <w:sz w:val="14"/>
          <w:szCs w:val="14"/>
          <w:color w:val="auto"/>
        </w:rPr>
      </w:pPr>
    </w:p>
    <w:p>
      <w:pPr>
        <w:ind w:left="340" w:right="160" w:hanging="332"/>
        <w:spacing w:after="0" w:line="273" w:lineRule="auto"/>
        <w:tabs>
          <w:tab w:leader="none" w:pos="327" w:val="left"/>
        </w:tabs>
        <w:numPr>
          <w:ilvl w:val="0"/>
          <w:numId w:val="98"/>
        </w:numPr>
        <w:rPr>
          <w:rFonts w:ascii="Arial" w:cs="Arial" w:eastAsia="Arial" w:hAnsi="Arial"/>
          <w:sz w:val="14"/>
          <w:szCs w:val="14"/>
          <w:color w:val="auto"/>
        </w:rPr>
      </w:pPr>
      <w:r>
        <w:rPr>
          <w:rFonts w:ascii="Arial" w:cs="Arial" w:eastAsia="Arial" w:hAnsi="Arial"/>
          <w:sz w:val="14"/>
          <w:szCs w:val="14"/>
          <w:color w:val="auto"/>
        </w:rPr>
        <w:t>With respect to outstanding PSUs, the number shown assumes we meet target performance goals for the applicable three-year performance period, and includes 1,637,606 shares of common stock available for issuance in the form of options, stock appreciation rights, restricted stock, RSUs, other stock-based awards and cash awards under the 2019 Equity and Incentive Compensation Plan, and 971,132 shares of common stock available for issuance under the 2022 Employee Stock Purchase Plan.</w:t>
      </w:r>
    </w:p>
    <w:p>
      <w:pPr>
        <w:spacing w:after="0" w:line="247" w:lineRule="exact"/>
        <w:rPr>
          <w:rFonts w:ascii="Arial" w:cs="Arial" w:eastAsia="Arial" w:hAnsi="Arial"/>
          <w:sz w:val="14"/>
          <w:szCs w:val="14"/>
          <w:color w:val="auto"/>
        </w:rPr>
      </w:pPr>
    </w:p>
    <w:p>
      <w:pPr>
        <w:ind w:left="340" w:right="260" w:hanging="332"/>
        <w:spacing w:after="0" w:line="305" w:lineRule="auto"/>
        <w:tabs>
          <w:tab w:leader="none" w:pos="327" w:val="left"/>
        </w:tabs>
        <w:numPr>
          <w:ilvl w:val="0"/>
          <w:numId w:val="98"/>
        </w:numPr>
        <w:rPr>
          <w:rFonts w:ascii="Arial" w:cs="Arial" w:eastAsia="Arial" w:hAnsi="Arial"/>
          <w:sz w:val="14"/>
          <w:szCs w:val="14"/>
          <w:color w:val="auto"/>
        </w:rPr>
      </w:pPr>
      <w:r>
        <w:rPr>
          <w:rFonts w:ascii="Arial" w:cs="Arial" w:eastAsia="Arial" w:hAnsi="Arial"/>
          <w:sz w:val="14"/>
          <w:szCs w:val="14"/>
          <w:color w:val="auto"/>
        </w:rPr>
        <w:t>Also includes SARs outstanding under the 2010 Incentive Plan; the 2010 Incentive Plan was replaced by the 2019 Equity and Incentive Compensation Plan and no new awards will be made under the 2010 Incentive Plan.</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total, the weighted-average term for all outstanding SARs is 4.26 years.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29"/>
          <w:szCs w:val="29"/>
          <w:b w:val="1"/>
          <w:bCs w:val="1"/>
          <w:color w:val="C6093B"/>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The written Related Party Transactions Policy adopted by our Board requires the Audit Committee to approve any potential related party transaction, which is defined in the policy to mirror the definition of Item 404 of Regulation S-K. Any related party transaction must be on terms that are fair to our Company and comparable to those that could be obtained in arm’s length dealings with an unrelated third party. In the event a related party transaction involves one or more members of the Audit Committee, such member will recuse themself from the review, consideration, or approval of the transaction. There were no transactions with related persons in 2024 that require disclosure pursuant to Item 404(a) of Regulation S-K.</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Compensation Committee Interlocks and Insider Participation</w:t>
      </w:r>
    </w:p>
    <w:p>
      <w:pPr>
        <w:spacing w:after="0" w:line="108" w:lineRule="exact"/>
        <w:rPr>
          <w:sz w:val="20"/>
          <w:szCs w:val="20"/>
          <w:color w:val="auto"/>
        </w:rPr>
      </w:pPr>
    </w:p>
    <w:p>
      <w:pPr>
        <w:ind w:right="200" w:firstLine="324"/>
        <w:spacing w:after="0" w:line="247" w:lineRule="auto"/>
        <w:rPr>
          <w:sz w:val="20"/>
          <w:szCs w:val="20"/>
          <w:color w:val="auto"/>
        </w:rPr>
      </w:pPr>
      <w:r>
        <w:rPr>
          <w:rFonts w:ascii="Arial" w:cs="Arial" w:eastAsia="Arial" w:hAnsi="Arial"/>
          <w:sz w:val="18"/>
          <w:szCs w:val="18"/>
          <w:color w:val="auto"/>
        </w:rPr>
        <w:t>No member of the Compensation and Human Resources Committee was an officer or employee of our Company or any of our subsidiaries during 2024 or at any other time, and no member had any relationship with the Company requiring disclosure under “Certain Relationships and Related Party Transactions” above. In addition, none of our executive officers served on the board of directors or on the compensation committee of any other entity, for which any executive officers of such other entity served either on our Board or on our Compensation and Human Resources Committee.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C6093B"/>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Section 16(a) of the Exchange Act requires the Company’s directors, executive officers, and persons who own more than 10% of a registered class of the Company’s equity securities, to file reports of ownership and changes in ownership of the Company’s common stock with the SEC and the NYSE, and furnish the Company with copies of the forms filed. To the Company’s knowledge, based solely on a review of the copies of such reports furnished to it and written representations of our officers and directors, during the year ended December 31, 2024, all Section 16(a) reports applicable to its officers and directors were filed on a timely basis except for (a) late reports filed by Mr. Norris for seven automatic dividend reinvestment transactions in 2021 and 2022, each less than ten shares, for a trust for which he disclaims beneficial ownership and (b) late reports filed by Mr. Norris for his appointment as co-trustee of a trust holding Lennox shares, his election as president of the general partner of a limited partnership holding Lennox shares, and the distribution of a trust holding Lennox shares, each following his father’s death.</w:t>
      </w:r>
    </w:p>
    <w:p>
      <w:pPr>
        <w:spacing w:after="0" w:line="200" w:lineRule="exact"/>
        <w:rPr>
          <w:sz w:val="20"/>
          <w:szCs w:val="20"/>
          <w:color w:val="auto"/>
        </w:rPr>
      </w:pP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7" w:right="399" w:bottom="1440" w:gutter="0" w:footer="0" w:header="0"/>
        </w:sectPr>
      </w:pPr>
    </w:p>
    <w:bookmarkStart w:id="73" w:name="page74"/>
    <w:bookmarkEnd w:id="73"/>
    <w:p>
      <w:pPr>
        <w:jc w:val="center"/>
        <w:spacing w:after="0"/>
        <w:rPr>
          <w:sz w:val="20"/>
          <w:szCs w:val="20"/>
          <w:color w:val="auto"/>
        </w:rPr>
      </w:pPr>
      <w:r>
        <w:rPr>
          <w:rFonts w:ascii="Arial" w:cs="Arial" w:eastAsia="Arial" w:hAnsi="Arial"/>
          <w:sz w:val="29"/>
          <w:szCs w:val="29"/>
          <w:b w:val="1"/>
          <w:bCs w:val="1"/>
          <w:color w:val="C6093B"/>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ind w:right="340" w:firstLine="324"/>
        <w:spacing w:after="0" w:line="253"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March 15, 2025 by (1) each person known to own beneficially more than 5% of our common stock, (2) each of our directors, (3) each of our named executive officers, and (4) all current directors and executive officers as a group.</w:t>
      </w:r>
    </w:p>
    <w:p>
      <w:pPr>
        <w:spacing w:after="0" w:line="12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For purposes of this table, “beneficial ownership” (as defined in Rule 13d-3 of the Exchange Act) takes into account shares as to which the individual has or shares voting or investment power as well as shares that may be acquired within 60 days (such as by exercising vested SARs, receiving earned performance shares or the vesting of RSUs) and is different from beneficial ownership for purposes of Section 16 of the Exchange Act. As a result, the numbers below may differ from the numbers reported in forms filed pursuant to Section 16 (e.g., Form 4).</w:t>
      </w:r>
    </w:p>
    <w:p>
      <w:pPr>
        <w:spacing w:after="0" w:line="116" w:lineRule="exact"/>
        <w:rPr>
          <w:sz w:val="20"/>
          <w:szCs w:val="20"/>
          <w:color w:val="auto"/>
        </w:rPr>
      </w:pPr>
    </w:p>
    <w:p>
      <w:pPr>
        <w:jc w:val="both"/>
        <w:ind w:right="180" w:firstLine="324"/>
        <w:spacing w:after="0" w:line="252" w:lineRule="auto"/>
        <w:rPr>
          <w:sz w:val="20"/>
          <w:szCs w:val="20"/>
          <w:color w:val="auto"/>
        </w:rPr>
      </w:pPr>
      <w:r>
        <w:rPr>
          <w:rFonts w:ascii="Arial" w:cs="Arial" w:eastAsia="Arial" w:hAnsi="Arial"/>
          <w:sz w:val="18"/>
          <w:szCs w:val="18"/>
          <w:color w:val="auto"/>
        </w:rPr>
        <w:t>To our knowledge and unless otherwise indicated, each stockholder listed below has sole voting and investment power over the shares listed as beneficially owned by such stockholder. Percentage of ownership is based on 35,468,304 shares of common stock outstanding as of March 15, 2025. Number of shares held by beneficial owners of more than 5% of our common stock and percentage ownership are as of the date of the applicable SEC filing made by those owners (unless otherwise noted).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shd w:val="clear" w:color="auto" w:fill="C60C35"/>
          </w:tcPr>
          <w:p>
            <w:pPr>
              <w:spacing w:after="0"/>
              <w:rPr>
                <w:sz w:val="16"/>
                <w:szCs w:val="16"/>
                <w:color w:val="auto"/>
              </w:rPr>
            </w:pPr>
          </w:p>
        </w:tc>
        <w:tc>
          <w:tcPr>
            <w:tcW w:w="1440" w:type="dxa"/>
            <w:vAlign w:val="bottom"/>
            <w:shd w:val="clear" w:color="auto" w:fill="C60C35"/>
          </w:tcPr>
          <w:p>
            <w:pPr>
              <w:spacing w:after="0"/>
              <w:rPr>
                <w:sz w:val="16"/>
                <w:szCs w:val="16"/>
                <w:color w:val="auto"/>
              </w:rPr>
            </w:pP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Common Stock</w:t>
            </w:r>
          </w:p>
        </w:tc>
        <w:tc>
          <w:tcPr>
            <w:tcW w:w="1180" w:type="dxa"/>
            <w:vAlign w:val="bottom"/>
            <w:shd w:val="clear" w:color="auto" w:fill="C60C35"/>
          </w:tcPr>
          <w:p>
            <w:pPr>
              <w:spacing w:after="0"/>
              <w:rPr>
                <w:sz w:val="16"/>
                <w:szCs w:val="16"/>
                <w:color w:val="auto"/>
              </w:rPr>
            </w:pPr>
          </w:p>
        </w:tc>
        <w:tc>
          <w:tcPr>
            <w:tcW w:w="1360" w:type="dxa"/>
            <w:vAlign w:val="bottom"/>
            <w:shd w:val="clear" w:color="auto" w:fill="C60C3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60C35"/>
          </w:tcPr>
          <w:p>
            <w:pPr>
              <w:spacing w:after="0"/>
              <w:rPr>
                <w:sz w:val="15"/>
                <w:szCs w:val="15"/>
                <w:color w:val="auto"/>
              </w:rPr>
            </w:pPr>
          </w:p>
        </w:tc>
        <w:tc>
          <w:tcPr>
            <w:tcW w:w="144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Common</w:t>
            </w: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that may be</w:t>
            </w:r>
          </w:p>
        </w:tc>
        <w:tc>
          <w:tcPr>
            <w:tcW w:w="1180" w:type="dxa"/>
            <w:vAlign w:val="bottom"/>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Total Shares</w:t>
            </w:r>
          </w:p>
        </w:tc>
        <w:tc>
          <w:tcPr>
            <w:tcW w:w="1360" w:type="dxa"/>
            <w:vAlign w:val="bottom"/>
            <w:vMerge w:val="restart"/>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Percent of Class</w:t>
            </w:r>
          </w:p>
        </w:tc>
        <w:tc>
          <w:tcPr>
            <w:tcW w:w="0" w:type="dxa"/>
            <w:vAlign w:val="bottom"/>
          </w:tcPr>
          <w:p>
            <w:pPr>
              <w:spacing w:after="0"/>
              <w:rPr>
                <w:sz w:val="1"/>
                <w:szCs w:val="1"/>
                <w:color w:val="auto"/>
              </w:rPr>
            </w:pPr>
          </w:p>
        </w:tc>
      </w:tr>
      <w:tr>
        <w:trPr>
          <w:trHeight w:val="162"/>
        </w:trPr>
        <w:tc>
          <w:tcPr>
            <w:tcW w:w="5620" w:type="dxa"/>
            <w:vAlign w:val="bottom"/>
            <w:shd w:val="clear" w:color="auto" w:fill="C60C35"/>
          </w:tcPr>
          <w:p>
            <w:pPr>
              <w:spacing w:after="0"/>
              <w:rPr>
                <w:sz w:val="14"/>
                <w:szCs w:val="14"/>
                <w:color w:val="auto"/>
              </w:rPr>
            </w:pPr>
          </w:p>
        </w:tc>
        <w:tc>
          <w:tcPr>
            <w:tcW w:w="144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Stock</w:t>
            </w: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Acquired Within</w:t>
            </w:r>
          </w:p>
        </w:tc>
        <w:tc>
          <w:tcPr>
            <w:tcW w:w="1180" w:type="dxa"/>
            <w:vAlign w:val="bottom"/>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Beneficially</w:t>
            </w:r>
          </w:p>
        </w:tc>
        <w:tc>
          <w:tcPr>
            <w:tcW w:w="1360" w:type="dxa"/>
            <w:vAlign w:val="bottom"/>
            <w:vMerge w:val="continue"/>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 of Beneficial Owner</w:t>
            </w:r>
          </w:p>
        </w:tc>
        <w:tc>
          <w:tcPr>
            <w:tcW w:w="144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Held (#)</w:t>
            </w: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60 Days (#)</w:t>
            </w:r>
            <w:r>
              <w:rPr>
                <w:rFonts w:ascii="Arial" w:cs="Arial" w:eastAsia="Arial" w:hAnsi="Arial"/>
                <w:sz w:val="18"/>
                <w:szCs w:val="18"/>
                <w:b w:val="1"/>
                <w:bCs w:val="1"/>
                <w:color w:val="FFFFFF"/>
                <w:vertAlign w:val="superscript"/>
              </w:rPr>
              <w:t>(1)</w:t>
            </w:r>
          </w:p>
        </w:tc>
        <w:tc>
          <w:tcPr>
            <w:tcW w:w="1180" w:type="dxa"/>
            <w:vAlign w:val="bottom"/>
            <w:shd w:val="clear" w:color="auto" w:fill="C60C35"/>
          </w:tcPr>
          <w:p>
            <w:pPr>
              <w:jc w:val="right"/>
              <w:ind w:right="8"/>
              <w:spacing w:after="0"/>
              <w:rPr>
                <w:sz w:val="20"/>
                <w:szCs w:val="20"/>
                <w:color w:val="auto"/>
              </w:rPr>
            </w:pPr>
            <w:r>
              <w:rPr>
                <w:rFonts w:ascii="Arial" w:cs="Arial" w:eastAsia="Arial" w:hAnsi="Arial"/>
                <w:sz w:val="14"/>
                <w:szCs w:val="14"/>
                <w:b w:val="1"/>
                <w:bCs w:val="1"/>
                <w:color w:val="FFFFFF"/>
              </w:rPr>
              <w:t>Held (#)</w:t>
            </w:r>
          </w:p>
        </w:tc>
        <w:tc>
          <w:tcPr>
            <w:tcW w:w="136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56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5% Stockholders</w:t>
            </w:r>
          </w:p>
        </w:tc>
        <w:tc>
          <w:tcPr>
            <w:tcW w:w="1440" w:type="dxa"/>
            <w:vAlign w:val="bottom"/>
            <w:shd w:val="clear" w:color="auto" w:fill="F1F2F2"/>
          </w:tcPr>
          <w:p>
            <w:pPr>
              <w:spacing w:after="0"/>
              <w:rPr>
                <w:sz w:val="19"/>
                <w:szCs w:val="19"/>
                <w:color w:val="auto"/>
              </w:rPr>
            </w:pPr>
          </w:p>
        </w:tc>
        <w:tc>
          <w:tcPr>
            <w:tcW w:w="1640" w:type="dxa"/>
            <w:vAlign w:val="bottom"/>
            <w:shd w:val="clear" w:color="auto" w:fill="F1F2F2"/>
          </w:tcPr>
          <w:p>
            <w:pPr>
              <w:spacing w:after="0"/>
              <w:rPr>
                <w:sz w:val="19"/>
                <w:szCs w:val="19"/>
                <w:color w:val="auto"/>
              </w:rPr>
            </w:pPr>
          </w:p>
        </w:tc>
        <w:tc>
          <w:tcPr>
            <w:tcW w:w="1180" w:type="dxa"/>
            <w:vAlign w:val="bottom"/>
            <w:shd w:val="clear" w:color="auto" w:fill="F1F2F2"/>
          </w:tcPr>
          <w:p>
            <w:pPr>
              <w:spacing w:after="0"/>
              <w:rPr>
                <w:sz w:val="19"/>
                <w:szCs w:val="19"/>
                <w:color w:val="auto"/>
              </w:rPr>
            </w:pPr>
          </w:p>
        </w:tc>
        <w:tc>
          <w:tcPr>
            <w:tcW w:w="136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BlackRock, Inc.</w:t>
            </w:r>
            <w:r>
              <w:rPr>
                <w:rFonts w:ascii="Arial" w:cs="Arial" w:eastAsia="Arial" w:hAnsi="Arial"/>
                <w:sz w:val="9"/>
                <w:szCs w:val="9"/>
                <w:color w:val="auto"/>
              </w:rPr>
              <w:t>(2)</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2,863,070</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2,863,070</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8.07 %</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9"/>
                <w:szCs w:val="9"/>
                <w:color w:val="auto"/>
              </w:rPr>
              <w:t>(3)</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3,883,531</w:t>
            </w:r>
          </w:p>
        </w:tc>
        <w:tc>
          <w:tcPr>
            <w:tcW w:w="16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3,883,531</w:t>
            </w:r>
          </w:p>
        </w:tc>
        <w:tc>
          <w:tcPr>
            <w:tcW w:w="13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10.95 %</w:t>
            </w:r>
          </w:p>
        </w:tc>
        <w:tc>
          <w:tcPr>
            <w:tcW w:w="0" w:type="dxa"/>
            <w:vAlign w:val="bottom"/>
          </w:tcPr>
          <w:p>
            <w:pPr>
              <w:spacing w:after="0"/>
              <w:rPr>
                <w:sz w:val="1"/>
                <w:szCs w:val="1"/>
                <w:color w:val="auto"/>
              </w:rPr>
            </w:pPr>
          </w:p>
        </w:tc>
      </w:tr>
      <w:tr>
        <w:trPr>
          <w:trHeight w:val="222"/>
        </w:trPr>
        <w:tc>
          <w:tcPr>
            <w:tcW w:w="5620" w:type="dxa"/>
            <w:vAlign w:val="bottom"/>
          </w:tcPr>
          <w:p>
            <w:pPr>
              <w:ind w:left="100"/>
              <w:spacing w:after="0"/>
              <w:rPr>
                <w:sz w:val="20"/>
                <w:szCs w:val="20"/>
                <w:color w:val="auto"/>
              </w:rPr>
            </w:pPr>
            <w:r>
              <w:rPr>
                <w:rFonts w:ascii="Arial" w:cs="Arial" w:eastAsia="Arial" w:hAnsi="Arial"/>
                <w:sz w:val="14"/>
                <w:szCs w:val="14"/>
                <w:b w:val="1"/>
                <w:bCs w:val="1"/>
                <w:color w:val="auto"/>
              </w:rPr>
              <w:t>Directors and Named Executive Officers</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Gary S. Bedard</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19,002</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12,877</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31,879</w:t>
            </w:r>
          </w:p>
        </w:tc>
        <w:tc>
          <w:tcPr>
            <w:tcW w:w="13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Sherry L. Buck</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1,126</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1,126</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Janet K. Cooper</w:t>
            </w:r>
            <w:r>
              <w:rPr>
                <w:rFonts w:ascii="Arial" w:cs="Arial" w:eastAsia="Arial" w:hAnsi="Arial"/>
                <w:sz w:val="9"/>
                <w:szCs w:val="9"/>
                <w:color w:val="auto"/>
              </w:rPr>
              <w:t>(4)</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17,925</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17,925</w:t>
            </w:r>
          </w:p>
        </w:tc>
        <w:tc>
          <w:tcPr>
            <w:tcW w:w="13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Alok Maskara</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14,437</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12,817</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27,254</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John W. Norris, III</w:t>
            </w:r>
            <w:r>
              <w:rPr>
                <w:rFonts w:ascii="Arial" w:cs="Arial" w:eastAsia="Arial" w:hAnsi="Arial"/>
                <w:sz w:val="9"/>
                <w:szCs w:val="9"/>
                <w:color w:val="auto"/>
              </w:rPr>
              <w:t>(5)</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3,261,829</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3,261,829</w:t>
            </w:r>
          </w:p>
        </w:tc>
        <w:tc>
          <w:tcPr>
            <w:tcW w:w="13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9.20 %</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Michael P. Quenzer</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1,946</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2,101</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4,047</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Karen H. Quintos</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7,520</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7,520</w:t>
            </w:r>
          </w:p>
        </w:tc>
        <w:tc>
          <w:tcPr>
            <w:tcW w:w="13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Daniel M. Sessa</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31,610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14,344</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45,954</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Soma Somasundaram</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305</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305</w:t>
            </w:r>
          </w:p>
        </w:tc>
        <w:tc>
          <w:tcPr>
            <w:tcW w:w="13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Gregory T. Swienton</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13,389</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13,389</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Todd J. Teske</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7,344</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7,344</w:t>
            </w:r>
          </w:p>
        </w:tc>
        <w:tc>
          <w:tcPr>
            <w:tcW w:w="13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John D. Torres</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4,156</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586</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4,742</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Jon Vander Ark</w:t>
            </w:r>
            <w:r>
              <w:rPr>
                <w:rFonts w:ascii="Arial" w:cs="Arial" w:eastAsia="Arial" w:hAnsi="Arial"/>
                <w:sz w:val="9"/>
                <w:szCs w:val="9"/>
                <w:color w:val="auto"/>
              </w:rPr>
              <w:t>(6)</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4</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4</w:t>
            </w:r>
          </w:p>
        </w:tc>
        <w:tc>
          <w:tcPr>
            <w:tcW w:w="136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Shane D. Wall</w:t>
            </w:r>
            <w:r>
              <w:rPr>
                <w:rFonts w:ascii="Arial" w:cs="Arial" w:eastAsia="Arial" w:hAnsi="Arial"/>
                <w:sz w:val="9"/>
                <w:szCs w:val="9"/>
                <w:color w:val="auto"/>
              </w:rPr>
              <w:t>(7)</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1,468</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1,468</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All current directors and executive officers as a group (17 persons)</w:t>
            </w:r>
          </w:p>
        </w:tc>
        <w:tc>
          <w:tcPr>
            <w:tcW w:w="1440" w:type="dxa"/>
            <w:vAlign w:val="bottom"/>
            <w:shd w:val="clear" w:color="auto" w:fill="F1F2F2"/>
          </w:tcPr>
          <w:p>
            <w:pPr>
              <w:jc w:val="right"/>
              <w:ind w:right="228"/>
              <w:spacing w:after="0"/>
              <w:rPr>
                <w:sz w:val="20"/>
                <w:szCs w:val="20"/>
                <w:color w:val="auto"/>
              </w:rPr>
            </w:pPr>
            <w:r>
              <w:rPr>
                <w:rFonts w:ascii="Arial" w:cs="Arial" w:eastAsia="Arial" w:hAnsi="Arial"/>
                <w:sz w:val="14"/>
                <w:szCs w:val="14"/>
                <w:color w:val="auto"/>
              </w:rPr>
              <w:t>3,399,606</w:t>
            </w:r>
          </w:p>
        </w:tc>
        <w:tc>
          <w:tcPr>
            <w:tcW w:w="164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56,821</w:t>
            </w:r>
          </w:p>
        </w:tc>
        <w:tc>
          <w:tcPr>
            <w:tcW w:w="11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3,456,427</w:t>
            </w:r>
          </w:p>
        </w:tc>
        <w:tc>
          <w:tcPr>
            <w:tcW w:w="13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9.73 %</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hanging="252"/>
        <w:spacing w:after="0"/>
        <w:tabs>
          <w:tab w:leader="none" w:pos="2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Less than 1% of outstanding common stock</w:t>
      </w:r>
    </w:p>
    <w:p>
      <w:pPr>
        <w:spacing w:after="0" w:line="123"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vested SARs.</w:t>
      </w:r>
    </w:p>
    <w:p>
      <w:pPr>
        <w:spacing w:after="0" w:line="122" w:lineRule="exact"/>
        <w:rPr>
          <w:rFonts w:ascii="Arial" w:cs="Arial" w:eastAsia="Arial" w:hAnsi="Arial"/>
          <w:sz w:val="14"/>
          <w:szCs w:val="14"/>
          <w:color w:val="auto"/>
        </w:rPr>
      </w:pPr>
    </w:p>
    <w:p>
      <w:pPr>
        <w:ind w:left="340" w:right="420" w:hanging="332"/>
        <w:spacing w:after="0" w:line="285"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As reported by BlackRock, Inc., 50 Hudson Yards, New York, NY 10001, on an amendment to Schedule 13G filed with the SEC on February 5, 2025. BlackRock, Inc. reported sole voting power with respect to 2,652,118 shares and sole dispositive power with respect to 2,863,070 shares.</w:t>
      </w:r>
    </w:p>
    <w:p>
      <w:pPr>
        <w:spacing w:after="0" w:line="63" w:lineRule="exact"/>
        <w:rPr>
          <w:rFonts w:ascii="Arial" w:cs="Arial" w:eastAsia="Arial" w:hAnsi="Arial"/>
          <w:sz w:val="14"/>
          <w:szCs w:val="14"/>
          <w:color w:val="auto"/>
        </w:rPr>
      </w:pPr>
    </w:p>
    <w:p>
      <w:pPr>
        <w:ind w:left="340" w:right="220" w:hanging="332"/>
        <w:spacing w:after="0" w:line="283"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As reported by The Vanguard Group, 100 Vanguard Boulevard, Malvern, PA 19355 on an amendment to Schedule 13G filed with the SEC on January 8, 2025. The Vanguard Group reported shared voting power with respect to 38,334 shares, sole dispositive power with respect to 3,767,938 shares and shared dispositive power with respect to 115,593 shares.</w:t>
      </w:r>
    </w:p>
    <w:p>
      <w:pPr>
        <w:spacing w:after="0" w:line="64" w:lineRule="exact"/>
        <w:rPr>
          <w:rFonts w:ascii="Arial" w:cs="Arial" w:eastAsia="Arial" w:hAnsi="Arial"/>
          <w:sz w:val="14"/>
          <w:szCs w:val="14"/>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9,820 shares held by the Janet K. Cooper 2012 Trust.</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74" w:name="page75"/>
    <w:bookmarkEnd w:id="74"/>
    <w:p>
      <w:pPr>
        <w:ind w:left="332" w:hanging="332"/>
        <w:spacing w:after="0" w:line="265" w:lineRule="auto"/>
        <w:tabs>
          <w:tab w:leader="none" w:pos="31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(a) 28,372 shares held by the L.C. Norris Revocable Trust, 28,372 shares held by the W.H. Norris Revocable Trust, and 28,372 shares held by the B.W. Norris Revocable Trust, for each of which Mr. Norris is a co-trustee; (b) 1,685 shares held by the Norris-Newman Minors Trust, for which Mr. Norris is the trustee; (c) 107,250 shares held by the John W. Norris, III Trust A, for which Mr. Norris is the co-trustee; (d) 5,636 shares held by his spouse, Catherine Houlihan; (e) 47,853 shares held by the Norris Living Trust, for which Mr. Norris is the co-trustee; (f) 18,480 shares held by the Norris Marital Trust - Exempt, for which Mr. Norris is the co-trustee; (g) 146,835 shares held by the Norris Marital Trust - Non-Exempt, for which Mr. Norris is the co-trustee; (h) 2,545,105 shares directly owned by the Norris Family Limited Partnership, for which Mr. Norris is the President of its general partner, JW Norris, Inc., (i) 93,700 shares held by the Cabin Foundation, for which Mr. Norris is the President and (j) 530 shares held by the Norris Child’s Trust fbo John W. Norris III.</w:t>
      </w:r>
    </w:p>
    <w:p>
      <w:pPr>
        <w:spacing w:after="0" w:line="78" w:lineRule="exact"/>
        <w:rPr>
          <w:rFonts w:ascii="Arial" w:cs="Arial" w:eastAsia="Arial" w:hAnsi="Arial"/>
          <w:sz w:val="14"/>
          <w:szCs w:val="14"/>
          <w:color w:val="auto"/>
        </w:rPr>
      </w:pPr>
    </w:p>
    <w:p>
      <w:pPr>
        <w:ind w:left="312" w:hanging="312"/>
        <w:spacing w:after="0"/>
        <w:tabs>
          <w:tab w:leader="none" w:pos="31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Shares held by Jonathan D. Vander Ark and Amy B. Vander Ark Joint Revocable Trust.</w:t>
      </w:r>
    </w:p>
    <w:p>
      <w:pPr>
        <w:spacing w:after="0" w:line="109" w:lineRule="exact"/>
        <w:rPr>
          <w:rFonts w:ascii="Arial" w:cs="Arial" w:eastAsia="Arial" w:hAnsi="Arial"/>
          <w:sz w:val="14"/>
          <w:szCs w:val="14"/>
          <w:color w:val="auto"/>
        </w:rPr>
      </w:pPr>
    </w:p>
    <w:p>
      <w:pPr>
        <w:ind w:left="312" w:hanging="312"/>
        <w:spacing w:after="0"/>
        <w:tabs>
          <w:tab w:leader="none" w:pos="31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966 shares held by the Wall Family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78" w:right="3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8"/>
          <w:szCs w:val="28"/>
          <w:b w:val="1"/>
          <w:bCs w:val="1"/>
          <w:color w:val="C6093B"/>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Attending and Voting at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574040" cy="5740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4040" cy="574040"/>
                    </a:xfrm>
                    <a:prstGeom prst="rect">
                      <a:avLst/>
                    </a:prstGeom>
                    <a:noFill/>
                  </pic:spPr>
                </pic:pic>
              </a:graphicData>
            </a:graphic>
          </wp:anchor>
        </w:drawing>
      </w:r>
    </w:p>
    <w:p>
      <w:pPr>
        <w:spacing w:after="0" w:line="241" w:lineRule="exact"/>
        <w:rPr>
          <w:sz w:val="20"/>
          <w:szCs w:val="20"/>
          <w:color w:val="auto"/>
        </w:rPr>
      </w:pPr>
    </w:p>
    <w:p>
      <w:pPr>
        <w:ind w:left="1520" w:right="240"/>
        <w:spacing w:after="0" w:line="248" w:lineRule="auto"/>
        <w:rPr>
          <w:sz w:val="20"/>
          <w:szCs w:val="20"/>
          <w:color w:val="auto"/>
        </w:rPr>
      </w:pPr>
      <w:r>
        <w:rPr>
          <w:rFonts w:ascii="Arial" w:cs="Arial" w:eastAsia="Arial" w:hAnsi="Arial"/>
          <w:sz w:val="16"/>
          <w:szCs w:val="16"/>
          <w:color w:val="auto"/>
        </w:rPr>
        <w:t>The virtual-only meeting format enhances stockholder access to the Annual Meeting by enabling stockholder attendance and participation from anywhere in the world, without cost. We believe that the virtual-only meeting format gives stockholders the opportunity to exercise the same rights as if they had attended an in-person meeting and encourages communication with our Board and management.</w:t>
      </w:r>
    </w:p>
    <w:p>
      <w:pPr>
        <w:spacing w:after="0" w:line="315"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color w:val="auto"/>
        </w:rPr>
        <w:t>To attend the Annual Meeting, you must register in advance at www.proxydocs.com/LII using the control number located on your Proxy Card, Notice of Internet Availability of Proxy Materials, or voting instruction form. Upon completing your registration, you will receive further instructions by email, including a unique link that will allow you access to the Annual Meeting and to vote and submit questions to be answered at the Annual Meeting. If you are a beneficial owner of shares registered in the name of a broker, bank, or other nominee, as part of the registration process, you will also need to provide the registered name on your account and the name of your broker, bank, or other nominee.</w:t>
      </w:r>
    </w:p>
    <w:p>
      <w:pPr>
        <w:spacing w:after="0" w:line="12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Annual Meeting will start promptly at 10:30 a.m, CDT. Stockholders may begin to log in to the Annual Meeting 15 minutes prior to the start time. If you encounter any difficulties accessing the virtual Annual Meeting platform, including any difficulties voting, you may call the technical support number that will be included in your instructional email.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Questions at the Virtual Annual Meeting</w:t>
      </w:r>
    </w:p>
    <w:p>
      <w:pPr>
        <w:spacing w:after="0" w:line="16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Annual Meeting allows stockholders to submit questions before and during the Annual Meeting. After the votes are tabulated for each of the proposals, there will be a designated question and answer period where we will respond to questions submitted by stockholders. We will answer as many questions as time permits, and any questions that we are unable to address during the Annual Meeting will be answered following the Annual Meeting.</w:t>
      </w:r>
    </w:p>
    <w:p>
      <w:pPr>
        <w:spacing w:after="0" w:line="116"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If we receive substantially similar questions, to avoid repetition, we will group those questions together and provide a single response. Questions regarding personal matters or matters not relevant to the Annual Meeting will not be answered. We will also post questions submitted by stockholders and our answers on our website for a period of 60 days following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Record Versus Beneficial Ownership of Shares</w:t>
      </w:r>
    </w:p>
    <w:p>
      <w:pPr>
        <w:spacing w:after="0" w:line="156"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If your shares are registered directly in your name with our transfer agent, Computershare Trust Company, N.A., you are the “stockholder of record” with respect to those shares. If you are a stockholder of record, we sent our proxy materials directly to you. If your shares are held in a stock brokerage account or by a bank, you are considered the “beneficial owner” of shares held in street name. In that case, our proxy materials will be forwarded to you by your broker or bank, which is considered the stockholder of record with respect to those shares. Your broker or bank will also send you instructions on how to vote. If you have not heard from your broker or bank, please contact them as soon as possible.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Quorum Requirement</w:t>
      </w:r>
    </w:p>
    <w:p>
      <w:pPr>
        <w:spacing w:after="0" w:line="16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 quorum is required to transact business at the Annual Meeting. To achieve a quorum, stockholders holding a majority of our outstanding shares of common stock entitled to vote must be present either in person or represented by proxy. Shares held by us in treasury will not count towards the determination of a quorum.</w:t>
      </w:r>
    </w:p>
    <w:p>
      <w:pPr>
        <w:spacing w:after="0" w:line="128"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As of March 28, 2025, the record date for the Annual Meeting, 35,492,128 shares of our common stock were outstanding. Abstentions and “broker non-votes” (as explained below) will be counted for purposes of establishing a quorum. Each share of our common stock outstanding on the record date is entitled to one vote on each of the director nominees and one vote on each other matter.</w:t>
      </w:r>
    </w:p>
    <w:p>
      <w:pPr>
        <w:spacing w:after="0" w:line="128"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If a quorum is not present at the Annual Meeting, we expect the Annual Meeting will be adjourned or postponed to solicit additional proxies. In such event, the Chair or stockholders representing a majority of the outstanding shares entitled to vote and present in person or by proxy at the Annual Meeting may adjourn the Annual Meeting.</w:t>
      </w: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C60C35"/>
        </w:rPr>
        <w:t>Vote Requirement for Each Proposal</w:t>
      </w:r>
    </w:p>
    <w:p>
      <w:pPr>
        <w:spacing w:after="0" w:line="15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The following chart describes the proposals to be considered at the Annual Meeting, the vote required to elect directors and to adopt each other proposal, and the manner in which votes will be counted: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40" w:type="dxa"/>
            <w:vAlign w:val="bottom"/>
            <w:shd w:val="clear" w:color="auto" w:fill="C60C35"/>
          </w:tcPr>
          <w:p>
            <w:pPr>
              <w:spacing w:after="0"/>
              <w:rPr>
                <w:sz w:val="15"/>
                <w:szCs w:val="15"/>
                <w:color w:val="auto"/>
              </w:rPr>
            </w:pPr>
          </w:p>
        </w:tc>
        <w:tc>
          <w:tcPr>
            <w:tcW w:w="1520" w:type="dxa"/>
            <w:vAlign w:val="bottom"/>
            <w:shd w:val="clear" w:color="auto" w:fill="C60C35"/>
          </w:tcPr>
          <w:p>
            <w:pPr>
              <w:spacing w:after="0"/>
              <w:rPr>
                <w:sz w:val="15"/>
                <w:szCs w:val="15"/>
                <w:color w:val="auto"/>
              </w:rPr>
            </w:pPr>
          </w:p>
        </w:tc>
        <w:tc>
          <w:tcPr>
            <w:tcW w:w="3080" w:type="dxa"/>
            <w:vAlign w:val="bottom"/>
            <w:shd w:val="clear" w:color="auto" w:fill="C60C35"/>
          </w:tcPr>
          <w:p>
            <w:pPr>
              <w:spacing w:after="0"/>
              <w:rPr>
                <w:sz w:val="15"/>
                <w:szCs w:val="15"/>
                <w:color w:val="auto"/>
              </w:rPr>
            </w:pPr>
          </w:p>
        </w:tc>
        <w:tc>
          <w:tcPr>
            <w:tcW w:w="1660" w:type="dxa"/>
            <w:vAlign w:val="bottom"/>
            <w:shd w:val="clear" w:color="auto" w:fill="C60C35"/>
          </w:tcPr>
          <w:p>
            <w:pPr>
              <w:spacing w:after="0"/>
              <w:rPr>
                <w:sz w:val="15"/>
                <w:szCs w:val="15"/>
                <w:color w:val="auto"/>
              </w:rPr>
            </w:pPr>
          </w:p>
        </w:tc>
        <w:tc>
          <w:tcPr>
            <w:tcW w:w="1160" w:type="dxa"/>
            <w:vAlign w:val="bottom"/>
            <w:shd w:val="clear" w:color="auto" w:fill="C60C35"/>
          </w:tcPr>
          <w:p>
            <w:pPr>
              <w:ind w:left="120"/>
              <w:spacing w:after="0"/>
              <w:rPr>
                <w:sz w:val="20"/>
                <w:szCs w:val="20"/>
                <w:color w:val="auto"/>
              </w:rPr>
            </w:pPr>
            <w:r>
              <w:rPr>
                <w:rFonts w:ascii="Arial" w:cs="Arial" w:eastAsia="Arial" w:hAnsi="Arial"/>
                <w:sz w:val="14"/>
                <w:szCs w:val="14"/>
                <w:b w:val="1"/>
                <w:bCs w:val="1"/>
                <w:color w:val="FFFFFF"/>
              </w:rPr>
              <w:t>Broker</w:t>
            </w:r>
          </w:p>
        </w:tc>
        <w:tc>
          <w:tcPr>
            <w:tcW w:w="1880" w:type="dxa"/>
            <w:vAlign w:val="bottom"/>
            <w:shd w:val="clear" w:color="auto" w:fill="C60C35"/>
          </w:tcPr>
          <w:p>
            <w:pPr>
              <w:spacing w:after="0"/>
              <w:rPr>
                <w:sz w:val="15"/>
                <w:szCs w:val="15"/>
                <w:color w:val="auto"/>
              </w:rPr>
            </w:pPr>
          </w:p>
        </w:tc>
      </w:tr>
      <w:tr>
        <w:trPr>
          <w:trHeight w:val="175"/>
        </w:trPr>
        <w:tc>
          <w:tcPr>
            <w:tcW w:w="1940" w:type="dxa"/>
            <w:vAlign w:val="bottom"/>
            <w:shd w:val="clear" w:color="auto" w:fill="C60C35"/>
          </w:tcPr>
          <w:p>
            <w:pPr>
              <w:spacing w:after="0"/>
              <w:rPr>
                <w:sz w:val="15"/>
                <w:szCs w:val="15"/>
                <w:color w:val="auto"/>
              </w:rPr>
            </w:pPr>
          </w:p>
        </w:tc>
        <w:tc>
          <w:tcPr>
            <w:tcW w:w="1520" w:type="dxa"/>
            <w:vAlign w:val="bottom"/>
            <w:shd w:val="clear" w:color="auto" w:fill="C60C35"/>
          </w:tcPr>
          <w:p>
            <w:pPr>
              <w:spacing w:after="0"/>
              <w:rPr>
                <w:sz w:val="15"/>
                <w:szCs w:val="15"/>
                <w:color w:val="auto"/>
              </w:rPr>
            </w:pPr>
          </w:p>
        </w:tc>
        <w:tc>
          <w:tcPr>
            <w:tcW w:w="3080" w:type="dxa"/>
            <w:vAlign w:val="bottom"/>
            <w:shd w:val="clear" w:color="auto" w:fill="C60C35"/>
          </w:tcPr>
          <w:p>
            <w:pPr>
              <w:ind w:left="280"/>
              <w:spacing w:after="0"/>
              <w:rPr>
                <w:sz w:val="20"/>
                <w:szCs w:val="20"/>
                <w:color w:val="auto"/>
              </w:rPr>
            </w:pPr>
            <w:r>
              <w:rPr>
                <w:rFonts w:ascii="Arial" w:cs="Arial" w:eastAsia="Arial" w:hAnsi="Arial"/>
                <w:sz w:val="14"/>
                <w:szCs w:val="14"/>
                <w:b w:val="1"/>
                <w:bCs w:val="1"/>
                <w:color w:val="FFFFFF"/>
              </w:rPr>
              <w:t>Vote Required to Adopt the</w:t>
            </w:r>
          </w:p>
        </w:tc>
        <w:tc>
          <w:tcPr>
            <w:tcW w:w="1660" w:type="dxa"/>
            <w:vAlign w:val="bottom"/>
            <w:shd w:val="clear" w:color="auto" w:fill="C60C35"/>
          </w:tcPr>
          <w:p>
            <w:pPr>
              <w:spacing w:after="0"/>
              <w:rPr>
                <w:sz w:val="15"/>
                <w:szCs w:val="15"/>
                <w:color w:val="auto"/>
              </w:rPr>
            </w:pPr>
          </w:p>
        </w:tc>
        <w:tc>
          <w:tcPr>
            <w:tcW w:w="3040" w:type="dxa"/>
            <w:vAlign w:val="bottom"/>
            <w:gridSpan w:val="2"/>
            <w:shd w:val="clear" w:color="auto" w:fill="C60C35"/>
          </w:tcPr>
          <w:p>
            <w:pPr>
              <w:ind w:left="120"/>
              <w:spacing w:after="0"/>
              <w:rPr>
                <w:sz w:val="20"/>
                <w:szCs w:val="20"/>
                <w:color w:val="auto"/>
              </w:rPr>
            </w:pPr>
            <w:r>
              <w:rPr>
                <w:rFonts w:ascii="Arial" w:cs="Arial" w:eastAsia="Arial" w:hAnsi="Arial"/>
                <w:sz w:val="14"/>
                <w:szCs w:val="14"/>
                <w:b w:val="1"/>
                <w:bCs w:val="1"/>
                <w:color w:val="FFFFFF"/>
              </w:rPr>
              <w:t>Discretionary Votes Effect of Broker</w:t>
            </w:r>
          </w:p>
        </w:tc>
      </w:tr>
      <w:tr>
        <w:trPr>
          <w:trHeight w:val="246"/>
        </w:trPr>
        <w:tc>
          <w:tcPr>
            <w:tcW w:w="194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4"/>
                <w:szCs w:val="14"/>
                <w:b w:val="1"/>
                <w:bCs w:val="1"/>
                <w:color w:val="FFFFFF"/>
              </w:rPr>
              <w:t>Proposal</w:t>
            </w:r>
          </w:p>
        </w:tc>
        <w:tc>
          <w:tcPr>
            <w:tcW w:w="1520" w:type="dxa"/>
            <w:vAlign w:val="bottom"/>
            <w:tcBorders>
              <w:bottom w:val="single" w:sz="8" w:color="C60C35"/>
            </w:tcBorders>
            <w:shd w:val="clear" w:color="auto" w:fill="C60C35"/>
          </w:tcPr>
          <w:p>
            <w:pPr>
              <w:ind w:left="20"/>
              <w:spacing w:after="0"/>
              <w:rPr>
                <w:sz w:val="20"/>
                <w:szCs w:val="20"/>
                <w:color w:val="auto"/>
              </w:rPr>
            </w:pPr>
            <w:r>
              <w:rPr>
                <w:rFonts w:ascii="Arial" w:cs="Arial" w:eastAsia="Arial" w:hAnsi="Arial"/>
                <w:sz w:val="14"/>
                <w:szCs w:val="14"/>
                <w:b w:val="1"/>
                <w:bCs w:val="1"/>
                <w:color w:val="FFFFFF"/>
              </w:rPr>
              <w:t>Voting Options</w:t>
            </w:r>
          </w:p>
        </w:tc>
        <w:tc>
          <w:tcPr>
            <w:tcW w:w="3080" w:type="dxa"/>
            <w:vAlign w:val="bottom"/>
            <w:tcBorders>
              <w:bottom w:val="single" w:sz="8" w:color="C60C35"/>
            </w:tcBorders>
            <w:shd w:val="clear" w:color="auto" w:fill="C60C35"/>
          </w:tcPr>
          <w:p>
            <w:pPr>
              <w:ind w:left="280"/>
              <w:spacing w:after="0"/>
              <w:rPr>
                <w:sz w:val="20"/>
                <w:szCs w:val="20"/>
                <w:color w:val="auto"/>
              </w:rPr>
            </w:pPr>
            <w:r>
              <w:rPr>
                <w:rFonts w:ascii="Arial" w:cs="Arial" w:eastAsia="Arial" w:hAnsi="Arial"/>
                <w:sz w:val="14"/>
                <w:szCs w:val="14"/>
                <w:b w:val="1"/>
                <w:bCs w:val="1"/>
                <w:color w:val="FFFFFF"/>
              </w:rPr>
              <w:t>Proposal</w:t>
            </w:r>
          </w:p>
        </w:tc>
        <w:tc>
          <w:tcPr>
            <w:tcW w:w="166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4"/>
                <w:szCs w:val="14"/>
                <w:b w:val="1"/>
                <w:bCs w:val="1"/>
                <w:color w:val="FFFFFF"/>
              </w:rPr>
              <w:t>Effect of Abstentions</w:t>
            </w:r>
          </w:p>
        </w:tc>
        <w:tc>
          <w:tcPr>
            <w:tcW w:w="1160" w:type="dxa"/>
            <w:vAlign w:val="bottom"/>
            <w:tcBorders>
              <w:bottom w:val="single" w:sz="8" w:color="C60C35"/>
            </w:tcBorders>
            <w:shd w:val="clear" w:color="auto" w:fill="C60C35"/>
          </w:tcPr>
          <w:p>
            <w:pPr>
              <w:ind w:left="120"/>
              <w:spacing w:after="0"/>
              <w:rPr>
                <w:sz w:val="20"/>
                <w:szCs w:val="20"/>
                <w:color w:val="auto"/>
              </w:rPr>
            </w:pPr>
            <w:r>
              <w:rPr>
                <w:rFonts w:ascii="Arial" w:cs="Arial" w:eastAsia="Arial" w:hAnsi="Arial"/>
                <w:sz w:val="14"/>
                <w:szCs w:val="14"/>
                <w:b w:val="1"/>
                <w:bCs w:val="1"/>
                <w:color w:val="FFFFFF"/>
              </w:rPr>
              <w:t>Allowed?</w:t>
            </w:r>
          </w:p>
        </w:tc>
        <w:tc>
          <w:tcPr>
            <w:tcW w:w="1880" w:type="dxa"/>
            <w:vAlign w:val="bottom"/>
            <w:tcBorders>
              <w:bottom w:val="single" w:sz="8" w:color="C60C35"/>
            </w:tcBorders>
            <w:shd w:val="clear" w:color="auto" w:fill="C60C35"/>
          </w:tcPr>
          <w:p>
            <w:pPr>
              <w:ind w:left="380"/>
              <w:spacing w:after="0"/>
              <w:rPr>
                <w:sz w:val="20"/>
                <w:szCs w:val="20"/>
                <w:color w:val="auto"/>
              </w:rPr>
            </w:pPr>
            <w:r>
              <w:rPr>
                <w:rFonts w:ascii="Arial" w:cs="Arial" w:eastAsia="Arial" w:hAnsi="Arial"/>
                <w:sz w:val="14"/>
                <w:szCs w:val="14"/>
                <w:b w:val="1"/>
                <w:bCs w:val="1"/>
                <w:color w:val="FFFFFF"/>
              </w:rPr>
              <w:t>Non-Votes*</w:t>
            </w:r>
          </w:p>
        </w:tc>
      </w:tr>
      <w:tr>
        <w:trPr>
          <w:trHeight w:val="247"/>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C60C35"/>
              </w:rPr>
              <w:t>Proposal 1</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FOR, AGAINST</w:t>
            </w:r>
            <w:r>
              <w:rPr>
                <w:rFonts w:ascii="Arial" w:cs="Arial" w:eastAsia="Arial" w:hAnsi="Arial"/>
                <w:sz w:val="14"/>
                <w:szCs w:val="14"/>
                <w:color w:val="auto"/>
              </w:rPr>
              <w:t>, or</w:t>
            </w:r>
          </w:p>
        </w:tc>
        <w:tc>
          <w:tcPr>
            <w:tcW w:w="3080" w:type="dxa"/>
            <w:vAlign w:val="bottom"/>
            <w:shd w:val="clear" w:color="auto" w:fill="F1F2F2"/>
          </w:tcPr>
          <w:p>
            <w:pPr>
              <w:ind w:left="280"/>
              <w:spacing w:after="0"/>
              <w:rPr>
                <w:sz w:val="20"/>
                <w:szCs w:val="20"/>
                <w:color w:val="auto"/>
              </w:rPr>
            </w:pPr>
            <w:r>
              <w:rPr>
                <w:rFonts w:ascii="Arial" w:cs="Arial" w:eastAsia="Arial" w:hAnsi="Arial"/>
                <w:sz w:val="14"/>
                <w:szCs w:val="14"/>
                <w:color w:val="auto"/>
              </w:rPr>
              <w:t>Majority of votes cast, meaning a nominee</w:t>
            </w:r>
          </w:p>
        </w:tc>
        <w:tc>
          <w:tcPr>
            <w:tcW w:w="16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No effect</w:t>
            </w:r>
          </w:p>
        </w:tc>
        <w:tc>
          <w:tcPr>
            <w:tcW w:w="1160" w:type="dxa"/>
            <w:vAlign w:val="bottom"/>
            <w:shd w:val="clear" w:color="auto" w:fill="F1F2F2"/>
          </w:tcPr>
          <w:p>
            <w:pPr>
              <w:ind w:left="120"/>
              <w:spacing w:after="0"/>
              <w:rPr>
                <w:sz w:val="20"/>
                <w:szCs w:val="20"/>
                <w:color w:val="auto"/>
              </w:rPr>
            </w:pPr>
            <w:r>
              <w:rPr>
                <w:rFonts w:ascii="Arial" w:cs="Arial" w:eastAsia="Arial" w:hAnsi="Arial"/>
                <w:sz w:val="14"/>
                <w:szCs w:val="14"/>
                <w:color w:val="auto"/>
              </w:rPr>
              <w:t>No</w:t>
            </w:r>
          </w:p>
        </w:tc>
        <w:tc>
          <w:tcPr>
            <w:tcW w:w="1880" w:type="dxa"/>
            <w:vAlign w:val="bottom"/>
            <w:shd w:val="clear" w:color="auto" w:fill="F1F2F2"/>
          </w:tcPr>
          <w:p>
            <w:pPr>
              <w:ind w:left="380"/>
              <w:spacing w:after="0"/>
              <w:rPr>
                <w:sz w:val="20"/>
                <w:szCs w:val="20"/>
                <w:color w:val="auto"/>
              </w:rPr>
            </w:pPr>
            <w:r>
              <w:rPr>
                <w:rFonts w:ascii="Arial" w:cs="Arial" w:eastAsia="Arial" w:hAnsi="Arial"/>
                <w:sz w:val="14"/>
                <w:szCs w:val="14"/>
                <w:color w:val="auto"/>
              </w:rPr>
              <w:t>No effect</w:t>
            </w:r>
          </w:p>
        </w:tc>
      </w:tr>
      <w:tr>
        <w:trPr>
          <w:trHeight w:val="175"/>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Election of Directors</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 xml:space="preserve">ABSTAIN </w:t>
            </w:r>
            <w:r>
              <w:rPr>
                <w:rFonts w:ascii="Arial" w:cs="Arial" w:eastAsia="Arial" w:hAnsi="Arial"/>
                <w:sz w:val="14"/>
                <w:szCs w:val="14"/>
                <w:color w:val="auto"/>
              </w:rPr>
              <w:t>for each</w:t>
            </w:r>
          </w:p>
        </w:tc>
        <w:tc>
          <w:tcPr>
            <w:tcW w:w="3080" w:type="dxa"/>
            <w:vAlign w:val="bottom"/>
            <w:shd w:val="clear" w:color="auto" w:fill="F1F2F2"/>
          </w:tcPr>
          <w:p>
            <w:pPr>
              <w:ind w:left="280"/>
              <w:spacing w:after="0"/>
              <w:rPr>
                <w:sz w:val="20"/>
                <w:szCs w:val="20"/>
                <w:color w:val="auto"/>
              </w:rPr>
            </w:pPr>
            <w:r>
              <w:rPr>
                <w:rFonts w:ascii="Arial" w:cs="Arial" w:eastAsia="Arial" w:hAnsi="Arial"/>
                <w:sz w:val="14"/>
                <w:szCs w:val="14"/>
                <w:color w:val="auto"/>
              </w:rPr>
              <w:t xml:space="preserve">will be elected if the votes cast </w:t>
            </w:r>
            <w:r>
              <w:rPr>
                <w:rFonts w:ascii="Arial" w:cs="Arial" w:eastAsia="Arial" w:hAnsi="Arial"/>
                <w:sz w:val="14"/>
                <w:szCs w:val="14"/>
                <w:b w:val="1"/>
                <w:bCs w:val="1"/>
                <w:color w:val="auto"/>
              </w:rPr>
              <w:t>FOR</w:t>
            </w:r>
            <w:r>
              <w:rPr>
                <w:rFonts w:ascii="Arial" w:cs="Arial" w:eastAsia="Arial" w:hAnsi="Arial"/>
                <w:sz w:val="14"/>
                <w:szCs w:val="14"/>
                <w:color w:val="auto"/>
              </w:rPr>
              <w:t xml:space="preserve"> such</w:t>
            </w:r>
          </w:p>
        </w:tc>
        <w:tc>
          <w:tcPr>
            <w:tcW w:w="1660" w:type="dxa"/>
            <w:vAlign w:val="bottom"/>
            <w:shd w:val="clear" w:color="auto" w:fill="F1F2F2"/>
          </w:tcPr>
          <w:p>
            <w:pPr>
              <w:spacing w:after="0"/>
              <w:rPr>
                <w:sz w:val="15"/>
                <w:szCs w:val="15"/>
                <w:color w:val="auto"/>
              </w:rPr>
            </w:pPr>
          </w:p>
        </w:tc>
        <w:tc>
          <w:tcPr>
            <w:tcW w:w="1160" w:type="dxa"/>
            <w:vAlign w:val="bottom"/>
            <w:shd w:val="clear" w:color="auto" w:fill="F1F2F2"/>
          </w:tcPr>
          <w:p>
            <w:pPr>
              <w:spacing w:after="0"/>
              <w:rPr>
                <w:sz w:val="15"/>
                <w:szCs w:val="15"/>
                <w:color w:val="auto"/>
              </w:rPr>
            </w:pPr>
          </w:p>
        </w:tc>
        <w:tc>
          <w:tcPr>
            <w:tcW w:w="1880" w:type="dxa"/>
            <w:vAlign w:val="bottom"/>
            <w:shd w:val="clear" w:color="auto" w:fill="F1F2F2"/>
          </w:tcPr>
          <w:p>
            <w:pPr>
              <w:spacing w:after="0"/>
              <w:rPr>
                <w:sz w:val="15"/>
                <w:szCs w:val="15"/>
                <w:color w:val="auto"/>
              </w:rPr>
            </w:pPr>
          </w:p>
        </w:tc>
      </w:tr>
      <w:tr>
        <w:trPr>
          <w:trHeight w:val="162"/>
        </w:trPr>
        <w:tc>
          <w:tcPr>
            <w:tcW w:w="1940" w:type="dxa"/>
            <w:vAlign w:val="bottom"/>
            <w:shd w:val="clear" w:color="auto" w:fill="F1F2F2"/>
          </w:tcPr>
          <w:p>
            <w:pPr>
              <w:spacing w:after="0"/>
              <w:rPr>
                <w:sz w:val="14"/>
                <w:szCs w:val="14"/>
                <w:color w:val="auto"/>
              </w:rPr>
            </w:pP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color w:val="auto"/>
              </w:rPr>
              <w:t>nominee</w:t>
            </w:r>
          </w:p>
        </w:tc>
        <w:tc>
          <w:tcPr>
            <w:tcW w:w="3080" w:type="dxa"/>
            <w:vAlign w:val="bottom"/>
            <w:shd w:val="clear" w:color="auto" w:fill="F1F2F2"/>
          </w:tcPr>
          <w:p>
            <w:pPr>
              <w:ind w:left="280"/>
              <w:spacing w:after="0"/>
              <w:rPr>
                <w:sz w:val="20"/>
                <w:szCs w:val="20"/>
                <w:color w:val="auto"/>
              </w:rPr>
            </w:pPr>
            <w:r>
              <w:rPr>
                <w:rFonts w:ascii="Arial" w:cs="Arial" w:eastAsia="Arial" w:hAnsi="Arial"/>
                <w:sz w:val="14"/>
                <w:szCs w:val="14"/>
                <w:color w:val="auto"/>
              </w:rPr>
              <w:t xml:space="preserve">nominee exceed the votes cast </w:t>
            </w:r>
            <w:r>
              <w:rPr>
                <w:rFonts w:ascii="Arial" w:cs="Arial" w:eastAsia="Arial" w:hAnsi="Arial"/>
                <w:sz w:val="14"/>
                <w:szCs w:val="14"/>
                <w:b w:val="1"/>
                <w:bCs w:val="1"/>
                <w:color w:val="auto"/>
              </w:rPr>
              <w:t>AGAINST</w:t>
            </w:r>
          </w:p>
        </w:tc>
        <w:tc>
          <w:tcPr>
            <w:tcW w:w="1660" w:type="dxa"/>
            <w:vAlign w:val="bottom"/>
            <w:shd w:val="clear" w:color="auto" w:fill="F1F2F2"/>
          </w:tcPr>
          <w:p>
            <w:pPr>
              <w:spacing w:after="0"/>
              <w:rPr>
                <w:sz w:val="14"/>
                <w:szCs w:val="14"/>
                <w:color w:val="auto"/>
              </w:rPr>
            </w:pPr>
          </w:p>
        </w:tc>
        <w:tc>
          <w:tcPr>
            <w:tcW w:w="1160" w:type="dxa"/>
            <w:vAlign w:val="bottom"/>
            <w:shd w:val="clear" w:color="auto" w:fill="F1F2F2"/>
          </w:tcPr>
          <w:p>
            <w:pPr>
              <w:spacing w:after="0"/>
              <w:rPr>
                <w:sz w:val="14"/>
                <w:szCs w:val="14"/>
                <w:color w:val="auto"/>
              </w:rPr>
            </w:pPr>
          </w:p>
        </w:tc>
        <w:tc>
          <w:tcPr>
            <w:tcW w:w="1880" w:type="dxa"/>
            <w:vAlign w:val="bottom"/>
            <w:shd w:val="clear" w:color="auto" w:fill="F1F2F2"/>
          </w:tcPr>
          <w:p>
            <w:pPr>
              <w:spacing w:after="0"/>
              <w:rPr>
                <w:sz w:val="14"/>
                <w:szCs w:val="14"/>
                <w:color w:val="auto"/>
              </w:rPr>
            </w:pPr>
          </w:p>
        </w:tc>
      </w:tr>
      <w:tr>
        <w:trPr>
          <w:trHeight w:val="190"/>
        </w:trPr>
        <w:tc>
          <w:tcPr>
            <w:tcW w:w="1940" w:type="dxa"/>
            <w:vAlign w:val="bottom"/>
            <w:shd w:val="clear" w:color="auto" w:fill="F1F2F2"/>
          </w:tcPr>
          <w:p>
            <w:pPr>
              <w:spacing w:after="0"/>
              <w:rPr>
                <w:sz w:val="16"/>
                <w:szCs w:val="16"/>
                <w:color w:val="auto"/>
              </w:rPr>
            </w:pPr>
          </w:p>
        </w:tc>
        <w:tc>
          <w:tcPr>
            <w:tcW w:w="1520" w:type="dxa"/>
            <w:vAlign w:val="bottom"/>
            <w:shd w:val="clear" w:color="auto" w:fill="F1F2F2"/>
          </w:tcPr>
          <w:p>
            <w:pPr>
              <w:spacing w:after="0"/>
              <w:rPr>
                <w:sz w:val="16"/>
                <w:szCs w:val="16"/>
                <w:color w:val="auto"/>
              </w:rPr>
            </w:pPr>
          </w:p>
        </w:tc>
        <w:tc>
          <w:tcPr>
            <w:tcW w:w="3080" w:type="dxa"/>
            <w:vAlign w:val="bottom"/>
            <w:shd w:val="clear" w:color="auto" w:fill="F1F2F2"/>
          </w:tcPr>
          <w:p>
            <w:pPr>
              <w:ind w:left="280"/>
              <w:spacing w:after="0"/>
              <w:rPr>
                <w:sz w:val="20"/>
                <w:szCs w:val="20"/>
                <w:color w:val="auto"/>
              </w:rPr>
            </w:pPr>
            <w:r>
              <w:rPr>
                <w:rFonts w:ascii="Arial" w:cs="Arial" w:eastAsia="Arial" w:hAnsi="Arial"/>
                <w:sz w:val="14"/>
                <w:szCs w:val="14"/>
                <w:color w:val="auto"/>
              </w:rPr>
              <w:t>such nominee</w:t>
            </w:r>
          </w:p>
        </w:tc>
        <w:tc>
          <w:tcPr>
            <w:tcW w:w="1660" w:type="dxa"/>
            <w:vAlign w:val="bottom"/>
            <w:shd w:val="clear" w:color="auto" w:fill="F1F2F2"/>
          </w:tcPr>
          <w:p>
            <w:pPr>
              <w:spacing w:after="0"/>
              <w:rPr>
                <w:sz w:val="16"/>
                <w:szCs w:val="16"/>
                <w:color w:val="auto"/>
              </w:rPr>
            </w:pPr>
          </w:p>
        </w:tc>
        <w:tc>
          <w:tcPr>
            <w:tcW w:w="1160" w:type="dxa"/>
            <w:vAlign w:val="bottom"/>
            <w:shd w:val="clear" w:color="auto" w:fill="F1F2F2"/>
          </w:tcPr>
          <w:p>
            <w:pPr>
              <w:spacing w:after="0"/>
              <w:rPr>
                <w:sz w:val="16"/>
                <w:szCs w:val="16"/>
                <w:color w:val="auto"/>
              </w:rPr>
            </w:pPr>
          </w:p>
        </w:tc>
        <w:tc>
          <w:tcPr>
            <w:tcW w:w="1880" w:type="dxa"/>
            <w:vAlign w:val="bottom"/>
            <w:shd w:val="clear" w:color="auto" w:fill="F1F2F2"/>
          </w:tcPr>
          <w:p>
            <w:pPr>
              <w:spacing w:after="0"/>
              <w:rPr>
                <w:sz w:val="16"/>
                <w:szCs w:val="16"/>
                <w:color w:val="auto"/>
              </w:rPr>
            </w:pPr>
          </w:p>
        </w:tc>
      </w:tr>
      <w:tr>
        <w:trPr>
          <w:trHeight w:val="22"/>
        </w:trPr>
        <w:tc>
          <w:tcPr>
            <w:tcW w:w="1940" w:type="dxa"/>
            <w:vAlign w:val="bottom"/>
            <w:shd w:val="clear" w:color="auto" w:fill="F1F2F2"/>
          </w:tcPr>
          <w:p>
            <w:pPr>
              <w:spacing w:after="0" w:line="20" w:lineRule="exact"/>
              <w:rPr>
                <w:sz w:val="1"/>
                <w:szCs w:val="1"/>
                <w:color w:val="auto"/>
              </w:rPr>
            </w:pPr>
          </w:p>
        </w:tc>
        <w:tc>
          <w:tcPr>
            <w:tcW w:w="1520" w:type="dxa"/>
            <w:vAlign w:val="bottom"/>
            <w:shd w:val="clear" w:color="auto" w:fill="F1F2F2"/>
          </w:tcPr>
          <w:p>
            <w:pPr>
              <w:spacing w:after="0" w:line="20" w:lineRule="exact"/>
              <w:rPr>
                <w:sz w:val="1"/>
                <w:szCs w:val="1"/>
                <w:color w:val="auto"/>
              </w:rPr>
            </w:pPr>
          </w:p>
        </w:tc>
        <w:tc>
          <w:tcPr>
            <w:tcW w:w="3080" w:type="dxa"/>
            <w:vAlign w:val="bottom"/>
            <w:shd w:val="clear" w:color="auto" w:fill="F1F2F2"/>
          </w:tcPr>
          <w:p>
            <w:pPr>
              <w:spacing w:after="0" w:line="20" w:lineRule="exact"/>
              <w:rPr>
                <w:sz w:val="1"/>
                <w:szCs w:val="1"/>
                <w:color w:val="auto"/>
              </w:rPr>
            </w:pPr>
          </w:p>
        </w:tc>
        <w:tc>
          <w:tcPr>
            <w:tcW w:w="1660" w:type="dxa"/>
            <w:vAlign w:val="bottom"/>
            <w:shd w:val="clear" w:color="auto" w:fill="F1F2F2"/>
          </w:tcPr>
          <w:p>
            <w:pPr>
              <w:spacing w:after="0" w:line="20" w:lineRule="exact"/>
              <w:rPr>
                <w:sz w:val="1"/>
                <w:szCs w:val="1"/>
                <w:color w:val="auto"/>
              </w:rPr>
            </w:pPr>
          </w:p>
        </w:tc>
        <w:tc>
          <w:tcPr>
            <w:tcW w:w="1160" w:type="dxa"/>
            <w:vAlign w:val="bottom"/>
            <w:shd w:val="clear" w:color="auto" w:fill="F1F2F2"/>
          </w:tcPr>
          <w:p>
            <w:pPr>
              <w:spacing w:after="0" w:line="20" w:lineRule="exact"/>
              <w:rPr>
                <w:sz w:val="1"/>
                <w:szCs w:val="1"/>
                <w:color w:val="auto"/>
              </w:rPr>
            </w:pPr>
          </w:p>
        </w:tc>
        <w:tc>
          <w:tcPr>
            <w:tcW w:w="1880" w:type="dxa"/>
            <w:vAlign w:val="bottom"/>
            <w:shd w:val="clear" w:color="auto" w:fill="F1F2F2"/>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1">
            <w:col w:w="11240"/>
          </w:cols>
          <w:pgMar w:left="320" w:top="771" w:right="339" w:bottom="1440" w:gutter="0" w:footer="0" w:header="0"/>
        </w:sectPr>
      </w:pPr>
    </w:p>
    <w:tbl>
      <w:tblPr>
        <w:tblLayout w:type="fixed"/>
        <w:tblInd w:w="100" w:type="dxa"/>
        <w:tblCellMar>
          <w:top w:w="0" w:type="dxa"/>
          <w:left w:w="0" w:type="dxa"/>
          <w:bottom w:w="0" w:type="dxa"/>
          <w:right w:w="0" w:type="dxa"/>
        </w:tblCellMar>
      </w:tblPr>
      <w:tr>
        <w:trPr>
          <w:trHeight w:val="175"/>
        </w:trPr>
        <w:tc>
          <w:tcPr>
            <w:tcW w:w="1800" w:type="dxa"/>
            <w:vAlign w:val="bottom"/>
          </w:tcPr>
          <w:p>
            <w:pPr>
              <w:spacing w:after="0"/>
              <w:rPr>
                <w:sz w:val="20"/>
                <w:szCs w:val="20"/>
                <w:color w:val="auto"/>
              </w:rPr>
            </w:pPr>
            <w:r>
              <w:rPr>
                <w:rFonts w:ascii="Arial" w:cs="Arial" w:eastAsia="Arial" w:hAnsi="Arial"/>
                <w:sz w:val="14"/>
                <w:szCs w:val="14"/>
                <w:b w:val="1"/>
                <w:bCs w:val="1"/>
                <w:color w:val="C60C35"/>
              </w:rPr>
              <w:t>Proposal 2</w:t>
            </w: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FOR, AGAINST</w:t>
            </w:r>
            <w:r>
              <w:rPr>
                <w:rFonts w:ascii="Arial" w:cs="Arial" w:eastAsia="Arial" w:hAnsi="Arial"/>
                <w:sz w:val="14"/>
                <w:szCs w:val="14"/>
                <w:color w:val="auto"/>
              </w:rPr>
              <w:t>, or</w:t>
            </w:r>
          </w:p>
        </w:tc>
        <w:tc>
          <w:tcPr>
            <w:tcW w:w="3060" w:type="dxa"/>
            <w:vAlign w:val="bottom"/>
          </w:tcPr>
          <w:p>
            <w:pPr>
              <w:ind w:left="280"/>
              <w:spacing w:after="0"/>
              <w:rPr>
                <w:sz w:val="20"/>
                <w:szCs w:val="20"/>
                <w:color w:val="auto"/>
              </w:rPr>
            </w:pPr>
            <w:r>
              <w:rPr>
                <w:rFonts w:ascii="Arial" w:cs="Arial" w:eastAsia="Arial" w:hAnsi="Arial"/>
                <w:sz w:val="14"/>
                <w:szCs w:val="14"/>
                <w:color w:val="auto"/>
              </w:rPr>
              <w:t xml:space="preserve">Approval requires the number of </w:t>
            </w:r>
            <w:r>
              <w:rPr>
                <w:rFonts w:ascii="Arial" w:cs="Arial" w:eastAsia="Arial" w:hAnsi="Arial"/>
                <w:sz w:val="14"/>
                <w:szCs w:val="14"/>
                <w:b w:val="1"/>
                <w:bCs w:val="1"/>
                <w:color w:val="auto"/>
              </w:rPr>
              <w:t>FOR</w:t>
            </w:r>
            <w:r>
              <w:rPr>
                <w:rFonts w:ascii="Arial" w:cs="Arial" w:eastAsia="Arial" w:hAnsi="Arial"/>
                <w:sz w:val="14"/>
                <w:szCs w:val="14"/>
                <w:color w:val="auto"/>
              </w:rPr>
              <w:t xml:space="preserve"> votes</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Advisory Proposal on 2024</w:t>
            </w: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ABSTAIN</w:t>
            </w:r>
          </w:p>
        </w:tc>
        <w:tc>
          <w:tcPr>
            <w:tcW w:w="3060" w:type="dxa"/>
            <w:vAlign w:val="bottom"/>
          </w:tcPr>
          <w:p>
            <w:pPr>
              <w:ind w:left="280"/>
              <w:spacing w:after="0"/>
              <w:rPr>
                <w:sz w:val="20"/>
                <w:szCs w:val="20"/>
                <w:color w:val="auto"/>
              </w:rPr>
            </w:pPr>
            <w:r>
              <w:rPr>
                <w:rFonts w:ascii="Arial" w:cs="Arial" w:eastAsia="Arial" w:hAnsi="Arial"/>
                <w:sz w:val="14"/>
                <w:szCs w:val="14"/>
                <w:color w:val="auto"/>
              </w:rPr>
              <w:t>cast to exceed the number of shares voted</w:t>
            </w: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Executive Compensation</w:t>
            </w:r>
          </w:p>
        </w:tc>
        <w:tc>
          <w:tcPr>
            <w:tcW w:w="1560" w:type="dxa"/>
            <w:vAlign w:val="bottom"/>
          </w:tcPr>
          <w:p>
            <w:pPr>
              <w:spacing w:after="0"/>
              <w:rPr>
                <w:sz w:val="17"/>
                <w:szCs w:val="17"/>
                <w:color w:val="auto"/>
              </w:rPr>
            </w:pPr>
          </w:p>
        </w:tc>
        <w:tc>
          <w:tcPr>
            <w:tcW w:w="3060" w:type="dxa"/>
            <w:vAlign w:val="bottom"/>
          </w:tcPr>
          <w:p>
            <w:pPr>
              <w:ind w:left="280"/>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or</w:t>
            </w:r>
            <w:r>
              <w:rPr>
                <w:rFonts w:ascii="Arial" w:cs="Arial" w:eastAsia="Arial" w:hAnsi="Arial"/>
                <w:sz w:val="14"/>
                <w:szCs w:val="14"/>
                <w:b w:val="1"/>
                <w:bCs w:val="1"/>
                <w:color w:val="auto"/>
              </w:rPr>
              <w:t xml:space="preserve"> ABSTAINING</w:t>
            </w:r>
          </w:p>
        </w:tc>
      </w:tr>
    </w:tbl>
    <w:p>
      <w:pPr>
        <w:spacing w:after="0" w:line="20" w:lineRule="exact"/>
        <w:rPr>
          <w:sz w:val="20"/>
          <w:szCs w:val="20"/>
          <w:color w:val="auto"/>
        </w:rPr>
      </w:pPr>
      <w:r>
        <w:rPr>
          <w:sz w:val="20"/>
          <w:szCs w:val="20"/>
          <w:color w:val="auto"/>
        </w:rPr>
        <w:br w:type="column"/>
      </w:r>
    </w:p>
    <w:p>
      <w:pPr>
        <w:spacing w:after="0"/>
        <w:tabs>
          <w:tab w:leader="none" w:pos="3080" w:val="left"/>
        </w:tabs>
        <w:rPr>
          <w:sz w:val="20"/>
          <w:szCs w:val="20"/>
          <w:color w:val="auto"/>
        </w:rPr>
      </w:pPr>
      <w:r>
        <w:rPr>
          <w:rFonts w:ascii="Arial" w:cs="Arial" w:eastAsia="Arial" w:hAnsi="Arial"/>
          <w:sz w:val="14"/>
          <w:szCs w:val="14"/>
          <w:color w:val="auto"/>
        </w:rPr>
        <w:t>Counted as a vote. Same No</w:t>
      </w:r>
      <w:r>
        <w:rPr>
          <w:sz w:val="20"/>
          <w:szCs w:val="20"/>
          <w:color w:val="auto"/>
        </w:rPr>
        <w:tab/>
      </w:r>
      <w:r>
        <w:rPr>
          <w:rFonts w:ascii="Arial" w:cs="Arial" w:eastAsia="Arial" w:hAnsi="Arial"/>
          <w:sz w:val="13"/>
          <w:szCs w:val="13"/>
          <w:color w:val="auto"/>
        </w:rPr>
        <w:t>No effect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effect as votes against</w:t>
      </w:r>
    </w:p>
    <w:p>
      <w:pPr>
        <w:spacing w:after="0" w:line="216" w:lineRule="exact"/>
        <w:rPr>
          <w:sz w:val="20"/>
          <w:szCs w:val="20"/>
          <w:color w:val="auto"/>
        </w:rPr>
      </w:pPr>
    </w:p>
    <w:p>
      <w:pPr>
        <w:sectPr>
          <w:pgSz w:w="11900" w:h="16838" w:orient="portrait"/>
          <w:cols w:equalWidth="0" w:num="2">
            <w:col w:w="6520" w:space="120"/>
            <w:col w:w="4600"/>
          </w:cols>
          <w:pgMar w:left="320" w:top="77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C60C35"/>
              </w:rPr>
              <w:t>Proposal 3</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FOR, AGAINST</w:t>
            </w:r>
            <w:r>
              <w:rPr>
                <w:rFonts w:ascii="Arial" w:cs="Arial" w:eastAsia="Arial" w:hAnsi="Arial"/>
                <w:sz w:val="14"/>
                <w:szCs w:val="14"/>
                <w:color w:val="auto"/>
              </w:rPr>
              <w:t>, or</w:t>
            </w: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color w:val="auto"/>
              </w:rPr>
              <w:t xml:space="preserve">Approval requires the number of </w:t>
            </w:r>
            <w:r>
              <w:rPr>
                <w:rFonts w:ascii="Arial" w:cs="Arial" w:eastAsia="Arial" w:hAnsi="Arial"/>
                <w:sz w:val="14"/>
                <w:szCs w:val="14"/>
                <w:b w:val="1"/>
                <w:bCs w:val="1"/>
                <w:color w:val="auto"/>
              </w:rPr>
              <w:t>FOR</w:t>
            </w:r>
            <w:r>
              <w:rPr>
                <w:rFonts w:ascii="Arial" w:cs="Arial" w:eastAsia="Arial" w:hAnsi="Arial"/>
                <w:sz w:val="14"/>
                <w:szCs w:val="14"/>
                <w:color w:val="auto"/>
              </w:rPr>
              <w:t xml:space="preserve"> votes</w:t>
            </w:r>
          </w:p>
        </w:tc>
        <w:tc>
          <w:tcPr>
            <w:tcW w:w="2560" w:type="dxa"/>
            <w:vAlign w:val="bottom"/>
            <w:shd w:val="clear" w:color="auto" w:fill="F1F2F2"/>
          </w:tcPr>
          <w:p>
            <w:pPr>
              <w:ind w:left="60"/>
              <w:spacing w:after="0"/>
              <w:rPr>
                <w:sz w:val="20"/>
                <w:szCs w:val="20"/>
                <w:color w:val="auto"/>
              </w:rPr>
            </w:pPr>
            <w:r>
              <w:rPr>
                <w:rFonts w:ascii="Arial" w:cs="Arial" w:eastAsia="Arial" w:hAnsi="Arial"/>
                <w:sz w:val="14"/>
                <w:szCs w:val="14"/>
                <w:color w:val="auto"/>
              </w:rPr>
              <w:t>Counted as a vote. Same Yes</w:t>
            </w:r>
          </w:p>
        </w:tc>
        <w:tc>
          <w:tcPr>
            <w:tcW w:w="2100" w:type="dxa"/>
            <w:vAlign w:val="bottom"/>
            <w:shd w:val="clear" w:color="auto" w:fill="F1F2F2"/>
          </w:tcPr>
          <w:p>
            <w:pPr>
              <w:ind w:left="600"/>
              <w:spacing w:after="0"/>
              <w:rPr>
                <w:sz w:val="20"/>
                <w:szCs w:val="20"/>
                <w:color w:val="auto"/>
              </w:rPr>
            </w:pPr>
            <w:r>
              <w:rPr>
                <w:rFonts w:ascii="Arial" w:cs="Arial" w:eastAsia="Arial" w:hAnsi="Arial"/>
                <w:sz w:val="14"/>
                <w:szCs w:val="14"/>
                <w:color w:val="auto"/>
              </w:rPr>
              <w:t>Brokers’ votes will</w:t>
            </w:r>
          </w:p>
        </w:tc>
      </w:tr>
      <w:tr>
        <w:trPr>
          <w:trHeight w:val="175"/>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Ratification of Ernst &amp;</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ABSTAIN</w:t>
            </w: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color w:val="auto"/>
              </w:rPr>
              <w:t>cast to exceed the number of shares voted</w:t>
            </w:r>
          </w:p>
        </w:tc>
        <w:tc>
          <w:tcPr>
            <w:tcW w:w="2560" w:type="dxa"/>
            <w:vAlign w:val="bottom"/>
            <w:shd w:val="clear" w:color="auto" w:fill="F1F2F2"/>
          </w:tcPr>
          <w:p>
            <w:pPr>
              <w:ind w:left="60"/>
              <w:spacing w:after="0"/>
              <w:rPr>
                <w:sz w:val="20"/>
                <w:szCs w:val="20"/>
                <w:color w:val="auto"/>
              </w:rPr>
            </w:pPr>
            <w:r>
              <w:rPr>
                <w:rFonts w:ascii="Arial" w:cs="Arial" w:eastAsia="Arial" w:hAnsi="Arial"/>
                <w:sz w:val="14"/>
                <w:szCs w:val="14"/>
                <w:color w:val="auto"/>
              </w:rPr>
              <w:t>effect as votes against</w:t>
            </w:r>
          </w:p>
        </w:tc>
        <w:tc>
          <w:tcPr>
            <w:tcW w:w="2100" w:type="dxa"/>
            <w:vAlign w:val="bottom"/>
            <w:shd w:val="clear" w:color="auto" w:fill="F1F2F2"/>
          </w:tcPr>
          <w:p>
            <w:pPr>
              <w:ind w:left="600"/>
              <w:spacing w:after="0"/>
              <w:rPr>
                <w:sz w:val="20"/>
                <w:szCs w:val="20"/>
                <w:color w:val="auto"/>
              </w:rPr>
            </w:pPr>
            <w:r>
              <w:rPr>
                <w:rFonts w:ascii="Arial" w:cs="Arial" w:eastAsia="Arial" w:hAnsi="Arial"/>
                <w:sz w:val="14"/>
                <w:szCs w:val="14"/>
                <w:color w:val="auto"/>
              </w:rPr>
              <w:t>count</w:t>
            </w:r>
          </w:p>
        </w:tc>
      </w:tr>
      <w:tr>
        <w:trPr>
          <w:trHeight w:val="162"/>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Young LLP as Independent</w:t>
            </w:r>
          </w:p>
        </w:tc>
        <w:tc>
          <w:tcPr>
            <w:tcW w:w="1520" w:type="dxa"/>
            <w:vAlign w:val="bottom"/>
            <w:shd w:val="clear" w:color="auto" w:fill="F1F2F2"/>
          </w:tcPr>
          <w:p>
            <w:pPr>
              <w:spacing w:after="0"/>
              <w:rPr>
                <w:sz w:val="14"/>
                <w:szCs w:val="14"/>
                <w:color w:val="auto"/>
              </w:rPr>
            </w:pP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or</w:t>
            </w:r>
            <w:r>
              <w:rPr>
                <w:rFonts w:ascii="Arial" w:cs="Arial" w:eastAsia="Arial" w:hAnsi="Arial"/>
                <w:sz w:val="14"/>
                <w:szCs w:val="14"/>
                <w:b w:val="1"/>
                <w:bCs w:val="1"/>
                <w:color w:val="auto"/>
              </w:rPr>
              <w:t xml:space="preserve"> ABSTAINING</w:t>
            </w:r>
          </w:p>
        </w:tc>
        <w:tc>
          <w:tcPr>
            <w:tcW w:w="2560" w:type="dxa"/>
            <w:vAlign w:val="bottom"/>
            <w:shd w:val="clear" w:color="auto" w:fill="F1F2F2"/>
          </w:tcPr>
          <w:p>
            <w:pPr>
              <w:spacing w:after="0"/>
              <w:rPr>
                <w:sz w:val="14"/>
                <w:szCs w:val="14"/>
                <w:color w:val="auto"/>
              </w:rPr>
            </w:pPr>
          </w:p>
        </w:tc>
        <w:tc>
          <w:tcPr>
            <w:tcW w:w="2100" w:type="dxa"/>
            <w:vAlign w:val="bottom"/>
            <w:shd w:val="clear" w:color="auto" w:fill="F1F2F2"/>
          </w:tcPr>
          <w:p>
            <w:pPr>
              <w:spacing w:after="0"/>
              <w:rPr>
                <w:sz w:val="14"/>
                <w:szCs w:val="14"/>
                <w:color w:val="auto"/>
              </w:rPr>
            </w:pPr>
          </w:p>
        </w:tc>
      </w:tr>
      <w:tr>
        <w:trPr>
          <w:trHeight w:val="175"/>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Registered Public</w:t>
            </w:r>
          </w:p>
        </w:tc>
        <w:tc>
          <w:tcPr>
            <w:tcW w:w="1520" w:type="dxa"/>
            <w:vAlign w:val="bottom"/>
            <w:shd w:val="clear" w:color="auto" w:fill="F1F2F2"/>
          </w:tcPr>
          <w:p>
            <w:pPr>
              <w:spacing w:after="0"/>
              <w:rPr>
                <w:sz w:val="15"/>
                <w:szCs w:val="15"/>
                <w:color w:val="auto"/>
              </w:rPr>
            </w:pPr>
          </w:p>
        </w:tc>
        <w:tc>
          <w:tcPr>
            <w:tcW w:w="3120" w:type="dxa"/>
            <w:vAlign w:val="bottom"/>
            <w:shd w:val="clear" w:color="auto" w:fill="F1F2F2"/>
          </w:tcPr>
          <w:p>
            <w:pPr>
              <w:spacing w:after="0"/>
              <w:rPr>
                <w:sz w:val="15"/>
                <w:szCs w:val="15"/>
                <w:color w:val="auto"/>
              </w:rPr>
            </w:pPr>
          </w:p>
        </w:tc>
        <w:tc>
          <w:tcPr>
            <w:tcW w:w="2560" w:type="dxa"/>
            <w:vAlign w:val="bottom"/>
            <w:shd w:val="clear" w:color="auto" w:fill="F1F2F2"/>
          </w:tcPr>
          <w:p>
            <w:pPr>
              <w:spacing w:after="0"/>
              <w:rPr>
                <w:sz w:val="15"/>
                <w:szCs w:val="15"/>
                <w:color w:val="auto"/>
              </w:rPr>
            </w:pPr>
          </w:p>
        </w:tc>
        <w:tc>
          <w:tcPr>
            <w:tcW w:w="2100" w:type="dxa"/>
            <w:vAlign w:val="bottom"/>
            <w:shd w:val="clear" w:color="auto" w:fill="F1F2F2"/>
          </w:tcPr>
          <w:p>
            <w:pPr>
              <w:spacing w:after="0"/>
              <w:rPr>
                <w:sz w:val="15"/>
                <w:szCs w:val="15"/>
                <w:color w:val="auto"/>
              </w:rPr>
            </w:pPr>
          </w:p>
        </w:tc>
      </w:tr>
      <w:tr>
        <w:trPr>
          <w:trHeight w:val="190"/>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Accounting Firm for 2025</w:t>
            </w:r>
          </w:p>
        </w:tc>
        <w:tc>
          <w:tcPr>
            <w:tcW w:w="1520" w:type="dxa"/>
            <w:vAlign w:val="bottom"/>
            <w:shd w:val="clear" w:color="auto" w:fill="F1F2F2"/>
          </w:tcPr>
          <w:p>
            <w:pPr>
              <w:spacing w:after="0"/>
              <w:rPr>
                <w:sz w:val="16"/>
                <w:szCs w:val="16"/>
                <w:color w:val="auto"/>
              </w:rPr>
            </w:pPr>
          </w:p>
        </w:tc>
        <w:tc>
          <w:tcPr>
            <w:tcW w:w="3120" w:type="dxa"/>
            <w:vAlign w:val="bottom"/>
            <w:shd w:val="clear" w:color="auto" w:fill="F1F2F2"/>
          </w:tcPr>
          <w:p>
            <w:pPr>
              <w:spacing w:after="0"/>
              <w:rPr>
                <w:sz w:val="16"/>
                <w:szCs w:val="16"/>
                <w:color w:val="auto"/>
              </w:rPr>
            </w:pPr>
          </w:p>
        </w:tc>
        <w:tc>
          <w:tcPr>
            <w:tcW w:w="2560" w:type="dxa"/>
            <w:vAlign w:val="bottom"/>
            <w:shd w:val="clear" w:color="auto" w:fill="F1F2F2"/>
          </w:tcPr>
          <w:p>
            <w:pPr>
              <w:spacing w:after="0"/>
              <w:rPr>
                <w:sz w:val="16"/>
                <w:szCs w:val="16"/>
                <w:color w:val="auto"/>
              </w:rPr>
            </w:pPr>
          </w:p>
        </w:tc>
        <w:tc>
          <w:tcPr>
            <w:tcW w:w="2100" w:type="dxa"/>
            <w:vAlign w:val="bottom"/>
            <w:shd w:val="clear" w:color="auto" w:fill="F1F2F2"/>
          </w:tcPr>
          <w:p>
            <w:pPr>
              <w:spacing w:after="0"/>
              <w:rPr>
                <w:sz w:val="16"/>
                <w:szCs w:val="16"/>
                <w:color w:val="auto"/>
              </w:rPr>
            </w:pPr>
          </w:p>
        </w:tc>
      </w:tr>
      <w:tr>
        <w:trPr>
          <w:trHeight w:val="22"/>
        </w:trPr>
        <w:tc>
          <w:tcPr>
            <w:tcW w:w="1940" w:type="dxa"/>
            <w:vAlign w:val="bottom"/>
            <w:shd w:val="clear" w:color="auto" w:fill="F1F2F2"/>
          </w:tcPr>
          <w:p>
            <w:pPr>
              <w:spacing w:after="0" w:line="20" w:lineRule="exact"/>
              <w:rPr>
                <w:sz w:val="1"/>
                <w:szCs w:val="1"/>
                <w:color w:val="auto"/>
              </w:rPr>
            </w:pPr>
          </w:p>
        </w:tc>
        <w:tc>
          <w:tcPr>
            <w:tcW w:w="1520" w:type="dxa"/>
            <w:vAlign w:val="bottom"/>
            <w:shd w:val="clear" w:color="auto" w:fill="F1F2F2"/>
          </w:tcPr>
          <w:p>
            <w:pPr>
              <w:spacing w:after="0" w:line="20" w:lineRule="exact"/>
              <w:rPr>
                <w:sz w:val="1"/>
                <w:szCs w:val="1"/>
                <w:color w:val="auto"/>
              </w:rPr>
            </w:pPr>
          </w:p>
        </w:tc>
        <w:tc>
          <w:tcPr>
            <w:tcW w:w="3120" w:type="dxa"/>
            <w:vAlign w:val="bottom"/>
            <w:shd w:val="clear" w:color="auto" w:fill="F1F2F2"/>
          </w:tcPr>
          <w:p>
            <w:pPr>
              <w:spacing w:after="0" w:line="20" w:lineRule="exact"/>
              <w:rPr>
                <w:sz w:val="1"/>
                <w:szCs w:val="1"/>
                <w:color w:val="auto"/>
              </w:rPr>
            </w:pPr>
          </w:p>
        </w:tc>
        <w:tc>
          <w:tcPr>
            <w:tcW w:w="2560" w:type="dxa"/>
            <w:vAlign w:val="bottom"/>
            <w:shd w:val="clear" w:color="auto" w:fill="F1F2F2"/>
          </w:tcPr>
          <w:p>
            <w:pPr>
              <w:spacing w:after="0" w:line="20" w:lineRule="exact"/>
              <w:rPr>
                <w:sz w:val="1"/>
                <w:szCs w:val="1"/>
                <w:color w:val="auto"/>
              </w:rPr>
            </w:pPr>
          </w:p>
        </w:tc>
        <w:tc>
          <w:tcPr>
            <w:tcW w:w="2100" w:type="dxa"/>
            <w:vAlign w:val="bottom"/>
            <w:shd w:val="clear" w:color="auto" w:fill="F1F2F2"/>
          </w:tcPr>
          <w:p>
            <w:pPr>
              <w:spacing w:after="0" w:line="20" w:lineRule="exact"/>
              <w:rPr>
                <w:sz w:val="1"/>
                <w:szCs w:val="1"/>
                <w:color w:val="auto"/>
              </w:rPr>
            </w:pPr>
          </w:p>
        </w:tc>
      </w:tr>
    </w:tbl>
    <w:p>
      <w:pPr>
        <w:spacing w:after="0" w:line="301" w:lineRule="exact"/>
        <w:rPr>
          <w:sz w:val="20"/>
          <w:szCs w:val="20"/>
          <w:color w:val="auto"/>
        </w:rPr>
      </w:pPr>
    </w:p>
    <w:p>
      <w:pPr>
        <w:ind w:right="120" w:firstLine="8"/>
        <w:spacing w:after="0" w:line="273" w:lineRule="auto"/>
        <w:tabs>
          <w:tab w:leader="none" w:pos="9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If you are a beneficial holder and do not provide specific voting instructions to your bank, broker, nominee, or other holder of record that holds your shares, such holder of record will not be authorized to vote your shares, which would result in a “broker non-vote” on each proposal other than Proposal 3, the ratification of Ernst &amp; Young LLP as our independent registered public accounting firm.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encourage you to vote promptly, even if you plan to attend the Annual Meeting.</w:t>
      </w:r>
    </w:p>
    <w:p>
      <w:pPr>
        <w:spacing w:after="0" w:line="158"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Each of our director nominees is currently serving on the Board. If a nominee who is currently serving as a director is not re-elected, Delaware law provides that the director would continue to serve on the Board as a “holdover director.” Under our Bylaws and Corporate Governance Guidelines, each director submits an advance, contingent resignation that the Board may accept if stockholders do not re-elect the director. In that situation, our Board Governance Committee would make a recommendation to the Board about whether to accept or reject the resignation, or whether to take other action. The Board would act on the Board Governance Committee’s recommendation, and publicly disclose its decision and the rationale behind it within 90 days from the date that the election results are certified.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Voting Procedures</w:t>
      </w:r>
    </w:p>
    <w:p>
      <w:pPr>
        <w:spacing w:after="0" w:line="169" w:lineRule="exact"/>
        <w:rPr>
          <w:sz w:val="20"/>
          <w:szCs w:val="20"/>
          <w:color w:val="auto"/>
        </w:rPr>
      </w:pPr>
    </w:p>
    <w:p>
      <w:pPr>
        <w:jc w:val="both"/>
        <w:ind w:right="40" w:firstLine="324"/>
        <w:spacing w:after="0" w:line="258" w:lineRule="auto"/>
        <w:rPr>
          <w:sz w:val="20"/>
          <w:szCs w:val="20"/>
          <w:color w:val="auto"/>
        </w:rPr>
      </w:pPr>
      <w:r>
        <w:rPr>
          <w:rFonts w:ascii="Arial" w:cs="Arial" w:eastAsia="Arial" w:hAnsi="Arial"/>
          <w:sz w:val="17"/>
          <w:szCs w:val="17"/>
          <w:color w:val="auto"/>
        </w:rPr>
        <w:t xml:space="preserve">Registered holders may vote online during the Annual Meeting, by the internet, by telephone, or, if they received a printed copy of these proxy materials, by mail. If your shares are held in street name, you will receive instructions from a bank, broker, nominee, or other holder of record that you must follow in order for your shares to be voted. If you have not received voting instructions from your bank, broker, nominee, or other holder of record, please contact them as soon as possible. </w:t>
      </w:r>
      <w:r>
        <w:rPr>
          <w:rFonts w:ascii="Arial" w:cs="Arial" w:eastAsia="Arial" w:hAnsi="Arial"/>
          <w:sz w:val="17"/>
          <w:szCs w:val="17"/>
          <w:b w:val="1"/>
          <w:bCs w:val="1"/>
          <w:color w:val="auto"/>
        </w:rPr>
        <w:t>We urge you to vote promptly and in advance of the Annual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representative of Mediant Communication will tabulate the votes and act as inspector of election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Changing Your Vote</w:t>
      </w:r>
    </w:p>
    <w:p>
      <w:pPr>
        <w:spacing w:after="0" w:line="156"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You can revoke or change your vote on a proposal at any time before the Annual Meeting for any reason by revoking your proxy. For stockholders of record, proxies may be revoked by delivering a written notice of revocation, bearing a later date than your proxy, to our Corporate Secretary at or before the Annual Meeting. Proxies may also be revoked by:</w:t>
      </w:r>
    </w:p>
    <w:p>
      <w:pPr>
        <w:spacing w:after="0" w:line="108"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submitting a new written proxy bearing a later date than a proxy you previously submitted;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voting again by internet or telephone before 11:59 p.m., Eastern Time, on May 21, 2025;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attending the Annual Meeting and voting online.</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77" w:name="page78"/>
    <w:bookmarkEnd w:id="77"/>
    <w:p>
      <w:pPr>
        <w:ind w:right="160" w:firstLine="324"/>
        <w:spacing w:after="0" w:line="261" w:lineRule="auto"/>
        <w:rPr>
          <w:sz w:val="20"/>
          <w:szCs w:val="20"/>
          <w:color w:val="auto"/>
        </w:rPr>
      </w:pPr>
      <w:r>
        <w:rPr>
          <w:rFonts w:ascii="Arial" w:cs="Arial" w:eastAsia="Arial" w:hAnsi="Arial"/>
          <w:sz w:val="18"/>
          <w:szCs w:val="18"/>
          <w:color w:val="auto"/>
        </w:rPr>
        <w:t>In each case, the later submitted vote will be recorded and the earlier vote revoked. Any written notice of a revocation of a proxy should be sent to Lennox International Inc., 2140 Lake Park Blvd., Richardson, Texas 75080, Attention: Corporate Secretary. To be effective, the revocation must be received by our Corporate Secretary before the taking of the vote at the Annual Meeting.</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beneficial owners, please follow the instructions provided by your broker or bank.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Other Business</w:t>
      </w:r>
    </w:p>
    <w:p>
      <w:pPr>
        <w:spacing w:after="0" w:line="169"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are not aware of any other business to be acted upon at the Annual Meeting other than the Proposals described in this Proxy Statement. However, if you have voted by proxy and other matters are properly presented at the Annual Meeting for consideration in accordance with our Bylaws, the persons named in the accompanying Proxy Card will have discretion to act on those matters according to their best judgment or the Board’s recommendation.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Adjournment of the Annual Meeting</w:t>
      </w:r>
    </w:p>
    <w:p>
      <w:pPr>
        <w:spacing w:after="0" w:line="15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the event of a technical malfunction or situation that makes it advisable to adjourn the Annual Meeting, the Chair will convene the meeting at 10:30 a.m., CDT, on May 22, 2025, at the Company’s principal business address solely for the purpose of adjourning the meeting to reconvene at a date, time, and location announced by the Chair. If this happens, more information will be provided at www.investor.lennox.com.</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Proxy Materials and Solicitation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Notice and Access</w:t>
      </w:r>
    </w:p>
    <w:p>
      <w:pPr>
        <w:spacing w:after="0" w:line="156"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We have elected to deliver our proxy materials to the majority of our stockholders over the internet. This delivery process allows us to provide stockholders with the information they need while conserving natural resources and lowering the cost of delivery. On or about April 9, 2025, we mailed to our stockholders a Notice of Internet Availability of Proxy Materials containing instructions on how to access our Proxy Statement for our 2025 Annual Meeting of Stockholders and 2024 Annual Report on Form 10-K to stockholders. The Notice also provides instructions on how to vote online or by telephone and includes instructions on how to receive a paper copy of the proxy materials by mail.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Proxy Solicitation</w:t>
      </w:r>
    </w:p>
    <w:p>
      <w:pPr>
        <w:spacing w:after="0" w:line="15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We will pay for the cost of this proxy solicitation. In addition to solicitation by mail, our directors, officers, and employees may solicit</w:t>
      </w:r>
    </w:p>
    <w:p>
      <w:pPr>
        <w:spacing w:after="0" w:line="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proxies from stockholders by telephone, facsimile, email, or in person. They will not be paid for soliciting proxies but may be reimbursed for out-of-pocket expenses related to the proxy solicitation. We have retained Georgeson LLC to assist in the solicitation of proxies for a fee of $12,000 plus reimbursement of expenses. We will also make arrangements with brokerage houses and other custodians, nominees, and fiduciaries to send the proxy materials to beneficial owners of our common stock. Upon request, we will reimburse the brokerage houses and custodians for their reasonable expenses in so doing.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Multiple Stockholders Sharing the Same Address</w:t>
      </w:r>
    </w:p>
    <w:p>
      <w:pPr>
        <w:spacing w:after="0" w:line="15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who have the same full name and address and will receive only one copy of our proxy materials or Notice of Internet Availability of Proxy Materials, as applicable. This procedure helps reduce our printing costs and postage fees. Stockholders who participate in householding and receive a full set of proxy materials will continue to receive separate Proxy Cards.</w:t>
      </w:r>
    </w:p>
    <w:p>
      <w:pPr>
        <w:spacing w:after="0" w:line="130"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Please contact our Investor Relations department by telephone at (972) 497-5000 or in writing at 2140 Lake Park Blvd., Richardson, Texas 75080, Attention: Investor Relations, investor@lennox.com if you now receive (1) multiple copies of our proxy materials or Notice of Internet Availability of Proxy Materials and wish to receive only one copy of these materials per household in the future, or (2) a single copy of our proxy materials or Notice of Internet Availability of Proxy Materials and wish to receive separate copies of these materials in the future. If you participate in householding and wish to receive a separate copy of these documents for the Annual Meeting, please notify our Investor Relations department as indicated above and we will promptly send you a separate copy.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Form 10-K</w:t>
      </w:r>
    </w:p>
    <w:p>
      <w:pPr>
        <w:spacing w:after="0" w:line="15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If you are entitled to vote at the Annual Meeting, you may obtain a copy of our Annual Report on Form 10-K for the fiscal year ended December 31, 2024, including the financial statements required to be filed with the SEC, without charge, by contacting our Investor Relations department by telephone at (972) 497-5000 or in writing at 2140 Lake Park Blvd., Richardson, Texas 75080, Attention: Investor Relations, investor@lennox.com.</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C60C35"/>
        </w:rPr>
        <w:t>Stockholder Proposals for the 2026 Annual Meeting of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Proposals for Inclusion in the 2026 Proxy Statement</w:t>
      </w:r>
    </w:p>
    <w:p>
      <w:pPr>
        <w:spacing w:after="0" w:line="16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If you wish to submit a proposal for possible inclusion in our 2026 proxy statement, we must receive your notice, in accordance with the rules of the SEC, on or before December 10, 2025. The proposal should be sent in writing to 2140 Lake Park Blvd., Richardson, Texas 75080, Attention: Corporate Secretary. We suggest that all such proposals be sent by certified mail, return receipt requested.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Proposals Not for Inclusion in the 2026 Proxy Statement But to be Offered at the 2026 Annual Meeting</w:t>
      </w:r>
    </w:p>
    <w:p>
      <w:pPr>
        <w:spacing w:after="0" w:line="156"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If you wish to introduce a proposal at the 2026 Annual Meeting of Stockholders but do not submit your proposal for inclusion in our proxy statement to be filed in 2026, our Bylaws require you to follow certain procedures and provide certain information and representations related to your proposal. Among other requirements, you must give written notice to our Corporate Secretary of your intention to introduce your proposal and must represent that (1) you are a stockholder of record of Company stock entitled to vote at the annual meeting and (2) you intend to personally present your proposal at the annual meeting. We must receive your notice at least 60 days, but no more than 90 days, prior to the 2026 Annual Meeting of Stockholders. If we give less than 70 days’ notice of the date of the 2026 Annual Meeting of Stockholders, we must receive your notice within 10 days following the date on which notice of the date of the 2026 Annual Meeting of Stockholders was mailed or such public disclosure was made to our stockholders.</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Your notice must include certain information about you, your proposal, and any person “acting in concert” with you and why implementation of your proposal would be in the best interest of the Company and its stockholders. Your notice must also include the shares of the Company’s stock you beneficially own (including any option, warrant or similar right and any other direct or indirect right or interest that may enable you to share in any profit, or manage the risk, from any change in the value of the Company’s stock), any proxy or other right you hold to vote the Company’s stock (or any similar right which has the effect of increasing or decreasing your voting power), performance-related fees which you would be entitled to as a result of any change in the value of the Company’s stock, any material interest you have in your proposal, and any other information required to disclosed in a proxy statement. Depending on the nature of the proposal, additional information may be required. If you do not appear at the meeting to represent your proposal, your proposal will be disregarded.</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Cautionary Statement Regarding Forward-Looking Statements</w:t>
      </w:r>
    </w:p>
    <w:p>
      <w:pPr>
        <w:spacing w:after="0" w:line="108"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(the “Securities Act”), and Section 21E of the Exchange Act that are based on information currently available to management as well as management’s assumptions and beliefs as of the date hereof. All statements, other than statements of historical fact, included in this Proxy Statement constitute forward-looking statements within the meaning of the Private Securities Litigation Reform Act of 1995. Forward-looking statements can be identified by the words “may,” “will,” “should,” “plan,” “predict,” “anticipate,” “believe,” “intend,” “estimate,”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inability to execute on strategies related to environmental- and social-related goals and targets (including due to delays in scientific and technological developments), as well as the other specific uncertainties discussed in the risk factors set forth in Item 1A. Risk Factors of our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130" w:lineRule="exact"/>
        <w:rPr>
          <w:sz w:val="20"/>
          <w:szCs w:val="20"/>
          <w:color w:val="auto"/>
        </w:rPr>
      </w:pPr>
    </w:p>
    <w:p>
      <w:pPr>
        <w:ind w:right="500" w:firstLine="324"/>
        <w:spacing w:after="0" w:line="271" w:lineRule="auto"/>
        <w:rPr>
          <w:sz w:val="20"/>
          <w:szCs w:val="20"/>
          <w:color w:val="auto"/>
        </w:rPr>
      </w:pPr>
      <w:r>
        <w:rPr>
          <w:rFonts w:ascii="Arial" w:cs="Arial" w:eastAsia="Arial" w:hAnsi="Arial"/>
          <w:sz w:val="18"/>
          <w:szCs w:val="18"/>
          <w:color w:val="auto"/>
        </w:rPr>
        <w:t>The following are some of the factors that could cause actual results to differ materially from those expressed or implied in forward-looking statements:</w:t>
      </w:r>
    </w:p>
    <w:p>
      <w:pPr>
        <w:spacing w:after="0" w:line="113"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competition in the heating, ventilation, air conditioning and refrigeration business;</w:t>
      </w:r>
    </w:p>
    <w:p>
      <w:pPr>
        <w:spacing w:after="0" w:line="157" w:lineRule="exact"/>
        <w:rPr>
          <w:rFonts w:ascii="Arial" w:cs="Arial" w:eastAsia="Arial" w:hAnsi="Arial"/>
          <w:sz w:val="18"/>
          <w:szCs w:val="18"/>
          <w:color w:val="auto"/>
        </w:rPr>
      </w:pPr>
    </w:p>
    <w:p>
      <w:pPr>
        <w:ind w:left="660" w:right="180" w:hanging="328"/>
        <w:spacing w:after="0" w:line="27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or execute our business strategy, including the implementation of price increases for products and services;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ability to meet and anticipate customer demands;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ability to continue to license or enforce our intellectual property rights;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79" w:name="page80"/>
    <w:bookmarkEnd w:id="79"/>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ability to attract, motivate, develop and retain our employees, as well as labor relations problems;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artificial intelligence technologies;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decline in new construction activity and related demand for our products and services;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impact of weather on our business;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impact of higher raw material prices and significant supply interruptions;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product liability, warranty claims, or recalls;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changes in environmental and climate-related legislation or government regulations or policies;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changes in tax legislation;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impact of new or increased trade tariffs;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improper conduct by any of our employees, agents, or business partners;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 abroad;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extraordinary events beyond our control, such as conflicts, wars, natural disasters, public health crises, or terrorist acts;</w:t>
      </w:r>
    </w:p>
    <w:p>
      <w:pPr>
        <w:spacing w:after="0" w:line="169" w:lineRule="exact"/>
        <w:rPr>
          <w:rFonts w:ascii="Arial" w:cs="Arial" w:eastAsia="Arial" w:hAnsi="Arial"/>
          <w:sz w:val="17"/>
          <w:szCs w:val="17"/>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cyber attacks and other disruptions or misuse of information systems; and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ability to successfully realize, complete and integrate acquisitions.</w:t>
      </w:r>
    </w:p>
    <w:p>
      <w:pPr>
        <w:spacing w:after="0" w:line="200" w:lineRule="exact"/>
        <w:rPr>
          <w:sz w:val="20"/>
          <w:szCs w:val="20"/>
          <w:color w:val="auto"/>
        </w:rPr>
      </w:pPr>
    </w:p>
    <w:p>
      <w:pPr>
        <w:spacing w:after="0" w:line="241" w:lineRule="exact"/>
        <w:rPr>
          <w:sz w:val="20"/>
          <w:szCs w:val="20"/>
          <w:color w:val="auto"/>
        </w:rPr>
      </w:pPr>
    </w:p>
    <w:p>
      <w:pPr>
        <w:ind w:left="5288"/>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167640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769" w:right="1440"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29"/>
          <w:szCs w:val="29"/>
          <w:b w:val="1"/>
          <w:bCs w:val="1"/>
          <w:color w:val="C60C35"/>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5175" cy="8890"/>
                    </a:xfrm>
                    <a:prstGeom prst="rect">
                      <a:avLst/>
                    </a:prstGeom>
                    <a:noFill/>
                  </pic:spPr>
                </pic:pic>
              </a:graphicData>
            </a:graphic>
          </wp:anchor>
        </w:drawing>
        <w:t>Appendix A – 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1151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0" w:lineRule="exact"/>
        <w:rPr>
          <w:sz w:val="20"/>
          <w:szCs w:val="20"/>
          <w:color w:val="auto"/>
        </w:rPr>
      </w:pPr>
    </w:p>
    <w:p>
      <w:pPr>
        <w:ind w:right="4100"/>
        <w:spacing w:after="0" w:line="281" w:lineRule="auto"/>
        <w:rPr>
          <w:sz w:val="20"/>
          <w:szCs w:val="20"/>
          <w:color w:val="auto"/>
        </w:rPr>
      </w:pPr>
      <w:r>
        <w:rPr>
          <w:rFonts w:ascii="Arial" w:cs="Arial" w:eastAsia="Arial" w:hAnsi="Arial"/>
          <w:sz w:val="18"/>
          <w:szCs w:val="18"/>
          <w:b w:val="1"/>
          <w:bCs w:val="1"/>
          <w:color w:val="C60C35"/>
        </w:rPr>
        <w:t>Reconciliation to U.S. GAAP (Generally Accepted Accounting Principles) Measures (Unaudited)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supplement the Company's consolidated financial statements and segment net sales and profit (loss) presented in accordance with</w:t>
      </w:r>
    </w:p>
    <w:p>
      <w:pPr>
        <w:spacing w:after="0" w:line="3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U.S. GAAP, additional non-GAAP financial measures are provided and reconciled in the following tables. The Company believes that these non-GAAP financial measures, when considered together with the GAAP financial measures, provide information that is useful to investors in understanding period-over-period operating results and enhance the ability of investors to analyze the Company's business trends and operating performance.</w:t>
      </w:r>
    </w:p>
    <w:p>
      <w:pPr>
        <w:spacing w:after="0" w:line="121" w:lineRule="exact"/>
        <w:rPr>
          <w:sz w:val="20"/>
          <w:szCs w:val="20"/>
          <w:color w:val="auto"/>
        </w:rPr>
      </w:pPr>
    </w:p>
    <w:p>
      <w:pPr>
        <w:ind w:right="580" w:firstLine="324"/>
        <w:spacing w:after="0" w:line="271" w:lineRule="auto"/>
        <w:rPr>
          <w:sz w:val="20"/>
          <w:szCs w:val="20"/>
          <w:color w:val="auto"/>
        </w:rPr>
      </w:pPr>
      <w:r>
        <w:rPr>
          <w:rFonts w:ascii="Arial" w:cs="Arial" w:eastAsia="Arial" w:hAnsi="Arial"/>
          <w:sz w:val="18"/>
          <w:szCs w:val="18"/>
          <w:color w:val="auto"/>
        </w:rPr>
        <w:t>In our reconciliation of Net Income, a GAAP measure, to Adjusted net income, a Non-GAAP measure, certain items are no longer excluded from GAAP net income for the periods related to 2024 in the table presented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Core Revenue and Adjusted Segment Profit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40" w:type="dxa"/>
            <w:vAlign w:val="bottom"/>
            <w:shd w:val="clear" w:color="auto" w:fill="C6093B"/>
          </w:tcPr>
          <w:p>
            <w:pPr>
              <w:spacing w:after="0"/>
              <w:rPr>
                <w:sz w:val="16"/>
                <w:szCs w:val="16"/>
                <w:color w:val="auto"/>
              </w:rPr>
            </w:pPr>
          </w:p>
        </w:tc>
        <w:tc>
          <w:tcPr>
            <w:tcW w:w="1960" w:type="dxa"/>
            <w:vAlign w:val="bottom"/>
            <w:gridSpan w:val="2"/>
            <w:shd w:val="clear" w:color="auto" w:fill="C6093B"/>
          </w:tcPr>
          <w:p>
            <w:pPr>
              <w:jc w:val="right"/>
              <w:ind w:right="120"/>
              <w:spacing w:after="0"/>
              <w:rPr>
                <w:sz w:val="20"/>
                <w:szCs w:val="20"/>
                <w:color w:val="auto"/>
              </w:rPr>
            </w:pPr>
            <w:r>
              <w:rPr>
                <w:rFonts w:ascii="Arial" w:cs="Arial" w:eastAsia="Arial" w:hAnsi="Arial"/>
                <w:sz w:val="14"/>
                <w:szCs w:val="14"/>
                <w:b w:val="1"/>
                <w:bCs w:val="1"/>
                <w:color w:val="FFFFFF"/>
              </w:rPr>
              <w:t>For the Year Ended</w:t>
            </w:r>
          </w:p>
        </w:tc>
        <w:tc>
          <w:tcPr>
            <w:tcW w:w="1900" w:type="dxa"/>
            <w:vAlign w:val="bottom"/>
            <w:shd w:val="clear" w:color="auto" w:fill="C6093B"/>
          </w:tcPr>
          <w:p>
            <w:pPr>
              <w:jc w:val="right"/>
              <w:ind w:right="88"/>
              <w:spacing w:after="0"/>
              <w:rPr>
                <w:sz w:val="20"/>
                <w:szCs w:val="20"/>
                <w:color w:val="auto"/>
              </w:rPr>
            </w:pPr>
            <w:r>
              <w:rPr>
                <w:rFonts w:ascii="Arial" w:cs="Arial" w:eastAsia="Arial" w:hAnsi="Arial"/>
                <w:sz w:val="14"/>
                <w:szCs w:val="14"/>
                <w:b w:val="1"/>
                <w:bCs w:val="1"/>
                <w:color w:val="FFFFFF"/>
              </w:rPr>
              <w:t>For the Year Ended</w:t>
            </w:r>
          </w:p>
        </w:tc>
      </w:tr>
      <w:tr>
        <w:trPr>
          <w:trHeight w:val="196"/>
        </w:trPr>
        <w:tc>
          <w:tcPr>
            <w:tcW w:w="7340" w:type="dxa"/>
            <w:vAlign w:val="bottom"/>
            <w:shd w:val="clear" w:color="auto" w:fill="C6093B"/>
          </w:tcPr>
          <w:p>
            <w:pPr>
              <w:spacing w:after="0"/>
              <w:rPr>
                <w:sz w:val="17"/>
                <w:szCs w:val="17"/>
                <w:color w:val="auto"/>
              </w:rPr>
            </w:pPr>
          </w:p>
        </w:tc>
        <w:tc>
          <w:tcPr>
            <w:tcW w:w="1960" w:type="dxa"/>
            <w:vAlign w:val="bottom"/>
            <w:gridSpan w:val="2"/>
            <w:shd w:val="clear" w:color="auto" w:fill="C6093B"/>
          </w:tcPr>
          <w:p>
            <w:pPr>
              <w:jc w:val="right"/>
              <w:ind w:right="120"/>
              <w:spacing w:after="0"/>
              <w:rPr>
                <w:sz w:val="20"/>
                <w:szCs w:val="20"/>
                <w:color w:val="auto"/>
              </w:rPr>
            </w:pPr>
            <w:r>
              <w:rPr>
                <w:rFonts w:ascii="Arial" w:cs="Arial" w:eastAsia="Arial" w:hAnsi="Arial"/>
                <w:sz w:val="14"/>
                <w:szCs w:val="14"/>
                <w:b w:val="1"/>
                <w:bCs w:val="1"/>
                <w:color w:val="FFFFFF"/>
              </w:rPr>
              <w:t>December 31, 2024</w:t>
            </w:r>
          </w:p>
        </w:tc>
        <w:tc>
          <w:tcPr>
            <w:tcW w:w="1900" w:type="dxa"/>
            <w:vAlign w:val="bottom"/>
            <w:shd w:val="clear" w:color="auto" w:fill="C6093B"/>
          </w:tcPr>
          <w:p>
            <w:pPr>
              <w:jc w:val="right"/>
              <w:ind w:right="88"/>
              <w:spacing w:after="0"/>
              <w:rPr>
                <w:sz w:val="20"/>
                <w:szCs w:val="20"/>
                <w:color w:val="auto"/>
              </w:rPr>
            </w:pPr>
            <w:r>
              <w:rPr>
                <w:rFonts w:ascii="Arial" w:cs="Arial" w:eastAsia="Arial" w:hAnsi="Arial"/>
                <w:sz w:val="14"/>
                <w:szCs w:val="14"/>
                <w:b w:val="1"/>
                <w:bCs w:val="1"/>
                <w:color w:val="FFFFFF"/>
              </w:rPr>
              <w:t>December 31, 2023</w:t>
            </w:r>
          </w:p>
        </w:tc>
      </w:tr>
      <w:tr>
        <w:trPr>
          <w:trHeight w:val="69"/>
        </w:trPr>
        <w:tc>
          <w:tcPr>
            <w:tcW w:w="7340" w:type="dxa"/>
            <w:vAlign w:val="bottom"/>
            <w:shd w:val="clear" w:color="auto" w:fill="C6093B"/>
          </w:tcPr>
          <w:p>
            <w:pPr>
              <w:spacing w:after="0"/>
              <w:rPr>
                <w:sz w:val="6"/>
                <w:szCs w:val="6"/>
                <w:color w:val="auto"/>
              </w:rPr>
            </w:pPr>
          </w:p>
        </w:tc>
        <w:tc>
          <w:tcPr>
            <w:tcW w:w="1860" w:type="dxa"/>
            <w:vAlign w:val="bottom"/>
            <w:shd w:val="clear" w:color="auto" w:fill="C6093B"/>
          </w:tcPr>
          <w:p>
            <w:pPr>
              <w:spacing w:after="0"/>
              <w:rPr>
                <w:sz w:val="6"/>
                <w:szCs w:val="6"/>
                <w:color w:val="auto"/>
              </w:rPr>
            </w:pPr>
          </w:p>
        </w:tc>
        <w:tc>
          <w:tcPr>
            <w:tcW w:w="100" w:type="dxa"/>
            <w:vAlign w:val="bottom"/>
            <w:shd w:val="clear" w:color="auto" w:fill="C6093B"/>
          </w:tcPr>
          <w:p>
            <w:pPr>
              <w:spacing w:after="0"/>
              <w:rPr>
                <w:sz w:val="6"/>
                <w:szCs w:val="6"/>
                <w:color w:val="auto"/>
              </w:rPr>
            </w:pPr>
          </w:p>
        </w:tc>
        <w:tc>
          <w:tcPr>
            <w:tcW w:w="1900" w:type="dxa"/>
            <w:vAlign w:val="bottom"/>
            <w:shd w:val="clear" w:color="auto" w:fill="C6093B"/>
          </w:tcPr>
          <w:p>
            <w:pPr>
              <w:spacing w:after="0"/>
              <w:rPr>
                <w:sz w:val="6"/>
                <w:szCs w:val="6"/>
                <w:color w:val="auto"/>
              </w:rPr>
            </w:pPr>
          </w:p>
        </w:tc>
      </w:tr>
      <w:tr>
        <w:trPr>
          <w:trHeight w:val="200"/>
        </w:trPr>
        <w:tc>
          <w:tcPr>
            <w:tcW w:w="73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Sales</w:t>
            </w:r>
          </w:p>
        </w:tc>
        <w:tc>
          <w:tcPr>
            <w:tcW w:w="186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1900" w:type="dxa"/>
            <w:vAlign w:val="bottom"/>
            <w:shd w:val="clear" w:color="auto" w:fill="F1F2F2"/>
          </w:tcPr>
          <w:p>
            <w:pPr>
              <w:spacing w:after="0"/>
              <w:rPr>
                <w:sz w:val="17"/>
                <w:szCs w:val="17"/>
                <w:color w:val="auto"/>
              </w:rPr>
            </w:pPr>
          </w:p>
        </w:tc>
      </w:tr>
      <w:tr>
        <w:trPr>
          <w:trHeight w:val="70"/>
        </w:trPr>
        <w:tc>
          <w:tcPr>
            <w:tcW w:w="7340" w:type="dxa"/>
            <w:vAlign w:val="bottom"/>
            <w:shd w:val="clear" w:color="auto" w:fill="F1F2F2"/>
          </w:tcPr>
          <w:p>
            <w:pPr>
              <w:spacing w:after="0"/>
              <w:rPr>
                <w:sz w:val="6"/>
                <w:szCs w:val="6"/>
                <w:color w:val="auto"/>
              </w:rPr>
            </w:pPr>
          </w:p>
        </w:tc>
        <w:tc>
          <w:tcPr>
            <w:tcW w:w="186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1900" w:type="dxa"/>
            <w:vAlign w:val="bottom"/>
            <w:shd w:val="clear" w:color="auto" w:fill="F1F2F2"/>
          </w:tcPr>
          <w:p>
            <w:pPr>
              <w:spacing w:after="0"/>
              <w:rPr>
                <w:sz w:val="6"/>
                <w:szCs w:val="6"/>
                <w:color w:val="auto"/>
              </w:rPr>
            </w:pPr>
          </w:p>
        </w:tc>
      </w:tr>
      <w:tr>
        <w:trPr>
          <w:trHeight w:val="208"/>
        </w:trPr>
        <w:tc>
          <w:tcPr>
            <w:tcW w:w="7340" w:type="dxa"/>
            <w:vAlign w:val="bottom"/>
          </w:tcPr>
          <w:p>
            <w:pPr>
              <w:ind w:left="260"/>
              <w:spacing w:after="0"/>
              <w:rPr>
                <w:sz w:val="20"/>
                <w:szCs w:val="20"/>
                <w:color w:val="auto"/>
              </w:rPr>
            </w:pPr>
            <w:r>
              <w:rPr>
                <w:rFonts w:ascii="Arial" w:cs="Arial" w:eastAsia="Arial" w:hAnsi="Arial"/>
                <w:sz w:val="14"/>
                <w:szCs w:val="14"/>
                <w:color w:val="auto"/>
              </w:rPr>
              <w:t>Home Comfort Solutions</w:t>
            </w:r>
          </w:p>
        </w:tc>
        <w:tc>
          <w:tcPr>
            <w:tcW w:w="1860" w:type="dxa"/>
            <w:vAlign w:val="bottom"/>
          </w:tcPr>
          <w:p>
            <w:pPr>
              <w:jc w:val="right"/>
              <w:spacing w:after="0"/>
              <w:rPr>
                <w:sz w:val="20"/>
                <w:szCs w:val="20"/>
                <w:color w:val="auto"/>
              </w:rPr>
            </w:pPr>
            <w:r>
              <w:rPr>
                <w:rFonts w:ascii="Arial" w:cs="Arial" w:eastAsia="Arial" w:hAnsi="Arial"/>
                <w:sz w:val="14"/>
                <w:szCs w:val="14"/>
                <w:color w:val="auto"/>
              </w:rPr>
              <w:t>$3,577</w:t>
            </w:r>
          </w:p>
        </w:tc>
        <w:tc>
          <w:tcPr>
            <w:tcW w:w="100" w:type="dxa"/>
            <w:vAlign w:val="bottom"/>
          </w:tcPr>
          <w:p>
            <w:pPr>
              <w:spacing w:after="0"/>
              <w:rPr>
                <w:sz w:val="18"/>
                <w:szCs w:val="18"/>
                <w:color w:val="auto"/>
              </w:rPr>
            </w:pP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$3,223</w:t>
            </w:r>
          </w:p>
        </w:tc>
      </w:tr>
      <w:tr>
        <w:trPr>
          <w:trHeight w:val="22"/>
        </w:trPr>
        <w:tc>
          <w:tcPr>
            <w:tcW w:w="7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734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Building Climate Solutions</w:t>
            </w:r>
          </w:p>
        </w:tc>
        <w:tc>
          <w:tcPr>
            <w:tcW w:w="18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1,764</w:t>
            </w:r>
          </w:p>
        </w:tc>
        <w:tc>
          <w:tcPr>
            <w:tcW w:w="100" w:type="dxa"/>
            <w:vAlign w:val="bottom"/>
            <w:tcBorders>
              <w:bottom w:val="single" w:sz="8" w:color="F1F2F2"/>
            </w:tcBorders>
            <w:shd w:val="clear" w:color="auto" w:fill="F1F2F2"/>
          </w:tcPr>
          <w:p>
            <w:pPr>
              <w:spacing w:after="0"/>
              <w:rPr>
                <w:sz w:val="18"/>
                <w:szCs w:val="18"/>
                <w:color w:val="auto"/>
              </w:rPr>
            </w:pPr>
          </w:p>
        </w:tc>
        <w:tc>
          <w:tcPr>
            <w:tcW w:w="19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1,511</w:t>
            </w:r>
          </w:p>
        </w:tc>
      </w:tr>
      <w:tr>
        <w:trPr>
          <w:trHeight w:val="229"/>
        </w:trPr>
        <w:tc>
          <w:tcPr>
            <w:tcW w:w="7340" w:type="dxa"/>
            <w:vAlign w:val="bottom"/>
          </w:tcPr>
          <w:p>
            <w:pPr>
              <w:ind w:left="260"/>
              <w:spacing w:after="0"/>
              <w:rPr>
                <w:sz w:val="20"/>
                <w:szCs w:val="20"/>
                <w:color w:val="auto"/>
              </w:rPr>
            </w:pPr>
            <w:r>
              <w:rPr>
                <w:rFonts w:ascii="Arial" w:cs="Arial" w:eastAsia="Arial" w:hAnsi="Arial"/>
                <w:sz w:val="14"/>
                <w:szCs w:val="14"/>
                <w:color w:val="auto"/>
              </w:rPr>
              <w:t>Corporate and other</w:t>
            </w:r>
            <w:r>
              <w:rPr>
                <w:rFonts w:ascii="Arial" w:cs="Arial" w:eastAsia="Arial" w:hAnsi="Arial"/>
                <w:sz w:val="18"/>
                <w:szCs w:val="18"/>
                <w:color w:val="auto"/>
                <w:vertAlign w:val="superscript"/>
              </w:rPr>
              <w:t>(1)</w:t>
            </w:r>
          </w:p>
        </w:tc>
        <w:tc>
          <w:tcPr>
            <w:tcW w:w="1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248</w:t>
            </w:r>
          </w:p>
        </w:tc>
      </w:tr>
      <w:tr>
        <w:trPr>
          <w:trHeight w:val="223"/>
        </w:trPr>
        <w:tc>
          <w:tcPr>
            <w:tcW w:w="7340" w:type="dxa"/>
            <w:vAlign w:val="bottom"/>
            <w:tcBorders>
              <w:top w:val="single" w:sz="8" w:color="F1F2F2"/>
            </w:tcBorders>
            <w:shd w:val="clear" w:color="auto" w:fill="F1F2F2"/>
          </w:tcPr>
          <w:p>
            <w:pPr>
              <w:ind w:left="180"/>
              <w:spacing w:after="0"/>
              <w:rPr>
                <w:sz w:val="20"/>
                <w:szCs w:val="20"/>
                <w:color w:val="auto"/>
              </w:rPr>
            </w:pPr>
            <w:r>
              <w:rPr>
                <w:rFonts w:ascii="Arial" w:cs="Arial" w:eastAsia="Arial" w:hAnsi="Arial"/>
                <w:sz w:val="14"/>
                <w:szCs w:val="14"/>
                <w:b w:val="1"/>
                <w:bCs w:val="1"/>
                <w:color w:val="auto"/>
              </w:rPr>
              <w:t>Net sales, a GAAP measure</w:t>
            </w:r>
          </w:p>
        </w:tc>
        <w:tc>
          <w:tcPr>
            <w:tcW w:w="186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$5,341</w:t>
            </w:r>
          </w:p>
        </w:tc>
        <w:tc>
          <w:tcPr>
            <w:tcW w:w="100" w:type="dxa"/>
            <w:vAlign w:val="bottom"/>
            <w:tcBorders>
              <w:top w:val="single" w:sz="8" w:color="F1F2F2"/>
            </w:tcBorders>
            <w:shd w:val="clear" w:color="auto" w:fill="F1F2F2"/>
          </w:tcPr>
          <w:p>
            <w:pPr>
              <w:spacing w:after="0"/>
              <w:rPr>
                <w:sz w:val="19"/>
                <w:szCs w:val="19"/>
                <w:color w:val="auto"/>
              </w:rPr>
            </w:pPr>
          </w:p>
        </w:tc>
        <w:tc>
          <w:tcPr>
            <w:tcW w:w="1900" w:type="dxa"/>
            <w:vAlign w:val="bottom"/>
            <w:tcBorders>
              <w:top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$4,982</w:t>
            </w:r>
          </w:p>
        </w:tc>
      </w:tr>
      <w:tr>
        <w:trPr>
          <w:trHeight w:val="229"/>
        </w:trPr>
        <w:tc>
          <w:tcPr>
            <w:tcW w:w="7340" w:type="dxa"/>
            <w:vAlign w:val="bottom"/>
          </w:tcPr>
          <w:p>
            <w:pPr>
              <w:ind w:left="260"/>
              <w:spacing w:after="0"/>
              <w:rPr>
                <w:sz w:val="20"/>
                <w:szCs w:val="20"/>
                <w:color w:val="auto"/>
              </w:rPr>
            </w:pPr>
            <w:r>
              <w:rPr>
                <w:rFonts w:ascii="Arial" w:cs="Arial" w:eastAsia="Arial" w:hAnsi="Arial"/>
                <w:sz w:val="14"/>
                <w:szCs w:val="14"/>
                <w:color w:val="auto"/>
              </w:rPr>
              <w:t>Net sales from non-core businesses</w:t>
            </w:r>
            <w:r>
              <w:rPr>
                <w:rFonts w:ascii="Arial" w:cs="Arial" w:eastAsia="Arial" w:hAnsi="Arial"/>
                <w:sz w:val="18"/>
                <w:szCs w:val="18"/>
                <w:color w:val="auto"/>
                <w:vertAlign w:val="superscript"/>
              </w:rPr>
              <w:t>(1)</w:t>
            </w:r>
          </w:p>
        </w:tc>
        <w:tc>
          <w:tcPr>
            <w:tcW w:w="1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248</w:t>
            </w:r>
          </w:p>
        </w:tc>
      </w:tr>
      <w:tr>
        <w:trPr>
          <w:trHeight w:val="242"/>
        </w:trPr>
        <w:tc>
          <w:tcPr>
            <w:tcW w:w="7340" w:type="dxa"/>
            <w:vAlign w:val="bottom"/>
            <w:tcBorders>
              <w:top w:val="single" w:sz="8" w:color="F1F2F2"/>
              <w:bottom w:val="single" w:sz="8" w:color="F1F2F2"/>
            </w:tcBorders>
            <w:shd w:val="clear" w:color="auto" w:fill="F1F2F2"/>
          </w:tcPr>
          <w:p>
            <w:pPr>
              <w:ind w:left="180"/>
              <w:spacing w:after="0"/>
              <w:rPr>
                <w:sz w:val="20"/>
                <w:szCs w:val="20"/>
                <w:color w:val="auto"/>
              </w:rPr>
            </w:pPr>
            <w:r>
              <w:rPr>
                <w:rFonts w:ascii="Arial" w:cs="Arial" w:eastAsia="Arial" w:hAnsi="Arial"/>
                <w:sz w:val="14"/>
                <w:szCs w:val="14"/>
                <w:b w:val="1"/>
                <w:bCs w:val="1"/>
                <w:color w:val="auto"/>
              </w:rPr>
              <w:t>Core Net Sales, a non-GAAP measure</w:t>
            </w:r>
          </w:p>
        </w:tc>
        <w:tc>
          <w:tcPr>
            <w:tcW w:w="1860" w:type="dxa"/>
            <w:vAlign w:val="bottom"/>
            <w:tcBorders>
              <w:top w:val="single" w:sz="8" w:color="auto"/>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$5,341</w:t>
            </w:r>
          </w:p>
        </w:tc>
        <w:tc>
          <w:tcPr>
            <w:tcW w:w="100" w:type="dxa"/>
            <w:vAlign w:val="bottom"/>
            <w:tcBorders>
              <w:top w:val="single" w:sz="8" w:color="F1F2F2"/>
              <w:bottom w:val="single" w:sz="8" w:color="F1F2F2"/>
            </w:tcBorders>
            <w:shd w:val="clear" w:color="auto" w:fill="F1F2F2"/>
          </w:tcPr>
          <w:p>
            <w:pPr>
              <w:spacing w:after="0"/>
              <w:rPr>
                <w:sz w:val="20"/>
                <w:szCs w:val="20"/>
                <w:color w:val="auto"/>
              </w:rPr>
            </w:pPr>
          </w:p>
        </w:tc>
        <w:tc>
          <w:tcPr>
            <w:tcW w:w="1900" w:type="dxa"/>
            <w:vAlign w:val="bottom"/>
            <w:tcBorders>
              <w:top w:val="single" w:sz="8" w:color="auto"/>
              <w:bottom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$4,734</w:t>
            </w:r>
          </w:p>
        </w:tc>
      </w:tr>
      <w:tr>
        <w:trPr>
          <w:trHeight w:val="20"/>
        </w:trPr>
        <w:tc>
          <w:tcPr>
            <w:tcW w:w="7340" w:type="dxa"/>
            <w:vAlign w:val="bottom"/>
            <w:tcBorders>
              <w:top w:val="single" w:sz="8" w:color="F1F2F2"/>
            </w:tcBorders>
          </w:tcPr>
          <w:p>
            <w:pPr>
              <w:spacing w:after="0" w:line="20" w:lineRule="exact"/>
              <w:rPr>
                <w:sz w:val="1"/>
                <w:szCs w:val="1"/>
                <w:color w:val="auto"/>
              </w:rPr>
            </w:pPr>
          </w:p>
        </w:tc>
        <w:tc>
          <w:tcPr>
            <w:tcW w:w="1860" w:type="dxa"/>
            <w:vAlign w:val="bottom"/>
            <w:tcBorders>
              <w:top w:val="single" w:sz="8" w:color="F1F2F2"/>
              <w:bottom w:val="single" w:sz="8" w:color="auto"/>
            </w:tcBorders>
          </w:tcPr>
          <w:p>
            <w:pPr>
              <w:spacing w:after="0" w:line="20" w:lineRule="exact"/>
              <w:rPr>
                <w:sz w:val="1"/>
                <w:szCs w:val="1"/>
                <w:color w:val="auto"/>
              </w:rPr>
            </w:pPr>
          </w:p>
        </w:tc>
        <w:tc>
          <w:tcPr>
            <w:tcW w:w="100" w:type="dxa"/>
            <w:vAlign w:val="bottom"/>
            <w:tcBorders>
              <w:top w:val="single" w:sz="8" w:color="F1F2F2"/>
            </w:tcBorders>
          </w:tcPr>
          <w:p>
            <w:pPr>
              <w:spacing w:after="0" w:line="20" w:lineRule="exact"/>
              <w:rPr>
                <w:sz w:val="1"/>
                <w:szCs w:val="1"/>
                <w:color w:val="auto"/>
              </w:rPr>
            </w:pPr>
          </w:p>
        </w:tc>
        <w:tc>
          <w:tcPr>
            <w:tcW w:w="1900" w:type="dxa"/>
            <w:vAlign w:val="bottom"/>
            <w:tcBorders>
              <w:top w:val="single" w:sz="8" w:color="F1F2F2"/>
              <w:bottom w:val="single" w:sz="8" w:color="auto"/>
            </w:tcBorders>
          </w:tcPr>
          <w:p>
            <w:pPr>
              <w:spacing w:after="0" w:line="20" w:lineRule="exact"/>
              <w:rPr>
                <w:sz w:val="1"/>
                <w:szCs w:val="1"/>
                <w:color w:val="auto"/>
              </w:rPr>
            </w:pPr>
          </w:p>
        </w:tc>
      </w:tr>
      <w:tr>
        <w:trPr>
          <w:trHeight w:val="224"/>
        </w:trPr>
        <w:tc>
          <w:tcPr>
            <w:tcW w:w="7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4"/>
        </w:trPr>
        <w:tc>
          <w:tcPr>
            <w:tcW w:w="73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 Segment Profit</w:t>
            </w:r>
          </w:p>
        </w:tc>
        <w:tc>
          <w:tcPr>
            <w:tcW w:w="186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1900" w:type="dxa"/>
            <w:vAlign w:val="bottom"/>
            <w:shd w:val="clear" w:color="auto" w:fill="F1F2F2"/>
          </w:tcPr>
          <w:p>
            <w:pPr>
              <w:spacing w:after="0"/>
              <w:rPr>
                <w:sz w:val="18"/>
                <w:szCs w:val="18"/>
                <w:color w:val="auto"/>
              </w:rPr>
            </w:pPr>
          </w:p>
        </w:tc>
      </w:tr>
      <w:tr>
        <w:trPr>
          <w:trHeight w:val="70"/>
        </w:trPr>
        <w:tc>
          <w:tcPr>
            <w:tcW w:w="7340" w:type="dxa"/>
            <w:vAlign w:val="bottom"/>
            <w:shd w:val="clear" w:color="auto" w:fill="F1F2F2"/>
          </w:tcPr>
          <w:p>
            <w:pPr>
              <w:spacing w:after="0"/>
              <w:rPr>
                <w:sz w:val="6"/>
                <w:szCs w:val="6"/>
                <w:color w:val="auto"/>
              </w:rPr>
            </w:pPr>
          </w:p>
        </w:tc>
        <w:tc>
          <w:tcPr>
            <w:tcW w:w="186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1900" w:type="dxa"/>
            <w:vAlign w:val="bottom"/>
            <w:shd w:val="clear" w:color="auto" w:fill="F1F2F2"/>
          </w:tcPr>
          <w:p>
            <w:pPr>
              <w:spacing w:after="0"/>
              <w:rPr>
                <w:sz w:val="6"/>
                <w:szCs w:val="6"/>
                <w:color w:val="auto"/>
              </w:rPr>
            </w:pPr>
          </w:p>
        </w:tc>
      </w:tr>
      <w:tr>
        <w:trPr>
          <w:trHeight w:val="208"/>
        </w:trPr>
        <w:tc>
          <w:tcPr>
            <w:tcW w:w="7340" w:type="dxa"/>
            <w:vAlign w:val="bottom"/>
          </w:tcPr>
          <w:p>
            <w:pPr>
              <w:ind w:left="260"/>
              <w:spacing w:after="0"/>
              <w:rPr>
                <w:sz w:val="20"/>
                <w:szCs w:val="20"/>
                <w:color w:val="auto"/>
              </w:rPr>
            </w:pPr>
            <w:r>
              <w:rPr>
                <w:rFonts w:ascii="Arial" w:cs="Arial" w:eastAsia="Arial" w:hAnsi="Arial"/>
                <w:sz w:val="14"/>
                <w:szCs w:val="14"/>
                <w:color w:val="auto"/>
              </w:rPr>
              <w:t>Home Comfort Solutions</w:t>
            </w:r>
          </w:p>
        </w:tc>
        <w:tc>
          <w:tcPr>
            <w:tcW w:w="186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8"/>
                <w:szCs w:val="18"/>
                <w:color w:val="auto"/>
              </w:rPr>
            </w:pP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$610</w:t>
            </w:r>
          </w:p>
        </w:tc>
      </w:tr>
      <w:tr>
        <w:trPr>
          <w:trHeight w:val="22"/>
        </w:trPr>
        <w:tc>
          <w:tcPr>
            <w:tcW w:w="7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734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Building Climate Solutions</w:t>
            </w:r>
          </w:p>
        </w:tc>
        <w:tc>
          <w:tcPr>
            <w:tcW w:w="18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F1F2F2"/>
            </w:tcBorders>
            <w:shd w:val="clear" w:color="auto" w:fill="F1F2F2"/>
          </w:tcPr>
          <w:p>
            <w:pPr>
              <w:spacing w:after="0"/>
              <w:rPr>
                <w:sz w:val="18"/>
                <w:szCs w:val="18"/>
                <w:color w:val="auto"/>
              </w:rPr>
            </w:pPr>
          </w:p>
        </w:tc>
        <w:tc>
          <w:tcPr>
            <w:tcW w:w="19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341</w:t>
            </w:r>
          </w:p>
        </w:tc>
      </w:tr>
      <w:tr>
        <w:trPr>
          <w:trHeight w:val="229"/>
        </w:trPr>
        <w:tc>
          <w:tcPr>
            <w:tcW w:w="7340" w:type="dxa"/>
            <w:vAlign w:val="bottom"/>
            <w:tcBorders>
              <w:bottom w:val="single" w:sz="8" w:color="F1F2F2"/>
            </w:tcBorders>
          </w:tcPr>
          <w:p>
            <w:pPr>
              <w:ind w:left="260"/>
              <w:spacing w:after="0"/>
              <w:rPr>
                <w:sz w:val="20"/>
                <w:szCs w:val="20"/>
                <w:color w:val="auto"/>
              </w:rPr>
            </w:pPr>
            <w:r>
              <w:rPr>
                <w:rFonts w:ascii="Arial" w:cs="Arial" w:eastAsia="Arial" w:hAnsi="Arial"/>
                <w:sz w:val="14"/>
                <w:szCs w:val="14"/>
                <w:color w:val="auto"/>
              </w:rPr>
              <w:t>Corporate and other</w:t>
            </w:r>
            <w:r>
              <w:rPr>
                <w:rFonts w:ascii="Arial" w:cs="Arial" w:eastAsia="Arial" w:hAnsi="Arial"/>
                <w:sz w:val="18"/>
                <w:szCs w:val="18"/>
                <w:color w:val="auto"/>
                <w:vertAlign w:val="superscript"/>
              </w:rPr>
              <w:t>(1)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F1F2F2"/>
            </w:tcBorders>
          </w:tcPr>
          <w:p>
            <w:pPr>
              <w:spacing w:after="0"/>
              <w:rPr>
                <w:sz w:val="19"/>
                <w:szCs w:val="19"/>
                <w:color w:val="auto"/>
              </w:rPr>
            </w:pPr>
          </w:p>
        </w:tc>
        <w:tc>
          <w:tcPr>
            <w:tcW w:w="1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w:t>
            </w:r>
          </w:p>
        </w:tc>
      </w:tr>
      <w:tr>
        <w:trPr>
          <w:trHeight w:val="223"/>
        </w:trPr>
        <w:tc>
          <w:tcPr>
            <w:tcW w:w="7340" w:type="dxa"/>
            <w:vAlign w:val="bottom"/>
            <w:shd w:val="clear" w:color="auto" w:fill="F1F2F2"/>
          </w:tcPr>
          <w:p>
            <w:pPr>
              <w:ind w:left="180"/>
              <w:spacing w:after="0"/>
              <w:rPr>
                <w:sz w:val="20"/>
                <w:szCs w:val="20"/>
                <w:color w:val="auto"/>
              </w:rPr>
            </w:pPr>
            <w:r>
              <w:rPr>
                <w:rFonts w:ascii="Arial" w:cs="Arial" w:eastAsia="Arial" w:hAnsi="Arial"/>
                <w:sz w:val="14"/>
                <w:szCs w:val="14"/>
                <w:b w:val="1"/>
                <w:bCs w:val="1"/>
                <w:color w:val="auto"/>
              </w:rPr>
              <w:t>Segment profit, a GAAP measure</w:t>
            </w:r>
          </w:p>
        </w:tc>
        <w:tc>
          <w:tcPr>
            <w:tcW w:w="186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$1,037</w:t>
            </w:r>
          </w:p>
        </w:tc>
        <w:tc>
          <w:tcPr>
            <w:tcW w:w="100" w:type="dxa"/>
            <w:vAlign w:val="bottom"/>
            <w:shd w:val="clear" w:color="auto" w:fill="F1F2F2"/>
          </w:tcPr>
          <w:p>
            <w:pPr>
              <w:spacing w:after="0"/>
              <w:rPr>
                <w:sz w:val="19"/>
                <w:szCs w:val="19"/>
                <w:color w:val="auto"/>
              </w:rPr>
            </w:pPr>
          </w:p>
        </w:tc>
        <w:tc>
          <w:tcPr>
            <w:tcW w:w="190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$857</w:t>
            </w:r>
          </w:p>
        </w:tc>
      </w:tr>
      <w:tr>
        <w:trPr>
          <w:trHeight w:val="230"/>
        </w:trPr>
        <w:tc>
          <w:tcPr>
            <w:tcW w:w="7340" w:type="dxa"/>
            <w:vAlign w:val="bottom"/>
          </w:tcPr>
          <w:p>
            <w:pPr>
              <w:ind w:left="260"/>
              <w:spacing w:after="0"/>
              <w:rPr>
                <w:sz w:val="20"/>
                <w:szCs w:val="20"/>
                <w:color w:val="auto"/>
              </w:rPr>
            </w:pPr>
            <w:r>
              <w:rPr>
                <w:rFonts w:ascii="Arial" w:cs="Arial" w:eastAsia="Arial" w:hAnsi="Arial"/>
                <w:sz w:val="14"/>
                <w:szCs w:val="14"/>
                <w:color w:val="auto"/>
              </w:rPr>
              <w:t>Profit from non-core businesses</w:t>
            </w:r>
            <w:r>
              <w:rPr>
                <w:rFonts w:ascii="Arial" w:cs="Arial" w:eastAsia="Arial" w:hAnsi="Arial"/>
                <w:sz w:val="18"/>
                <w:szCs w:val="18"/>
                <w:color w:val="auto"/>
                <w:vertAlign w:val="superscript"/>
              </w:rPr>
              <w:t>(1)</w:t>
            </w:r>
          </w:p>
        </w:tc>
        <w:tc>
          <w:tcPr>
            <w:tcW w:w="1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8</w:t>
            </w:r>
          </w:p>
        </w:tc>
      </w:tr>
      <w:tr>
        <w:trPr>
          <w:trHeight w:val="223"/>
        </w:trPr>
        <w:tc>
          <w:tcPr>
            <w:tcW w:w="7340" w:type="dxa"/>
            <w:vAlign w:val="bottom"/>
            <w:tcBorders>
              <w:top w:val="single" w:sz="8" w:color="F1F2F2"/>
            </w:tcBorders>
            <w:shd w:val="clear" w:color="auto" w:fill="F1F2F2"/>
          </w:tcPr>
          <w:p>
            <w:pPr>
              <w:ind w:left="180"/>
              <w:spacing w:after="0"/>
              <w:rPr>
                <w:sz w:val="20"/>
                <w:szCs w:val="20"/>
                <w:color w:val="auto"/>
              </w:rPr>
            </w:pPr>
            <w:r>
              <w:rPr>
                <w:rFonts w:ascii="Arial" w:cs="Arial" w:eastAsia="Arial" w:hAnsi="Arial"/>
                <w:sz w:val="14"/>
                <w:szCs w:val="14"/>
                <w:b w:val="1"/>
                <w:bCs w:val="1"/>
                <w:color w:val="auto"/>
              </w:rPr>
              <w:t>Adjusted Segment Profit, a non-GAAP measure</w:t>
            </w:r>
          </w:p>
        </w:tc>
        <w:tc>
          <w:tcPr>
            <w:tcW w:w="186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$1,037</w:t>
            </w:r>
          </w:p>
        </w:tc>
        <w:tc>
          <w:tcPr>
            <w:tcW w:w="100" w:type="dxa"/>
            <w:vAlign w:val="bottom"/>
            <w:tcBorders>
              <w:top w:val="single" w:sz="8" w:color="F1F2F2"/>
            </w:tcBorders>
            <w:shd w:val="clear" w:color="auto" w:fill="F1F2F2"/>
          </w:tcPr>
          <w:p>
            <w:pPr>
              <w:spacing w:after="0"/>
              <w:rPr>
                <w:sz w:val="19"/>
                <w:szCs w:val="19"/>
                <w:color w:val="auto"/>
              </w:rPr>
            </w:pPr>
          </w:p>
        </w:tc>
        <w:tc>
          <w:tcPr>
            <w:tcW w:w="1900" w:type="dxa"/>
            <w:vAlign w:val="bottom"/>
            <w:tcBorders>
              <w:top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$849</w:t>
            </w:r>
          </w:p>
        </w:tc>
      </w:tr>
      <w:tr>
        <w:trPr>
          <w:trHeight w:val="230"/>
        </w:trPr>
        <w:tc>
          <w:tcPr>
            <w:tcW w:w="7340" w:type="dxa"/>
            <w:vAlign w:val="bottom"/>
          </w:tcPr>
          <w:p>
            <w:pPr>
              <w:ind w:left="260"/>
              <w:spacing w:after="0"/>
              <w:rPr>
                <w:sz w:val="20"/>
                <w:szCs w:val="20"/>
                <w:color w:val="auto"/>
              </w:rPr>
            </w:pPr>
            <w:r>
              <w:rPr>
                <w:rFonts w:ascii="Arial" w:cs="Arial" w:eastAsia="Arial" w:hAnsi="Arial"/>
                <w:sz w:val="14"/>
                <w:szCs w:val="14"/>
                <w:color w:val="auto"/>
              </w:rPr>
              <w:t>Profit from non-core businesses</w:t>
            </w:r>
            <w:r>
              <w:rPr>
                <w:rFonts w:ascii="Arial" w:cs="Arial" w:eastAsia="Arial" w:hAnsi="Arial"/>
                <w:sz w:val="18"/>
                <w:szCs w:val="18"/>
                <w:color w:val="auto"/>
                <w:vertAlign w:val="superscript"/>
              </w:rPr>
              <w:t>(1)</w:t>
            </w:r>
          </w:p>
        </w:tc>
        <w:tc>
          <w:tcPr>
            <w:tcW w:w="1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(8)</w:t>
            </w:r>
          </w:p>
        </w:tc>
      </w:tr>
      <w:tr>
        <w:trPr>
          <w:trHeight w:val="210"/>
        </w:trPr>
        <w:tc>
          <w:tcPr>
            <w:tcW w:w="734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Impairments on assets held for sale</w:t>
            </w:r>
          </w:p>
        </w:tc>
        <w:tc>
          <w:tcPr>
            <w:tcW w:w="1960" w:type="dxa"/>
            <w:vAlign w:val="bottom"/>
            <w:tcBorders>
              <w:bottom w:val="single" w:sz="8" w:color="F1F2F2"/>
            </w:tcBorders>
            <w:gridSpan w:val="2"/>
            <w:shd w:val="clear" w:color="auto" w:fill="F1F2F2"/>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63</w:t>
            </w:r>
          </w:p>
        </w:tc>
      </w:tr>
      <w:tr>
        <w:trPr>
          <w:trHeight w:val="208"/>
        </w:trPr>
        <w:tc>
          <w:tcPr>
            <w:tcW w:w="7340" w:type="dxa"/>
            <w:vAlign w:val="bottom"/>
          </w:tcPr>
          <w:p>
            <w:pPr>
              <w:ind w:left="260"/>
              <w:spacing w:after="0"/>
              <w:rPr>
                <w:sz w:val="20"/>
                <w:szCs w:val="20"/>
                <w:color w:val="auto"/>
              </w:rPr>
            </w:pPr>
            <w:r>
              <w:rPr>
                <w:rFonts w:ascii="Arial" w:cs="Arial" w:eastAsia="Arial" w:hAnsi="Arial"/>
                <w:sz w:val="14"/>
                <w:szCs w:val="14"/>
                <w:color w:val="auto"/>
              </w:rPr>
              <w:t>Loss (gain) on sale from previous disposition</w:t>
            </w:r>
          </w:p>
        </w:tc>
        <w:tc>
          <w:tcPr>
            <w:tcW w:w="1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(14)</w:t>
            </w:r>
          </w:p>
        </w:tc>
      </w:tr>
      <w:tr>
        <w:trPr>
          <w:trHeight w:val="22"/>
        </w:trPr>
        <w:tc>
          <w:tcPr>
            <w:tcW w:w="7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9"/>
        </w:trPr>
        <w:tc>
          <w:tcPr>
            <w:tcW w:w="7340" w:type="dxa"/>
            <w:vAlign w:val="bottom"/>
            <w:shd w:val="clear" w:color="auto" w:fill="F1F2F2"/>
          </w:tcPr>
          <w:p>
            <w:pPr>
              <w:ind w:left="260"/>
              <w:spacing w:after="0"/>
              <w:rPr>
                <w:sz w:val="20"/>
                <w:szCs w:val="20"/>
                <w:color w:val="auto"/>
              </w:rPr>
            </w:pPr>
            <w:r>
              <w:rPr>
                <w:rFonts w:ascii="Arial" w:cs="Arial" w:eastAsia="Arial" w:hAnsi="Arial"/>
                <w:sz w:val="14"/>
                <w:szCs w:val="14"/>
                <w:color w:val="auto"/>
              </w:rPr>
              <w:t>Items in Losses (gains) and other expenses, net which are excluded from segment profit</w:t>
            </w:r>
            <w:r>
              <w:rPr>
                <w:rFonts w:ascii="Arial" w:cs="Arial" w:eastAsia="Arial" w:hAnsi="Arial"/>
                <w:sz w:val="18"/>
                <w:szCs w:val="18"/>
                <w:color w:val="auto"/>
                <w:vertAlign w:val="superscript"/>
              </w:rPr>
              <w:t>(2)</w:t>
            </w:r>
          </w:p>
        </w:tc>
        <w:tc>
          <w:tcPr>
            <w:tcW w:w="1960" w:type="dxa"/>
            <w:vAlign w:val="bottom"/>
            <w:gridSpan w:val="2"/>
            <w:shd w:val="clear" w:color="auto" w:fill="F1F2F2"/>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15</w:t>
            </w:r>
          </w:p>
        </w:tc>
      </w:tr>
      <w:tr>
        <w:trPr>
          <w:trHeight w:val="208"/>
        </w:trPr>
        <w:tc>
          <w:tcPr>
            <w:tcW w:w="7340" w:type="dxa"/>
            <w:vAlign w:val="bottom"/>
          </w:tcPr>
          <w:p>
            <w:pPr>
              <w:ind w:left="260"/>
              <w:spacing w:after="0"/>
              <w:rPr>
                <w:sz w:val="20"/>
                <w:szCs w:val="20"/>
                <w:color w:val="auto"/>
              </w:rPr>
            </w:pPr>
            <w:r>
              <w:rPr>
                <w:rFonts w:ascii="Arial" w:cs="Arial" w:eastAsia="Arial" w:hAnsi="Arial"/>
                <w:sz w:val="14"/>
                <w:szCs w:val="14"/>
                <w:color w:val="auto"/>
              </w:rPr>
              <w:t>Restructuring charges</w:t>
            </w:r>
          </w:p>
        </w:tc>
        <w:tc>
          <w:tcPr>
            <w:tcW w:w="1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22"/>
        </w:trPr>
        <w:tc>
          <w:tcPr>
            <w:tcW w:w="7340" w:type="dxa"/>
            <w:vAlign w:val="bottom"/>
            <w:tcBorders>
              <w:bottom w:val="single" w:sz="8" w:color="F1F2F2"/>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1F2F2"/>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42"/>
        </w:trPr>
        <w:tc>
          <w:tcPr>
            <w:tcW w:w="73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b w:val="1"/>
                <w:bCs w:val="1"/>
                <w:color w:val="auto"/>
              </w:rPr>
              <w:t>Operating Income, a GAAP measure</w:t>
            </w:r>
          </w:p>
        </w:tc>
        <w:tc>
          <w:tcPr>
            <w:tcW w:w="186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$1,035</w:t>
            </w:r>
          </w:p>
        </w:tc>
        <w:tc>
          <w:tcPr>
            <w:tcW w:w="100" w:type="dxa"/>
            <w:vAlign w:val="bottom"/>
            <w:tcBorders>
              <w:bottom w:val="single" w:sz="8" w:color="F1F2F2"/>
            </w:tcBorders>
            <w:shd w:val="clear" w:color="auto" w:fill="F1F2F2"/>
          </w:tcPr>
          <w:p>
            <w:pPr>
              <w:spacing w:after="0"/>
              <w:rPr>
                <w:sz w:val="20"/>
                <w:szCs w:val="20"/>
                <w:color w:val="auto"/>
              </w:rPr>
            </w:pPr>
          </w:p>
        </w:tc>
        <w:tc>
          <w:tcPr>
            <w:tcW w:w="1900" w:type="dxa"/>
            <w:vAlign w:val="bottom"/>
            <w:tcBorders>
              <w:bottom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$790</w:t>
            </w:r>
          </w:p>
        </w:tc>
      </w:tr>
      <w:tr>
        <w:trPr>
          <w:trHeight w:val="20"/>
        </w:trPr>
        <w:tc>
          <w:tcPr>
            <w:tcW w:w="7340" w:type="dxa"/>
            <w:vAlign w:val="bottom"/>
            <w:tcBorders>
              <w:top w:val="single" w:sz="8" w:color="F1F2F2"/>
            </w:tcBorders>
          </w:tcPr>
          <w:p>
            <w:pPr>
              <w:spacing w:after="0" w:line="20" w:lineRule="exact"/>
              <w:rPr>
                <w:sz w:val="1"/>
                <w:szCs w:val="1"/>
                <w:color w:val="auto"/>
              </w:rPr>
            </w:pPr>
          </w:p>
        </w:tc>
        <w:tc>
          <w:tcPr>
            <w:tcW w:w="1860" w:type="dxa"/>
            <w:vAlign w:val="bottom"/>
            <w:tcBorders>
              <w:top w:val="single" w:sz="8" w:color="F1F2F2"/>
              <w:bottom w:val="single" w:sz="8" w:color="auto"/>
            </w:tcBorders>
          </w:tcPr>
          <w:p>
            <w:pPr>
              <w:spacing w:after="0" w:line="20" w:lineRule="exact"/>
              <w:rPr>
                <w:sz w:val="1"/>
                <w:szCs w:val="1"/>
                <w:color w:val="auto"/>
              </w:rPr>
            </w:pPr>
          </w:p>
        </w:tc>
        <w:tc>
          <w:tcPr>
            <w:tcW w:w="100" w:type="dxa"/>
            <w:vAlign w:val="bottom"/>
            <w:tcBorders>
              <w:top w:val="single" w:sz="8" w:color="F1F2F2"/>
            </w:tcBorders>
          </w:tcPr>
          <w:p>
            <w:pPr>
              <w:spacing w:after="0" w:line="20" w:lineRule="exact"/>
              <w:rPr>
                <w:sz w:val="1"/>
                <w:szCs w:val="1"/>
                <w:color w:val="auto"/>
              </w:rPr>
            </w:pPr>
          </w:p>
        </w:tc>
        <w:tc>
          <w:tcPr>
            <w:tcW w:w="1900" w:type="dxa"/>
            <w:vAlign w:val="bottom"/>
            <w:tcBorders>
              <w:top w:val="single" w:sz="8" w:color="F1F2F2"/>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Net sales and segment profit from our European portfolio are included in the Corporate and other segment and are considered non-core.</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Recorded in Losses (gains) and other expenses, net in the Consolidated Statement of Operations.</w:t>
      </w:r>
    </w:p>
    <w:p>
      <w:pPr>
        <w:spacing w:after="0" w:line="167"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Company core net income, a non-GAAP financial measure, is income from continuing operations, adjusted for restructuring charges, impairments on assets held for sale, gain on sale of businesses, non-core business results, certain legal charges and contingency adjustments, unrealized gains and losses on unsettled futures contracts and certain other items.</w:t>
      </w: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1" w:right="379" w:bottom="1440" w:gutter="0" w:footer="0" w:header="0"/>
        </w:sectPr>
      </w:pPr>
    </w:p>
    <w:bookmarkStart w:id="81" w:name="page82"/>
    <w:bookmarkEnd w:id="81"/>
    <w:p>
      <w:pPr>
        <w:ind w:right="80" w:firstLine="324"/>
        <w:spacing w:after="0" w:line="247" w:lineRule="auto"/>
        <w:rPr>
          <w:sz w:val="20"/>
          <w:szCs w:val="20"/>
          <w:color w:val="auto"/>
        </w:rPr>
      </w:pPr>
      <w:r>
        <w:rPr>
          <w:rFonts w:ascii="Arial" w:cs="Arial" w:eastAsia="Arial" w:hAnsi="Arial"/>
          <w:sz w:val="18"/>
          <w:szCs w:val="18"/>
          <w:color w:val="auto"/>
        </w:rPr>
        <w:t>Segment profit, a non-GAAP financial measure, is earnings from continuing operations for the applicable segment before interest expense, other expenses, and income taxes, adjusted for restructuring charges, impairments on assets held for sale, gain on sale of businesses, non-core business results, certain legal charges and contingency adjustments, unrealized gains and losses on unsettled futures contracts and certain other items. An individual segment’s profit should not be used as a substitute for the Company’s segment profit and may not be comparable to similarly titled measures reported by other companies.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Free Cash Flow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40" w:type="dxa"/>
            <w:vAlign w:val="bottom"/>
            <w:shd w:val="clear" w:color="auto" w:fill="C6093B"/>
          </w:tcPr>
          <w:p>
            <w:pPr>
              <w:spacing w:after="0"/>
              <w:rPr>
                <w:sz w:val="16"/>
                <w:szCs w:val="16"/>
                <w:color w:val="auto"/>
              </w:rPr>
            </w:pPr>
          </w:p>
        </w:tc>
        <w:tc>
          <w:tcPr>
            <w:tcW w:w="2320" w:type="dxa"/>
            <w:vAlign w:val="bottom"/>
            <w:shd w:val="clear" w:color="auto" w:fill="C6093B"/>
          </w:tcPr>
          <w:p>
            <w:pPr>
              <w:jc w:val="right"/>
              <w:ind w:right="28"/>
              <w:spacing w:after="0"/>
              <w:rPr>
                <w:sz w:val="20"/>
                <w:szCs w:val="20"/>
                <w:color w:val="auto"/>
              </w:rPr>
            </w:pPr>
            <w:r>
              <w:rPr>
                <w:rFonts w:ascii="Arial" w:cs="Arial" w:eastAsia="Arial" w:hAnsi="Arial"/>
                <w:sz w:val="14"/>
                <w:szCs w:val="14"/>
                <w:b w:val="1"/>
                <w:bCs w:val="1"/>
                <w:color w:val="FFFFFF"/>
              </w:rPr>
              <w:t>For the Year Ended December</w:t>
            </w:r>
          </w:p>
        </w:tc>
        <w:tc>
          <w:tcPr>
            <w:tcW w:w="2280" w:type="dxa"/>
            <w:vAlign w:val="bottom"/>
            <w:shd w:val="clear" w:color="auto" w:fill="C6093B"/>
          </w:tcPr>
          <w:p>
            <w:pPr>
              <w:jc w:val="right"/>
              <w:ind w:right="88"/>
              <w:spacing w:after="0"/>
              <w:rPr>
                <w:sz w:val="20"/>
                <w:szCs w:val="20"/>
                <w:color w:val="auto"/>
              </w:rPr>
            </w:pPr>
            <w:r>
              <w:rPr>
                <w:rFonts w:ascii="Arial" w:cs="Arial" w:eastAsia="Arial" w:hAnsi="Arial"/>
                <w:sz w:val="14"/>
                <w:szCs w:val="14"/>
                <w:b w:val="1"/>
                <w:bCs w:val="1"/>
                <w:color w:val="FFFFFF"/>
              </w:rPr>
              <w:t>For the Year Ended December</w:t>
            </w:r>
          </w:p>
        </w:tc>
      </w:tr>
      <w:tr>
        <w:trPr>
          <w:trHeight w:val="196"/>
        </w:trPr>
        <w:tc>
          <w:tcPr>
            <w:tcW w:w="6640" w:type="dxa"/>
            <w:vAlign w:val="bottom"/>
            <w:shd w:val="clear" w:color="auto" w:fill="C6093B"/>
          </w:tcPr>
          <w:p>
            <w:pPr>
              <w:spacing w:after="0"/>
              <w:rPr>
                <w:sz w:val="17"/>
                <w:szCs w:val="17"/>
                <w:color w:val="auto"/>
              </w:rPr>
            </w:pPr>
          </w:p>
        </w:tc>
        <w:tc>
          <w:tcPr>
            <w:tcW w:w="2320" w:type="dxa"/>
            <w:vAlign w:val="bottom"/>
            <w:shd w:val="clear" w:color="auto" w:fill="C6093B"/>
          </w:tcPr>
          <w:p>
            <w:pPr>
              <w:jc w:val="right"/>
              <w:ind w:right="28"/>
              <w:spacing w:after="0"/>
              <w:rPr>
                <w:sz w:val="20"/>
                <w:szCs w:val="20"/>
                <w:color w:val="auto"/>
              </w:rPr>
            </w:pPr>
            <w:r>
              <w:rPr>
                <w:rFonts w:ascii="Arial" w:cs="Arial" w:eastAsia="Arial" w:hAnsi="Arial"/>
                <w:sz w:val="14"/>
                <w:szCs w:val="14"/>
                <w:b w:val="1"/>
                <w:bCs w:val="1"/>
                <w:color w:val="FFFFFF"/>
              </w:rPr>
              <w:t>31, 2024</w:t>
            </w:r>
          </w:p>
        </w:tc>
        <w:tc>
          <w:tcPr>
            <w:tcW w:w="2280" w:type="dxa"/>
            <w:vAlign w:val="bottom"/>
            <w:shd w:val="clear" w:color="auto" w:fill="C6093B"/>
          </w:tcPr>
          <w:p>
            <w:pPr>
              <w:jc w:val="right"/>
              <w:ind w:right="88"/>
              <w:spacing w:after="0"/>
              <w:rPr>
                <w:sz w:val="20"/>
                <w:szCs w:val="20"/>
                <w:color w:val="auto"/>
              </w:rPr>
            </w:pPr>
            <w:r>
              <w:rPr>
                <w:rFonts w:ascii="Arial" w:cs="Arial" w:eastAsia="Arial" w:hAnsi="Arial"/>
                <w:sz w:val="14"/>
                <w:szCs w:val="14"/>
                <w:b w:val="1"/>
                <w:bCs w:val="1"/>
                <w:color w:val="FFFFFF"/>
              </w:rPr>
              <w:t>31, 2023</w:t>
            </w:r>
          </w:p>
        </w:tc>
      </w:tr>
      <w:tr>
        <w:trPr>
          <w:trHeight w:val="69"/>
        </w:trPr>
        <w:tc>
          <w:tcPr>
            <w:tcW w:w="6640" w:type="dxa"/>
            <w:vAlign w:val="bottom"/>
            <w:shd w:val="clear" w:color="auto" w:fill="C6093B"/>
          </w:tcPr>
          <w:p>
            <w:pPr>
              <w:spacing w:after="0"/>
              <w:rPr>
                <w:sz w:val="6"/>
                <w:szCs w:val="6"/>
                <w:color w:val="auto"/>
              </w:rPr>
            </w:pPr>
          </w:p>
        </w:tc>
        <w:tc>
          <w:tcPr>
            <w:tcW w:w="2320" w:type="dxa"/>
            <w:vAlign w:val="bottom"/>
            <w:shd w:val="clear" w:color="auto" w:fill="C6093B"/>
          </w:tcPr>
          <w:p>
            <w:pPr>
              <w:spacing w:after="0"/>
              <w:rPr>
                <w:sz w:val="6"/>
                <w:szCs w:val="6"/>
                <w:color w:val="auto"/>
              </w:rPr>
            </w:pPr>
          </w:p>
        </w:tc>
        <w:tc>
          <w:tcPr>
            <w:tcW w:w="2280" w:type="dxa"/>
            <w:vAlign w:val="bottom"/>
            <w:shd w:val="clear" w:color="auto" w:fill="C6093B"/>
          </w:tcPr>
          <w:p>
            <w:pPr>
              <w:spacing w:after="0"/>
              <w:rPr>
                <w:sz w:val="6"/>
                <w:szCs w:val="6"/>
                <w:color w:val="auto"/>
              </w:rPr>
            </w:pPr>
          </w:p>
        </w:tc>
      </w:tr>
      <w:tr>
        <w:trPr>
          <w:trHeight w:val="230"/>
        </w:trPr>
        <w:tc>
          <w:tcPr>
            <w:tcW w:w="66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Cash Provided by Operating Activities, a GAAP measure</w:t>
            </w:r>
          </w:p>
        </w:tc>
        <w:tc>
          <w:tcPr>
            <w:tcW w:w="2320" w:type="dxa"/>
            <w:vAlign w:val="bottom"/>
            <w:shd w:val="clear" w:color="auto" w:fill="F1F2F2"/>
          </w:tcPr>
          <w:p>
            <w:pPr>
              <w:jc w:val="right"/>
              <w:ind w:right="28"/>
              <w:spacing w:after="0"/>
              <w:rPr>
                <w:sz w:val="20"/>
                <w:szCs w:val="20"/>
                <w:color w:val="auto"/>
              </w:rPr>
            </w:pPr>
            <w:r>
              <w:rPr>
                <w:rFonts w:ascii="Arial" w:cs="Arial" w:eastAsia="Arial" w:hAnsi="Arial"/>
                <w:sz w:val="14"/>
                <w:szCs w:val="14"/>
                <w:b w:val="1"/>
                <w:bCs w:val="1"/>
                <w:color w:val="auto"/>
              </w:rPr>
              <w:t>$945.7</w:t>
            </w:r>
          </w:p>
        </w:tc>
        <w:tc>
          <w:tcPr>
            <w:tcW w:w="228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$736.2</w:t>
            </w:r>
          </w:p>
        </w:tc>
      </w:tr>
      <w:tr>
        <w:trPr>
          <w:trHeight w:val="208"/>
        </w:trPr>
        <w:tc>
          <w:tcPr>
            <w:tcW w:w="6640" w:type="dxa"/>
            <w:vAlign w:val="bottom"/>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(163.6)</w:t>
            </w:r>
          </w:p>
        </w:tc>
        <w:tc>
          <w:tcPr>
            <w:tcW w:w="2280" w:type="dxa"/>
            <w:vAlign w:val="bottom"/>
          </w:tcPr>
          <w:p>
            <w:pPr>
              <w:jc w:val="right"/>
              <w:ind w:right="88"/>
              <w:spacing w:after="0"/>
              <w:rPr>
                <w:sz w:val="20"/>
                <w:szCs w:val="20"/>
                <w:color w:val="auto"/>
              </w:rPr>
            </w:pPr>
            <w:r>
              <w:rPr>
                <w:rFonts w:ascii="Arial" w:cs="Arial" w:eastAsia="Arial" w:hAnsi="Arial"/>
                <w:sz w:val="14"/>
                <w:szCs w:val="14"/>
                <w:color w:val="auto"/>
              </w:rPr>
              <w:t>(250.2)</w:t>
            </w:r>
          </w:p>
        </w:tc>
      </w:tr>
      <w:tr>
        <w:trPr>
          <w:trHeight w:val="22"/>
        </w:trPr>
        <w:tc>
          <w:tcPr>
            <w:tcW w:w="6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9"/>
        </w:trPr>
        <w:tc>
          <w:tcPr>
            <w:tcW w:w="66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Proceeds from the disposal of property, plant, and equipment</w:t>
            </w:r>
          </w:p>
        </w:tc>
        <w:tc>
          <w:tcPr>
            <w:tcW w:w="2320" w:type="dxa"/>
            <w:vAlign w:val="bottom"/>
            <w:tcBorders>
              <w:bottom w:val="single" w:sz="8" w:color="F1F2F2"/>
            </w:tcBorders>
            <w:shd w:val="clear" w:color="auto" w:fill="F1F2F2"/>
          </w:tcPr>
          <w:p>
            <w:pPr>
              <w:jc w:val="right"/>
              <w:ind w:right="28"/>
              <w:spacing w:after="0"/>
              <w:rPr>
                <w:sz w:val="20"/>
                <w:szCs w:val="20"/>
                <w:color w:val="auto"/>
              </w:rPr>
            </w:pPr>
            <w:r>
              <w:rPr>
                <w:rFonts w:ascii="Arial" w:cs="Arial" w:eastAsia="Arial" w:hAnsi="Arial"/>
                <w:sz w:val="14"/>
                <w:szCs w:val="14"/>
                <w:color w:val="auto"/>
              </w:rPr>
              <w:t>2.5</w:t>
            </w:r>
          </w:p>
        </w:tc>
        <w:tc>
          <w:tcPr>
            <w:tcW w:w="22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2.1</w:t>
            </w:r>
          </w:p>
        </w:tc>
      </w:tr>
      <w:tr>
        <w:trPr>
          <w:trHeight w:val="217"/>
        </w:trPr>
        <w:tc>
          <w:tcPr>
            <w:tcW w:w="6640" w:type="dxa"/>
            <w:vAlign w:val="bottom"/>
          </w:tcPr>
          <w:p>
            <w:pPr>
              <w:ind w:left="100"/>
              <w:spacing w:after="0"/>
              <w:rPr>
                <w:sz w:val="20"/>
                <w:szCs w:val="20"/>
                <w:color w:val="auto"/>
              </w:rPr>
            </w:pPr>
            <w:r>
              <w:rPr>
                <w:rFonts w:ascii="Arial" w:cs="Arial" w:eastAsia="Arial" w:hAnsi="Arial"/>
                <w:sz w:val="14"/>
                <w:szCs w:val="14"/>
                <w:b w:val="1"/>
                <w:bCs w:val="1"/>
                <w:color w:val="auto"/>
              </w:rPr>
              <w:t>Free Cash Flow, a non-GAAP measure</w:t>
            </w:r>
          </w:p>
        </w:tc>
        <w:tc>
          <w:tcPr>
            <w:tcW w:w="2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$784.6</w:t>
            </w:r>
          </w:p>
        </w:tc>
        <w:tc>
          <w:tcPr>
            <w:tcW w:w="2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$488.1</w:t>
            </w:r>
          </w:p>
        </w:tc>
      </w:tr>
      <w:tr>
        <w:trPr>
          <w:trHeight w:val="27"/>
        </w:trPr>
        <w:tc>
          <w:tcPr>
            <w:tcW w:w="664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ind w:right="660" w:firstLine="324"/>
        <w:spacing w:after="0" w:line="271" w:lineRule="auto"/>
        <w:rPr>
          <w:sz w:val="20"/>
          <w:szCs w:val="20"/>
          <w:color w:val="auto"/>
        </w:rPr>
      </w:pPr>
      <w:r>
        <w:rPr>
          <w:rFonts w:ascii="Arial" w:cs="Arial" w:eastAsia="Arial" w:hAnsi="Arial"/>
          <w:sz w:val="18"/>
          <w:szCs w:val="18"/>
          <w:color w:val="auto"/>
        </w:rPr>
        <w:t>Free cash flow, a non-GAAP financial measure, is net cash provided by operating activities less purchases of property, plant, and equipment plus proceeds from disposal of property, plant, and equipment.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Net Income and Adjusted Diluted EPS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60C35"/>
          </w:tcPr>
          <w:p>
            <w:pPr>
              <w:spacing w:after="0"/>
              <w:rPr>
                <w:sz w:val="18"/>
                <w:szCs w:val="18"/>
                <w:color w:val="auto"/>
              </w:rPr>
            </w:pPr>
          </w:p>
        </w:tc>
        <w:tc>
          <w:tcPr>
            <w:tcW w:w="4640" w:type="dxa"/>
            <w:vAlign w:val="bottom"/>
            <w:gridSpan w:val="2"/>
            <w:shd w:val="clear" w:color="auto" w:fill="C60C35"/>
          </w:tcPr>
          <w:p>
            <w:pPr>
              <w:jc w:val="right"/>
              <w:ind w:right="988"/>
              <w:spacing w:after="0"/>
              <w:rPr>
                <w:sz w:val="20"/>
                <w:szCs w:val="20"/>
                <w:color w:val="auto"/>
              </w:rPr>
            </w:pPr>
            <w:r>
              <w:rPr>
                <w:rFonts w:ascii="Arial" w:cs="Arial" w:eastAsia="Arial" w:hAnsi="Arial"/>
                <w:sz w:val="14"/>
                <w:szCs w:val="14"/>
                <w:b w:val="1"/>
                <w:bCs w:val="1"/>
                <w:color w:val="FFFFFF"/>
              </w:rPr>
              <w:t>For the Year Ended December 31, 2024</w:t>
            </w:r>
          </w:p>
        </w:tc>
      </w:tr>
      <w:tr>
        <w:trPr>
          <w:trHeight w:val="214"/>
        </w:trPr>
        <w:tc>
          <w:tcPr>
            <w:tcW w:w="6600" w:type="dxa"/>
            <w:vAlign w:val="bottom"/>
            <w:shd w:val="clear" w:color="auto" w:fill="C60C35"/>
          </w:tcPr>
          <w:p>
            <w:pPr>
              <w:spacing w:after="0"/>
              <w:rPr>
                <w:sz w:val="18"/>
                <w:szCs w:val="18"/>
                <w:color w:val="auto"/>
              </w:rPr>
            </w:pPr>
          </w:p>
        </w:tc>
        <w:tc>
          <w:tcPr>
            <w:tcW w:w="226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After Tax Amount</w:t>
            </w:r>
          </w:p>
        </w:tc>
        <w:tc>
          <w:tcPr>
            <w:tcW w:w="23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 Diluted Share</w:t>
            </w:r>
          </w:p>
        </w:tc>
      </w:tr>
      <w:tr>
        <w:trPr>
          <w:trHeight w:val="70"/>
        </w:trPr>
        <w:tc>
          <w:tcPr>
            <w:tcW w:w="6600" w:type="dxa"/>
            <w:vAlign w:val="bottom"/>
            <w:shd w:val="clear" w:color="auto" w:fill="C60C35"/>
          </w:tcPr>
          <w:p>
            <w:pPr>
              <w:spacing w:after="0"/>
              <w:rPr>
                <w:sz w:val="6"/>
                <w:szCs w:val="6"/>
                <w:color w:val="auto"/>
              </w:rPr>
            </w:pPr>
          </w:p>
        </w:tc>
        <w:tc>
          <w:tcPr>
            <w:tcW w:w="2260" w:type="dxa"/>
            <w:vAlign w:val="bottom"/>
            <w:shd w:val="clear" w:color="auto" w:fill="C60C35"/>
          </w:tcPr>
          <w:p>
            <w:pPr>
              <w:spacing w:after="0"/>
              <w:rPr>
                <w:sz w:val="6"/>
                <w:szCs w:val="6"/>
                <w:color w:val="auto"/>
              </w:rPr>
            </w:pPr>
          </w:p>
        </w:tc>
        <w:tc>
          <w:tcPr>
            <w:tcW w:w="2380" w:type="dxa"/>
            <w:vAlign w:val="bottom"/>
            <w:shd w:val="clear" w:color="auto" w:fill="C60C35"/>
          </w:tcPr>
          <w:p>
            <w:pPr>
              <w:spacing w:after="0"/>
              <w:rPr>
                <w:sz w:val="6"/>
                <w:szCs w:val="6"/>
                <w:color w:val="auto"/>
              </w:rPr>
            </w:pPr>
          </w:p>
        </w:tc>
      </w:tr>
      <w:tr>
        <w:trPr>
          <w:trHeight w:val="230"/>
        </w:trPr>
        <w:tc>
          <w:tcPr>
            <w:tcW w:w="66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Income, a GAAP measure</w:t>
            </w:r>
          </w:p>
        </w:tc>
        <w:tc>
          <w:tcPr>
            <w:tcW w:w="226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$806.9</w:t>
            </w:r>
          </w:p>
        </w:tc>
        <w:tc>
          <w:tcPr>
            <w:tcW w:w="238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$22.54</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Restructuring charges</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Pension settlements</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Items in Losses (gains) and other expenses, net which are excluded from segment profit (loss) (a)</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Excess tax benefits from share-based compensation (b)</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Loss on sale from previous disposition</w:t>
            </w:r>
          </w:p>
        </w:tc>
        <w:tc>
          <w:tcPr>
            <w:tcW w:w="2260" w:type="dxa"/>
            <w:vAlign w:val="bottom"/>
          </w:tcPr>
          <w:p>
            <w:pPr>
              <w:jc w:val="right"/>
              <w:spacing w:after="0"/>
              <w:rPr>
                <w:sz w:val="20"/>
                <w:szCs w:val="20"/>
                <w:color w:val="auto"/>
              </w:rPr>
            </w:pPr>
            <w:r>
              <w:rPr>
                <w:rFonts w:ascii="Arial" w:cs="Arial" w:eastAsia="Arial" w:hAnsi="Arial"/>
                <w:sz w:val="14"/>
                <w:szCs w:val="14"/>
                <w:color w:val="auto"/>
              </w:rPr>
              <w:t>1.5</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0.04</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Other tax items, net (b)</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Impairments on assets held for sale (c)</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9"/>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Non-core business results (d)</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r>
      <w:tr>
        <w:trPr>
          <w:trHeight w:val="217"/>
        </w:trPr>
        <w:tc>
          <w:tcPr>
            <w:tcW w:w="6600" w:type="dxa"/>
            <w:vAlign w:val="bottom"/>
          </w:tcPr>
          <w:p>
            <w:pPr>
              <w:ind w:left="100"/>
              <w:spacing w:after="0"/>
              <w:rPr>
                <w:sz w:val="20"/>
                <w:szCs w:val="20"/>
                <w:color w:val="auto"/>
              </w:rPr>
            </w:pPr>
            <w:r>
              <w:rPr>
                <w:rFonts w:ascii="Arial" w:cs="Arial" w:eastAsia="Arial" w:hAnsi="Arial"/>
                <w:sz w:val="14"/>
                <w:szCs w:val="14"/>
                <w:b w:val="1"/>
                <w:bCs w:val="1"/>
                <w:color w:val="auto"/>
              </w:rPr>
              <w:t>Adjusted net income, a non-GAAP measure</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$808.4</w:t>
            </w:r>
          </w:p>
        </w:tc>
        <w:tc>
          <w:tcPr>
            <w:tcW w:w="23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$22.58</w:t>
            </w:r>
          </w:p>
        </w:tc>
      </w:tr>
      <w:tr>
        <w:trPr>
          <w:trHeight w:val="27"/>
        </w:trPr>
        <w:tc>
          <w:tcPr>
            <w:tcW w:w="6600" w:type="dxa"/>
            <w:vAlign w:val="bottom"/>
          </w:tcPr>
          <w:p>
            <w:pPr>
              <w:spacing w:after="0"/>
              <w:rPr>
                <w:sz w:val="2"/>
                <w:szCs w:val="2"/>
                <w:color w:val="auto"/>
              </w:rPr>
            </w:pPr>
          </w:p>
        </w:tc>
        <w:tc>
          <w:tcPr>
            <w:tcW w:w="4640" w:type="dxa"/>
            <w:vAlign w:val="bottom"/>
            <w:tcBorders>
              <w:bottom w:val="single" w:sz="8" w:color="auto"/>
            </w:tcBorders>
            <w:gridSpan w:val="2"/>
          </w:tcPr>
          <w:p>
            <w:pPr>
              <w:spacing w:after="0"/>
              <w:rPr>
                <w:sz w:val="2"/>
                <w:szCs w:val="2"/>
                <w:color w:val="auto"/>
              </w:rPr>
            </w:pPr>
          </w:p>
        </w:tc>
      </w:tr>
      <w:tr>
        <w:trPr>
          <w:trHeight w:val="209"/>
        </w:trPr>
        <w:tc>
          <w:tcPr>
            <w:tcW w:w="660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r>
      <w:tr>
        <w:trPr>
          <w:trHeight w:val="201"/>
        </w:trPr>
        <w:tc>
          <w:tcPr>
            <w:tcW w:w="6600" w:type="dxa"/>
            <w:vAlign w:val="bottom"/>
            <w:shd w:val="clear" w:color="auto" w:fill="C60C35"/>
          </w:tcPr>
          <w:p>
            <w:pPr>
              <w:spacing w:after="0"/>
              <w:rPr>
                <w:sz w:val="17"/>
                <w:szCs w:val="17"/>
                <w:color w:val="auto"/>
              </w:rPr>
            </w:pPr>
          </w:p>
        </w:tc>
        <w:tc>
          <w:tcPr>
            <w:tcW w:w="4640" w:type="dxa"/>
            <w:vAlign w:val="bottom"/>
            <w:gridSpan w:val="2"/>
            <w:shd w:val="clear" w:color="auto" w:fill="C60C35"/>
          </w:tcPr>
          <w:p>
            <w:pPr>
              <w:jc w:val="right"/>
              <w:ind w:right="988"/>
              <w:spacing w:after="0"/>
              <w:rPr>
                <w:sz w:val="20"/>
                <w:szCs w:val="20"/>
                <w:color w:val="auto"/>
              </w:rPr>
            </w:pPr>
            <w:r>
              <w:rPr>
                <w:rFonts w:ascii="Arial" w:cs="Arial" w:eastAsia="Arial" w:hAnsi="Arial"/>
                <w:sz w:val="14"/>
                <w:szCs w:val="14"/>
                <w:b w:val="1"/>
                <w:bCs w:val="1"/>
                <w:color w:val="FFFFFF"/>
              </w:rPr>
              <w:t>For the Year Ended December 31, 2023</w:t>
            </w:r>
          </w:p>
        </w:tc>
      </w:tr>
      <w:tr>
        <w:trPr>
          <w:trHeight w:val="230"/>
        </w:trPr>
        <w:tc>
          <w:tcPr>
            <w:tcW w:w="6600" w:type="dxa"/>
            <w:vAlign w:val="bottom"/>
            <w:shd w:val="clear" w:color="auto" w:fill="C60C35"/>
          </w:tcPr>
          <w:p>
            <w:pPr>
              <w:spacing w:after="0"/>
              <w:rPr>
                <w:sz w:val="19"/>
                <w:szCs w:val="19"/>
                <w:color w:val="auto"/>
              </w:rPr>
            </w:pPr>
          </w:p>
        </w:tc>
        <w:tc>
          <w:tcPr>
            <w:tcW w:w="226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After Tax Amount</w:t>
            </w:r>
          </w:p>
        </w:tc>
        <w:tc>
          <w:tcPr>
            <w:tcW w:w="23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 Diluted Share</w:t>
            </w:r>
          </w:p>
        </w:tc>
      </w:tr>
      <w:tr>
        <w:trPr>
          <w:trHeight w:val="69"/>
        </w:trPr>
        <w:tc>
          <w:tcPr>
            <w:tcW w:w="6600" w:type="dxa"/>
            <w:vAlign w:val="bottom"/>
            <w:shd w:val="clear" w:color="auto" w:fill="C60C35"/>
          </w:tcPr>
          <w:p>
            <w:pPr>
              <w:spacing w:after="0"/>
              <w:rPr>
                <w:sz w:val="6"/>
                <w:szCs w:val="6"/>
                <w:color w:val="auto"/>
              </w:rPr>
            </w:pPr>
          </w:p>
        </w:tc>
        <w:tc>
          <w:tcPr>
            <w:tcW w:w="2260" w:type="dxa"/>
            <w:vAlign w:val="bottom"/>
            <w:shd w:val="clear" w:color="auto" w:fill="C60C35"/>
          </w:tcPr>
          <w:p>
            <w:pPr>
              <w:spacing w:after="0"/>
              <w:rPr>
                <w:sz w:val="6"/>
                <w:szCs w:val="6"/>
                <w:color w:val="auto"/>
              </w:rPr>
            </w:pPr>
          </w:p>
        </w:tc>
        <w:tc>
          <w:tcPr>
            <w:tcW w:w="2380" w:type="dxa"/>
            <w:vAlign w:val="bottom"/>
            <w:shd w:val="clear" w:color="auto" w:fill="C60C35"/>
          </w:tcPr>
          <w:p>
            <w:pPr>
              <w:spacing w:after="0"/>
              <w:rPr>
                <w:sz w:val="6"/>
                <w:szCs w:val="6"/>
                <w:color w:val="auto"/>
              </w:rPr>
            </w:pPr>
          </w:p>
        </w:tc>
      </w:tr>
      <w:tr>
        <w:trPr>
          <w:trHeight w:val="230"/>
        </w:trPr>
        <w:tc>
          <w:tcPr>
            <w:tcW w:w="66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Income, a GAAP measure</w:t>
            </w:r>
          </w:p>
        </w:tc>
        <w:tc>
          <w:tcPr>
            <w:tcW w:w="226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$590.1</w:t>
            </w:r>
          </w:p>
        </w:tc>
        <w:tc>
          <w:tcPr>
            <w:tcW w:w="238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$16.54</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Restructuring charges</w:t>
            </w:r>
          </w:p>
        </w:tc>
        <w:tc>
          <w:tcPr>
            <w:tcW w:w="2260" w:type="dxa"/>
            <w:vAlign w:val="bottom"/>
          </w:tcPr>
          <w:p>
            <w:pPr>
              <w:jc w:val="right"/>
              <w:spacing w:after="0"/>
              <w:rPr>
                <w:sz w:val="20"/>
                <w:szCs w:val="20"/>
                <w:color w:val="auto"/>
              </w:rPr>
            </w:pPr>
            <w:r>
              <w:rPr>
                <w:rFonts w:ascii="Arial" w:cs="Arial" w:eastAsia="Arial" w:hAnsi="Arial"/>
                <w:sz w:val="14"/>
                <w:szCs w:val="14"/>
                <w:color w:val="auto"/>
              </w:rPr>
              <w:t>2.4</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0.07</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Pension settlements</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0.3</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0.01</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Items in Losses (gains) and other expenses, net which are excluded from segment profit (loss) (a)</w:t>
            </w:r>
          </w:p>
        </w:tc>
        <w:tc>
          <w:tcPr>
            <w:tcW w:w="2260" w:type="dxa"/>
            <w:vAlign w:val="bottom"/>
          </w:tcPr>
          <w:p>
            <w:pPr>
              <w:jc w:val="right"/>
              <w:spacing w:after="0"/>
              <w:rPr>
                <w:sz w:val="20"/>
                <w:szCs w:val="20"/>
                <w:color w:val="auto"/>
              </w:rPr>
            </w:pPr>
            <w:r>
              <w:rPr>
                <w:rFonts w:ascii="Arial" w:cs="Arial" w:eastAsia="Arial" w:hAnsi="Arial"/>
                <w:sz w:val="14"/>
                <w:szCs w:val="14"/>
                <w:color w:val="auto"/>
              </w:rPr>
              <w:t>11.1</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0.31</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Excess tax benefits from share-based compensation (b)</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(5.2)</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(0.15)</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Gain on sale of business</w:t>
            </w:r>
          </w:p>
        </w:tc>
        <w:tc>
          <w:tcPr>
            <w:tcW w:w="2260" w:type="dxa"/>
            <w:vAlign w:val="bottom"/>
          </w:tcPr>
          <w:p>
            <w:pPr>
              <w:jc w:val="right"/>
              <w:spacing w:after="0"/>
              <w:rPr>
                <w:sz w:val="20"/>
                <w:szCs w:val="20"/>
                <w:color w:val="auto"/>
              </w:rPr>
            </w:pPr>
            <w:r>
              <w:rPr>
                <w:rFonts w:ascii="Arial" w:cs="Arial" w:eastAsia="Arial" w:hAnsi="Arial"/>
                <w:sz w:val="14"/>
                <w:szCs w:val="14"/>
                <w:color w:val="auto"/>
              </w:rPr>
              <w:t>(11.1)</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(0.31)</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Other tax items, net (b)</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(3.7)</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(0.1)</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Impairments on assets held for sale (c)</w:t>
            </w:r>
          </w:p>
        </w:tc>
        <w:tc>
          <w:tcPr>
            <w:tcW w:w="2260" w:type="dxa"/>
            <w:vAlign w:val="bottom"/>
          </w:tcPr>
          <w:p>
            <w:pPr>
              <w:jc w:val="right"/>
              <w:spacing w:after="0"/>
              <w:rPr>
                <w:sz w:val="20"/>
                <w:szCs w:val="20"/>
                <w:color w:val="auto"/>
              </w:rPr>
            </w:pPr>
            <w:r>
              <w:rPr>
                <w:rFonts w:ascii="Arial" w:cs="Arial" w:eastAsia="Arial" w:hAnsi="Arial"/>
                <w:sz w:val="14"/>
                <w:szCs w:val="14"/>
                <w:color w:val="auto"/>
              </w:rPr>
              <w:t>62.0</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1.74</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0"/>
        </w:trPr>
        <w:tc>
          <w:tcPr>
            <w:tcW w:w="6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Non-core business results (d)</w:t>
            </w:r>
          </w:p>
        </w:tc>
        <w:tc>
          <w:tcPr>
            <w:tcW w:w="22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(5.4)</w:t>
            </w:r>
          </w:p>
        </w:tc>
        <w:tc>
          <w:tcPr>
            <w:tcW w:w="23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(0.15)</w:t>
            </w:r>
          </w:p>
        </w:tc>
      </w:tr>
      <w:tr>
        <w:trPr>
          <w:trHeight w:val="217"/>
        </w:trPr>
        <w:tc>
          <w:tcPr>
            <w:tcW w:w="6600" w:type="dxa"/>
            <w:vAlign w:val="bottom"/>
          </w:tcPr>
          <w:p>
            <w:pPr>
              <w:ind w:left="100"/>
              <w:spacing w:after="0"/>
              <w:rPr>
                <w:sz w:val="20"/>
                <w:szCs w:val="20"/>
                <w:color w:val="auto"/>
              </w:rPr>
            </w:pPr>
            <w:r>
              <w:rPr>
                <w:rFonts w:ascii="Arial" w:cs="Arial" w:eastAsia="Arial" w:hAnsi="Arial"/>
                <w:sz w:val="14"/>
                <w:szCs w:val="14"/>
                <w:b w:val="1"/>
                <w:bCs w:val="1"/>
                <w:color w:val="auto"/>
              </w:rPr>
              <w:t>Adjusted net income, a non-GAAP measure</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$640.5</w:t>
            </w:r>
          </w:p>
        </w:tc>
        <w:tc>
          <w:tcPr>
            <w:tcW w:w="23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$17.96</w:t>
            </w:r>
          </w:p>
        </w:tc>
      </w:tr>
      <w:tr>
        <w:trPr>
          <w:trHeight w:val="27"/>
        </w:trPr>
        <w:tc>
          <w:tcPr>
            <w:tcW w:w="66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640" w:hanging="308"/>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Recorded in Losses (gains) and other expenses, net in the Consolidated Statements of Operations.</w:t>
      </w:r>
    </w:p>
    <w:p>
      <w:pPr>
        <w:spacing w:after="0" w:line="122" w:lineRule="exact"/>
        <w:rPr>
          <w:rFonts w:ascii="Arial" w:cs="Arial" w:eastAsia="Arial" w:hAnsi="Arial"/>
          <w:sz w:val="14"/>
          <w:szCs w:val="14"/>
          <w:color w:val="auto"/>
        </w:rPr>
      </w:pPr>
    </w:p>
    <w:p>
      <w:pPr>
        <w:ind w:left="640" w:hanging="308"/>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Recorded in Provision for income taxes in the Consolidated Statements of Operations.</w:t>
      </w:r>
    </w:p>
    <w:p>
      <w:pPr>
        <w:spacing w:after="0" w:line="122" w:lineRule="exact"/>
        <w:rPr>
          <w:rFonts w:ascii="Arial" w:cs="Arial" w:eastAsia="Arial" w:hAnsi="Arial"/>
          <w:sz w:val="14"/>
          <w:szCs w:val="14"/>
          <w:color w:val="auto"/>
        </w:rPr>
      </w:pPr>
    </w:p>
    <w:p>
      <w:pPr>
        <w:ind w:left="640" w:hanging="308"/>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Impairment on assets held for sale relate to the divestiture of our European operations that was completed in the fourth quarter of 2023.</w:t>
      </w:r>
    </w:p>
    <w:p>
      <w:pPr>
        <w:spacing w:after="0" w:line="109" w:lineRule="exact"/>
        <w:rPr>
          <w:rFonts w:ascii="Arial" w:cs="Arial" w:eastAsia="Arial" w:hAnsi="Arial"/>
          <w:sz w:val="14"/>
          <w:szCs w:val="14"/>
          <w:color w:val="auto"/>
        </w:rPr>
      </w:pPr>
    </w:p>
    <w:p>
      <w:pPr>
        <w:ind w:left="640" w:hanging="308"/>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Non-core business results represent activity related to our business operations in Europe not included elsewhere in the reconciliations.</w:t>
      </w: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57720" cy="8285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828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966460" cy="77152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decimal"/>
      <w:start w:val="1"/>
    </w:lvl>
    <w:lvl w:ilvl="1">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decimal"/>
      <w:start w:val="2"/>
    </w:lvl>
  </w:abstractNum>
  <w:abstractNum w:abstractNumId="72">
    <w:nsid w:val="68EBC550"/>
    <w:multiLevelType w:val="hybridMultilevel"/>
    <w:lvl w:ilvl="0">
      <w:lvlJc w:val="left"/>
      <w:lvlText w:val="(%1)"/>
      <w:numFmt w:val="decimal"/>
      <w:start w:val="4"/>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6"/>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5"/>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emdash "/>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1)"/>
      <w:numFmt w:val="decimal"/>
      <w:start w:val="3"/>
    </w:lvl>
  </w:abstractNum>
  <w:abstractNum w:abstractNumId="96">
    <w:nsid w:val="7DE67713"/>
    <w:multiLevelType w:val="hybridMultilevel"/>
    <w:lvl w:ilvl="0">
      <w:lvlJc w:val="left"/>
      <w:lvlText w:val="(%1)"/>
      <w:numFmt w:val="decimal"/>
      <w:start w:val="1"/>
    </w:lvl>
    <w:lvl w:ilvl="1">
      <w:lvlJc w:val="left"/>
      <w:lvlText w:val="•"/>
      <w:numFmt w:val="bullet"/>
      <w:start w:val="1"/>
    </w:lvl>
  </w:abstractNum>
  <w:abstractNum w:abstractNumId="97">
    <w:nsid w:val="555C55B5"/>
    <w:multiLevelType w:val="hybridMultilevel"/>
    <w:lvl w:ilvl="0">
      <w:lvlJc w:val="left"/>
      <w:lvlText w:val="(%1)"/>
      <w:numFmt w:val="decimal"/>
      <w:start w:val="2"/>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decimal"/>
      <w:start w:val="5"/>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2025-04-09T12:01:08Z</dcterms:created>
  <dcterms:modified xsi:type="dcterms:W3CDTF">2025-04-09T12:01:08Z</dcterms:modified>
</cp:coreProperties>
</file>