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671195</wp:posOffset>
            </wp:positionH>
            <wp:positionV relativeFrom="page">
              <wp:posOffset>821690</wp:posOffset>
            </wp:positionV>
            <wp:extent cx="65201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0180" cy="7620"/>
                    </a:xfrm>
                    <a:prstGeom prst="rect">
                      <a:avLst/>
                    </a:prstGeom>
                    <a:noFill/>
                  </pic:spPr>
                </pic:pic>
              </a:graphicData>
            </a:graphic>
          </wp:anchor>
        </w:drawing>
        <w:drawing>
          <wp:anchor simplePos="0" relativeHeight="251657728" behindDoc="1" locked="0" layoutInCell="0" allowOverlap="1">
            <wp:simplePos x="0" y="0"/>
            <wp:positionH relativeFrom="page">
              <wp:posOffset>671195</wp:posOffset>
            </wp:positionH>
            <wp:positionV relativeFrom="page">
              <wp:posOffset>844550</wp:posOffset>
            </wp:positionV>
            <wp:extent cx="65201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0180" cy="7620"/>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ind w:left="4120"/>
        <w:spacing w:after="0" w:line="238" w:lineRule="auto"/>
        <w:rPr>
          <w:sz w:val="20"/>
          <w:szCs w:val="20"/>
          <w:color w:val="auto"/>
        </w:rPr>
      </w:pPr>
      <w:r>
        <w:rPr>
          <w:rFonts w:ascii="Times New Roman" w:cs="Times New Roman" w:eastAsia="Times New Roman" w:hAnsi="Times New Roman"/>
          <w:sz w:val="23"/>
          <w:szCs w:val="23"/>
          <w:b w:val="1"/>
          <w:bCs w:val="1"/>
          <w:color w:val="auto"/>
        </w:rPr>
        <w:t>Washington, D.C. 20549</w:t>
      </w:r>
    </w:p>
    <w:p>
      <w:pPr>
        <w:ind w:left="3680"/>
        <w:spacing w:after="0"/>
        <w:rPr>
          <w:sz w:val="20"/>
          <w:szCs w:val="20"/>
          <w:color w:val="auto"/>
        </w:rPr>
      </w:pPr>
      <w:r>
        <w:rPr>
          <w:rFonts w:ascii="Times New Roman" w:cs="Times New Roman" w:eastAsia="Times New Roman" w:hAnsi="Times New Roman"/>
          <w:sz w:val="13"/>
          <w:szCs w:val="13"/>
          <w:color w:val="auto"/>
        </w:rPr>
        <w:t>_________________________________________________</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3"/>
          <w:szCs w:val="13"/>
          <w:color w:val="auto"/>
        </w:rPr>
        <w:t>_________________________________________________</w:t>
      </w:r>
    </w:p>
    <w:p>
      <w:pPr>
        <w:spacing w:after="0" w:line="37" w:lineRule="exact"/>
        <w:rPr>
          <w:sz w:val="24"/>
          <w:szCs w:val="24"/>
          <w:color w:val="auto"/>
        </w:rPr>
      </w:pPr>
    </w:p>
    <w:p>
      <w:pPr>
        <w:ind w:left="660" w:hanging="376"/>
        <w:spacing w:after="0"/>
        <w:tabs>
          <w:tab w:leader="none" w:pos="6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20" w:right="240" w:hanging="3136"/>
        <w:spacing w:after="0" w:line="361" w:lineRule="auto"/>
        <w:tabs>
          <w:tab w:leader="none" w:pos="678"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 For the transition period from _____to ______</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001-15149</w:t>
      </w:r>
    </w:p>
    <w:p>
      <w:pPr>
        <w:spacing w:after="0" w:line="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5"/>
          <w:szCs w:val="15"/>
          <w:color w:val="auto"/>
        </w:rPr>
        <w:t>_________________________________________________</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LENNOX INTERNATIONAL INC</w:t>
      </w:r>
      <w:r>
        <w:rPr>
          <w:rFonts w:ascii="Times New Roman" w:cs="Times New Roman" w:eastAsia="Times New Roman" w:hAnsi="Times New Roman"/>
          <w:sz w:val="32"/>
          <w:szCs w:val="32"/>
          <w:b w:val="1"/>
          <w:bCs w:val="1"/>
          <w:color w:val="auto"/>
        </w:rPr>
        <w:t>.</w:t>
      </w:r>
    </w:p>
    <w:p>
      <w:pPr>
        <w:spacing w:after="0" w:line="6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Incorporated pursuant to the laws of the State of Delaware</w:t>
      </w:r>
    </w:p>
    <w:p>
      <w:pPr>
        <w:spacing w:after="0" w:line="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5"/>
          <w:szCs w:val="15"/>
          <w:color w:val="auto"/>
        </w:rPr>
        <w:t>_________________________________________________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Internal Revenue Service Employer Identification No. 42-0991521</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2140 LAKE PARK BLVD., RICHARDSON, Texas, 75080</w:t>
      </w:r>
    </w:p>
    <w:p>
      <w:pPr>
        <w:spacing w:after="0" w:line="26" w:lineRule="exact"/>
        <w:rPr>
          <w:sz w:val="24"/>
          <w:szCs w:val="24"/>
          <w:color w:val="auto"/>
        </w:rPr>
      </w:pPr>
    </w:p>
    <w:p>
      <w:pPr>
        <w:ind w:left="5180" w:hanging="373"/>
        <w:spacing w:after="0"/>
        <w:tabs>
          <w:tab w:leader="none" w:pos="5180" w:val="left"/>
        </w:tabs>
        <w:numPr>
          <w:ilvl w:val="0"/>
          <w:numId w:val="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497-5000</w:t>
      </w:r>
    </w:p>
    <w:p>
      <w:pPr>
        <w:spacing w:after="0" w:line="5" w:lineRule="exact"/>
        <w:rPr>
          <w:rFonts w:ascii="Times New Roman" w:cs="Times New Roman" w:eastAsia="Times New Roman" w:hAnsi="Times New Roman"/>
          <w:sz w:val="15"/>
          <w:szCs w:val="15"/>
          <w:b w:val="1"/>
          <w:bCs w:val="1"/>
          <w:color w:val="auto"/>
        </w:rPr>
      </w:pPr>
    </w:p>
    <w:p>
      <w:pPr>
        <w:ind w:left="33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_________________________________________________</w:t>
      </w:r>
    </w:p>
    <w:p>
      <w:pPr>
        <w:spacing w:after="0" w:line="5" w:lineRule="exact"/>
        <w:rPr>
          <w:rFonts w:ascii="Times New Roman" w:cs="Times New Roman" w:eastAsia="Times New Roman" w:hAnsi="Times New Roman"/>
          <w:sz w:val="15"/>
          <w:szCs w:val="15"/>
          <w:b w:val="1"/>
          <w:bCs w:val="1"/>
          <w:color w:val="auto"/>
        </w:rPr>
      </w:pPr>
    </w:p>
    <w:p>
      <w:pPr>
        <w:ind w:left="36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Securities registered pursuant to Section 12(b) of the Act:</w:t>
      </w:r>
    </w:p>
    <w:p>
      <w:pPr>
        <w:sectPr>
          <w:pgSz w:w="11900" w:h="16840" w:orient="portrait"/>
          <w:cols w:equalWidth="0" w:num="1">
            <w:col w:w="10580"/>
          </w:cols>
          <w:pgMar w:left="660" w:top="1440" w:right="660" w:bottom="1440" w:gutter="0" w:footer="0" w:header="0"/>
        </w:sectPr>
      </w:pPr>
    </w:p>
    <w:p>
      <w:pPr>
        <w:spacing w:after="0" w:line="21"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31"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5"/>
          <w:szCs w:val="15"/>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LII</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5"/>
          <w:szCs w:val="15"/>
          <w:b w:val="1"/>
          <w:bCs w:val="1"/>
          <w:color w:val="auto"/>
        </w:rPr>
        <w:t>New York Stock Exchange</w:t>
      </w:r>
    </w:p>
    <w:p>
      <w:pPr>
        <w:spacing w:after="0" w:line="138" w:lineRule="exact"/>
        <w:rPr>
          <w:sz w:val="24"/>
          <w:szCs w:val="24"/>
          <w:color w:val="auto"/>
        </w:rPr>
      </w:pPr>
    </w:p>
    <w:p>
      <w:pPr>
        <w:sectPr>
          <w:pgSz w:w="11900" w:h="16840" w:orient="portrait"/>
          <w:cols w:equalWidth="0" w:num="3">
            <w:col w:w="4240" w:space="720"/>
            <w:col w:w="1420" w:space="720"/>
            <w:col w:w="3480"/>
          </w:cols>
          <w:pgMar w:left="660" w:top="1440" w:right="660" w:bottom="1440" w:gutter="0" w:footer="0" w:header="0"/>
          <w:type w:val="continuous"/>
        </w:sectPr>
      </w:pPr>
    </w:p>
    <w:p>
      <w:pPr>
        <w:ind w:firstLine="214"/>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460" w:val="left"/>
          <w:tab w:leader="none" w:pos="1100" w:val="left"/>
        </w:tabs>
        <w:rPr>
          <w:sz w:val="20"/>
          <w:szCs w:val="20"/>
          <w:color w:val="auto"/>
        </w:rPr>
      </w:pPr>
      <w:r>
        <w:rPr>
          <w:rFonts w:ascii="Times New Roman" w:cs="Times New Roman" w:eastAsia="Times New Roman" w:hAnsi="Times New Roman"/>
          <w:sz w:val="15"/>
          <w:szCs w:val="15"/>
          <w:color w:val="auto"/>
        </w:rPr>
        <w:t>days.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8"/>
          <w:szCs w:val="18"/>
          <w:color w:val="auto"/>
        </w:rPr>
        <w:t>☐</w:t>
      </w:r>
    </w:p>
    <w:p>
      <w:pPr>
        <w:spacing w:after="0" w:line="55" w:lineRule="exact"/>
        <w:rPr>
          <w:sz w:val="24"/>
          <w:szCs w:val="24"/>
          <w:color w:val="auto"/>
        </w:rPr>
      </w:pPr>
    </w:p>
    <w:p>
      <w:pPr>
        <w:ind w:firstLine="214"/>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jc w:val="both"/>
        <w:ind w:right="40" w:firstLine="214"/>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40" w:type="dxa"/>
        <w:tblCellMar>
          <w:top w:w="0" w:type="dxa"/>
          <w:left w:w="0" w:type="dxa"/>
          <w:bottom w:w="0" w:type="dxa"/>
          <w:right w:w="0" w:type="dxa"/>
        </w:tblCellMar>
      </w:tblP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100" w:type="dxa"/>
            <w:vAlign w:val="bottom"/>
          </w:tcPr>
          <w:p>
            <w:pPr>
              <w:ind w:left="440"/>
              <w:spacing w:after="0" w:line="191" w:lineRule="exact"/>
              <w:rPr>
                <w:sz w:val="20"/>
                <w:szCs w:val="20"/>
                <w:color w:val="auto"/>
              </w:rPr>
            </w:pPr>
            <w:r>
              <w:rPr>
                <w:rFonts w:ascii="MS PGothic" w:cs="MS PGothic" w:eastAsia="MS PGothic" w:hAnsi="MS PGothic"/>
                <w:sz w:val="19"/>
                <w:szCs w:val="19"/>
                <w:color w:val="auto"/>
              </w:rPr>
              <w:t>☒</w:t>
            </w:r>
          </w:p>
        </w:tc>
        <w:tc>
          <w:tcPr>
            <w:tcW w:w="402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Accelerated Filer</w:t>
            </w:r>
          </w:p>
        </w:tc>
        <w:tc>
          <w:tcPr>
            <w:tcW w:w="940" w:type="dxa"/>
            <w:vAlign w:val="bottom"/>
          </w:tcPr>
          <w:p>
            <w:pPr>
              <w:ind w:left="7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37"/>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100" w:type="dxa"/>
            <w:vAlign w:val="bottom"/>
          </w:tcPr>
          <w:p>
            <w:pPr>
              <w:ind w:left="440"/>
              <w:spacing w:after="0" w:line="191" w:lineRule="exact"/>
              <w:rPr>
                <w:sz w:val="20"/>
                <w:szCs w:val="20"/>
                <w:color w:val="auto"/>
              </w:rPr>
            </w:pPr>
            <w:r>
              <w:rPr>
                <w:rFonts w:ascii="MS PGothic" w:cs="MS PGothic" w:eastAsia="MS PGothic" w:hAnsi="MS PGothic"/>
                <w:sz w:val="19"/>
                <w:szCs w:val="19"/>
                <w:color w:val="auto"/>
              </w:rPr>
              <w:t>☐</w:t>
            </w:r>
          </w:p>
        </w:tc>
        <w:tc>
          <w:tcPr>
            <w:tcW w:w="402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940" w:type="dxa"/>
            <w:vAlign w:val="bottom"/>
          </w:tcPr>
          <w:p>
            <w:pPr>
              <w:ind w:left="7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18"/>
        </w:trPr>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2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Emerging growth company</w:t>
            </w:r>
          </w:p>
        </w:tc>
        <w:tc>
          <w:tcPr>
            <w:tcW w:w="940" w:type="dxa"/>
            <w:vAlign w:val="bottom"/>
          </w:tcPr>
          <w:p>
            <w:pPr>
              <w:ind w:left="76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20" w:lineRule="exact"/>
        <w:rPr>
          <w:sz w:val="24"/>
          <w:szCs w:val="24"/>
          <w:color w:val="auto"/>
        </w:rPr>
      </w:pPr>
    </w:p>
    <w:p>
      <w:pPr>
        <w:ind w:right="20" w:firstLine="214"/>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220"/>
        <w:spacing w:after="0" w:line="161" w:lineRule="exact"/>
        <w:tabs>
          <w:tab w:leader="none" w:pos="68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color w:val="auto"/>
        </w:rPr>
        <w:t>As of October 13, 2025, the number of shares outstanding of the registrant’s common stock, par value $0.01 per share, was 35,072,782.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737235</wp:posOffset>
            </wp:positionV>
            <wp:extent cx="673417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4175" cy="406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41275</wp:posOffset>
            </wp:positionV>
            <wp:extent cx="6580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050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wp:posOffset>
            </wp:positionV>
            <wp:extent cx="6580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0505" cy="762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type w:val="continuous"/>
        </w:sectPr>
      </w:pPr>
    </w:p>
    <w:bookmarkStart w:id="1" w:name="page2"/>
    <w:bookmarkEnd w:id="1"/>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LENNOX INTERNATIONAL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three and nine months ended September 30, 2025</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1"/>
        </w:trPr>
        <w:tc>
          <w:tcPr>
            <w:tcW w:w="780" w:type="dxa"/>
            <w:vAlign w:val="bottom"/>
            <w:tcBorders>
              <w:bottom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I</w:t>
            </w:r>
          </w:p>
        </w:tc>
        <w:tc>
          <w:tcPr>
            <w:tcW w:w="1260" w:type="dxa"/>
            <w:vAlign w:val="bottom"/>
            <w:tcBorders>
              <w:bottom w:val="single" w:sz="8" w:color="0000FF"/>
              <w:right w:val="single" w:sz="8" w:color="CCEEFF"/>
            </w:tcBorders>
            <w:gridSpan w:val="5"/>
            <w:shd w:val="clear" w:color="auto" w:fill="CCEEFF"/>
          </w:tcPr>
          <w:p>
            <w:pPr>
              <w:spacing w:after="0" w:line="135" w:lineRule="exact"/>
              <w:rPr>
                <w:rFonts w:ascii="Times New Roman" w:cs="Times New Roman" w:eastAsia="Times New Roman" w:hAnsi="Times New Roman"/>
                <w:sz w:val="14"/>
                <w:szCs w:val="14"/>
                <w:color w:val="0000FF"/>
                <w:w w:val="99"/>
              </w:rPr>
            </w:pPr>
            <w:hyperlink w:anchor="page2">
              <w:r>
                <w:rPr>
                  <w:rFonts w:ascii="Times New Roman" w:cs="Times New Roman" w:eastAsia="Times New Roman" w:hAnsi="Times New Roman"/>
                  <w:sz w:val="14"/>
                  <w:szCs w:val="14"/>
                  <w:color w:val="0000FF"/>
                  <w:w w:val="99"/>
                </w:rPr>
                <w:t>Financial Information</w:t>
              </w:r>
            </w:hyperlink>
          </w:p>
        </w:tc>
        <w:tc>
          <w:tcPr>
            <w:tcW w:w="7600" w:type="dxa"/>
            <w:vAlign w:val="bottom"/>
            <w:tcBorders>
              <w:bottom w:val="single" w:sz="8" w:color="CCEEFF"/>
            </w:tcBorders>
            <w:gridSpan w:val="12"/>
            <w:shd w:val="clear" w:color="auto" w:fill="CCEEFF"/>
          </w:tcPr>
          <w:p>
            <w:pPr>
              <w:spacing w:after="0"/>
              <w:rPr>
                <w:sz w:val="13"/>
                <w:szCs w:val="13"/>
                <w:color w:val="auto"/>
              </w:rPr>
            </w:pPr>
          </w:p>
        </w:tc>
        <w:tc>
          <w:tcPr>
            <w:tcW w:w="3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62"/>
        </w:trPr>
        <w:tc>
          <w:tcPr>
            <w:tcW w:w="780" w:type="dxa"/>
            <w:vAlign w:val="bottom"/>
          </w:tcPr>
          <w:p>
            <w:pPr>
              <w:spacing w:after="0"/>
              <w:rPr>
                <w:sz w:val="14"/>
                <w:szCs w:val="14"/>
                <w:color w:val="auto"/>
              </w:rPr>
            </w:pPr>
          </w:p>
        </w:tc>
        <w:tc>
          <w:tcPr>
            <w:tcW w:w="1640" w:type="dxa"/>
            <w:vAlign w:val="bottom"/>
            <w:tcBorders>
              <w:bottom w:val="single" w:sz="8" w:color="0000FF"/>
            </w:tcBorders>
            <w:gridSpan w:val="7"/>
          </w:tcPr>
          <w:p>
            <w:pPr>
              <w:spacing w:after="0" w:line="155"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Item 1. </w:t>
            </w:r>
            <w:hyperlink w:anchor="page3">
              <w:r>
                <w:rPr>
                  <w:rFonts w:ascii="Times New Roman" w:cs="Times New Roman" w:eastAsia="Times New Roman" w:hAnsi="Times New Roman"/>
                  <w:sz w:val="14"/>
                  <w:szCs w:val="14"/>
                  <w:color w:val="0000FF"/>
                </w:rPr>
                <w:t xml:space="preserve">Financial </w:t>
              </w:r>
            </w:hyperlink>
            <w:r>
              <w:rPr>
                <w:rFonts w:ascii="Times New Roman" w:cs="Times New Roman" w:eastAsia="Times New Roman" w:hAnsi="Times New Roman"/>
                <w:sz w:val="14"/>
                <w:szCs w:val="14"/>
                <w:color w:val="0000FF"/>
              </w:rPr>
              <w:t>Statements</w:t>
            </w:r>
          </w:p>
        </w:tc>
        <w:tc>
          <w:tcPr>
            <w:tcW w:w="7220" w:type="dxa"/>
            <w:vAlign w:val="bottom"/>
            <w:gridSpan w:val="10"/>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4"/>
        </w:trPr>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Balance Sheets - September 30, 2025 (Unaudited) and December 31, 2024</w:t>
            </w:r>
          </w:p>
        </w:tc>
        <w:tc>
          <w:tcPr>
            <w:tcW w:w="460" w:type="dxa"/>
            <w:vAlign w:val="bottom"/>
            <w:gridSpan w:val="2"/>
            <w:shd w:val="clear" w:color="auto" w:fill="CCEEFF"/>
          </w:tcPr>
          <w:p>
            <w:pPr>
              <w:jc w:val="center"/>
              <w:ind w:left="283"/>
              <w:spacing w:after="0"/>
              <w:rPr>
                <w:rFonts w:ascii="Times New Roman" w:cs="Times New Roman" w:eastAsia="Times New Roman" w:hAnsi="Times New Roman"/>
                <w:sz w:val="15"/>
                <w:szCs w:val="15"/>
                <w:color w:val="0000FF"/>
                <w:w w:val="79"/>
              </w:rPr>
            </w:pPr>
            <w:hyperlink w:anchor="page3">
              <w:r>
                <w:rPr>
                  <w:rFonts w:ascii="Times New Roman" w:cs="Times New Roman" w:eastAsia="Times New Roman" w:hAnsi="Times New Roman"/>
                  <w:sz w:val="15"/>
                  <w:szCs w:val="15"/>
                  <w:color w:val="0000FF"/>
                  <w:w w:val="79"/>
                </w:rPr>
                <w:t>1</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6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Operations (Unaudited) - Three and Nine Months Ended September 30, 2025 and 2024</w:t>
            </w:r>
          </w:p>
        </w:tc>
        <w:tc>
          <w:tcPr>
            <w:tcW w:w="2120" w:type="dxa"/>
            <w:vAlign w:val="bottom"/>
            <w:gridSpan w:val="3"/>
          </w:tcPr>
          <w:p>
            <w:pPr>
              <w:spacing w:after="0"/>
              <w:rPr>
                <w:sz w:val="14"/>
                <w:szCs w:val="14"/>
                <w:color w:val="auto"/>
              </w:rPr>
            </w:pPr>
          </w:p>
        </w:tc>
        <w:tc>
          <w:tcPr>
            <w:tcW w:w="460" w:type="dxa"/>
            <w:vAlign w:val="bottom"/>
            <w:gridSpan w:val="2"/>
          </w:tcPr>
          <w:p>
            <w:pPr>
              <w:jc w:val="center"/>
              <w:ind w:left="283"/>
              <w:spacing w:after="0" w:line="167" w:lineRule="exact"/>
              <w:rPr>
                <w:rFonts w:ascii="Times New Roman" w:cs="Times New Roman" w:eastAsia="Times New Roman" w:hAnsi="Times New Roman"/>
                <w:sz w:val="15"/>
                <w:szCs w:val="15"/>
                <w:color w:val="0000FF"/>
                <w:w w:val="79"/>
              </w:rPr>
            </w:pPr>
            <w:hyperlink w:anchor="page3">
              <w:r>
                <w:rPr>
                  <w:rFonts w:ascii="Times New Roman" w:cs="Times New Roman" w:eastAsia="Times New Roman" w:hAnsi="Times New Roman"/>
                  <w:sz w:val="15"/>
                  <w:szCs w:val="15"/>
                  <w:color w:val="0000FF"/>
                  <w:w w:val="79"/>
                </w:rPr>
                <w:t>2</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(Unaudited) - Three and Nine Months Ended September 30, 2025 and 2024</w:t>
            </w:r>
          </w:p>
        </w:tc>
        <w:tc>
          <w:tcPr>
            <w:tcW w:w="460" w:type="dxa"/>
            <w:vAlign w:val="bottom"/>
            <w:gridSpan w:val="2"/>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0000FF"/>
                <w:w w:val="79"/>
              </w:rPr>
              <w:t>3</w:t>
            </w:r>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(Unaudited) - Three and Nine Months Ended September 30, 2025 and 2024</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gridSpan w:val="2"/>
          </w:tcPr>
          <w:p>
            <w:pPr>
              <w:jc w:val="center"/>
              <w:ind w:left="283"/>
              <w:spacing w:after="0" w:line="167" w:lineRule="exact"/>
              <w:rPr>
                <w:rFonts w:ascii="Times New Roman" w:cs="Times New Roman" w:eastAsia="Times New Roman" w:hAnsi="Times New Roman"/>
                <w:sz w:val="15"/>
                <w:szCs w:val="15"/>
                <w:color w:val="0000FF"/>
                <w:w w:val="79"/>
              </w:rPr>
            </w:pPr>
            <w:hyperlink w:anchor="page5">
              <w:r>
                <w:rPr>
                  <w:rFonts w:ascii="Times New Roman" w:cs="Times New Roman" w:eastAsia="Times New Roman" w:hAnsi="Times New Roman"/>
                  <w:sz w:val="15"/>
                  <w:szCs w:val="15"/>
                  <w:color w:val="0000FF"/>
                  <w:w w:val="79"/>
                </w:rPr>
                <w:t>4</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Cash Flows (Unaudited) - Nine Months Ended September 30, 2025 and 2024</w:t>
            </w:r>
          </w:p>
        </w:tc>
        <w:tc>
          <w:tcPr>
            <w:tcW w:w="1560" w:type="dxa"/>
            <w:vAlign w:val="bottom"/>
            <w:gridSpan w:val="2"/>
            <w:shd w:val="clear" w:color="auto" w:fill="CCEEFF"/>
          </w:tcPr>
          <w:p>
            <w:pPr>
              <w:spacing w:after="0"/>
              <w:rPr>
                <w:sz w:val="15"/>
                <w:szCs w:val="15"/>
                <w:color w:val="auto"/>
              </w:rPr>
            </w:pPr>
          </w:p>
        </w:tc>
        <w:tc>
          <w:tcPr>
            <w:tcW w:w="460" w:type="dxa"/>
            <w:vAlign w:val="bottom"/>
            <w:gridSpan w:val="2"/>
            <w:shd w:val="clear" w:color="auto" w:fill="CCEEFF"/>
          </w:tcPr>
          <w:p>
            <w:pPr>
              <w:jc w:val="center"/>
              <w:ind w:left="283"/>
              <w:spacing w:after="0"/>
              <w:rPr>
                <w:rFonts w:ascii="Times New Roman" w:cs="Times New Roman" w:eastAsia="Times New Roman" w:hAnsi="Times New Roman"/>
                <w:sz w:val="15"/>
                <w:szCs w:val="15"/>
                <w:color w:val="0000FF"/>
                <w:w w:val="79"/>
              </w:rPr>
            </w:pPr>
            <w:hyperlink w:anchor="page7">
              <w:r>
                <w:rPr>
                  <w:rFonts w:ascii="Times New Roman" w:cs="Times New Roman" w:eastAsia="Times New Roman" w:hAnsi="Times New Roman"/>
                  <w:sz w:val="15"/>
                  <w:szCs w:val="15"/>
                  <w:color w:val="0000FF"/>
                  <w:w w:val="79"/>
                </w:rPr>
                <w:t>6</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8"/>
          </w:tcPr>
          <w:p>
            <w:pPr>
              <w:spacing w:after="0"/>
              <w:rPr>
                <w:rFonts w:ascii="Times New Roman" w:cs="Times New Roman" w:eastAsia="Times New Roman" w:hAnsi="Times New Roman"/>
                <w:sz w:val="14"/>
                <w:szCs w:val="14"/>
                <w:color w:val="0000FF"/>
              </w:rPr>
            </w:pPr>
            <w:hyperlink w:anchor="page8">
              <w:r>
                <w:rPr>
                  <w:rFonts w:ascii="Times New Roman" w:cs="Times New Roman" w:eastAsia="Times New Roman" w:hAnsi="Times New Roman"/>
                  <w:sz w:val="14"/>
                  <w:szCs w:val="14"/>
                  <w:color w:val="0000FF"/>
                </w:rPr>
                <w:t>Notes to Consolidated Financial Statements (Unaudited)</w:t>
              </w:r>
            </w:hyperlink>
          </w:p>
        </w:tc>
        <w:tc>
          <w:tcPr>
            <w:tcW w:w="2760" w:type="dxa"/>
            <w:vAlign w:val="bottom"/>
            <w:gridSpan w:val="4"/>
          </w:tcPr>
          <w:p>
            <w:pPr>
              <w:spacing w:after="0"/>
              <w:rPr>
                <w:sz w:val="14"/>
                <w:szCs w:val="14"/>
                <w:color w:val="auto"/>
              </w:rPr>
            </w:pPr>
          </w:p>
        </w:tc>
        <w:tc>
          <w:tcPr>
            <w:tcW w:w="2700" w:type="dxa"/>
            <w:vAlign w:val="bottom"/>
            <w:gridSpan w:val="4"/>
          </w:tcPr>
          <w:p>
            <w:pPr>
              <w:spacing w:after="0"/>
              <w:rPr>
                <w:sz w:val="14"/>
                <w:szCs w:val="14"/>
                <w:color w:val="auto"/>
              </w:rPr>
            </w:pPr>
          </w:p>
        </w:tc>
        <w:tc>
          <w:tcPr>
            <w:tcW w:w="460" w:type="dxa"/>
            <w:vAlign w:val="bottom"/>
            <w:gridSpan w:val="2"/>
          </w:tcPr>
          <w:p>
            <w:pPr>
              <w:jc w:val="center"/>
              <w:ind w:left="283"/>
              <w:spacing w:after="0" w:line="167" w:lineRule="exact"/>
              <w:rPr>
                <w:rFonts w:ascii="Times New Roman" w:cs="Times New Roman" w:eastAsia="Times New Roman" w:hAnsi="Times New Roman"/>
                <w:sz w:val="15"/>
                <w:szCs w:val="15"/>
                <w:color w:val="0000FF"/>
                <w:w w:val="79"/>
              </w:rPr>
            </w:pPr>
            <w:hyperlink w:anchor="page8">
              <w:r>
                <w:rPr>
                  <w:rFonts w:ascii="Times New Roman" w:cs="Times New Roman" w:eastAsia="Times New Roman" w:hAnsi="Times New Roman"/>
                  <w:sz w:val="15"/>
                  <w:szCs w:val="15"/>
                  <w:color w:val="0000FF"/>
                  <w:w w:val="79"/>
                </w:rPr>
                <w:t>7</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8860" w:type="dxa"/>
            <w:vAlign w:val="bottom"/>
            <w:gridSpan w:val="17"/>
            <w:shd w:val="clear" w:color="auto" w:fill="CCEEFF"/>
          </w:tcPr>
          <w:p>
            <w:pPr>
              <w:spacing w:after="0"/>
              <w:rPr>
                <w:rFonts w:ascii="Times New Roman" w:cs="Times New Roman" w:eastAsia="Times New Roman" w:hAnsi="Times New Roman"/>
                <w:sz w:val="14"/>
                <w:szCs w:val="14"/>
                <w:color w:val="0000FF"/>
              </w:rPr>
            </w:pPr>
            <w:hyperlink w:anchor="page22">
              <w:r>
                <w:rPr>
                  <w:rFonts w:ascii="Times New Roman" w:cs="Times New Roman" w:eastAsia="Times New Roman" w:hAnsi="Times New Roman"/>
                  <w:sz w:val="14"/>
                  <w:szCs w:val="14"/>
                  <w:color w:val="0000FF"/>
                </w:rPr>
                <w:t>Item 2. Management's Discussion and Analysis of Financial Condition and Results of Operations</w:t>
              </w:r>
            </w:hyperlink>
          </w:p>
        </w:tc>
        <w:tc>
          <w:tcPr>
            <w:tcW w:w="460" w:type="dxa"/>
            <w:vAlign w:val="bottom"/>
            <w:gridSpan w:val="2"/>
            <w:shd w:val="clear" w:color="auto" w:fill="CCEEFF"/>
          </w:tcPr>
          <w:p>
            <w:pPr>
              <w:jc w:val="center"/>
              <w:ind w:left="243"/>
              <w:spacing w:after="0"/>
              <w:rPr>
                <w:rFonts w:ascii="Times New Roman" w:cs="Times New Roman" w:eastAsia="Times New Roman" w:hAnsi="Times New Roman"/>
                <w:sz w:val="15"/>
                <w:szCs w:val="15"/>
                <w:color w:val="0000FF"/>
                <w:w w:val="92"/>
              </w:rPr>
            </w:pPr>
            <w:hyperlink w:anchor="page22">
              <w:r>
                <w:rPr>
                  <w:rFonts w:ascii="Times New Roman" w:cs="Times New Roman" w:eastAsia="Times New Roman" w:hAnsi="Times New Roman"/>
                  <w:sz w:val="15"/>
                  <w:szCs w:val="15"/>
                  <w:color w:val="0000FF"/>
                  <w:w w:val="92"/>
                </w:rPr>
                <w:t>21</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480" w:type="dxa"/>
            <w:vAlign w:val="bottom"/>
            <w:tcBorders>
              <w:right w:val="single" w:sz="8" w:color="0000FF"/>
            </w:tcBorders>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3880" w:type="dxa"/>
            <w:vAlign w:val="bottom"/>
            <w:gridSpan w:val="10"/>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Item 3. Quantitative and Qualitative Disclosures About Market Risk</w:t>
              </w:r>
            </w:hyperlink>
          </w:p>
        </w:tc>
        <w:tc>
          <w:tcPr>
            <w:tcW w:w="1640" w:type="dxa"/>
            <w:vAlign w:val="bottom"/>
            <w:gridSpan w:val="2"/>
          </w:tcPr>
          <w:p>
            <w:pPr>
              <w:spacing w:after="0"/>
              <w:rPr>
                <w:sz w:val="14"/>
                <w:szCs w:val="14"/>
                <w:color w:val="auto"/>
              </w:rPr>
            </w:pPr>
          </w:p>
        </w:tc>
        <w:tc>
          <w:tcPr>
            <w:tcW w:w="3340" w:type="dxa"/>
            <w:vAlign w:val="bottom"/>
            <w:gridSpan w:val="5"/>
          </w:tcPr>
          <w:p>
            <w:pPr>
              <w:spacing w:after="0"/>
              <w:rPr>
                <w:sz w:val="14"/>
                <w:szCs w:val="14"/>
                <w:color w:val="auto"/>
              </w:rPr>
            </w:pPr>
          </w:p>
        </w:tc>
        <w:tc>
          <w:tcPr>
            <w:tcW w:w="460" w:type="dxa"/>
            <w:vAlign w:val="bottom"/>
            <w:gridSpan w:val="2"/>
          </w:tcPr>
          <w:p>
            <w:pPr>
              <w:jc w:val="center"/>
              <w:ind w:left="243"/>
              <w:spacing w:after="0" w:line="167" w:lineRule="exact"/>
              <w:rPr>
                <w:rFonts w:ascii="Times New Roman" w:cs="Times New Roman" w:eastAsia="Times New Roman" w:hAnsi="Times New Roman"/>
                <w:sz w:val="15"/>
                <w:szCs w:val="15"/>
                <w:color w:val="0000FF"/>
                <w:w w:val="92"/>
              </w:rPr>
            </w:pPr>
            <w:hyperlink w:anchor="page32">
              <w:r>
                <w:rPr>
                  <w:rFonts w:ascii="Times New Roman" w:cs="Times New Roman" w:eastAsia="Times New Roman" w:hAnsi="Times New Roman"/>
                  <w:sz w:val="15"/>
                  <w:szCs w:val="15"/>
                  <w:color w:val="0000FF"/>
                  <w:w w:val="92"/>
                </w:rPr>
                <w:t>30</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480" w:type="dxa"/>
            <w:vAlign w:val="bottom"/>
            <w:tcBorders>
              <w:right w:val="single" w:sz="8" w:color="0000FF"/>
            </w:tcBorders>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r>
      <w:tr>
        <w:trPr>
          <w:trHeight w:val="190"/>
        </w:trPr>
        <w:tc>
          <w:tcPr>
            <w:tcW w:w="780" w:type="dxa"/>
            <w:vAlign w:val="bottom"/>
            <w:shd w:val="clear" w:color="auto" w:fill="CCEEFF"/>
          </w:tcPr>
          <w:p>
            <w:pPr>
              <w:spacing w:after="0"/>
              <w:rPr>
                <w:sz w:val="16"/>
                <w:szCs w:val="16"/>
                <w:color w:val="auto"/>
              </w:rPr>
            </w:pPr>
          </w:p>
        </w:tc>
        <w:tc>
          <w:tcPr>
            <w:tcW w:w="3880" w:type="dxa"/>
            <w:vAlign w:val="bottom"/>
            <w:tcBorders>
              <w:right w:val="single" w:sz="8" w:color="CCEEFF"/>
            </w:tcBorders>
            <w:gridSpan w:val="10"/>
            <w:shd w:val="clear" w:color="auto" w:fill="CCEEFF"/>
          </w:tcPr>
          <w:p>
            <w:pPr>
              <w:spacing w:after="0"/>
              <w:rPr>
                <w:rFonts w:ascii="Times New Roman" w:cs="Times New Roman" w:eastAsia="Times New Roman" w:hAnsi="Times New Roman"/>
                <w:sz w:val="14"/>
                <w:szCs w:val="14"/>
                <w:color w:val="0000FF"/>
              </w:rPr>
            </w:pPr>
            <w:hyperlink w:anchor="page32">
              <w:r>
                <w:rPr>
                  <w:rFonts w:ascii="Times New Roman" w:cs="Times New Roman" w:eastAsia="Times New Roman" w:hAnsi="Times New Roman"/>
                  <w:sz w:val="14"/>
                  <w:szCs w:val="14"/>
                  <w:color w:val="0000FF"/>
                </w:rPr>
                <w:t>Item 4. Controls and Procedures</w:t>
              </w:r>
            </w:hyperlink>
          </w:p>
        </w:tc>
        <w:tc>
          <w:tcPr>
            <w:tcW w:w="4980" w:type="dxa"/>
            <w:vAlign w:val="bottom"/>
            <w:gridSpan w:val="7"/>
            <w:shd w:val="clear" w:color="auto" w:fill="CCEEFF"/>
          </w:tcPr>
          <w:p>
            <w:pPr>
              <w:spacing w:after="0"/>
              <w:rPr>
                <w:sz w:val="16"/>
                <w:szCs w:val="16"/>
                <w:color w:val="auto"/>
              </w:rPr>
            </w:pPr>
          </w:p>
        </w:tc>
        <w:tc>
          <w:tcPr>
            <w:tcW w:w="460" w:type="dxa"/>
            <w:vAlign w:val="bottom"/>
            <w:gridSpan w:val="2"/>
            <w:shd w:val="clear" w:color="auto" w:fill="CCEEFF"/>
          </w:tcPr>
          <w:p>
            <w:pPr>
              <w:jc w:val="center"/>
              <w:ind w:left="243"/>
              <w:spacing w:after="0"/>
              <w:rPr>
                <w:rFonts w:ascii="Times New Roman" w:cs="Times New Roman" w:eastAsia="Times New Roman" w:hAnsi="Times New Roman"/>
                <w:sz w:val="15"/>
                <w:szCs w:val="15"/>
                <w:color w:val="0000FF"/>
                <w:w w:val="92"/>
              </w:rPr>
            </w:pPr>
            <w:hyperlink w:anchor="page32">
              <w:r>
                <w:rPr>
                  <w:rFonts w:ascii="Times New Roman" w:cs="Times New Roman" w:eastAsia="Times New Roman" w:hAnsi="Times New Roman"/>
                  <w:sz w:val="15"/>
                  <w:szCs w:val="15"/>
                  <w:color w:val="0000FF"/>
                  <w:w w:val="92"/>
                </w:rPr>
                <w:t>31</w:t>
              </w:r>
            </w:hyperlink>
          </w:p>
        </w:tc>
        <w:tc>
          <w:tcPr>
            <w:tcW w:w="380" w:type="dxa"/>
            <w:vAlign w:val="bottom"/>
            <w:tcBorders>
              <w:left w:val="single" w:sz="8" w:color="CCEEFF"/>
            </w:tcBorders>
            <w:shd w:val="clear" w:color="auto" w:fill="CCEEFF"/>
          </w:tcPr>
          <w:p>
            <w:pPr>
              <w:spacing w:after="0"/>
              <w:rPr>
                <w:sz w:val="16"/>
                <w:szCs w:val="16"/>
                <w:color w:val="auto"/>
              </w:rPr>
            </w:pPr>
          </w:p>
        </w:tc>
      </w:tr>
      <w:tr>
        <w:trPr>
          <w:trHeight w:val="154"/>
        </w:trPr>
        <w:tc>
          <w:tcPr>
            <w:tcW w:w="7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Part II</w:t>
            </w:r>
          </w:p>
        </w:tc>
        <w:tc>
          <w:tcPr>
            <w:tcW w:w="1820" w:type="dxa"/>
            <w:vAlign w:val="bottom"/>
            <w:tcBorders>
              <w:top w:val="single" w:sz="8" w:color="0000FF"/>
            </w:tcBorders>
            <w:gridSpan w:val="8"/>
          </w:tcPr>
          <w:p>
            <w:pPr>
              <w:spacing w:after="0" w:line="155" w:lineRule="exact"/>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Other Information</w:t>
              </w:r>
            </w:hyperlink>
          </w:p>
        </w:tc>
        <w:tc>
          <w:tcPr>
            <w:tcW w:w="7040" w:type="dxa"/>
            <w:vAlign w:val="bottom"/>
            <w:tcBorders>
              <w:top w:val="single" w:sz="8" w:color="CCEEFF"/>
            </w:tcBorders>
            <w:gridSpan w:val="9"/>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r>
      <w:tr>
        <w:trPr>
          <w:trHeight w:val="28"/>
        </w:trPr>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Item 1.</w:t>
              </w:r>
            </w:hyperlink>
          </w:p>
        </w:tc>
        <w:tc>
          <w:tcPr>
            <w:tcW w:w="1040" w:type="dxa"/>
            <w:vAlign w:val="bottom"/>
            <w:gridSpan w:val="4"/>
            <w:shd w:val="clear" w:color="auto" w:fill="CCEEFF"/>
          </w:tcPr>
          <w:p>
            <w:pPr>
              <w:ind w:left="20"/>
              <w:spacing w:after="0"/>
              <w:rPr>
                <w:rFonts w:ascii="Times New Roman" w:cs="Times New Roman" w:eastAsia="Times New Roman" w:hAnsi="Times New Roman"/>
                <w:sz w:val="14"/>
                <w:szCs w:val="14"/>
                <w:color w:val="0000FF"/>
                <w:w w:val="94"/>
              </w:rPr>
            </w:pPr>
            <w:hyperlink w:anchor="page33">
              <w:r>
                <w:rPr>
                  <w:rFonts w:ascii="Times New Roman" w:cs="Times New Roman" w:eastAsia="Times New Roman" w:hAnsi="Times New Roman"/>
                  <w:sz w:val="14"/>
                  <w:szCs w:val="14"/>
                  <w:color w:val="0000FF"/>
                  <w:w w:val="94"/>
                </w:rPr>
                <w:t>Legal Proceedings</w:t>
              </w:r>
            </w:hyperlink>
          </w:p>
        </w:tc>
        <w:tc>
          <w:tcPr>
            <w:tcW w:w="7400" w:type="dxa"/>
            <w:vAlign w:val="bottom"/>
            <w:tcBorders>
              <w:left w:val="single" w:sz="8" w:color="CCEEFF"/>
            </w:tcBorders>
            <w:gridSpan w:val="11"/>
            <w:shd w:val="clear" w:color="auto" w:fill="CCEEFF"/>
          </w:tcPr>
          <w:p>
            <w:pPr>
              <w:spacing w:after="0"/>
              <w:rPr>
                <w:sz w:val="15"/>
                <w:szCs w:val="15"/>
                <w:color w:val="auto"/>
              </w:rPr>
            </w:pPr>
          </w:p>
        </w:tc>
        <w:tc>
          <w:tcPr>
            <w:tcW w:w="460" w:type="dxa"/>
            <w:vAlign w:val="bottom"/>
            <w:gridSpan w:val="2"/>
            <w:shd w:val="clear" w:color="auto" w:fill="CCEEFF"/>
          </w:tcPr>
          <w:p>
            <w:pPr>
              <w:jc w:val="center"/>
              <w:ind w:left="243"/>
              <w:spacing w:after="0"/>
              <w:rPr>
                <w:rFonts w:ascii="Times New Roman" w:cs="Times New Roman" w:eastAsia="Times New Roman" w:hAnsi="Times New Roman"/>
                <w:sz w:val="15"/>
                <w:szCs w:val="15"/>
                <w:color w:val="0000FF"/>
                <w:w w:val="92"/>
              </w:rPr>
            </w:pPr>
            <w:hyperlink w:anchor="page33">
              <w:r>
                <w:rPr>
                  <w:rFonts w:ascii="Times New Roman" w:cs="Times New Roman" w:eastAsia="Times New Roman" w:hAnsi="Times New Roman"/>
                  <w:sz w:val="15"/>
                  <w:szCs w:val="15"/>
                  <w:color w:val="0000FF"/>
                  <w:w w:val="92"/>
                </w:rPr>
                <w:t>31</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1260" w:type="dxa"/>
            <w:vAlign w:val="bottom"/>
            <w:gridSpan w:val="5"/>
          </w:tcPr>
          <w:p>
            <w:pPr>
              <w:spacing w:after="0"/>
              <w:rPr>
                <w:rFonts w:ascii="Times New Roman" w:cs="Times New Roman" w:eastAsia="Times New Roman" w:hAnsi="Times New Roman"/>
                <w:sz w:val="14"/>
                <w:szCs w:val="14"/>
                <w:color w:val="0000FF"/>
                <w:w w:val="98"/>
              </w:rPr>
            </w:pPr>
            <w:hyperlink w:anchor="page33">
              <w:r>
                <w:rPr>
                  <w:rFonts w:ascii="Times New Roman" w:cs="Times New Roman" w:eastAsia="Times New Roman" w:hAnsi="Times New Roman"/>
                  <w:sz w:val="14"/>
                  <w:szCs w:val="14"/>
                  <w:color w:val="0000FF"/>
                  <w:w w:val="98"/>
                </w:rPr>
                <w:t>Item 1A. Risk Factors</w:t>
              </w:r>
            </w:hyperlink>
          </w:p>
        </w:tc>
        <w:tc>
          <w:tcPr>
            <w:tcW w:w="200" w:type="dxa"/>
            <w:vAlign w:val="bottom"/>
          </w:tcPr>
          <w:p>
            <w:pPr>
              <w:spacing w:after="0"/>
              <w:rPr>
                <w:sz w:val="14"/>
                <w:szCs w:val="14"/>
                <w:color w:val="auto"/>
              </w:rPr>
            </w:pPr>
          </w:p>
        </w:tc>
        <w:tc>
          <w:tcPr>
            <w:tcW w:w="7400" w:type="dxa"/>
            <w:vAlign w:val="bottom"/>
            <w:gridSpan w:val="11"/>
          </w:tcPr>
          <w:p>
            <w:pPr>
              <w:spacing w:after="0"/>
              <w:rPr>
                <w:sz w:val="14"/>
                <w:szCs w:val="14"/>
                <w:color w:val="auto"/>
              </w:rPr>
            </w:pPr>
          </w:p>
        </w:tc>
        <w:tc>
          <w:tcPr>
            <w:tcW w:w="460" w:type="dxa"/>
            <w:vAlign w:val="bottom"/>
            <w:gridSpan w:val="2"/>
          </w:tcPr>
          <w:p>
            <w:pPr>
              <w:jc w:val="center"/>
              <w:ind w:left="243"/>
              <w:spacing w:after="0" w:line="167" w:lineRule="exact"/>
              <w:rPr>
                <w:rFonts w:ascii="Times New Roman" w:cs="Times New Roman" w:eastAsia="Times New Roman" w:hAnsi="Times New Roman"/>
                <w:sz w:val="15"/>
                <w:szCs w:val="15"/>
                <w:color w:val="0000FF"/>
                <w:w w:val="92"/>
              </w:rPr>
            </w:pPr>
            <w:hyperlink w:anchor="page33">
              <w:r>
                <w:rPr>
                  <w:rFonts w:ascii="Times New Roman" w:cs="Times New Roman" w:eastAsia="Times New Roman" w:hAnsi="Times New Roman"/>
                  <w:sz w:val="15"/>
                  <w:szCs w:val="15"/>
                  <w:color w:val="0000FF"/>
                  <w:w w:val="92"/>
                </w:rPr>
                <w:t>31</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Item 2.</w:t>
              </w:r>
            </w:hyperlink>
          </w:p>
        </w:tc>
        <w:tc>
          <w:tcPr>
            <w:tcW w:w="8440" w:type="dxa"/>
            <w:vAlign w:val="bottom"/>
            <w:gridSpan w:val="15"/>
            <w:shd w:val="clear" w:color="auto" w:fill="CCEEFF"/>
          </w:tcPr>
          <w:p>
            <w:pPr>
              <w:ind w:left="20"/>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Unregistered Sales of Equity Securities and Use of Proceeds</w:t>
              </w:r>
            </w:hyperlink>
          </w:p>
        </w:tc>
        <w:tc>
          <w:tcPr>
            <w:tcW w:w="460" w:type="dxa"/>
            <w:vAlign w:val="bottom"/>
            <w:gridSpan w:val="2"/>
            <w:shd w:val="clear" w:color="auto" w:fill="CCEEFF"/>
          </w:tcPr>
          <w:p>
            <w:pPr>
              <w:jc w:val="center"/>
              <w:ind w:left="243"/>
              <w:spacing w:after="0"/>
              <w:rPr>
                <w:rFonts w:ascii="Times New Roman" w:cs="Times New Roman" w:eastAsia="Times New Roman" w:hAnsi="Times New Roman"/>
                <w:sz w:val="15"/>
                <w:szCs w:val="15"/>
                <w:color w:val="0000FF"/>
                <w:w w:val="92"/>
              </w:rPr>
            </w:pPr>
            <w:hyperlink w:anchor="page33">
              <w:r>
                <w:rPr>
                  <w:rFonts w:ascii="Times New Roman" w:cs="Times New Roman" w:eastAsia="Times New Roman" w:hAnsi="Times New Roman"/>
                  <w:sz w:val="15"/>
                  <w:szCs w:val="15"/>
                  <w:color w:val="0000FF"/>
                  <w:w w:val="92"/>
                </w:rPr>
                <w:t>31</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480" w:type="dxa"/>
            <w:vAlign w:val="bottom"/>
            <w:tcBorders>
              <w:right w:val="single" w:sz="8" w:color="CCEEFF"/>
            </w:tcBorders>
            <w:shd w:val="clear" w:color="auto" w:fill="0000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r>
      <w:tr>
        <w:trPr>
          <w:trHeight w:val="166"/>
        </w:trPr>
        <w:tc>
          <w:tcPr>
            <w:tcW w:w="780" w:type="dxa"/>
            <w:vAlign w:val="bottom"/>
          </w:tcPr>
          <w:p>
            <w:pPr>
              <w:spacing w:after="0"/>
              <w:rPr>
                <w:sz w:val="14"/>
                <w:szCs w:val="14"/>
                <w:color w:val="auto"/>
              </w:rPr>
            </w:pPr>
          </w:p>
        </w:tc>
        <w:tc>
          <w:tcPr>
            <w:tcW w:w="420" w:type="dxa"/>
            <w:vAlign w:val="bottom"/>
            <w:gridSpan w:val="2"/>
          </w:tcPr>
          <w:p>
            <w:pPr>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Item 5.</w:t>
              </w:r>
            </w:hyperlink>
          </w:p>
        </w:tc>
        <w:tc>
          <w:tcPr>
            <w:tcW w:w="3460" w:type="dxa"/>
            <w:vAlign w:val="bottom"/>
            <w:gridSpan w:val="8"/>
          </w:tcPr>
          <w:p>
            <w:pPr>
              <w:ind w:left="20"/>
              <w:spacing w:after="0"/>
              <w:rPr>
                <w:rFonts w:ascii="Times New Roman" w:cs="Times New Roman" w:eastAsia="Times New Roman" w:hAnsi="Times New Roman"/>
                <w:sz w:val="14"/>
                <w:szCs w:val="14"/>
                <w:color w:val="0000FF"/>
              </w:rPr>
            </w:pPr>
            <w:hyperlink w:anchor="page33">
              <w:r>
                <w:rPr>
                  <w:rFonts w:ascii="Times New Roman" w:cs="Times New Roman" w:eastAsia="Times New Roman" w:hAnsi="Times New Roman"/>
                  <w:sz w:val="14"/>
                  <w:szCs w:val="14"/>
                  <w:color w:val="0000FF"/>
                </w:rPr>
                <w:t>Other Information</w:t>
              </w:r>
            </w:hyperlink>
          </w:p>
        </w:tc>
        <w:tc>
          <w:tcPr>
            <w:tcW w:w="4980" w:type="dxa"/>
            <w:vAlign w:val="bottom"/>
            <w:gridSpan w:val="7"/>
          </w:tcPr>
          <w:p>
            <w:pPr>
              <w:spacing w:after="0"/>
              <w:rPr>
                <w:sz w:val="14"/>
                <w:szCs w:val="14"/>
                <w:color w:val="auto"/>
              </w:rPr>
            </w:pPr>
          </w:p>
        </w:tc>
        <w:tc>
          <w:tcPr>
            <w:tcW w:w="460" w:type="dxa"/>
            <w:vAlign w:val="bottom"/>
            <w:gridSpan w:val="2"/>
          </w:tcPr>
          <w:p>
            <w:pPr>
              <w:jc w:val="center"/>
              <w:ind w:left="243"/>
              <w:spacing w:after="0" w:line="167" w:lineRule="exact"/>
              <w:rPr>
                <w:rFonts w:ascii="Times New Roman" w:cs="Times New Roman" w:eastAsia="Times New Roman" w:hAnsi="Times New Roman"/>
                <w:sz w:val="15"/>
                <w:szCs w:val="15"/>
                <w:color w:val="0000FF"/>
                <w:w w:val="92"/>
              </w:rPr>
            </w:pPr>
            <w:hyperlink w:anchor="page33">
              <w:r>
                <w:rPr>
                  <w:rFonts w:ascii="Times New Roman" w:cs="Times New Roman" w:eastAsia="Times New Roman" w:hAnsi="Times New Roman"/>
                  <w:sz w:val="15"/>
                  <w:szCs w:val="15"/>
                  <w:color w:val="0000FF"/>
                  <w:w w:val="92"/>
                </w:rPr>
                <w:t>32</w:t>
              </w:r>
            </w:hyperlink>
          </w:p>
        </w:tc>
        <w:tc>
          <w:tcPr>
            <w:tcW w:w="380" w:type="dxa"/>
            <w:vAlign w:val="bottom"/>
          </w:tcPr>
          <w:p>
            <w:pPr>
              <w:spacing w:after="0"/>
              <w:rPr>
                <w:sz w:val="14"/>
                <w:szCs w:val="14"/>
                <w:color w:val="auto"/>
              </w:rPr>
            </w:pPr>
          </w:p>
        </w:tc>
      </w:tr>
      <w:tr>
        <w:trPr>
          <w:trHeight w:val="28"/>
        </w:trPr>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r>
      <w:tr>
        <w:trPr>
          <w:trHeight w:val="174"/>
        </w:trPr>
        <w:tc>
          <w:tcPr>
            <w:tcW w:w="7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rPr>
                <w:rFonts w:ascii="Times New Roman" w:cs="Times New Roman" w:eastAsia="Times New Roman" w:hAnsi="Times New Roman"/>
                <w:sz w:val="14"/>
                <w:szCs w:val="14"/>
                <w:color w:val="0000FF"/>
              </w:rPr>
            </w:pPr>
            <w:hyperlink w:anchor="page34">
              <w:r>
                <w:rPr>
                  <w:rFonts w:ascii="Times New Roman" w:cs="Times New Roman" w:eastAsia="Times New Roman" w:hAnsi="Times New Roman"/>
                  <w:sz w:val="14"/>
                  <w:szCs w:val="14"/>
                  <w:color w:val="0000FF"/>
                </w:rPr>
                <w:t>Item 6.</w:t>
              </w:r>
            </w:hyperlink>
          </w:p>
        </w:tc>
        <w:tc>
          <w:tcPr>
            <w:tcW w:w="1040" w:type="dxa"/>
            <w:vAlign w:val="bottom"/>
            <w:gridSpan w:val="4"/>
            <w:shd w:val="clear" w:color="auto" w:fill="CCEEFF"/>
          </w:tcPr>
          <w:p>
            <w:pPr>
              <w:ind w:left="20"/>
              <w:spacing w:after="0"/>
              <w:rPr>
                <w:rFonts w:ascii="Times New Roman" w:cs="Times New Roman" w:eastAsia="Times New Roman" w:hAnsi="Times New Roman"/>
                <w:sz w:val="14"/>
                <w:szCs w:val="14"/>
                <w:color w:val="0000FF"/>
              </w:rPr>
            </w:pPr>
            <w:hyperlink w:anchor="page34">
              <w:r>
                <w:rPr>
                  <w:rFonts w:ascii="Times New Roman" w:cs="Times New Roman" w:eastAsia="Times New Roman" w:hAnsi="Times New Roman"/>
                  <w:sz w:val="14"/>
                  <w:szCs w:val="14"/>
                  <w:color w:val="0000FF"/>
                </w:rPr>
                <w:t>Exhibits</w:t>
              </w:r>
            </w:hyperlink>
          </w:p>
        </w:tc>
        <w:tc>
          <w:tcPr>
            <w:tcW w:w="7400" w:type="dxa"/>
            <w:vAlign w:val="bottom"/>
            <w:tcBorders>
              <w:left w:val="single" w:sz="8" w:color="CCEEFF"/>
            </w:tcBorders>
            <w:gridSpan w:val="11"/>
            <w:shd w:val="clear" w:color="auto" w:fill="CCEEFF"/>
          </w:tcPr>
          <w:p>
            <w:pPr>
              <w:spacing w:after="0"/>
              <w:rPr>
                <w:sz w:val="15"/>
                <w:szCs w:val="15"/>
                <w:color w:val="auto"/>
              </w:rPr>
            </w:pPr>
          </w:p>
        </w:tc>
        <w:tc>
          <w:tcPr>
            <w:tcW w:w="460" w:type="dxa"/>
            <w:vAlign w:val="bottom"/>
            <w:gridSpan w:val="2"/>
            <w:shd w:val="clear" w:color="auto" w:fill="CCEEFF"/>
          </w:tcPr>
          <w:p>
            <w:pPr>
              <w:jc w:val="center"/>
              <w:ind w:left="243"/>
              <w:spacing w:after="0"/>
              <w:rPr>
                <w:rFonts w:ascii="Times New Roman" w:cs="Times New Roman" w:eastAsia="Times New Roman" w:hAnsi="Times New Roman"/>
                <w:sz w:val="15"/>
                <w:szCs w:val="15"/>
                <w:color w:val="0000FF"/>
                <w:w w:val="92"/>
              </w:rPr>
            </w:pPr>
            <w:hyperlink w:anchor="page34">
              <w:r>
                <w:rPr>
                  <w:rFonts w:ascii="Times New Roman" w:cs="Times New Roman" w:eastAsia="Times New Roman" w:hAnsi="Times New Roman"/>
                  <w:sz w:val="15"/>
                  <w:szCs w:val="15"/>
                  <w:color w:val="0000FF"/>
                  <w:w w:val="92"/>
                </w:rPr>
                <w:t>33</w:t>
              </w:r>
            </w:hyperlink>
          </w:p>
        </w:tc>
        <w:tc>
          <w:tcPr>
            <w:tcW w:w="380" w:type="dxa"/>
            <w:vAlign w:val="bottom"/>
            <w:tcBorders>
              <w:left w:val="single" w:sz="8" w:color="CCEEFF"/>
            </w:tcBorders>
            <w:shd w:val="clear" w:color="auto" w:fill="CCEEFF"/>
          </w:tcPr>
          <w:p>
            <w:pPr>
              <w:spacing w:after="0"/>
              <w:rPr>
                <w:sz w:val="15"/>
                <w:szCs w:val="15"/>
                <w:color w:val="auto"/>
              </w:rPr>
            </w:pPr>
          </w:p>
        </w:tc>
      </w:tr>
      <w:tr>
        <w:trPr>
          <w:trHeight w:val="36"/>
        </w:trPr>
        <w:tc>
          <w:tcPr>
            <w:tcW w:w="78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58420</wp:posOffset>
            </wp:positionV>
            <wp:extent cx="673417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480"/>
          </w:cols>
          <w:pgMar w:left="720" w:top="1440" w:right="70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 </w:t>
      </w:r>
      <w:r>
        <w:rPr>
          <w:rFonts w:ascii="Times New Roman" w:cs="Times New Roman" w:eastAsia="Times New Roman" w:hAnsi="Times New Roman"/>
          <w:sz w:val="15"/>
          <w:szCs w:val="15"/>
          <w:b w:val="1"/>
          <w:bCs w:val="1"/>
          <w:i w:val="1"/>
          <w:iCs w:val="1"/>
          <w:color w:val="auto"/>
        </w:rPr>
        <w:t>Financial Statements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LENNOX INTERNATIONAL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 except shares and par values)</w:t>
            </w: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Current Assets:</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415.1</w:t>
            </w: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Short-term investments</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and notes receivable, net of allowances of $8.7 and $17.8 in 2025 and 2024, respectively</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661.1</w:t>
            </w: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Inventories, net</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0" w:type="dxa"/>
            <w:vAlign w:val="bottom"/>
          </w:tcPr>
          <w:p>
            <w:pPr>
              <w:spacing w:after="0"/>
              <w:rPr>
                <w:sz w:val="1"/>
                <w:szCs w:val="1"/>
                <w:color w:val="auto"/>
              </w:rPr>
            </w:pPr>
          </w:p>
        </w:tc>
      </w:tr>
      <w:tr>
        <w:trPr>
          <w:trHeight w:val="193"/>
        </w:trPr>
        <w:tc>
          <w:tcPr>
            <w:tcW w:w="67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6"/>
                <w:szCs w:val="16"/>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1,898.0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1,884.2</w:t>
            </w:r>
          </w:p>
        </w:tc>
        <w:tc>
          <w:tcPr>
            <w:tcW w:w="0" w:type="dxa"/>
            <w:vAlign w:val="bottom"/>
          </w:tcPr>
          <w:p>
            <w:pPr>
              <w:spacing w:after="0"/>
              <w:rPr>
                <w:sz w:val="1"/>
                <w:szCs w:val="1"/>
                <w:color w:val="auto"/>
              </w:rPr>
            </w:pPr>
          </w:p>
        </w:tc>
      </w:tr>
      <w:tr>
        <w:trPr>
          <w:trHeight w:val="156"/>
        </w:trPr>
        <w:tc>
          <w:tcPr>
            <w:tcW w:w="67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 of $1,022.3 and $956.8 in 2025 and 2024,</w:t>
            </w:r>
          </w:p>
        </w:tc>
        <w:tc>
          <w:tcPr>
            <w:tcW w:w="14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800.1</w:t>
            </w:r>
          </w:p>
        </w:tc>
        <w:tc>
          <w:tcPr>
            <w:tcW w:w="0" w:type="dxa"/>
            <w:vAlign w:val="bottom"/>
          </w:tcPr>
          <w:p>
            <w:pPr>
              <w:spacing w:after="0"/>
              <w:rPr>
                <w:sz w:val="1"/>
                <w:szCs w:val="1"/>
                <w:color w:val="auto"/>
              </w:rPr>
            </w:pPr>
          </w:p>
        </w:tc>
      </w:tr>
      <w:tr>
        <w:trPr>
          <w:trHeight w:val="20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respectively</w:t>
            </w:r>
          </w:p>
        </w:tc>
        <w:tc>
          <w:tcPr>
            <w:tcW w:w="14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from operating leases</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327.2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220.0</w:t>
            </w:r>
          </w:p>
        </w:tc>
        <w:tc>
          <w:tcPr>
            <w:tcW w:w="0" w:type="dxa"/>
            <w:vAlign w:val="bottom"/>
          </w:tcPr>
          <w:p>
            <w:pPr>
              <w:spacing w:after="0"/>
              <w:rPr>
                <w:sz w:val="1"/>
                <w:szCs w:val="1"/>
                <w:color w:val="auto"/>
              </w:rPr>
            </w:pPr>
          </w:p>
        </w:tc>
      </w:tr>
      <w:tr>
        <w:trPr>
          <w:trHeight w:val="20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165.2</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3,524.6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3,471.8</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Current Liabilities: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490.0</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435.4</w:t>
            </w: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Commercial paper</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314.5</w:t>
            </w:r>
          </w:p>
        </w:tc>
        <w:tc>
          <w:tcPr>
            <w:tcW w:w="0" w:type="dxa"/>
            <w:vAlign w:val="bottom"/>
          </w:tcPr>
          <w:p>
            <w:pPr>
              <w:spacing w:after="0"/>
              <w:rPr>
                <w:sz w:val="1"/>
                <w:szCs w:val="1"/>
                <w:color w:val="auto"/>
              </w:rPr>
            </w:pPr>
          </w:p>
        </w:tc>
      </w:tr>
      <w:tr>
        <w:trPr>
          <w:trHeight w:val="201"/>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78.8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0" w:type="dxa"/>
            <w:vAlign w:val="bottom"/>
          </w:tcPr>
          <w:p>
            <w:pPr>
              <w:spacing w:after="0"/>
              <w:rPr>
                <w:sz w:val="1"/>
                <w:szCs w:val="1"/>
                <w:color w:val="auto"/>
              </w:rPr>
            </w:pPr>
          </w:p>
        </w:tc>
      </w:tr>
      <w:tr>
        <w:trPr>
          <w:trHeight w:val="194"/>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1,129.8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1,313.3</w:t>
            </w:r>
          </w:p>
        </w:tc>
        <w:tc>
          <w:tcPr>
            <w:tcW w:w="0" w:type="dxa"/>
            <w:vAlign w:val="bottom"/>
          </w:tcPr>
          <w:p>
            <w:pPr>
              <w:spacing w:after="0"/>
              <w:rPr>
                <w:sz w:val="1"/>
                <w:szCs w:val="1"/>
                <w:color w:val="auto"/>
              </w:rPr>
            </w:pPr>
          </w:p>
        </w:tc>
      </w:tr>
      <w:tr>
        <w:trPr>
          <w:trHeight w:val="20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833.1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279.2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267.6</w:t>
            </w:r>
          </w:p>
        </w:tc>
        <w:tc>
          <w:tcPr>
            <w:tcW w:w="0" w:type="dxa"/>
            <w:vAlign w:val="bottom"/>
          </w:tcPr>
          <w:p>
            <w:pPr>
              <w:spacing w:after="0"/>
              <w:rPr>
                <w:sz w:val="1"/>
                <w:szCs w:val="1"/>
                <w:color w:val="auto"/>
              </w:rPr>
            </w:pPr>
          </w:p>
        </w:tc>
      </w:tr>
      <w:tr>
        <w:trPr>
          <w:trHeight w:val="20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Pensions</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188.7</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Pr>
          <w:p>
            <w:pPr>
              <w:spacing w:after="0"/>
              <w:rPr>
                <w:sz w:val="16"/>
                <w:szCs w:val="16"/>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2,454.5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2,621.6</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Stockholders' equity:</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Preferred stock, $0.01 par value, 25,000,000 shares authorized, no shares issued or outstanding</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$0.01 par value, 200,000,000 shares authorized, 87,170,197 shares issued</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1,236.1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1,213.3</w:t>
            </w:r>
          </w:p>
        </w:tc>
        <w:tc>
          <w:tcPr>
            <w:tcW w:w="0" w:type="dxa"/>
            <w:vAlign w:val="bottom"/>
          </w:tcPr>
          <w:p>
            <w:pPr>
              <w:spacing w:after="0"/>
              <w:rPr>
                <w:sz w:val="1"/>
                <w:szCs w:val="1"/>
                <w:color w:val="auto"/>
              </w:rPr>
            </w:pPr>
          </w:p>
        </w:tc>
      </w:tr>
      <w:tr>
        <w:trPr>
          <w:trHeight w:val="201"/>
        </w:trPr>
        <w:tc>
          <w:tcPr>
            <w:tcW w:w="67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4,662.5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4,150.8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0" w:type="dxa"/>
            <w:vAlign w:val="bottom"/>
          </w:tcPr>
          <w:p>
            <w:pPr>
              <w:spacing w:after="0"/>
              <w:rPr>
                <w:sz w:val="1"/>
                <w:szCs w:val="1"/>
                <w:color w:val="auto"/>
              </w:rPr>
            </w:pPr>
          </w:p>
        </w:tc>
      </w:tr>
      <w:tr>
        <w:trPr>
          <w:trHeight w:val="201"/>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Treasury stock, at cost, 52,096,681 shares and 51,573,986 shares for 2025 and 2024, respectively</w:t>
            </w: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(4,767.4)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(4,421.1)</w:t>
            </w:r>
          </w:p>
        </w:tc>
        <w:tc>
          <w:tcPr>
            <w:tcW w:w="0" w:type="dxa"/>
            <w:vAlign w:val="bottom"/>
          </w:tcPr>
          <w:p>
            <w:pPr>
              <w:spacing w:after="0"/>
              <w:rPr>
                <w:sz w:val="1"/>
                <w:szCs w:val="1"/>
                <w:color w:val="auto"/>
              </w:rPr>
            </w:pPr>
          </w:p>
        </w:tc>
      </w:tr>
      <w:tr>
        <w:trPr>
          <w:trHeight w:val="194"/>
        </w:trPr>
        <w:tc>
          <w:tcPr>
            <w:tcW w:w="6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1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1,070.1</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850.2</w:t>
            </w:r>
          </w:p>
        </w:tc>
        <w:tc>
          <w:tcPr>
            <w:tcW w:w="0" w:type="dxa"/>
            <w:vAlign w:val="bottom"/>
          </w:tcPr>
          <w:p>
            <w:pPr>
              <w:spacing w:after="0"/>
              <w:rPr>
                <w:sz w:val="1"/>
                <w:szCs w:val="1"/>
                <w:color w:val="auto"/>
              </w:rPr>
            </w:pPr>
          </w:p>
        </w:tc>
      </w:tr>
      <w:tr>
        <w:trPr>
          <w:trHeight w:val="194"/>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3,524.6</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3,471.8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60"/>
          </w:cols>
          <w:pgMar w:left="660" w:top="1231" w:right="680" w:bottom="1440" w:gutter="0" w:footer="0" w:header="0"/>
        </w:sectPr>
      </w:pPr>
    </w:p>
    <w:bookmarkStart w:id="3" w:name="page4"/>
    <w:bookmarkEnd w:id="3"/>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LENNOX INTERNATIONAL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9"/>
        </w:trPr>
        <w:tc>
          <w:tcPr>
            <w:tcW w:w="6600" w:type="dxa"/>
            <w:vAlign w:val="bottom"/>
            <w:gridSpan w:val="2"/>
          </w:tcPr>
          <w:p>
            <w:pPr>
              <w:jc w:val="right"/>
              <w:ind w:right="3909"/>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 except per share data)</w:t>
            </w:r>
          </w:p>
        </w:tc>
        <w:tc>
          <w:tcPr>
            <w:tcW w:w="1700" w:type="dxa"/>
            <w:vAlign w:val="bottom"/>
            <w:gridSpan w:val="3"/>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1"/>
        </w:trPr>
        <w:tc>
          <w:tcPr>
            <w:tcW w:w="58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1,426.8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1,498.1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4,000.3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3,996.3</w:t>
            </w:r>
          </w:p>
        </w:tc>
      </w:tr>
      <w:tr>
        <w:trPr>
          <w:trHeight w:val="20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2,680.7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2,679.7</w:t>
            </w:r>
          </w:p>
        </w:tc>
      </w:tr>
      <w:tr>
        <w:trPr>
          <w:trHeight w:val="194"/>
        </w:trPr>
        <w:tc>
          <w:tcPr>
            <w:tcW w:w="5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1,316.6</w:t>
            </w:r>
          </w:p>
        </w:tc>
      </w:tr>
      <w:tr>
        <w:trPr>
          <w:trHeight w:val="19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1"/>
        </w:trPr>
        <w:tc>
          <w:tcPr>
            <w:tcW w:w="5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523.6</w:t>
            </w:r>
          </w:p>
        </w:tc>
      </w:tr>
      <w:tr>
        <w:trPr>
          <w:trHeight w:val="203"/>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(Gains) losses and other expenses, net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w:t>
            </w:r>
          </w:p>
        </w:tc>
      </w:tr>
      <w:tr>
        <w:trPr>
          <w:trHeight w:val="201"/>
        </w:trPr>
        <w:tc>
          <w:tcPr>
            <w:tcW w:w="5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from previous dispositions</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2"/>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310.2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819.8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790.2</w:t>
            </w:r>
          </w:p>
        </w:tc>
      </w:tr>
      <w:tr>
        <w:trPr>
          <w:trHeight w:val="202"/>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settlements</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r>
      <w:tr>
        <w:trPr>
          <w:trHeight w:val="201"/>
        </w:trPr>
        <w:tc>
          <w:tcPr>
            <w:tcW w:w="5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33.2</w:t>
            </w:r>
          </w:p>
        </w:tc>
      </w:tr>
      <w:tr>
        <w:trPr>
          <w:trHeight w:val="202"/>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expense, net</w:t>
            </w: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r>
      <w:tr>
        <w:trPr>
          <w:trHeight w:val="194"/>
        </w:trPr>
        <w:tc>
          <w:tcPr>
            <w:tcW w:w="5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before income taxes</w:t>
            </w: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755.1</w:t>
            </w:r>
          </w:p>
        </w:tc>
      </w:tr>
      <w:tr>
        <w:trPr>
          <w:trHeight w:val="20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145.9</w:t>
            </w:r>
          </w:p>
        </w:tc>
      </w:tr>
      <w:tr>
        <w:trPr>
          <w:trHeight w:val="194"/>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245.8</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239.0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643.7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609.2</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1"/>
        </w:trPr>
        <w:tc>
          <w:tcPr>
            <w:tcW w:w="58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r>
      <w:tr>
        <w:trPr>
          <w:trHeight w:val="194"/>
        </w:trPr>
        <w:tc>
          <w:tcPr>
            <w:tcW w:w="5840" w:type="dxa"/>
            <w:vAlign w:val="bottom"/>
          </w:tcPr>
          <w:p>
            <w:pPr>
              <w:ind w:left="1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Earnings per share – Basic</w:t>
            </w:r>
            <w:r>
              <w:rPr>
                <w:rFonts w:ascii="Times New Roman" w:cs="Times New Roman" w:eastAsia="Times New Roman" w:hAnsi="Times New Roman"/>
                <w:sz w:val="18"/>
                <w:szCs w:val="18"/>
                <w:b w:val="1"/>
                <w:bCs w:val="1"/>
                <w:i w:val="1"/>
                <w:iCs w:val="1"/>
                <w:color w:val="auto"/>
                <w:vertAlign w:val="superscript"/>
              </w:rPr>
              <w:t>(1)</w:t>
            </w:r>
            <w:r>
              <w:rPr>
                <w:rFonts w:ascii="Times New Roman" w:cs="Times New Roman" w:eastAsia="Times New Roman" w:hAnsi="Times New Roman"/>
                <w:sz w:val="14"/>
                <w:szCs w:val="14"/>
                <w:b w:val="1"/>
                <w:bCs w:val="1"/>
                <w:i w:val="1"/>
                <w:iCs w:val="1"/>
                <w:color w:val="auto"/>
              </w:rPr>
              <w:t>:</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52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6.71</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17.11</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58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r>
      <w:tr>
        <w:trPr>
          <w:trHeight w:val="194"/>
        </w:trPr>
        <w:tc>
          <w:tcPr>
            <w:tcW w:w="5840" w:type="dxa"/>
            <w:vAlign w:val="bottom"/>
          </w:tcPr>
          <w:p>
            <w:pPr>
              <w:ind w:left="1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Earnings per share – Diluted</w:t>
            </w:r>
            <w:r>
              <w:rPr>
                <w:rFonts w:ascii="Times New Roman" w:cs="Times New Roman" w:eastAsia="Times New Roman" w:hAnsi="Times New Roman"/>
                <w:sz w:val="18"/>
                <w:szCs w:val="18"/>
                <w:b w:val="1"/>
                <w:bCs w:val="1"/>
                <w:i w:val="1"/>
                <w:iCs w:val="1"/>
                <w:color w:val="auto"/>
                <w:vertAlign w:val="superscript"/>
              </w:rPr>
              <w:t>(1)</w:t>
            </w:r>
            <w:r>
              <w:rPr>
                <w:rFonts w:ascii="Times New Roman" w:cs="Times New Roman" w:eastAsia="Times New Roman" w:hAnsi="Times New Roman"/>
                <w:sz w:val="14"/>
                <w:szCs w:val="14"/>
                <w:b w:val="1"/>
                <w:bCs w:val="1"/>
                <w:i w:val="1"/>
                <w:iCs w:val="1"/>
                <w:color w:val="auto"/>
              </w:rPr>
              <w:t>:</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52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6.68</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46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17.02</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5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Shares Outstanding - Basic</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35.6</w:t>
            </w:r>
          </w:p>
        </w:tc>
      </w:tr>
      <w:tr>
        <w:trPr>
          <w:trHeight w:val="20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Shares Outstanding - Diluted</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35.8</w:t>
            </w:r>
          </w:p>
        </w:tc>
      </w:tr>
    </w:tbl>
    <w:p>
      <w:pPr>
        <w:spacing w:after="0" w:line="279"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may not recalculate due to rounding.</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LENNOX INTERNATIONAL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100" w:type="dxa"/>
            <w:vAlign w:val="bottom"/>
          </w:tcPr>
          <w:p>
            <w:pPr>
              <w:spacing w:after="0"/>
              <w:rPr>
                <w:sz w:val="13"/>
                <w:szCs w:val="13"/>
                <w:color w:val="auto"/>
              </w:rPr>
            </w:pP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8"/>
        </w:trPr>
        <w:tc>
          <w:tcPr>
            <w:tcW w:w="63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245.8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239.0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643.7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609.2</w:t>
            </w:r>
          </w:p>
        </w:tc>
        <w:tc>
          <w:tcPr>
            <w:tcW w:w="0" w:type="dxa"/>
            <w:vAlign w:val="bottom"/>
          </w:tcPr>
          <w:p>
            <w:pPr>
              <w:spacing w:after="0"/>
              <w:rPr>
                <w:sz w:val="1"/>
                <w:szCs w:val="1"/>
                <w:color w:val="auto"/>
              </w:rPr>
            </w:pPr>
          </w:p>
        </w:tc>
      </w:tr>
      <w:tr>
        <w:trPr>
          <w:trHeight w:val="182"/>
        </w:trPr>
        <w:tc>
          <w:tcPr>
            <w:tcW w:w="63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Other comprehensive income (loss):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w w:val="95"/>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201"/>
        </w:trPr>
        <w:tc>
          <w:tcPr>
            <w:tcW w:w="6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change in pension and post-retirement liabilities</w:t>
            </w:r>
          </w:p>
        </w:tc>
        <w:tc>
          <w:tcPr>
            <w:tcW w:w="100" w:type="dxa"/>
            <w:vAlign w:val="bottom"/>
          </w:tcPr>
          <w:p>
            <w:pPr>
              <w:spacing w:after="0"/>
              <w:rPr>
                <w:sz w:val="17"/>
                <w:szCs w:val="17"/>
                <w:color w:val="auto"/>
              </w:rPr>
            </w:pPr>
          </w:p>
        </w:tc>
        <w:tc>
          <w:tcPr>
            <w:tcW w:w="88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left="34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Reclassification of pension and post-retirement benefit losses into earnings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w w:val="95"/>
              </w:rPr>
              <w:t>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w w:val="95"/>
              </w:rPr>
              <w:t>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1"/>
        </w:trPr>
        <w:tc>
          <w:tcPr>
            <w:tcW w:w="6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Pension settlements</w:t>
            </w:r>
          </w:p>
        </w:tc>
        <w:tc>
          <w:tcPr>
            <w:tcW w:w="100" w:type="dxa"/>
            <w:vAlign w:val="bottom"/>
          </w:tcPr>
          <w:p>
            <w:pPr>
              <w:spacing w:after="0"/>
              <w:rPr>
                <w:sz w:val="17"/>
                <w:szCs w:val="17"/>
                <w:color w:val="auto"/>
              </w:rPr>
            </w:pPr>
          </w:p>
        </w:tc>
        <w:tc>
          <w:tcPr>
            <w:tcW w:w="88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w w:val="95"/>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left="343"/>
              <w:spacing w:after="0"/>
              <w:rPr>
                <w:sz w:val="20"/>
                <w:szCs w:val="20"/>
                <w:color w:val="auto"/>
              </w:rPr>
            </w:pPr>
            <w:r>
              <w:rPr>
                <w:rFonts w:ascii="Times New Roman" w:cs="Times New Roman" w:eastAsia="Times New Roman" w:hAnsi="Times New Roman"/>
                <w:sz w:val="15"/>
                <w:szCs w:val="15"/>
                <w:color w:val="auto"/>
                <w:w w:val="95"/>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Share of equity method investments other comprehensive income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1"/>
        </w:trPr>
        <w:tc>
          <w:tcPr>
            <w:tcW w:w="6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change in fair value of cash flow hedges</w:t>
            </w:r>
          </w:p>
        </w:tc>
        <w:tc>
          <w:tcPr>
            <w:tcW w:w="100" w:type="dxa"/>
            <w:vAlign w:val="bottom"/>
          </w:tcPr>
          <w:p>
            <w:pPr>
              <w:spacing w:after="0"/>
              <w:rPr>
                <w:sz w:val="17"/>
                <w:szCs w:val="17"/>
                <w:color w:val="auto"/>
              </w:rPr>
            </w:pPr>
          </w:p>
        </w:tc>
        <w:tc>
          <w:tcPr>
            <w:tcW w:w="88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w w:val="95"/>
              </w:rPr>
              <w:t>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left="343"/>
              <w:spacing w:after="0"/>
              <w:rPr>
                <w:sz w:val="20"/>
                <w:szCs w:val="20"/>
                <w:color w:val="auto"/>
              </w:rPr>
            </w:pPr>
            <w:r>
              <w:rPr>
                <w:rFonts w:ascii="Times New Roman" w:cs="Times New Roman" w:eastAsia="Times New Roman" w:hAnsi="Times New Roman"/>
                <w:sz w:val="15"/>
                <w:szCs w:val="15"/>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Reclassification of cash flow hedge (gains) losses into earnings</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w w:val="95"/>
              </w:rPr>
              <w:t>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 comprehensive (loss) income before taxes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464"/>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benefit (expense)</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w w:val="95"/>
              </w:rPr>
              <w:t>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 income, net of tax</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(0.6)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w:t>
            </w:r>
          </w:p>
        </w:tc>
        <w:tc>
          <w:tcPr>
            <w:tcW w:w="0" w:type="dxa"/>
            <w:vAlign w:val="bottom"/>
          </w:tcPr>
          <w:p>
            <w:pPr>
              <w:spacing w:after="0"/>
              <w:rPr>
                <w:sz w:val="1"/>
                <w:szCs w:val="1"/>
                <w:color w:val="auto"/>
              </w:rPr>
            </w:pPr>
          </w:p>
        </w:tc>
      </w:tr>
      <w:tr>
        <w:trPr>
          <w:trHeight w:val="21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245.2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675.4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595.4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58420</wp:posOffset>
            </wp:positionV>
            <wp:extent cx="673417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40"/>
          </w:cols>
          <w:pgMar w:left="680" w:top="1231" w:right="6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LENNOX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2025 and 2024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1560" w:type="dxa"/>
            <w:vAlign w:val="bottom"/>
            <w:gridSpan w:val="6"/>
            <w:vMerge w:val="restart"/>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Treasury Stock at Cost</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center"/>
              <w:ind w:right="35"/>
              <w:spacing w:after="0" w:line="131"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jc w:val="right"/>
              <w:ind w:right="55"/>
              <w:spacing w:after="0" w:line="13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4"/>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6"/>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center"/>
              <w:ind w:right="35"/>
              <w:spacing w:after="0" w:line="13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 the three months ended September 30, 2025)</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Stock Issued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1,228.3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4,462.1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(61.4)</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(4,729.4)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$1.30 per share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 of equity method investments other comprehensive income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common stock under Employee Stock Purchase Program</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cash 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shares reissued for common stock</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 purchases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6"/>
                <w:szCs w:val="16"/>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1,236.1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(4,767.4)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1"/>
                <w:szCs w:val="11"/>
                <w:color w:val="auto"/>
              </w:rPr>
            </w:pPr>
          </w:p>
        </w:tc>
        <w:tc>
          <w:tcPr>
            <w:tcW w:w="158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Treasury Stock at Cost</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center"/>
              <w:ind w:right="35"/>
              <w:spacing w:after="0" w:line="131"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jc w:val="right"/>
              <w:ind w:right="55"/>
              <w:spacing w:after="0" w:line="13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40" w:type="dxa"/>
            <w:vAlign w:val="bottom"/>
          </w:tcPr>
          <w:p>
            <w:pPr>
              <w:spacing w:after="0"/>
              <w:rPr>
                <w:sz w:val="7"/>
                <w:szCs w:val="7"/>
                <w:color w:val="auto"/>
              </w:rPr>
            </w:pPr>
          </w:p>
        </w:tc>
        <w:tc>
          <w:tcPr>
            <w:tcW w:w="1580" w:type="dxa"/>
            <w:vAlign w:val="bottom"/>
            <w:tcBorders>
              <w:bottom w:val="single" w:sz="8" w:color="auto"/>
            </w:tcBorders>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right"/>
              <w:ind w:right="35"/>
              <w:spacing w:after="0" w:line="13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 the three months ended September 30, 2024)</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Stock Issued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1,197.9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3,796.0</w:t>
            </w:r>
          </w:p>
        </w:tc>
        <w:tc>
          <w:tcPr>
            <w:tcW w:w="12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(60.8)</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(4,356.6)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577.4</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Dividends, $1.15 per share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Pension and post-retirement liability changes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 of equity method investments other comprehensive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Treasury shares reissued for 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Treasury stock purchases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1,204.9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3,994.0</w:t>
            </w:r>
          </w:p>
        </w:tc>
        <w:tc>
          <w:tcPr>
            <w:tcW w:w="12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(70.7)</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(4,375.1)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754.0</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58420</wp:posOffset>
            </wp:positionV>
            <wp:extent cx="673417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20"/>
          </w:cols>
          <w:pgMar w:left="680" w:top="1232" w:right="70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2025 and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0" w:type="dxa"/>
            <w:vAlign w:val="bottom"/>
            <w:gridSpan w:val="7"/>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Treasury Stock at Cost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15"/>
              <w:spacing w:after="0" w:line="131"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center"/>
              <w:ind w:right="15"/>
              <w:spacing w:after="0" w:line="131"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right"/>
              <w:ind w:right="55"/>
              <w:spacing w:after="0" w:line="13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restart"/>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00" w:type="dxa"/>
            <w:vAlign w:val="bottom"/>
            <w:tcBorders>
              <w:bottom w:val="single" w:sz="8" w:color="auto"/>
            </w:tcBorders>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center"/>
              <w:ind w:right="35"/>
              <w:spacing w:after="0" w:line="13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4"/>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 the nine months ended September 30, 2025)</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 Issued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1,213.3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4,150.8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(93.7)</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51.6</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(4,421.1)</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850.2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643.7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$3.75 per share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 of equity method investments other comprehensive income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common stock under Employee Stock Purchase Program</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cash 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shares reissued for common stock</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Treasury stock purchases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gridSpan w:val="2"/>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(348.6)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(348.6)</w:t>
            </w:r>
          </w:p>
        </w:tc>
        <w:tc>
          <w:tcPr>
            <w:tcW w:w="0" w:type="dxa"/>
            <w:vAlign w:val="bottom"/>
          </w:tcPr>
          <w:p>
            <w:pPr>
              <w:spacing w:after="0"/>
              <w:rPr>
                <w:sz w:val="1"/>
                <w:szCs w:val="1"/>
                <w:color w:val="auto"/>
              </w:rPr>
            </w:pPr>
          </w:p>
        </w:tc>
      </w:tr>
      <w:tr>
        <w:trPr>
          <w:trHeight w:val="24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0.9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1,236.1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(62.0)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52.1</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(4,767.4)</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1,070.1</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40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0" w:type="dxa"/>
            <w:vAlign w:val="bottom"/>
            <w:gridSpan w:val="7"/>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Treasury Stock at 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 the nine months ended September 30, 2024)</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restart"/>
          </w:tcPr>
          <w:p>
            <w:pPr>
              <w:jc w:val="center"/>
              <w:ind w:right="55"/>
              <w:spacing w:after="0" w:line="107"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restart"/>
          </w:tcPr>
          <w:p>
            <w:pPr>
              <w:jc w:val="center"/>
              <w:ind w:right="15"/>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ind w:right="55"/>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restart"/>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vMerge w:val="restart"/>
          </w:tcPr>
          <w:p>
            <w:pPr>
              <w:jc w:val="center"/>
              <w:ind w:right="35"/>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0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 Issued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7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0.9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1,184.6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3,506.2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(56.9)</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51.6</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(4,349.5)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285.3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609.2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$3.40 per share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(19.4)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Pension and post-retirement liability changes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of equity method investments other comprehensive income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 in cash 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shares reissued for common stock</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 purchases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2024</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0.9</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1,204.9</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3,994.0</w:t>
            </w:r>
          </w:p>
        </w:tc>
        <w:tc>
          <w:tcPr>
            <w:tcW w:w="100" w:type="dxa"/>
            <w:vAlign w:val="bottom"/>
            <w:tcBorders>
              <w:top w:val="single" w:sz="8" w:color="CCEEFF"/>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(70.7)</w:t>
            </w: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(4,375.1)</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754.0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58420</wp:posOffset>
            </wp:positionV>
            <wp:extent cx="673417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00"/>
          </w:cols>
          <w:pgMar w:left="700" w:top="1232" w:right="70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LENNOX INTERNATIONAL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(Amounts in millions)</w:t>
            </w:r>
          </w:p>
        </w:tc>
        <w:tc>
          <w:tcPr>
            <w:tcW w:w="2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w:t>
            </w:r>
          </w:p>
        </w:tc>
      </w:tr>
      <w:tr>
        <w:trPr>
          <w:trHeight w:val="194"/>
        </w:trPr>
        <w:tc>
          <w:tcPr>
            <w:tcW w:w="7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operating activities: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643.7</w:t>
            </w:r>
          </w:p>
        </w:tc>
        <w:tc>
          <w:tcPr>
            <w:tcW w:w="42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609.2</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Gain on sale from previous dispositions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Income from equity method investments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Dividends from affiliates</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Provision for credit (gains) losses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Unrealized losses (gains), net on derivative contracts</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Employee stock purchase plan discount</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Pension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Pension contributions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assets and liabilities, net of effects of acquisitions and divestitures: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Accounts and notes receivable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(229.1)</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Inventories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Other current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Accrued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Income taxes payable and receivable, net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201"/>
        </w:trPr>
        <w:tc>
          <w:tcPr>
            <w:tcW w:w="75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Leases, net</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3"/>
        </w:trPr>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Other, net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194"/>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613.3</w:t>
            </w:r>
          </w:p>
        </w:tc>
      </w:tr>
      <w:tr>
        <w:trPr>
          <w:trHeight w:val="20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the disposal of property, plant and equipment</w:t>
            </w: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(103.4)</w:t>
            </w: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proceeds from previous disposition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Acquisitions, net of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1"/>
        </w:trPr>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Proceeds from (purchases of) investments and 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19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(108.1)</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Cash flows from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Commercial paper borrowings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424.1</w:t>
            </w: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Commercial paper payments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(574.1)</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Borrowings from debt arrangements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on debt arrangements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Payment of senior unsecured notes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of deferred financing costs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Proceeds from employee stock purchases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1"/>
        </w:trPr>
        <w:tc>
          <w:tcPr>
            <w:tcW w:w="75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r>
      <w:tr>
        <w:trPr>
          <w:trHeight w:val="20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Repurchases of common stock to satisfy employee withholding tax obligations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201"/>
        </w:trPr>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Cash dividends paid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(119.3)</w:t>
            </w:r>
          </w:p>
        </w:tc>
      </w:tr>
      <w:tr>
        <w:trPr>
          <w:trHeight w:val="19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(627.4)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(327.4)</w:t>
            </w:r>
          </w:p>
        </w:tc>
      </w:tr>
      <w:tr>
        <w:trPr>
          <w:trHeight w:val="193"/>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 increase in cash and cash equivalents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177.8</w:t>
            </w: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 and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1"/>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415.1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w:t>
            </w:r>
          </w:p>
        </w:tc>
      </w:tr>
      <w:tr>
        <w:trPr>
          <w:trHeight w:val="219"/>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52.9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243.1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39.7</w:t>
            </w:r>
          </w:p>
        </w:tc>
        <w:tc>
          <w:tcPr>
            <w:tcW w:w="420" w:type="dxa"/>
            <w:vAlign w:val="bottom"/>
            <w:gridSpan w:val="2"/>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91.5</w:t>
            </w:r>
          </w:p>
        </w:tc>
        <w:tc>
          <w:tcPr>
            <w:tcW w:w="4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58420</wp:posOffset>
            </wp:positionV>
            <wp:extent cx="673417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20"/>
          </w:cols>
          <w:pgMar w:left="680" w:top="839" w:right="70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LENNOX INTERNATIONAL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General:</w:t>
      </w:r>
    </w:p>
    <w:p>
      <w:pPr>
        <w:spacing w:after="0" w:line="215"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References in this Quarterly Report on Form 10-Q to "we","our","us","LII" or the "Company" refer to Lennox International Inc. and its subsidiaries, unless the context requires otherwise.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235"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5"/>
          <w:szCs w:val="15"/>
          <w:color w:val="auto"/>
        </w:rPr>
        <w:t>The accompanying unaudited Consolidated Balance Sheet as of September 30, 2025, the accompanying unaudited Consolidated Statements of Operations for the three and nine months ended September 30, 2025 and 2024, the accompanying unaudited Consolidated Statements of Comprehensive Income for the three and nine months ended September 30, 2025 and 2024, the accompanying unaudited Consolidated Statements of Stockholders' Equity for the three and nine months ended September 30, 2025 and 2024, and the accompanying unaudited Consolidated Statements of Cash Flows for the nine months ended September 30, 2025 and 2024 should be read in conjunction with our audited consolidated financial statements and footnotes included in our Annual Report on Form 10-K for the year ended December 31, 2024.</w:t>
      </w:r>
    </w:p>
    <w:p>
      <w:pPr>
        <w:spacing w:after="0" w:line="192" w:lineRule="exact"/>
        <w:rPr>
          <w:sz w:val="20"/>
          <w:szCs w:val="20"/>
          <w:color w:val="auto"/>
        </w:rPr>
      </w:pPr>
    </w:p>
    <w:p>
      <w:pPr>
        <w:jc w:val="both"/>
        <w:ind w:firstLine="214"/>
        <w:spacing w:after="0" w:line="255"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94"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Our fiscal quarterly periods are comprised of approximately 13 weeks, but the number of days per quarter may vary year -over-year.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35"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5"/>
          <w:szCs w:val="15"/>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192"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79" w:right="66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color w:val="auto"/>
        </w:rPr>
        <w:t>2. Reportable Business Segments:</w:t>
      </w:r>
    </w:p>
    <w:p>
      <w:pPr>
        <w:spacing w:after="0" w:line="235" w:lineRule="exact"/>
        <w:rPr>
          <w:sz w:val="20"/>
          <w:szCs w:val="20"/>
          <w:color w:val="auto"/>
        </w:rPr>
      </w:pPr>
    </w:p>
    <w:p>
      <w:pPr>
        <w:ind w:right="60" w:firstLine="214"/>
        <w:spacing w:after="0" w:line="270" w:lineRule="auto"/>
        <w:rPr>
          <w:sz w:val="20"/>
          <w:szCs w:val="20"/>
          <w:color w:val="auto"/>
        </w:rPr>
      </w:pPr>
      <w:r>
        <w:rPr>
          <w:rFonts w:ascii="Times New Roman" w:cs="Times New Roman" w:eastAsia="Times New Roman" w:hAnsi="Times New Roman"/>
          <w:sz w:val="15"/>
          <w:szCs w:val="15"/>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190"/>
        </w:trPr>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8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150"/>
        </w:trPr>
        <w:tc>
          <w:tcPr>
            <w:tcW w:w="16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i w:val="1"/>
                <w:iCs w:val="1"/>
                <w:color w:val="auto"/>
              </w:rPr>
              <w:t>Home Comfort Solutions</w:t>
            </w:r>
          </w:p>
        </w:tc>
        <w:tc>
          <w:tcPr>
            <w:tcW w:w="100" w:type="dxa"/>
            <w:vAlign w:val="bottom"/>
            <w:shd w:val="clear" w:color="auto" w:fill="CCEEFF"/>
          </w:tcPr>
          <w:p>
            <w:pPr>
              <w:spacing w:after="0"/>
              <w:rPr>
                <w:sz w:val="13"/>
                <w:szCs w:val="13"/>
                <w:color w:val="auto"/>
              </w:rPr>
            </w:pPr>
          </w:p>
        </w:tc>
        <w:tc>
          <w:tcPr>
            <w:tcW w:w="37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Furnaces, air conditioners, heat pumps, packaged heating</w:t>
            </w:r>
          </w:p>
        </w:tc>
        <w:tc>
          <w:tcPr>
            <w:tcW w:w="80" w:type="dxa"/>
            <w:vAlign w:val="bottom"/>
            <w:shd w:val="clear" w:color="auto" w:fill="CCEEFF"/>
          </w:tcPr>
          <w:p>
            <w:pPr>
              <w:spacing w:after="0"/>
              <w:rPr>
                <w:sz w:val="13"/>
                <w:szCs w:val="13"/>
                <w:color w:val="auto"/>
              </w:rPr>
            </w:pPr>
          </w:p>
        </w:tc>
        <w:tc>
          <w:tcPr>
            <w:tcW w:w="32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color w:val="auto"/>
              </w:rPr>
              <w:t>Residential Replacement;</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United States</w:t>
            </w:r>
          </w:p>
        </w:tc>
      </w:tr>
      <w:tr>
        <w:trPr>
          <w:trHeight w:val="154"/>
        </w:trPr>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7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and cooling systems, indoor air quality equipment, comfort</w:t>
            </w:r>
          </w:p>
        </w:tc>
        <w:tc>
          <w:tcPr>
            <w:tcW w:w="80" w:type="dxa"/>
            <w:vAlign w:val="bottom"/>
            <w:shd w:val="clear" w:color="auto" w:fill="CCEEFF"/>
          </w:tcPr>
          <w:p>
            <w:pPr>
              <w:spacing w:after="0"/>
              <w:rPr>
                <w:sz w:val="13"/>
                <w:szCs w:val="13"/>
                <w:color w:val="auto"/>
              </w:rPr>
            </w:pPr>
          </w:p>
        </w:tc>
        <w:tc>
          <w:tcPr>
            <w:tcW w:w="32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Residential New Construction</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Canada</w:t>
            </w:r>
          </w:p>
        </w:tc>
      </w:tr>
      <w:tr>
        <w:trPr>
          <w:trHeight w:val="201"/>
        </w:trPr>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control products, replacement parts and supplies</w:t>
            </w:r>
          </w:p>
        </w:tc>
        <w:tc>
          <w:tcPr>
            <w:tcW w:w="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54"/>
        </w:trPr>
        <w:tc>
          <w:tcPr>
            <w:tcW w:w="16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i w:val="1"/>
                <w:iCs w:val="1"/>
                <w:color w:val="auto"/>
              </w:rPr>
              <w:t>Building Climate</w:t>
            </w:r>
          </w:p>
        </w:tc>
        <w:tc>
          <w:tcPr>
            <w:tcW w:w="100" w:type="dxa"/>
            <w:vAlign w:val="bottom"/>
          </w:tcPr>
          <w:p>
            <w:pPr>
              <w:spacing w:after="0"/>
              <w:rPr>
                <w:sz w:val="13"/>
                <w:szCs w:val="13"/>
                <w:color w:val="auto"/>
              </w:rPr>
            </w:pPr>
          </w:p>
        </w:tc>
        <w:tc>
          <w:tcPr>
            <w:tcW w:w="37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Commercial heating, air conditioning and refrigeration</w:t>
            </w:r>
          </w:p>
        </w:tc>
        <w:tc>
          <w:tcPr>
            <w:tcW w:w="80" w:type="dxa"/>
            <w:vAlign w:val="bottom"/>
          </w:tcPr>
          <w:p>
            <w:pPr>
              <w:spacing w:after="0"/>
              <w:rPr>
                <w:sz w:val="13"/>
                <w:szCs w:val="13"/>
                <w:color w:val="auto"/>
              </w:rPr>
            </w:pPr>
          </w:p>
        </w:tc>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Light Commercial;</w:t>
            </w:r>
          </w:p>
        </w:tc>
        <w:tc>
          <w:tcPr>
            <w:tcW w:w="100" w:type="dxa"/>
            <w:vAlign w:val="bottom"/>
          </w:tcPr>
          <w:p>
            <w:pPr>
              <w:spacing w:after="0"/>
              <w:rPr>
                <w:sz w:val="13"/>
                <w:szCs w:val="13"/>
                <w:color w:val="auto"/>
              </w:rPr>
            </w:pPr>
          </w:p>
        </w:tc>
        <w:tc>
          <w:tcPr>
            <w:tcW w:w="166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United States</w:t>
            </w:r>
          </w:p>
        </w:tc>
      </w:tr>
      <w:tr>
        <w:trPr>
          <w:trHeight w:val="155"/>
        </w:trPr>
        <w:tc>
          <w:tcPr>
            <w:tcW w:w="160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i w:val="1"/>
                <w:iCs w:val="1"/>
                <w:color w:val="auto"/>
              </w:rPr>
              <w:t>Solutions</w:t>
            </w:r>
          </w:p>
        </w:tc>
        <w:tc>
          <w:tcPr>
            <w:tcW w:w="100" w:type="dxa"/>
            <w:vAlign w:val="bottom"/>
          </w:tcPr>
          <w:p>
            <w:pPr>
              <w:spacing w:after="0"/>
              <w:rPr>
                <w:sz w:val="13"/>
                <w:szCs w:val="13"/>
                <w:color w:val="auto"/>
              </w:rPr>
            </w:pPr>
          </w:p>
        </w:tc>
        <w:tc>
          <w:tcPr>
            <w:tcW w:w="37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systems. Products include rooftop packaged units, variable</w:t>
            </w:r>
          </w:p>
        </w:tc>
        <w:tc>
          <w:tcPr>
            <w:tcW w:w="80" w:type="dxa"/>
            <w:vAlign w:val="bottom"/>
          </w:tcPr>
          <w:p>
            <w:pPr>
              <w:spacing w:after="0"/>
              <w:rPr>
                <w:sz w:val="13"/>
                <w:szCs w:val="13"/>
                <w:color w:val="auto"/>
              </w:rPr>
            </w:pPr>
          </w:p>
        </w:tc>
        <w:tc>
          <w:tcPr>
            <w:tcW w:w="326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Food Preservation;</w:t>
            </w:r>
          </w:p>
        </w:tc>
        <w:tc>
          <w:tcPr>
            <w:tcW w:w="100" w:type="dxa"/>
            <w:vAlign w:val="bottom"/>
          </w:tcPr>
          <w:p>
            <w:pPr>
              <w:spacing w:after="0"/>
              <w:rPr>
                <w:sz w:val="13"/>
                <w:szCs w:val="13"/>
                <w:color w:val="auto"/>
              </w:rPr>
            </w:pPr>
          </w:p>
        </w:tc>
        <w:tc>
          <w:tcPr>
            <w:tcW w:w="166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rPr>
              <w:t>Canada</w:t>
            </w:r>
          </w:p>
        </w:tc>
      </w:tr>
      <w:tr>
        <w:trPr>
          <w:trHeight w:val="154"/>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refrigerant flow systems, heat pumps, air cooled</w:t>
            </w:r>
          </w:p>
        </w:tc>
        <w:tc>
          <w:tcPr>
            <w:tcW w:w="80" w:type="dxa"/>
            <w:vAlign w:val="bottom"/>
          </w:tcPr>
          <w:p>
            <w:pPr>
              <w:spacing w:after="0"/>
              <w:rPr>
                <w:sz w:val="13"/>
                <w:szCs w:val="13"/>
                <w:color w:val="auto"/>
              </w:rPr>
            </w:pPr>
          </w:p>
        </w:tc>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Non-Food Industry</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4"/>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condensing units, air handlers, unit coolers, and process</w:t>
            </w:r>
          </w:p>
        </w:tc>
        <w:tc>
          <w:tcPr>
            <w:tcW w:w="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4"/>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chillers. Services include installation, energy monitoring,</w:t>
            </w:r>
          </w:p>
        </w:tc>
        <w:tc>
          <w:tcPr>
            <w:tcW w:w="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99"/>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 and maintenance, and HVAC recycling.</w:t>
            </w: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287"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w:t>
      </w:r>
    </w:p>
    <w:p>
      <w:pPr>
        <w:spacing w:after="0" w:line="186"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chief operating decision maker uses segment profit or loss from operations before interest and income taxes, excluding certain items, and return on sales to allocate resources (including employees, financial, or capital resources) for each segment predominantly in the annual budget and forecasting process. The chief operating decision maker considers budget-to-actual variances in segment profit or loss and its individual components as well as return on sales on a monthly basis when evaluating segment performance and making decisions about allocating resources to the segments.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Our chief operating decision maker is Alok Maskara, Chief Executive Officer.</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Key financial information for each segment is shown below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Home Comfort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Business Climate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Three months ended September 30, 2025</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Net sales</w:t>
            </w:r>
            <w:r>
              <w:rPr>
                <w:rFonts w:ascii="Times New Roman" w:cs="Times New Roman" w:eastAsia="Times New Roman" w:hAnsi="Times New Roman"/>
                <w:sz w:val="21"/>
                <w:szCs w:val="21"/>
                <w:color w:val="auto"/>
                <w:vertAlign w:val="superscript"/>
              </w:rPr>
              <w:t>(1)</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912.9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1,426.8</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goods sold</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958.2</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161.6</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5"/>
                <w:szCs w:val="15"/>
                <w:color w:val="auto"/>
              </w:rPr>
              <w:t>Other (income) expense</w:t>
            </w:r>
            <w:r>
              <w:rPr>
                <w:rFonts w:ascii="Times New Roman" w:cs="Times New Roman" w:eastAsia="Times New Roman" w:hAnsi="Times New Roman"/>
                <w:sz w:val="21"/>
                <w:szCs w:val="21"/>
                <w:color w:val="auto"/>
                <w:vertAlign w:val="superscript"/>
              </w:rPr>
              <w:t>(2)</w:t>
            </w: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5"/>
                <w:szCs w:val="15"/>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202.9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310.2</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Three months ended September 30, 2024</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Net sales</w:t>
            </w:r>
            <w:r>
              <w:rPr>
                <w:rFonts w:ascii="Times New Roman" w:cs="Times New Roman" w:eastAsia="Times New Roman" w:hAnsi="Times New Roman"/>
                <w:sz w:val="21"/>
                <w:szCs w:val="21"/>
                <w:color w:val="auto"/>
                <w:vertAlign w:val="superscript"/>
              </w:rPr>
              <w:t>(1)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1,032.8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1,498.1</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Cost of goods sold</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1,009.7</w:t>
            </w:r>
          </w:p>
        </w:tc>
        <w:tc>
          <w:tcPr>
            <w:tcW w:w="0" w:type="dxa"/>
            <w:vAlign w:val="bottom"/>
          </w:tcPr>
          <w:p>
            <w:pPr>
              <w:spacing w:after="0"/>
              <w:rPr>
                <w:sz w:val="1"/>
                <w:szCs w:val="1"/>
                <w:color w:val="auto"/>
              </w:rPr>
            </w:pPr>
          </w:p>
        </w:tc>
      </w:tr>
      <w:tr>
        <w:trPr>
          <w:trHeight w:val="201"/>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184.4</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5"/>
                <w:szCs w:val="15"/>
                <w:color w:val="auto"/>
              </w:rPr>
              <w:t>Other (income) expense</w:t>
            </w:r>
            <w:r>
              <w:rPr>
                <w:rFonts w:ascii="Times New Roman" w:cs="Times New Roman" w:eastAsia="Times New Roman" w:hAnsi="Times New Roman"/>
                <w:sz w:val="21"/>
                <w:szCs w:val="21"/>
                <w:color w:val="auto"/>
                <w:vertAlign w:val="superscript"/>
              </w:rPr>
              <w:t>(2)</w:t>
            </w:r>
          </w:p>
        </w:tc>
        <w:tc>
          <w:tcPr>
            <w:tcW w:w="1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73"/>
        </w:trPr>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226.5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303.3</w:t>
            </w:r>
          </w:p>
        </w:tc>
        <w:tc>
          <w:tcPr>
            <w:tcW w:w="0" w:type="dxa"/>
            <w:vAlign w:val="bottom"/>
          </w:tcPr>
          <w:p>
            <w:pPr>
              <w:spacing w:after="0"/>
              <w:rPr>
                <w:sz w:val="1"/>
                <w:szCs w:val="1"/>
                <w:color w:val="auto"/>
              </w:rPr>
            </w:pPr>
          </w:p>
        </w:tc>
      </w:tr>
      <w:tr>
        <w:trPr>
          <w:trHeight w:val="678"/>
        </w:trPr>
        <w:tc>
          <w:tcPr>
            <w:tcW w:w="390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00" w:type="dxa"/>
            <w:vAlign w:val="bottom"/>
            <w:tcBorders>
              <w:bottom w:val="single" w:sz="8" w:color="EEEEEE"/>
            </w:tcBorders>
          </w:tcPr>
          <w:p>
            <w:pPr>
              <w:spacing w:after="0"/>
              <w:rPr>
                <w:sz w:val="8"/>
                <w:szCs w:val="8"/>
                <w:color w:val="auto"/>
              </w:rPr>
            </w:pPr>
          </w:p>
        </w:tc>
        <w:tc>
          <w:tcPr>
            <w:tcW w:w="13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2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30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-27305</wp:posOffset>
            </wp:positionV>
            <wp:extent cx="673417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5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Home Comfort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Business Climate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Corporate and</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526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Nine months ended September 30, 2025</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Solutions</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Net sales</w:t>
            </w:r>
            <w:r>
              <w:rPr>
                <w:rFonts w:ascii="Times New Roman" w:cs="Times New Roman" w:eastAsia="Times New Roman" w:hAnsi="Times New Roman"/>
                <w:sz w:val="21"/>
                <w:szCs w:val="2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2,643.6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4,000.3</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Cost of goods sold</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1,809.5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869.3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2,680.7</w:t>
            </w:r>
          </w:p>
        </w:tc>
        <w:tc>
          <w:tcPr>
            <w:tcW w:w="0" w:type="dxa"/>
            <w:vAlign w:val="bottom"/>
          </w:tcPr>
          <w:p>
            <w:pPr>
              <w:spacing w:after="0"/>
              <w:rPr>
                <w:sz w:val="1"/>
                <w:szCs w:val="1"/>
                <w:color w:val="auto"/>
              </w:rPr>
            </w:pPr>
          </w:p>
        </w:tc>
      </w:tr>
      <w:tr>
        <w:trPr>
          <w:trHeight w:val="201"/>
        </w:trPr>
        <w:tc>
          <w:tcPr>
            <w:tcW w:w="5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506.2</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5"/>
                <w:szCs w:val="15"/>
                <w:color w:val="auto"/>
              </w:rPr>
              <w:t>Other (income) expense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94"/>
        </w:trPr>
        <w:tc>
          <w:tcPr>
            <w:tcW w:w="5260" w:type="dxa"/>
            <w:vAlign w:val="bottom"/>
          </w:tcPr>
          <w:p>
            <w:pPr>
              <w:ind w:left="120"/>
              <w:spacing w:after="0" w:line="194" w:lineRule="exact"/>
              <w:rPr>
                <w:sz w:val="20"/>
                <w:szCs w:val="20"/>
                <w:color w:val="auto"/>
              </w:rPr>
            </w:pPr>
            <w:r>
              <w:rPr>
                <w:rFonts w:ascii="Times New Roman" w:cs="Times New Roman" w:eastAsia="Times New Roman" w:hAnsi="Times New Roman"/>
                <w:sz w:val="15"/>
                <w:szCs w:val="15"/>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574.9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819.8</w:t>
            </w:r>
          </w:p>
        </w:tc>
        <w:tc>
          <w:tcPr>
            <w:tcW w:w="0" w:type="dxa"/>
            <w:vAlign w:val="bottom"/>
          </w:tcPr>
          <w:p>
            <w:pPr>
              <w:spacing w:after="0"/>
              <w:rPr>
                <w:sz w:val="1"/>
                <w:szCs w:val="1"/>
                <w:color w:val="auto"/>
              </w:rPr>
            </w:pPr>
          </w:p>
        </w:tc>
      </w:tr>
      <w:tr>
        <w:trPr>
          <w:trHeight w:val="142"/>
        </w:trPr>
        <w:tc>
          <w:tcPr>
            <w:tcW w:w="5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Nine months ended September 30, 2024</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Net sales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2,689.7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3,996.3</w:t>
            </w:r>
          </w:p>
        </w:tc>
        <w:tc>
          <w:tcPr>
            <w:tcW w:w="0" w:type="dxa"/>
            <w:vAlign w:val="bottom"/>
          </w:tcPr>
          <w:p>
            <w:pPr>
              <w:spacing w:after="0"/>
              <w:rPr>
                <w:sz w:val="1"/>
                <w:szCs w:val="1"/>
                <w:color w:val="auto"/>
              </w:rPr>
            </w:pPr>
          </w:p>
        </w:tc>
      </w:tr>
      <w:tr>
        <w:trPr>
          <w:trHeight w:val="201"/>
        </w:trPr>
        <w:tc>
          <w:tcPr>
            <w:tcW w:w="5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 of goods sold</w:t>
            </w: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1,833.8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844.8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2,679.7</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523.6</w:t>
            </w:r>
          </w:p>
        </w:tc>
        <w:tc>
          <w:tcPr>
            <w:tcW w:w="0" w:type="dxa"/>
            <w:vAlign w:val="bottom"/>
          </w:tcPr>
          <w:p>
            <w:pPr>
              <w:spacing w:after="0"/>
              <w:rPr>
                <w:sz w:val="1"/>
                <w:szCs w:val="1"/>
                <w:color w:val="auto"/>
              </w:rPr>
            </w:pPr>
          </w:p>
        </w:tc>
      </w:tr>
      <w:tr>
        <w:trPr>
          <w:trHeight w:val="202"/>
        </w:trPr>
        <w:tc>
          <w:tcPr>
            <w:tcW w:w="526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5"/>
                <w:szCs w:val="15"/>
                <w:color w:val="auto"/>
              </w:rPr>
              <w:t>Other (income) expense</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94"/>
        </w:trPr>
        <w:tc>
          <w:tcPr>
            <w:tcW w:w="526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5"/>
                <w:szCs w:val="15"/>
                <w:b w:val="1"/>
                <w:bCs w:val="1"/>
                <w:color w:val="auto"/>
              </w:rPr>
              <w:t>Segment profit (loss)</w:t>
            </w:r>
            <w:r>
              <w:rPr>
                <w:rFonts w:ascii="Times New Roman" w:cs="Times New Roman" w:eastAsia="Times New Roman" w:hAnsi="Times New Roman"/>
                <w:sz w:val="21"/>
                <w:szCs w:val="21"/>
                <w:b w:val="1"/>
                <w:bCs w:val="1"/>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567.1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788.6</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60" w:hanging="141"/>
        <w:spacing w:after="0"/>
        <w:tabs>
          <w:tab w:leader="none" w:pos="3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On a consolidated basis, no revenue from transactions with a single customer were 10% or greater of our consolidated net sales for any of the periods presented.</w:t>
      </w:r>
    </w:p>
    <w:p>
      <w:pPr>
        <w:spacing w:after="0" w:line="196" w:lineRule="exact"/>
        <w:rPr>
          <w:rFonts w:ascii="Times New Roman" w:cs="Times New Roman" w:eastAsia="Times New Roman" w:hAnsi="Times New Roman"/>
          <w:sz w:val="18"/>
          <w:szCs w:val="18"/>
          <w:color w:val="auto"/>
          <w:vertAlign w:val="superscript"/>
        </w:rPr>
      </w:pPr>
    </w:p>
    <w:p>
      <w:pPr>
        <w:ind w:left="360" w:hanging="141"/>
        <w:spacing w:after="0"/>
        <w:tabs>
          <w:tab w:leader="none" w:pos="3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Other (income) expense is primarily comprised of income from equity method investments and (gains) losses and other expenses, net.</w:t>
      </w:r>
    </w:p>
    <w:p>
      <w:pPr>
        <w:spacing w:after="0" w:line="168" w:lineRule="exact"/>
        <w:rPr>
          <w:rFonts w:ascii="Times New Roman" w:cs="Times New Roman" w:eastAsia="Times New Roman" w:hAnsi="Times New Roman"/>
          <w:sz w:val="18"/>
          <w:szCs w:val="18"/>
          <w:color w:val="auto"/>
          <w:vertAlign w:val="superscript"/>
        </w:rPr>
      </w:pPr>
    </w:p>
    <w:p>
      <w:pPr>
        <w:ind w:left="380" w:hanging="161"/>
        <w:spacing w:after="0"/>
        <w:tabs>
          <w:tab w:leader="none" w:pos="38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define segment profit (loss) as a segment's operating income (loss) included in the accompanying Consolidated Statements of Operations, excluding:</w:t>
      </w:r>
    </w:p>
    <w:p>
      <w:pPr>
        <w:ind w:left="580" w:hanging="219"/>
        <w:spacing w:after="0"/>
        <w:tabs>
          <w:tab w:leader="none" w:pos="58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charges, and</w:t>
      </w:r>
    </w:p>
    <w:p>
      <w:pPr>
        <w:spacing w:after="0" w:line="5" w:lineRule="exact"/>
        <w:rPr>
          <w:rFonts w:ascii="Times New Roman" w:cs="Times New Roman" w:eastAsia="Times New Roman" w:hAnsi="Times New Roman"/>
          <w:sz w:val="15"/>
          <w:szCs w:val="15"/>
          <w:color w:val="auto"/>
        </w:rPr>
      </w:pPr>
    </w:p>
    <w:p>
      <w:pPr>
        <w:ind w:left="580" w:hanging="219"/>
        <w:spacing w:after="0"/>
        <w:tabs>
          <w:tab w:leader="none" w:pos="58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(gain) on sale from previous dispositions.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The  reconciliations  of  segment  profit  to</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Operating  income  and  Net  income</w:t>
            </w: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before</w:t>
            </w:r>
          </w:p>
        </w:tc>
        <w:tc>
          <w:tcPr>
            <w:tcW w:w="600" w:type="dxa"/>
            <w:vAlign w:val="bottom"/>
            <w:gridSpan w:val="3"/>
          </w:tcPr>
          <w:p>
            <w:pPr>
              <w:jc w:val="right"/>
              <w:ind w:right="43"/>
              <w:spacing w:after="0"/>
              <w:rPr>
                <w:sz w:val="20"/>
                <w:szCs w:val="20"/>
                <w:color w:val="auto"/>
              </w:rPr>
            </w:pPr>
            <w:r>
              <w:rPr>
                <w:rFonts w:ascii="Times New Roman" w:cs="Times New Roman" w:eastAsia="Times New Roman" w:hAnsi="Times New Roman"/>
                <w:sz w:val="15"/>
                <w:szCs w:val="15"/>
                <w:color w:val="auto"/>
              </w:rPr>
              <w:t>income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taxes  are</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presented</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below</w:t>
            </w: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(in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millions):</w:t>
            </w:r>
          </w:p>
        </w:tc>
      </w:tr>
      <w:tr>
        <w:trPr>
          <w:trHeight w:val="149"/>
        </w:trPr>
        <w:tc>
          <w:tcPr>
            <w:tcW w:w="3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580" w:type="dxa"/>
            <w:vAlign w:val="bottom"/>
            <w:gridSpan w:val="7"/>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340" w:type="dxa"/>
            <w:vAlign w:val="bottom"/>
            <w:gridSpan w:val="5"/>
            <w:shd w:val="clear" w:color="auto" w:fill="CCEEFF"/>
          </w:tcPr>
          <w:p>
            <w:pPr>
              <w:jc w:val="right"/>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8"/>
        </w:trPr>
        <w:tc>
          <w:tcPr>
            <w:tcW w:w="33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shd w:val="clear" w:color="auto" w:fill="CCEEFF"/>
          </w:tcPr>
          <w:p>
            <w:pPr>
              <w:spacing w:after="0"/>
              <w:rPr>
                <w:sz w:val="16"/>
                <w:szCs w:val="16"/>
                <w:color w:val="auto"/>
              </w:rPr>
            </w:pPr>
          </w:p>
        </w:tc>
      </w:tr>
      <w:tr>
        <w:trPr>
          <w:trHeight w:val="182"/>
        </w:trPr>
        <w:tc>
          <w:tcPr>
            <w:tcW w:w="330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3300" w:type="dxa"/>
            <w:vAlign w:val="bottom"/>
            <w:shd w:val="clear" w:color="auto" w:fill="CCEEFF"/>
          </w:tcPr>
          <w:p>
            <w:pPr>
              <w:ind w:left="80"/>
              <w:spacing w:after="0" w:line="195" w:lineRule="exact"/>
              <w:rPr>
                <w:sz w:val="20"/>
                <w:szCs w:val="20"/>
                <w:color w:val="auto"/>
              </w:rPr>
            </w:pPr>
            <w:r>
              <w:rPr>
                <w:rFonts w:ascii="Times New Roman" w:cs="Times New Roman" w:eastAsia="Times New Roman" w:hAnsi="Times New Roman"/>
                <w:sz w:val="15"/>
                <w:szCs w:val="15"/>
                <w:b w:val="1"/>
                <w:bCs w:val="1"/>
                <w:color w:val="auto"/>
              </w:rPr>
              <w:t>Total segment profit</w:t>
            </w:r>
            <w:r>
              <w:rPr>
                <w:rFonts w:ascii="Times New Roman" w:cs="Times New Roman" w:eastAsia="Times New Roman" w:hAnsi="Times New Roman"/>
                <w:sz w:val="21"/>
                <w:szCs w:val="21"/>
                <w:b w:val="1"/>
                <w:bCs w:val="1"/>
                <w:color w:val="auto"/>
                <w:vertAlign w:val="superscript"/>
              </w:rPr>
              <w:t>(1)</w:t>
            </w:r>
          </w:p>
        </w:tc>
        <w:tc>
          <w:tcPr>
            <w:tcW w:w="28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310.2</w:t>
            </w:r>
          </w:p>
        </w:tc>
        <w:tc>
          <w:tcPr>
            <w:tcW w:w="60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303.3</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819.8</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788.6</w:t>
            </w:r>
          </w:p>
        </w:tc>
      </w:tr>
      <w:tr>
        <w:trPr>
          <w:trHeight w:val="202"/>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Reconciliation to Operating income:</w:t>
            </w: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6"/>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Restructuring charges</w:t>
            </w:r>
          </w:p>
        </w:tc>
        <w:tc>
          <w:tcPr>
            <w:tcW w:w="2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Gain on sale from previous dispositions</w:t>
            </w: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4"/>
        </w:trPr>
        <w:tc>
          <w:tcPr>
            <w:tcW w:w="33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3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310.2</w:t>
            </w: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303.3</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819.8</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790.2</w:t>
            </w:r>
          </w:p>
        </w:tc>
      </w:tr>
      <w:tr>
        <w:trPr>
          <w:trHeight w:val="202"/>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Reconciliation to income before income taxes:</w:t>
            </w: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Pension settlements</w:t>
            </w:r>
          </w:p>
        </w:tc>
        <w:tc>
          <w:tcPr>
            <w:tcW w:w="2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1"/>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Interest expense, net</w:t>
            </w: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33.2</w:t>
            </w:r>
          </w:p>
        </w:tc>
      </w:tr>
      <w:tr>
        <w:trPr>
          <w:trHeight w:val="20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expense, net</w:t>
            </w:r>
          </w:p>
        </w:tc>
        <w:tc>
          <w:tcPr>
            <w:tcW w:w="23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4"/>
        </w:trPr>
        <w:tc>
          <w:tcPr>
            <w:tcW w:w="33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Net income before income taxes</w:t>
            </w:r>
          </w:p>
        </w:tc>
        <w:tc>
          <w:tcPr>
            <w:tcW w:w="2360" w:type="dxa"/>
            <w:vAlign w:val="bottom"/>
          </w:tcPr>
          <w:p>
            <w:pPr>
              <w:spacing w:after="0"/>
              <w:rPr>
                <w:sz w:val="16"/>
                <w:szCs w:val="16"/>
                <w:color w:val="auto"/>
              </w:rPr>
            </w:pPr>
          </w:p>
        </w:tc>
        <w:tc>
          <w:tcPr>
            <w:tcW w:w="4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298.8</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293.9</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792.2</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755.1</w:t>
            </w:r>
          </w:p>
        </w:tc>
      </w:tr>
      <w:tr>
        <w:trPr>
          <w:trHeight w:val="20"/>
        </w:trPr>
        <w:tc>
          <w:tcPr>
            <w:tcW w:w="3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60" w:hanging="141"/>
        <w:spacing w:after="0"/>
        <w:tabs>
          <w:tab w:leader="none" w:pos="36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We define segment profit (loss) as a segment's operating income (loss) included in the accompanying Consolidated Statements of Operations, excluding:</w:t>
      </w:r>
    </w:p>
    <w:p>
      <w:pPr>
        <w:ind w:left="580" w:hanging="219"/>
        <w:spacing w:after="0"/>
        <w:tabs>
          <w:tab w:leader="none" w:pos="5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charges, and</w:t>
      </w:r>
    </w:p>
    <w:p>
      <w:pPr>
        <w:spacing w:after="0" w:line="5" w:lineRule="exact"/>
        <w:rPr>
          <w:rFonts w:ascii="Times New Roman" w:cs="Times New Roman" w:eastAsia="Times New Roman" w:hAnsi="Times New Roman"/>
          <w:sz w:val="15"/>
          <w:szCs w:val="15"/>
          <w:color w:val="auto"/>
        </w:rPr>
      </w:pPr>
    </w:p>
    <w:p>
      <w:pPr>
        <w:ind w:left="580" w:hanging="219"/>
        <w:spacing w:after="0"/>
        <w:tabs>
          <w:tab w:leader="none" w:pos="58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(gain) on sale from previous dispositions.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52" w:right="660" w:bottom="1440" w:gutter="0" w:footer="0" w:header="0"/>
        </w:sectPr>
      </w:pPr>
    </w:p>
    <w:bookmarkStart w:id="11" w:name="page12"/>
    <w:bookmarkEnd w:id="11"/>
    <w:p>
      <w:pPr>
        <w:ind w:left="220"/>
        <w:spacing w:after="0"/>
        <w:rPr>
          <w:sz w:val="20"/>
          <w:szCs w:val="20"/>
          <w:color w:val="auto"/>
        </w:rPr>
      </w:pPr>
      <w:r>
        <w:rPr>
          <w:rFonts w:ascii="Times New Roman" w:cs="Times New Roman" w:eastAsia="Times New Roman" w:hAnsi="Times New Roman"/>
          <w:sz w:val="15"/>
          <w:szCs w:val="15"/>
          <w:color w:val="auto"/>
        </w:rPr>
        <w:t>Total assets by segment are shown below (in millions) as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1"/>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Comfort Solutions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1,626.0</w:t>
            </w: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 Climate Solutions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1,052.6</w:t>
            </w:r>
          </w:p>
        </w:tc>
      </w:tr>
      <w:tr>
        <w:trPr>
          <w:trHeight w:val="201"/>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and Other</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373.3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793.2</w:t>
            </w:r>
          </w:p>
        </w:tc>
      </w:tr>
      <w:tr>
        <w:trPr>
          <w:trHeight w:val="214"/>
        </w:trPr>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3,471.8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The assets in the Corporate and Other segment primarily consist of cash, property, plant and equipment, short-term investments, and deferred tax assets. Assets recorded in the operating segments represent those assets directly associated with those segments.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Total capital expenditures by segment are shown below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40" w:type="dxa"/>
            <w:vAlign w:val="bottom"/>
          </w:tcPr>
          <w:p>
            <w:pPr>
              <w:spacing w:after="0"/>
              <w:rPr>
                <w:sz w:val="13"/>
                <w:szCs w:val="1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8"/>
        </w:trPr>
        <w:tc>
          <w:tcPr>
            <w:tcW w:w="5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980" w:type="dxa"/>
            <w:vAlign w:val="bottom"/>
            <w:tcBorders>
              <w:bottom w:val="single" w:sz="8" w:color="auto"/>
            </w:tcBorders>
          </w:tcPr>
          <w:p>
            <w:pPr>
              <w:spacing w:after="0"/>
              <w:rPr>
                <w:sz w:val="16"/>
                <w:szCs w:val="16"/>
                <w:color w:val="auto"/>
              </w:rPr>
            </w:pPr>
          </w:p>
        </w:tc>
      </w:tr>
      <w:tr>
        <w:trPr>
          <w:trHeight w:val="182"/>
        </w:trPr>
        <w:tc>
          <w:tcPr>
            <w:tcW w:w="53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Capital Expenditures:</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1"/>
        </w:trPr>
        <w:tc>
          <w:tcPr>
            <w:tcW w:w="5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Comfort Solutions</w:t>
            </w:r>
          </w:p>
        </w:tc>
        <w:tc>
          <w:tcPr>
            <w:tcW w:w="820" w:type="dxa"/>
            <w:vAlign w:val="bottom"/>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380" w:type="dxa"/>
            <w:vAlign w:val="bottom"/>
            <w:gridSpan w:val="2"/>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45.6</w:t>
            </w: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 Climate Solutions</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39.7</w:t>
            </w:r>
          </w:p>
        </w:tc>
      </w:tr>
      <w:tr>
        <w:trPr>
          <w:trHeight w:val="20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and Other</w:t>
            </w: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18.1</w:t>
            </w:r>
          </w:p>
        </w:tc>
      </w:tr>
      <w:tr>
        <w:trPr>
          <w:trHeight w:val="21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capital expenditures</w:t>
            </w:r>
          </w:p>
        </w:tc>
        <w:tc>
          <w:tcPr>
            <w:tcW w:w="82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w:t>
            </w:r>
          </w:p>
        </w:tc>
        <w:tc>
          <w:tcPr>
            <w:tcW w:w="3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4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Depreciation and amortization expenses by segment are shown below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Depreciation and Amortization:</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Comfort Solutions</w:t>
            </w:r>
          </w:p>
        </w:tc>
        <w:tc>
          <w:tcPr>
            <w:tcW w:w="840" w:type="dxa"/>
            <w:vAlign w:val="bottom"/>
          </w:tcPr>
          <w:p>
            <w:pPr>
              <w:jc w:val="right"/>
              <w:ind w:right="66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28.5</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 Climate Solutions</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w w:val="95"/>
              </w:rPr>
              <w:t>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1"/>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and Other</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5"/>
                <w:szCs w:val="15"/>
                <w:color w:val="auto"/>
                <w:w w:val="95"/>
              </w:rPr>
              <w:t>6.9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depreciation and amortization</w:t>
            </w:r>
          </w:p>
        </w:tc>
        <w:tc>
          <w:tcPr>
            <w:tcW w:w="84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27.0</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The income from equity method investments is shown below (in millions):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2580" w:type="dxa"/>
            <w:vAlign w:val="bottom"/>
            <w:gridSpan w:val="6"/>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tcPr>
          <w:p>
            <w:pPr>
              <w:jc w:val="center"/>
              <w:ind w:right="144"/>
              <w:spacing w:after="0" w:line="156"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from Equity Method Investments: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Comfort Solutions</w:t>
            </w:r>
          </w:p>
        </w:tc>
        <w:tc>
          <w:tcPr>
            <w:tcW w:w="840" w:type="dxa"/>
            <w:vAlign w:val="bottom"/>
          </w:tcPr>
          <w:p>
            <w:pPr>
              <w:jc w:val="right"/>
              <w:ind w:right="66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5"/>
              </w:rPr>
              <w:t>2.4</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Building Climate Solutions</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w w:val="95"/>
              </w:rPr>
              <w:t>0.3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1"/>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Corporate and Other</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w w:val="97"/>
              </w:rPr>
              <w:t>(0.2)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income from equity method investments</w:t>
            </w:r>
          </w:p>
        </w:tc>
        <w:tc>
          <w:tcPr>
            <w:tcW w:w="84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5"/>
                <w:szCs w:val="15"/>
                <w:color w:val="auto"/>
                <w:w w:val="95"/>
              </w:rPr>
              <w:t>2.5</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i w:val="1"/>
          <w:iCs w:val="1"/>
          <w:color w:val="auto"/>
        </w:rPr>
        <w:t>Geographic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Property, plant and equipment, net for each major geographic area in which we operate, based on the domicile of our operations, are shown below (in millions) as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1"/>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570.4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537.3</w:t>
            </w:r>
          </w:p>
        </w:tc>
      </w:tr>
      <w:tr>
        <w:trPr>
          <w:trHeight w:val="20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Mexico</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266.6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254.0</w:t>
            </w:r>
          </w:p>
        </w:tc>
      </w:tr>
      <w:tr>
        <w:trPr>
          <w:trHeight w:val="201"/>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18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2.9</w:t>
            </w: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international</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5.9</w:t>
            </w:r>
          </w:p>
        </w:tc>
      </w:tr>
      <w:tr>
        <w:trPr>
          <w:trHeight w:val="194"/>
        </w:trPr>
        <w:tc>
          <w:tcPr>
            <w:tcW w:w="6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Property, plant and equipment, net</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847.5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800.1</w:t>
            </w:r>
          </w:p>
        </w:tc>
      </w:tr>
      <w:tr>
        <w:trPr>
          <w:trHeight w:val="20"/>
        </w:trPr>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Earnings Per Share:</w:t>
      </w:r>
    </w:p>
    <w:p>
      <w:pPr>
        <w:spacing w:after="0" w:line="235" w:lineRule="exact"/>
        <w:rPr>
          <w:sz w:val="20"/>
          <w:szCs w:val="20"/>
          <w:color w:val="auto"/>
        </w:rPr>
      </w:pPr>
    </w:p>
    <w:p>
      <w:pPr>
        <w:jc w:val="both"/>
        <w:ind w:right="80" w:firstLine="214"/>
        <w:spacing w:after="0" w:line="266" w:lineRule="auto"/>
        <w:rPr>
          <w:sz w:val="20"/>
          <w:szCs w:val="20"/>
          <w:color w:val="auto"/>
        </w:rPr>
      </w:pPr>
      <w:r>
        <w:rPr>
          <w:rFonts w:ascii="Times New Roman" w:cs="Times New Roman" w:eastAsia="Times New Roman" w:hAnsi="Times New Roman"/>
          <w:sz w:val="15"/>
          <w:szCs w:val="15"/>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computations of basic and diluted earnings per share were as follows (in millions,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600" w:type="dxa"/>
            <w:vAlign w:val="bottom"/>
            <w:gridSpan w:val="6"/>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80" w:type="dxa"/>
            <w:vAlign w:val="bottom"/>
          </w:tcPr>
          <w:p>
            <w:pPr>
              <w:spacing w:after="0"/>
              <w:rPr>
                <w:sz w:val="13"/>
                <w:szCs w:val="13"/>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78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245.8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643.7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609.2</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shares outstanding – basic</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35.6</w:t>
            </w:r>
          </w:p>
        </w:tc>
        <w:tc>
          <w:tcPr>
            <w:tcW w:w="0" w:type="dxa"/>
            <w:vAlign w:val="bottom"/>
          </w:tcPr>
          <w:p>
            <w:pPr>
              <w:spacing w:after="0"/>
              <w:rPr>
                <w:sz w:val="1"/>
                <w:szCs w:val="1"/>
                <w:color w:val="auto"/>
              </w:rPr>
            </w:pPr>
          </w:p>
        </w:tc>
      </w:tr>
      <w:tr>
        <w:trPr>
          <w:trHeight w:val="201"/>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Add: Potential effect of dilutive securities attributable to stock-based payments</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shares outstanding – diluted</w:t>
            </w: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35.5</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35.8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5"/>
                <w:szCs w:val="15"/>
                <w:color w:val="auto"/>
              </w:rPr>
              <w:t>Earnings per share – Basic</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46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6.71</w:t>
            </w:r>
          </w:p>
        </w:tc>
        <w:tc>
          <w:tcPr>
            <w:tcW w:w="3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42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5"/>
                <w:szCs w:val="15"/>
                <w:color w:val="auto"/>
              </w:rPr>
              <w:t>Earnings per share – Diluted</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46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6.68</w:t>
            </w:r>
          </w:p>
        </w:tc>
        <w:tc>
          <w:tcPr>
            <w:tcW w:w="3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42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 xml:space="preserve"> Amounts may not recalculate due to rounding.</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both"/>
        <w:ind w:right="100" w:firstLine="142"/>
        <w:spacing w:after="0" w:line="270" w:lineRule="auto"/>
        <w:rPr>
          <w:sz w:val="20"/>
          <w:szCs w:val="20"/>
          <w:color w:val="auto"/>
        </w:rPr>
      </w:pPr>
      <w:r>
        <w:rPr>
          <w:rFonts w:ascii="Times New Roman" w:cs="Times New Roman" w:eastAsia="Times New Roman" w:hAnsi="Times New Roman"/>
          <w:sz w:val="15"/>
          <w:szCs w:val="15"/>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tbl>
      <w:tblPr>
        <w:tblLayout w:type="fixed"/>
        <w:tblInd w:w="140" w:type="dxa"/>
        <w:tblCellMar>
          <w:top w:w="0" w:type="dxa"/>
          <w:left w:w="0" w:type="dxa"/>
          <w:bottom w:w="0" w:type="dxa"/>
          <w:right w:w="0" w:type="dxa"/>
        </w:tblCellMar>
      </w:tblPr>
      <w:tr>
        <w:trPr>
          <w:trHeight w:val="145"/>
        </w:trPr>
        <w:tc>
          <w:tcPr>
            <w:tcW w:w="5120" w:type="dxa"/>
            <w:vAlign w:val="bottom"/>
          </w:tcPr>
          <w:p>
            <w:pPr>
              <w:spacing w:after="0"/>
              <w:rPr>
                <w:sz w:val="12"/>
                <w:szCs w:val="12"/>
                <w:color w:val="auto"/>
              </w:rPr>
            </w:pPr>
          </w:p>
        </w:tc>
        <w:tc>
          <w:tcPr>
            <w:tcW w:w="272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2"/>
                <w:szCs w:val="12"/>
                <w:color w:val="auto"/>
              </w:rPr>
            </w:pPr>
          </w:p>
        </w:tc>
        <w:tc>
          <w:tcPr>
            <w:tcW w:w="25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8"/>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206"/>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6"/>
              <w:spacing w:after="0"/>
              <w:rPr>
                <w:sz w:val="20"/>
                <w:szCs w:val="20"/>
                <w:color w:val="auto"/>
              </w:rPr>
            </w:pPr>
            <w:r>
              <w:rPr>
                <w:rFonts w:ascii="Times New Roman" w:cs="Times New Roman" w:eastAsia="Times New Roman" w:hAnsi="Times New Roman"/>
                <w:sz w:val="14"/>
                <w:szCs w:val="14"/>
                <w:b w:val="1"/>
                <w:bCs w:val="1"/>
                <w:color w:val="auto"/>
                <w:w w:val="91"/>
              </w:rPr>
              <w:t>30,</w:t>
            </w:r>
          </w:p>
        </w:tc>
      </w:tr>
      <w:tr>
        <w:trPr>
          <w:trHeight w:val="182"/>
        </w:trPr>
        <w:tc>
          <w:tcPr>
            <w:tcW w:w="5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080" w:type="dxa"/>
            <w:vAlign w:val="bottom"/>
            <w:gridSpan w:val="2"/>
            <w:shd w:val="clear" w:color="auto" w:fill="CCEEFF"/>
          </w:tcPr>
          <w:p>
            <w:pPr>
              <w:jc w:val="right"/>
              <w:ind w:right="3609"/>
              <w:spacing w:after="0"/>
              <w:rPr>
                <w:sz w:val="20"/>
                <w:szCs w:val="20"/>
                <w:color w:val="auto"/>
              </w:rPr>
            </w:pPr>
            <w:r>
              <w:rPr>
                <w:rFonts w:ascii="Times New Roman" w:cs="Times New Roman" w:eastAsia="Times New Roman" w:hAnsi="Times New Roman"/>
                <w:sz w:val="15"/>
                <w:szCs w:val="15"/>
                <w:color w:val="auto"/>
              </w:rPr>
              <w:t>Weighted-average number of shares</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Commitments and Contingencies: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26" w:lineRule="exact"/>
        <w:rPr>
          <w:sz w:val="20"/>
          <w:szCs w:val="20"/>
          <w:color w:val="auto"/>
        </w:rPr>
      </w:pPr>
    </w:p>
    <w:p>
      <w:pPr>
        <w:jc w:val="both"/>
        <w:ind w:right="100" w:firstLine="214"/>
        <w:spacing w:after="0" w:line="255" w:lineRule="auto"/>
        <w:rPr>
          <w:sz w:val="20"/>
          <w:szCs w:val="20"/>
          <w:color w:val="auto"/>
        </w:rPr>
      </w:pPr>
      <w:r>
        <w:rPr>
          <w:rFonts w:ascii="Times New Roman" w:cs="Times New Roman" w:eastAsia="Times New Roman" w:hAnsi="Times New Roman"/>
          <w:sz w:val="15"/>
          <w:szCs w:val="15"/>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w:t>
      </w: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660"/>
          </w:cols>
          <w:pgMar w:left="660" w:top="1231" w:right="580" w:bottom="1440" w:gutter="0" w:footer="0" w:header="0"/>
        </w:sectPr>
      </w:pPr>
    </w:p>
    <w:bookmarkStart w:id="13" w:name="page14"/>
    <w:bookmarkEnd w:id="13"/>
    <w:p>
      <w:pPr>
        <w:jc w:val="both"/>
        <w:ind w:right="20"/>
        <w:spacing w:after="0" w:line="285" w:lineRule="auto"/>
        <w:rPr>
          <w:sz w:val="20"/>
          <w:szCs w:val="20"/>
          <w:color w:val="auto"/>
        </w:rPr>
      </w:pPr>
      <w:r>
        <w:rPr>
          <w:rFonts w:ascii="Times New Roman" w:cs="Times New Roman" w:eastAsia="Times New Roman" w:hAnsi="Times New Roman"/>
          <w:sz w:val="15"/>
          <w:szCs w:val="15"/>
          <w:color w:val="auto"/>
        </w:rPr>
        <w:t>less. We do not separate non-lease components from lease components to which they relate and have accounted for the combined lease and non-lease components as a single lease component.</w:t>
      </w:r>
    </w:p>
    <w:p>
      <w:pPr>
        <w:spacing w:after="0" w:line="172" w:lineRule="exact"/>
        <w:rPr>
          <w:sz w:val="20"/>
          <w:szCs w:val="20"/>
          <w:color w:val="auto"/>
        </w:rPr>
      </w:pPr>
    </w:p>
    <w:p>
      <w:pPr>
        <w:jc w:val="both"/>
        <w:ind w:right="20" w:firstLine="214"/>
        <w:spacing w:after="0" w:line="254" w:lineRule="auto"/>
        <w:rPr>
          <w:sz w:val="20"/>
          <w:szCs w:val="20"/>
          <w:color w:val="auto"/>
        </w:rPr>
      </w:pPr>
      <w:r>
        <w:rPr>
          <w:rFonts w:ascii="Times New Roman" w:cs="Times New Roman" w:eastAsia="Times New Roman" w:hAnsi="Times New Roman"/>
          <w:sz w:val="15"/>
          <w:szCs w:val="15"/>
          <w:color w:val="auto"/>
        </w:rPr>
        <w:t>Many of our lease agreements contain renewal options; however, we do not recognize right-of -use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ASC 842 and therefore are accounted for under ASC 842.</w:t>
      </w:r>
    </w:p>
    <w:p>
      <w:pPr>
        <w:spacing w:after="0" w:line="194"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5"/>
          <w:szCs w:val="15"/>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192"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We lease certain real and personal property under non-cancelable operating leases. Approximately 81% of our right-of-use assets and lease liabilities relate to our leases of real estate with the remaining amounts primarily relating to our leases of IT equipment, fleet vehicles and manufacturing and distribution equipment.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Warranties and Product Related Contingencies</w:t>
      </w:r>
    </w:p>
    <w:p>
      <w:pPr>
        <w:spacing w:after="0" w:line="23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Liabilities for estimated product warranty costs are included in the following captions on the accompanying Consolidated Balance Sheets (in millions) as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expenses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50.7</w:t>
            </w:r>
          </w:p>
        </w:tc>
        <w:tc>
          <w:tcPr>
            <w:tcW w:w="3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49.1</w:t>
            </w:r>
          </w:p>
        </w:tc>
      </w:tr>
      <w:tr>
        <w:trPr>
          <w:trHeight w:val="201"/>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114.3</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109.4</w:t>
            </w:r>
          </w:p>
        </w:tc>
      </w:tr>
      <w:tr>
        <w:trPr>
          <w:trHeight w:val="219"/>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warranty liability</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165.0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158.4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70"/>
        </w:trPr>
        <w:tc>
          <w:tcPr>
            <w:tcW w:w="862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The changes in product warranty liabilities for the nine months ended September 30, 2025 were as follows (in millions):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56"/>
        </w:trPr>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warranty liability as of December 31, 2024</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158.4</w:t>
            </w:r>
          </w:p>
        </w:tc>
      </w:tr>
      <w:tr>
        <w:trPr>
          <w:trHeight w:val="201"/>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Warranty claims paid</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w:t>
            </w:r>
          </w:p>
        </w:tc>
      </w:tr>
      <w:tr>
        <w:trPr>
          <w:trHeight w:val="203"/>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resulting from issuance of new warranties</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39.9</w:t>
            </w:r>
          </w:p>
        </w:tc>
      </w:tr>
      <w:tr>
        <w:trPr>
          <w:trHeight w:val="201"/>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estimates associated with pre-existing liabilities</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w:t>
            </w:r>
          </w:p>
        </w:tc>
      </w:tr>
      <w:tr>
        <w:trPr>
          <w:trHeight w:val="203"/>
        </w:trPr>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foreign currency translation rates and other</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r>
      <w:tr>
        <w:trPr>
          <w:trHeight w:val="194"/>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warranty liability as of September 30, 2025</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165.0</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Litigation</w:t>
      </w:r>
    </w:p>
    <w:p>
      <w:pPr>
        <w:spacing w:after="0" w:line="235"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72"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color w:val="auto"/>
        </w:rPr>
        <w:t>5. Stock Repurchases:</w:t>
      </w:r>
    </w:p>
    <w:p>
      <w:pPr>
        <w:spacing w:after="0" w:line="235" w:lineRule="exact"/>
        <w:rPr>
          <w:sz w:val="20"/>
          <w:szCs w:val="20"/>
          <w:color w:val="auto"/>
        </w:rPr>
      </w:pPr>
    </w:p>
    <w:p>
      <w:pPr>
        <w:jc w:val="both"/>
        <w:ind w:firstLine="214"/>
        <w:spacing w:after="0" w:line="255" w:lineRule="auto"/>
        <w:rPr>
          <w:sz w:val="20"/>
          <w:szCs w:val="20"/>
          <w:color w:val="auto"/>
        </w:rPr>
      </w:pPr>
      <w:r>
        <w:rPr>
          <w:rFonts w:ascii="Times New Roman" w:cs="Times New Roman" w:eastAsia="Times New Roman" w:hAnsi="Times New Roman"/>
          <w:sz w:val="15"/>
          <w:szCs w:val="15"/>
          <w:color w:val="auto"/>
        </w:rPr>
        <w:t>Our Board of Directors has authorized a total of $5.0 billion to repurchase shares of our common stock (collectively referred to as the "Share Repurchase Plans"), including a $1.0 billion share repurchase authorization in May 2025.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we might otherwise be precluded from doing so under insider trading laws or self-imposed trading restrictions. The Share Repurchase Plans do not require the repurchase of a specific number of shares and may be terminated at any time. As of September 30, 2025, $1,159.5 million was available for repurchase under the Share Repurchase Plans.</w:t>
      </w:r>
    </w:p>
    <w:p>
      <w:pPr>
        <w:spacing w:after="0" w:line="194"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For the three and nine months ended September 30, 2025, we repurchased 63,000 and 578,665 shares, respectively, at an aggregate cost, inclusive of fees, of $36.9 million and $332.3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Revenue Recognition:</w:t>
      </w:r>
    </w:p>
    <w:p>
      <w:pPr>
        <w:spacing w:after="0" w:line="235"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1740" w:type="dxa"/>
            <w:vAlign w:val="bottom"/>
            <w:tcBorders>
              <w:bottom w:val="single" w:sz="8" w:color="auto"/>
            </w:tcBorders>
            <w:shd w:val="clear" w:color="auto" w:fill="CCEEFF"/>
          </w:tcPr>
          <w:p>
            <w:pPr>
              <w:spacing w:after="0"/>
              <w:rPr>
                <w:sz w:val="16"/>
                <w:szCs w:val="16"/>
                <w:color w:val="auto"/>
              </w:rPr>
            </w:pPr>
          </w:p>
        </w:tc>
        <w:tc>
          <w:tcPr>
            <w:tcW w:w="35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5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Primary Geographic Markets</w:t>
            </w: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Home Comfort Solutions</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Building Climate</w:t>
            </w:r>
          </w:p>
        </w:tc>
        <w:tc>
          <w:tcPr>
            <w:tcW w:w="1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7"/>
        </w:trPr>
        <w:tc>
          <w:tcPr>
            <w:tcW w:w="370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9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7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850.1</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478.3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right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1,328.4</w:t>
            </w:r>
          </w:p>
        </w:tc>
        <w:tc>
          <w:tcPr>
            <w:tcW w:w="0" w:type="dxa"/>
            <w:vAlign w:val="bottom"/>
          </w:tcPr>
          <w:p>
            <w:pPr>
              <w:spacing w:after="0"/>
              <w:rPr>
                <w:sz w:val="1"/>
                <w:szCs w:val="1"/>
                <w:color w:val="auto"/>
              </w:rPr>
            </w:pPr>
          </w:p>
        </w:tc>
      </w:tr>
      <w:tr>
        <w:trPr>
          <w:trHeight w:val="201"/>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62.8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35.6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98.4</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912.9</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513.9</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580" w:type="dxa"/>
            <w:vAlign w:val="bottom"/>
            <w:tcBorders>
              <w:bottom w:val="single" w:sz="8" w:color="auto"/>
              <w:right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1,426.8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2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280" w:type="dxa"/>
            <w:vAlign w:val="bottom"/>
            <w:tcBorders>
              <w:bottom w:val="single" w:sz="8" w:color="auto"/>
              <w:right w:val="single" w:sz="8" w:color="CCEEFF"/>
            </w:tcBorders>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Primary Geographic Markets</w:t>
            </w: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Home Comfort Solutions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125"/>
              <w:spacing w:after="0" w:line="136" w:lineRule="exact"/>
              <w:rPr>
                <w:sz w:val="20"/>
                <w:szCs w:val="20"/>
                <w:color w:val="auto"/>
              </w:rPr>
            </w:pPr>
            <w:r>
              <w:rPr>
                <w:rFonts w:ascii="Times New Roman" w:cs="Times New Roman" w:eastAsia="Times New Roman" w:hAnsi="Times New Roman"/>
                <w:sz w:val="14"/>
                <w:szCs w:val="14"/>
                <w:b w:val="1"/>
                <w:bCs w:val="1"/>
                <w:color w:val="auto"/>
              </w:rPr>
              <w:t>Building Climate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971.1</w:t>
            </w:r>
          </w:p>
        </w:tc>
        <w:tc>
          <w:tcPr>
            <w:tcW w:w="2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441.9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1,413.0</w:t>
            </w: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560" w:type="dxa"/>
            <w:vAlign w:val="bottom"/>
          </w:tcPr>
          <w:p>
            <w:pPr>
              <w:spacing w:after="0"/>
              <w:rPr>
                <w:sz w:val="17"/>
                <w:szCs w:val="17"/>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85.1</w:t>
            </w:r>
          </w:p>
        </w:tc>
        <w:tc>
          <w:tcPr>
            <w:tcW w:w="0" w:type="dxa"/>
            <w:vAlign w:val="bottom"/>
          </w:tcPr>
          <w:p>
            <w:pPr>
              <w:spacing w:after="0"/>
              <w:rPr>
                <w:sz w:val="1"/>
                <w:szCs w:val="1"/>
                <w:color w:val="auto"/>
              </w:rPr>
            </w:pPr>
          </w:p>
        </w:tc>
      </w:tr>
      <w:tr>
        <w:trPr>
          <w:trHeight w:val="219"/>
        </w:trPr>
        <w:tc>
          <w:tcPr>
            <w:tcW w:w="372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top w:val="single" w:sz="8" w:color="auto"/>
              <w:bottom w:val="single" w:sz="8" w:color="auto"/>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1,032.8</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1440" w:type="dxa"/>
            <w:vAlign w:val="bottom"/>
            <w:tcBorders>
              <w:top w:val="single" w:sz="8" w:color="auto"/>
              <w:bottom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465.3</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bottom w:val="single" w:sz="8" w:color="auto"/>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1,498.1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2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280" w:type="dxa"/>
            <w:vAlign w:val="bottom"/>
            <w:tcBorders>
              <w:bottom w:val="single" w:sz="8" w:color="auto"/>
              <w:right w:val="single" w:sz="8" w:color="CCEEFF"/>
            </w:tcBorders>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Primary Geographic Markets</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Home Comfort Solutions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85"/>
              <w:spacing w:after="0" w:line="136" w:lineRule="exact"/>
              <w:rPr>
                <w:sz w:val="20"/>
                <w:szCs w:val="20"/>
                <w:color w:val="auto"/>
              </w:rPr>
            </w:pPr>
            <w:r>
              <w:rPr>
                <w:rFonts w:ascii="Times New Roman" w:cs="Times New Roman" w:eastAsia="Times New Roman" w:hAnsi="Times New Roman"/>
                <w:sz w:val="14"/>
                <w:szCs w:val="14"/>
                <w:b w:val="1"/>
                <w:bCs w:val="1"/>
                <w:color w:val="auto"/>
              </w:rPr>
              <w:t>Building Climate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2,458.9</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1,266.6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3,725.5</w:t>
            </w: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5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184.7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274.8</w:t>
            </w:r>
          </w:p>
        </w:tc>
        <w:tc>
          <w:tcPr>
            <w:tcW w:w="0" w:type="dxa"/>
            <w:vAlign w:val="bottom"/>
          </w:tcPr>
          <w:p>
            <w:pPr>
              <w:spacing w:after="0"/>
              <w:rPr>
                <w:sz w:val="1"/>
                <w:szCs w:val="1"/>
                <w:color w:val="auto"/>
              </w:rPr>
            </w:pPr>
          </w:p>
        </w:tc>
      </w:tr>
      <w:tr>
        <w:trPr>
          <w:trHeight w:val="219"/>
        </w:trPr>
        <w:tc>
          <w:tcPr>
            <w:tcW w:w="372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top w:val="single" w:sz="8" w:color="auto"/>
              <w:bottom w:val="single" w:sz="8" w:color="auto"/>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2,643.6</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1,356.7</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bottom w:val="single" w:sz="8" w:color="auto"/>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4,000.3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2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right w:val="single" w:sz="8" w:color="CCEEFF"/>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280" w:type="dxa"/>
            <w:vAlign w:val="bottom"/>
            <w:tcBorders>
              <w:bottom w:val="single" w:sz="8" w:color="auto"/>
              <w:right w:val="single" w:sz="8" w:color="CCEEFF"/>
            </w:tcBorders>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20" w:type="dxa"/>
            <w:vAlign w:val="bottom"/>
            <w:tcBorders>
              <w:bottom w:val="single" w:sz="8" w:color="auto"/>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Primary Geographic Markets</w:t>
            </w:r>
          </w:p>
        </w:tc>
        <w:tc>
          <w:tcPr>
            <w:tcW w:w="1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Home Comfort Solutions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85"/>
              <w:spacing w:after="0" w:line="136" w:lineRule="exact"/>
              <w:rPr>
                <w:sz w:val="20"/>
                <w:szCs w:val="20"/>
                <w:color w:val="auto"/>
              </w:rPr>
            </w:pPr>
            <w:r>
              <w:rPr>
                <w:rFonts w:ascii="Times New Roman" w:cs="Times New Roman" w:eastAsia="Times New Roman" w:hAnsi="Times New Roman"/>
                <w:sz w:val="14"/>
                <w:szCs w:val="14"/>
                <w:b w:val="1"/>
                <w:bCs w:val="1"/>
                <w:color w:val="auto"/>
              </w:rPr>
              <w:t>Building Climate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8"/>
        </w:trPr>
        <w:tc>
          <w:tcPr>
            <w:tcW w:w="37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2,520.7</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1,244.2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3,764.9</w:t>
            </w: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Canada</w:t>
            </w:r>
          </w:p>
        </w:tc>
        <w:tc>
          <w:tcPr>
            <w:tcW w:w="5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231.4</w:t>
            </w:r>
          </w:p>
        </w:tc>
        <w:tc>
          <w:tcPr>
            <w:tcW w:w="0" w:type="dxa"/>
            <w:vAlign w:val="bottom"/>
          </w:tcPr>
          <w:p>
            <w:pPr>
              <w:spacing w:after="0"/>
              <w:rPr>
                <w:sz w:val="1"/>
                <w:szCs w:val="1"/>
                <w:color w:val="auto"/>
              </w:rPr>
            </w:pPr>
          </w:p>
        </w:tc>
      </w:tr>
      <w:tr>
        <w:trPr>
          <w:trHeight w:val="219"/>
        </w:trPr>
        <w:tc>
          <w:tcPr>
            <w:tcW w:w="3720" w:type="dxa"/>
            <w:vAlign w:val="bottom"/>
            <w:tcBorders>
              <w:top w:val="single" w:sz="8" w:color="CCEEFF"/>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tcBorders>
              <w:top w:val="single" w:sz="8" w:color="auto"/>
              <w:bottom w:val="single" w:sz="8" w:color="auto"/>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2,689.7</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right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1,306.6</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bottom w:val="single" w:sz="8" w:color="auto"/>
              <w:right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3,996.3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20" w:firstLine="214"/>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Home Comfort Solutions </w:t>
      </w:r>
      <w:r>
        <w:rPr>
          <w:rFonts w:ascii="Times New Roman" w:cs="Times New Roman" w:eastAsia="Times New Roman" w:hAnsi="Times New Roman"/>
          <w:sz w:val="15"/>
          <w:szCs w:val="15"/>
          <w:color w:val="auto"/>
        </w:rPr>
        <w:t>- We manufacture and market a broad range of furnaces, air conditioners, heat pumps, packaged heating and cooling systems, equipment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5"/>
          <w:szCs w:val="15"/>
          <w:color w:val="auto"/>
        </w:rPr>
        <w:t>installing dealers, including through our network of Lennox stores or to independent distributors. For the three months ended September 30, 2025 and 2024, direct sales represented 75% and 73% of revenues, respectively, and sales to independent distributors represented the remainder. For the nine months ended September 30, 2025 and 2024, direct sales represented 74% and 74% of revenues, respectively, and sales to independent distributors represented the remainder. Given the nature of our business, customer product orders are fulfilled at a point in time and not over a period of time.</w:t>
      </w:r>
    </w:p>
    <w:p>
      <w:pPr>
        <w:spacing w:after="0" w:line="186" w:lineRule="exact"/>
        <w:rPr>
          <w:sz w:val="20"/>
          <w:szCs w:val="20"/>
          <w:color w:val="auto"/>
        </w:rPr>
      </w:pPr>
    </w:p>
    <w:p>
      <w:pPr>
        <w:jc w:val="both"/>
        <w:ind w:firstLine="214"/>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Building Climate Solutions </w:t>
      </w:r>
      <w:r>
        <w:rPr>
          <w:rFonts w:ascii="Times New Roman" w:cs="Times New Roman" w:eastAsia="Times New Roman" w:hAnsi="Times New Roman"/>
          <w:sz w:val="15"/>
          <w:szCs w:val="15"/>
          <w:color w:val="auto"/>
        </w:rPr>
        <w:t>- In North America, we manufacture and sell unitary heating and cooling equipment used in light commercial 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 users. We also provide installation, service and preventive maintenance for HVAC national account customers in the United States and Canada; manufacture curb, curb adapters, drop box diffusers; offer HVAC recycling and salvage services; and focus on multi-family HVAC replacement for expired mechanical assets. Revenue related to service contracts is recognized as the services are performed under the contract based on the relative fair value of the services provided. For the three months ended September 30, 2025 and 2024, equipment sales represented 80% and 80% of revenues and the remainder of our revenue was generated from our service business. For the nine months ended September 30, 2025 and 2024, equipment sales represented 80% and 81% of revenues and the remainder of our revenue was generated from our service business.</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 xml:space="preserve">Contract Liabilities </w:t>
      </w:r>
      <w:r>
        <w:rPr>
          <w:rFonts w:ascii="Times New Roman" w:cs="Times New Roman" w:eastAsia="Times New Roman" w:hAnsi="Times New Roman"/>
          <w:sz w:val="15"/>
          <w:szCs w:val="15"/>
          <w:color w:val="auto"/>
        </w:rPr>
        <w:t>- Our contract liabilities consist of advance payments and deferred revenue. Net contract liabilities consisted of the following (in millions) as of:</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3"/>
        </w:trPr>
        <w:tc>
          <w:tcPr>
            <w:tcW w:w="6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Contract assets</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w:t>
            </w: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liabilities - current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Contract liabilities - noncurrent</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21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For the three months ended September 30, 2025 and 2024, we recognized revenue of$5.4 million and $0.7 million and for the nine months ended September 30, 2025 and 2024, we recognized revenue of $8.5 million and $6.8 million related to our contract liabilities at January 1, 2025 and 2024, respectively. Impairment losses recognized in our receivables and contract assets were de minimis in 2025 and 2024.</w:t>
      </w:r>
    </w:p>
    <w:p>
      <w:pPr>
        <w:spacing w:after="0" w:line="182" w:lineRule="exact"/>
        <w:rPr>
          <w:sz w:val="20"/>
          <w:szCs w:val="20"/>
          <w:color w:val="auto"/>
        </w:rPr>
      </w:pPr>
    </w:p>
    <w:p>
      <w:pPr>
        <w:ind w:right="8120" w:firstLine="5"/>
        <w:spacing w:after="0" w:line="261" w:lineRule="auto"/>
        <w:tabs>
          <w:tab w:leader="none" w:pos="154"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 Financial Statement Details: Inventories:</w:t>
      </w:r>
    </w:p>
    <w:p>
      <w:pPr>
        <w:ind w:left="2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components of inventories are as follows (in millions) as of:</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Finished goods</w:t>
            </w:r>
          </w:p>
        </w:tc>
        <w:tc>
          <w:tcPr>
            <w:tcW w:w="4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723.7</w:t>
            </w:r>
          </w:p>
        </w:tc>
        <w:tc>
          <w:tcPr>
            <w:tcW w:w="5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422.6</w:t>
            </w:r>
          </w:p>
        </w:tc>
      </w:tr>
      <w:tr>
        <w:trPr>
          <w:trHeight w:val="201"/>
        </w:trPr>
        <w:tc>
          <w:tcPr>
            <w:tcW w:w="65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Work in process</w:t>
            </w:r>
          </w:p>
        </w:tc>
        <w:tc>
          <w:tcPr>
            <w:tcW w:w="40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r>
      <w:tr>
        <w:trPr>
          <w:trHeight w:val="203"/>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Raw materials and parts</w:t>
            </w:r>
          </w:p>
        </w:tc>
        <w:tc>
          <w:tcPr>
            <w:tcW w:w="4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414.1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410.7</w:t>
            </w:r>
          </w:p>
        </w:tc>
      </w:tr>
      <w:tr>
        <w:trPr>
          <w:trHeight w:val="193"/>
        </w:trPr>
        <w:tc>
          <w:tcPr>
            <w:tcW w:w="65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Subtotal</w:t>
            </w:r>
          </w:p>
        </w:tc>
        <w:tc>
          <w:tcPr>
            <w:tcW w:w="4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1,149.1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844.3</w:t>
            </w:r>
          </w:p>
        </w:tc>
      </w:tr>
      <w:tr>
        <w:trPr>
          <w:trHeight w:val="203"/>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Excess of current cost over last-in, first-out cost</w:t>
            </w:r>
          </w:p>
        </w:tc>
        <w:tc>
          <w:tcPr>
            <w:tcW w:w="4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w:t>
            </w:r>
          </w:p>
        </w:tc>
      </w:tr>
      <w:tr>
        <w:trPr>
          <w:trHeight w:val="194"/>
        </w:trPr>
        <w:tc>
          <w:tcPr>
            <w:tcW w:w="654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inventories, net</w:t>
            </w:r>
          </w:p>
        </w:tc>
        <w:tc>
          <w:tcPr>
            <w:tcW w:w="4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991.5</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704.8</w:t>
            </w:r>
          </w:p>
        </w:tc>
      </w:tr>
      <w:tr>
        <w:trPr>
          <w:trHeight w:val="20"/>
        </w:trPr>
        <w:tc>
          <w:tcPr>
            <w:tcW w:w="6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color w:val="auto"/>
        </w:rPr>
        <w:t>Goodwill:</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changes in the carrying amount of goodwill in 2025, in total and by segment, are summarized in the table below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8"/>
        </w:trPr>
        <w:tc>
          <w:tcPr>
            <w:tcW w:w="5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9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Comfort Solutions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26.1</w:t>
            </w:r>
          </w:p>
        </w:tc>
        <w:tc>
          <w:tcPr>
            <w:tcW w:w="4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26.1</w:t>
            </w:r>
          </w:p>
        </w:tc>
      </w:tr>
      <w:tr>
        <w:trPr>
          <w:trHeight w:val="201"/>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Building Climate Solutions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193.9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193.9</w:t>
            </w:r>
          </w:p>
        </w:tc>
      </w:tr>
      <w:tr>
        <w:trPr>
          <w:trHeight w:val="21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Goodwill</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220.0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220.0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2025 or in any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Derivatives: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Objectives and Strategies for Using Derivative Instruments</w:t>
      </w:r>
    </w:p>
    <w:p>
      <w:pPr>
        <w:spacing w:after="0" w:line="231" w:lineRule="exact"/>
        <w:rPr>
          <w:sz w:val="20"/>
          <w:szCs w:val="20"/>
          <w:color w:val="auto"/>
        </w:rPr>
      </w:pPr>
    </w:p>
    <w:p>
      <w:pPr>
        <w:jc w:val="both"/>
        <w:ind w:firstLine="214"/>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Commodity Price Risk - </w:t>
      </w:r>
      <w:r>
        <w:rPr>
          <w:rFonts w:ascii="Times New Roman" w:cs="Times New Roman" w:eastAsia="Times New Roman" w:hAnsi="Times New Roman"/>
          <w:sz w:val="15"/>
          <w:szCs w:val="15"/>
          <w:color w:val="auto"/>
        </w:rPr>
        <w:t>We utilize a cash flow hedging program to mitigate our exposure to volatility in the prices of metal commodities used in our production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371" w:lineRule="exact"/>
        <w:rPr>
          <w:sz w:val="20"/>
          <w:szCs w:val="20"/>
          <w:color w:val="auto"/>
        </w:rPr>
      </w:pPr>
    </w:p>
    <w:p>
      <w:pPr>
        <w:jc w:val="both"/>
        <w:ind w:right="20" w:firstLine="214"/>
        <w:spacing w:after="0" w:line="269" w:lineRule="auto"/>
        <w:rPr>
          <w:sz w:val="20"/>
          <w:szCs w:val="20"/>
          <w:color w:val="auto"/>
        </w:rPr>
      </w:pPr>
      <w:r>
        <w:rPr>
          <w:rFonts w:ascii="Times New Roman" w:cs="Times New Roman" w:eastAsia="Times New Roman" w:hAnsi="Times New Roman"/>
          <w:sz w:val="15"/>
          <w:szCs w:val="15"/>
          <w:i w:val="1"/>
          <w:iCs w:val="1"/>
          <w:color w:val="auto"/>
        </w:rPr>
        <w:t xml:space="preserve">Interest Rate Risk - </w:t>
      </w:r>
      <w:r>
        <w:rPr>
          <w:rFonts w:ascii="Times New Roman" w:cs="Times New Roman" w:eastAsia="Times New Roman" w:hAnsi="Times New Roman"/>
          <w:sz w:val="15"/>
          <w:szCs w:val="15"/>
          <w:color w:val="auto"/>
        </w:rPr>
        <w:t>A portion of our debt may bear interest at variable rates, and as a result, we are subject to variability in the cash paid for interest. To mitigate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portion of that risk, we may choose to engage in an interest rate swap hedging strategy to eliminate the variability of interest payment cash flows. We are not currently hedged against interest rate risk.</w:t>
      </w:r>
    </w:p>
    <w:p>
      <w:pPr>
        <w:spacing w:after="0" w:line="180" w:lineRule="exact"/>
        <w:rPr>
          <w:sz w:val="20"/>
          <w:szCs w:val="20"/>
          <w:color w:val="auto"/>
        </w:rPr>
      </w:pPr>
    </w:p>
    <w:p>
      <w:pPr>
        <w:jc w:val="both"/>
        <w:ind w:firstLine="214"/>
        <w:spacing w:after="0" w:line="269" w:lineRule="auto"/>
        <w:rPr>
          <w:sz w:val="20"/>
          <w:szCs w:val="20"/>
          <w:color w:val="auto"/>
        </w:rPr>
      </w:pPr>
      <w:r>
        <w:rPr>
          <w:rFonts w:ascii="Times New Roman" w:cs="Times New Roman" w:eastAsia="Times New Roman" w:hAnsi="Times New Roman"/>
          <w:sz w:val="15"/>
          <w:szCs w:val="15"/>
          <w:i w:val="1"/>
          <w:iCs w:val="1"/>
          <w:color w:val="auto"/>
        </w:rPr>
        <w:t xml:space="preserve">Foreign Currency Risk - </w:t>
      </w:r>
      <w:r>
        <w:rPr>
          <w:rFonts w:ascii="Times New Roman" w:cs="Times New Roman" w:eastAsia="Times New Roman" w:hAnsi="Times New Roman"/>
          <w:sz w:val="15"/>
          <w:szCs w:val="15"/>
          <w:color w:val="auto"/>
        </w:rPr>
        <w:t>Foreign currency exchange rate movements create a degree of risk by affecting the U.S. dollar value of assets and liabilities arising in foreign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currencies. We seek to mitigate the impact of currency exchange rate movements on certain short-term transactions by periodically entering into foreign currency forward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 Hedges</w:t>
      </w:r>
    </w:p>
    <w:p>
      <w:pPr>
        <w:spacing w:after="0" w:line="235"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We have foreign exchange forward contracts and commodity futures contracts designated as cash flow hedges that are scheduled to mature through February 2027. Unrealized gains or losses from our cash flow hedges are included in Accumulated other comprehensive loss (“AOCL”) and are expected to be reclassified into earnings within the next 17 months based on the prices of the commodities and foreign currencies at the settlement dates. We recorded the following amounts in AOCL related to our cash flow hedges (in millions) as of:</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Unrealized (gains) losses, net on unsettled contracts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center"/>
              <w:ind w:left="1184"/>
              <w:spacing w:after="0"/>
              <w:rPr>
                <w:sz w:val="20"/>
                <w:szCs w:val="20"/>
                <w:color w:val="auto"/>
              </w:rPr>
            </w:pPr>
            <w:r>
              <w:rPr>
                <w:rFonts w:ascii="Times New Roman" w:cs="Times New Roman" w:eastAsia="Times New Roman" w:hAnsi="Times New Roman"/>
                <w:sz w:val="15"/>
                <w:szCs w:val="15"/>
                <w:color w:val="auto"/>
              </w:rPr>
              <w:t>2.0</w:t>
            </w:r>
          </w:p>
        </w:tc>
      </w:tr>
      <w:tr>
        <w:trPr>
          <w:trHeight w:val="20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left="1164"/>
              <w:spacing w:after="0"/>
              <w:rPr>
                <w:sz w:val="20"/>
                <w:szCs w:val="20"/>
                <w:color w:val="auto"/>
              </w:rPr>
            </w:pPr>
            <w:r>
              <w:rPr>
                <w:rFonts w:ascii="Times New Roman" w:cs="Times New Roman" w:eastAsia="Times New Roman" w:hAnsi="Times New Roman"/>
                <w:sz w:val="15"/>
                <w:szCs w:val="15"/>
                <w:color w:val="auto"/>
              </w:rPr>
              <w:t>(0.6)</w:t>
            </w:r>
          </w:p>
        </w:tc>
      </w:tr>
      <w:tr>
        <w:trPr>
          <w:trHeight w:val="214"/>
        </w:trPr>
        <w:tc>
          <w:tcPr>
            <w:tcW w:w="6760" w:type="dxa"/>
            <w:vAlign w:val="bottom"/>
            <w:shd w:val="clear" w:color="auto" w:fill="CCEEFF"/>
          </w:tcPr>
          <w:p>
            <w:pPr>
              <w:ind w:left="200"/>
              <w:spacing w:after="0" w:line="195" w:lineRule="exact"/>
              <w:rPr>
                <w:sz w:val="20"/>
                <w:szCs w:val="20"/>
                <w:color w:val="auto"/>
              </w:rPr>
            </w:pPr>
            <w:r>
              <w:rPr>
                <w:rFonts w:ascii="Times New Roman" w:cs="Times New Roman" w:eastAsia="Times New Roman" w:hAnsi="Times New Roman"/>
                <w:sz w:val="15"/>
                <w:szCs w:val="15"/>
                <w:color w:val="auto"/>
              </w:rPr>
              <w:t xml:space="preserve">Unrealized (gains) losses, net included in AOCL, net of tax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center"/>
              <w:ind w:left="1184"/>
              <w:spacing w:after="0"/>
              <w:rPr>
                <w:sz w:val="20"/>
                <w:szCs w:val="20"/>
                <w:color w:val="auto"/>
              </w:rPr>
            </w:pPr>
            <w:r>
              <w:rPr>
                <w:rFonts w:ascii="Times New Roman" w:cs="Times New Roman" w:eastAsia="Times New Roman" w:hAnsi="Times New Roman"/>
                <w:sz w:val="15"/>
                <w:szCs w:val="15"/>
                <w:color w:val="auto"/>
              </w:rPr>
              <w:t>1.4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40" w:right="20" w:hanging="150"/>
        <w:spacing w:after="0" w:line="218" w:lineRule="auto"/>
        <w:tabs>
          <w:tab w:leader="none" w:pos="456"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Assuming commodity prices and foreign currency exchange rates remain constant, we expect to reclassify $11.3 million of derivative gain as of September 30, 2025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235" w:lineRule="exact"/>
        <w:rPr>
          <w:sz w:val="20"/>
          <w:szCs w:val="20"/>
          <w:color w:val="auto"/>
        </w:rPr>
      </w:pPr>
    </w:p>
    <w:p>
      <w:pPr>
        <w:jc w:val="both"/>
        <w:ind w:right="20" w:firstLine="214"/>
        <w:spacing w:after="0" w:line="262" w:lineRule="auto"/>
        <w:rPr>
          <w:sz w:val="20"/>
          <w:szCs w:val="20"/>
          <w:color w:val="auto"/>
        </w:rPr>
      </w:pPr>
      <w:r>
        <w:rPr>
          <w:rFonts w:ascii="Times New Roman" w:cs="Times New Roman" w:eastAsia="Times New Roman" w:hAnsi="Times New Roman"/>
          <w:sz w:val="15"/>
          <w:szCs w:val="15"/>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47"/>
        </w:trPr>
        <w:tc>
          <w:tcPr>
            <w:tcW w:w="5400" w:type="dxa"/>
            <w:vAlign w:val="bottom"/>
          </w:tcPr>
          <w:p>
            <w:pPr>
              <w:spacing w:after="0"/>
              <w:rPr>
                <w:sz w:val="12"/>
                <w:szCs w:val="12"/>
                <w:color w:val="auto"/>
              </w:rPr>
            </w:pPr>
          </w:p>
        </w:tc>
        <w:tc>
          <w:tcPr>
            <w:tcW w:w="258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2"/>
                <w:szCs w:val="12"/>
                <w:color w:val="auto"/>
              </w:rPr>
            </w:pPr>
          </w:p>
        </w:tc>
        <w:tc>
          <w:tcPr>
            <w:tcW w:w="250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8"/>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182"/>
        </w:trPr>
        <w:tc>
          <w:tcPr>
            <w:tcW w:w="5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20.1</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Pension Benefit Plans: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components of net periodic benefit cost for pension benefits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0" w:type="dxa"/>
            <w:vAlign w:val="bottom"/>
            <w:gridSpan w:val="6"/>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80" w:type="dxa"/>
            <w:vAlign w:val="bottom"/>
          </w:tcPr>
          <w:p>
            <w:pPr>
              <w:spacing w:after="0"/>
              <w:rPr>
                <w:sz w:val="13"/>
                <w:szCs w:val="13"/>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8"/>
        </w:trPr>
        <w:tc>
          <w:tcPr>
            <w:tcW w:w="54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54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 cost</w:t>
            </w:r>
          </w:p>
        </w:tc>
        <w:tc>
          <w:tcPr>
            <w:tcW w:w="840" w:type="dxa"/>
            <w:vAlign w:val="bottom"/>
          </w:tcPr>
          <w:p>
            <w:pPr>
              <w:jc w:val="right"/>
              <w:ind w:right="686"/>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0.2</w:t>
            </w:r>
          </w:p>
        </w:tc>
        <w:tc>
          <w:tcPr>
            <w:tcW w:w="44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38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ind w:left="544"/>
              <w:spacing w:after="0"/>
              <w:rPr>
                <w:sz w:val="20"/>
                <w:szCs w:val="20"/>
                <w:color w:val="auto"/>
              </w:rPr>
            </w:pPr>
            <w:r>
              <w:rPr>
                <w:rFonts w:ascii="Times New Roman" w:cs="Times New Roman" w:eastAsia="Times New Roman" w:hAnsi="Times New Roman"/>
                <w:sz w:val="15"/>
                <w:szCs w:val="15"/>
                <w:color w:val="auto"/>
                <w:w w:val="95"/>
              </w:rPr>
              <w:t>0.8</w:t>
            </w:r>
          </w:p>
        </w:tc>
        <w:tc>
          <w:tcPr>
            <w:tcW w:w="80" w:type="dxa"/>
            <w:vAlign w:val="bottom"/>
          </w:tcPr>
          <w:p>
            <w:pPr>
              <w:spacing w:after="0"/>
              <w:rPr>
                <w:sz w:val="16"/>
                <w:szCs w:val="16"/>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rPr>
              <w:t>1.2</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cost</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w w:val="95"/>
              </w:rPr>
              <w:t>2.2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44"/>
              <w:spacing w:after="0"/>
              <w:rPr>
                <w:sz w:val="20"/>
                <w:szCs w:val="20"/>
                <w:color w:val="auto"/>
              </w:rPr>
            </w:pPr>
            <w:r>
              <w:rPr>
                <w:rFonts w:ascii="Times New Roman" w:cs="Times New Roman" w:eastAsia="Times New Roman" w:hAnsi="Times New Roman"/>
                <w:sz w:val="15"/>
                <w:szCs w:val="15"/>
                <w:color w:val="auto"/>
                <w:w w:val="95"/>
              </w:rPr>
              <w:t>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6.5</w:t>
            </w:r>
          </w:p>
        </w:tc>
      </w:tr>
      <w:tr>
        <w:trPr>
          <w:trHeight w:val="201"/>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840" w:type="dxa"/>
            <w:vAlign w:val="bottom"/>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(1.8)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left="54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(5.7)</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prior service cost</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4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Recognized actuarial loss</w:t>
            </w:r>
          </w:p>
        </w:tc>
        <w:tc>
          <w:tcPr>
            <w:tcW w:w="840" w:type="dxa"/>
            <w:vAlign w:val="bottom"/>
          </w:tcPr>
          <w:p>
            <w:pPr>
              <w:spacing w:after="0"/>
              <w:rPr>
                <w:sz w:val="17"/>
                <w:szCs w:val="17"/>
                <w:color w:val="auto"/>
              </w:rPr>
            </w:pPr>
          </w:p>
        </w:tc>
        <w:tc>
          <w:tcPr>
            <w:tcW w:w="36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w w:val="95"/>
              </w:rPr>
              <w:t>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left="544"/>
              <w:spacing w:after="0"/>
              <w:rPr>
                <w:sz w:val="20"/>
                <w:szCs w:val="20"/>
                <w:color w:val="auto"/>
              </w:rPr>
            </w:pPr>
            <w:r>
              <w:rPr>
                <w:rFonts w:ascii="Times New Roman" w:cs="Times New Roman" w:eastAsia="Times New Roman" w:hAnsi="Times New Roman"/>
                <w:sz w:val="15"/>
                <w:szCs w:val="15"/>
                <w:color w:val="auto"/>
                <w:w w:val="95"/>
              </w:rPr>
              <w:t>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rPr>
              <w:t>0.7</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Settlements and curtailments</w:t>
            </w:r>
          </w:p>
        </w:tc>
        <w:tc>
          <w:tcPr>
            <w:tcW w:w="8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w w:val="95"/>
              </w:rPr>
              <w:t>0.1</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ind w:left="544"/>
              <w:spacing w:after="0"/>
              <w:rPr>
                <w:sz w:val="20"/>
                <w:szCs w:val="20"/>
                <w:color w:val="auto"/>
              </w:rPr>
            </w:pPr>
            <w:r>
              <w:rPr>
                <w:rFonts w:ascii="Times New Roman" w:cs="Times New Roman" w:eastAsia="Times New Roman" w:hAnsi="Times New Roman"/>
                <w:sz w:val="15"/>
                <w:szCs w:val="15"/>
                <w:color w:val="auto"/>
                <w:w w:val="95"/>
              </w:rPr>
              <w:t>0.3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464"/>
              <w:spacing w:after="0"/>
              <w:rPr>
                <w:sz w:val="20"/>
                <w:szCs w:val="20"/>
                <w:color w:val="auto"/>
              </w:rPr>
            </w:pPr>
            <w:r>
              <w:rPr>
                <w:rFonts w:ascii="Times New Roman" w:cs="Times New Roman" w:eastAsia="Times New Roman" w:hAnsi="Times New Roman"/>
                <w:sz w:val="15"/>
                <w:szCs w:val="15"/>
                <w:color w:val="auto"/>
              </w:rPr>
              <w:t>0.4</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periodic benefit cost</w:t>
            </w:r>
          </w:p>
        </w:tc>
        <w:tc>
          <w:tcPr>
            <w:tcW w:w="84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center"/>
              <w:ind w:left="564"/>
              <w:spacing w:after="0"/>
              <w:rPr>
                <w:sz w:val="20"/>
                <w:szCs w:val="20"/>
                <w:color w:val="auto"/>
              </w:rPr>
            </w:pPr>
            <w:r>
              <w:rPr>
                <w:rFonts w:ascii="Times New Roman" w:cs="Times New Roman" w:eastAsia="Times New Roman" w:hAnsi="Times New Roman"/>
                <w:sz w:val="15"/>
                <w:szCs w:val="15"/>
                <w:b w:val="1"/>
                <w:bCs w:val="1"/>
                <w:color w:val="auto"/>
              </w:rPr>
              <w:t>3.2</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w:t>
            </w: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Income Taxes:</w:t>
      </w:r>
    </w:p>
    <w:p>
      <w:pPr>
        <w:spacing w:after="0" w:line="235"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As of September 30, 2025, we had approximately $4.9 million in total gross unrecognized tax benefits. If recognized, $4.9 million would be recorded through the Consolidated Statements of Operations.</w:t>
      </w:r>
    </w:p>
    <w:p>
      <w:pPr>
        <w:spacing w:after="0" w:line="172" w:lineRule="exact"/>
        <w:rPr>
          <w:sz w:val="20"/>
          <w:szCs w:val="20"/>
          <w:color w:val="auto"/>
        </w:rPr>
      </w:pPr>
    </w:p>
    <w:p>
      <w:pPr>
        <w:ind w:right="200" w:firstLine="214"/>
        <w:spacing w:after="0" w:line="268" w:lineRule="auto"/>
        <w:rPr>
          <w:sz w:val="20"/>
          <w:szCs w:val="20"/>
          <w:color w:val="auto"/>
        </w:rPr>
      </w:pPr>
      <w:r>
        <w:rPr>
          <w:rFonts w:ascii="Times New Roman" w:cs="Times New Roman" w:eastAsia="Times New Roman" w:hAnsi="Times New Roman"/>
          <w:sz w:val="15"/>
          <w:szCs w:val="15"/>
          <w:color w:val="auto"/>
        </w:rPr>
        <w:t>Our effective tax rate was 18.7% for the nine months ended September 30, 2025 compared to 19.3% for the nine months ended September 30, 2024. The decrease in rate is primarily due to higher income in low tax jurisdictions.</w:t>
      </w:r>
    </w:p>
    <w:p>
      <w:pPr>
        <w:spacing w:after="0" w:line="173"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We are currently under a limited scope audit by the Internal Revenue Service for our 2021 and 2022 tax years. There are also ongoing U.S. state and local audits and other foreign audits covering fiscal years 2018 through 2023. We are generally no longer subject to U.S. federal, state and local, or non-U.S. income tax examinations by taxing authorities for years prior to 2018.</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18" w:name="page19"/>
    <w:bookmarkEnd w:id="18"/>
    <w:p>
      <w:pPr>
        <w:ind w:left="240" w:hanging="235"/>
        <w:spacing w:after="0"/>
        <w:tabs>
          <w:tab w:leader="none" w:pos="24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Lines of Credit and Financing Arrangements:</w:t>
      </w:r>
    </w:p>
    <w:p>
      <w:pPr>
        <w:spacing w:after="0" w:line="235" w:lineRule="exact"/>
        <w:rPr>
          <w:rFonts w:ascii="Times New Roman" w:cs="Times New Roman" w:eastAsia="Times New Roman" w:hAnsi="Times New Roman"/>
          <w:sz w:val="15"/>
          <w:szCs w:val="15"/>
          <w:b w:val="1"/>
          <w:bCs w:val="1"/>
          <w:color w:val="auto"/>
        </w:rPr>
      </w:pPr>
    </w:p>
    <w:p>
      <w:pPr>
        <w:ind w:left="2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summarizes our outstanding debt obligations and their classification in the accompanying Consolidated Balance Sheets (in millions) as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Commercial paper</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157.0</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maturities of long-term debt:</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1"/>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14.9</w:t>
            </w:r>
          </w:p>
        </w:tc>
      </w:tr>
      <w:tr>
        <w:trPr>
          <w:trHeight w:val="20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unsecured notes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300.0</w:t>
            </w:r>
          </w:p>
        </w:tc>
      </w:tr>
      <w:tr>
        <w:trPr>
          <w:trHeight w:val="201"/>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Debt issuance costs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maturities of long-term debt</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16.9</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314.5</w:t>
            </w:r>
          </w:p>
        </w:tc>
      </w:tr>
      <w:tr>
        <w:trPr>
          <w:trHeight w:val="202"/>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Long-Term Debt:</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44.7</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39.5</w:t>
            </w:r>
          </w:p>
        </w:tc>
      </w:tr>
      <w:tr>
        <w:trPr>
          <w:trHeight w:val="201"/>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Senior unsecured notes</w:t>
            </w:r>
          </w:p>
        </w:tc>
        <w:tc>
          <w:tcPr>
            <w:tcW w:w="18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800.0</w:t>
            </w:r>
          </w:p>
        </w:tc>
      </w:tr>
      <w:tr>
        <w:trPr>
          <w:trHeight w:val="20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issuance costs</w:t>
            </w: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93"/>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long-term debt</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838.2</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833.1</w:t>
            </w:r>
          </w:p>
        </w:tc>
      </w:tr>
      <w:tr>
        <w:trPr>
          <w:trHeight w:val="219"/>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debt</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1,147.6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Commercial Paper Program</w:t>
      </w:r>
    </w:p>
    <w:p>
      <w:pPr>
        <w:spacing w:after="0" w:line="235" w:lineRule="exact"/>
        <w:rPr>
          <w:sz w:val="20"/>
          <w:szCs w:val="20"/>
          <w:color w:val="auto"/>
        </w:rPr>
      </w:pPr>
    </w:p>
    <w:p>
      <w:pPr>
        <w:jc w:val="both"/>
        <w:ind w:right="80" w:firstLine="214"/>
        <w:spacing w:after="0" w:line="254" w:lineRule="auto"/>
        <w:rPr>
          <w:sz w:val="20"/>
          <w:szCs w:val="20"/>
          <w:color w:val="auto"/>
        </w:rPr>
      </w:pPr>
      <w:r>
        <w:rPr>
          <w:rFonts w:ascii="Times New Roman" w:cs="Times New Roman" w:eastAsia="Times New Roman" w:hAnsi="Times New Roman"/>
          <w:sz w:val="15"/>
          <w:szCs w:val="15"/>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$157.0 million CP Notes outstanding under the Program as of September 30, 2025.</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Our weighted average borrowing rate on the Program was as follows as of:</w:t>
      </w:r>
    </w:p>
    <w:p>
      <w:pPr>
        <w:spacing w:after="0" w:line="3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5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0" w:type="dxa"/>
            <w:vAlign w:val="bottom"/>
          </w:tcPr>
          <w:p>
            <w:pPr>
              <w:spacing w:after="0"/>
              <w:rPr>
                <w:sz w:val="16"/>
                <w:szCs w:val="16"/>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5"/>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 average borrowing rate</w:t>
            </w:r>
          </w:p>
        </w:tc>
        <w:tc>
          <w:tcPr>
            <w:tcW w:w="35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4.30</w:t>
            </w:r>
          </w:p>
        </w:tc>
        <w:tc>
          <w:tcPr>
            <w:tcW w:w="6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Agreement</w:t>
      </w:r>
    </w:p>
    <w:p>
      <w:pPr>
        <w:spacing w:after="0" w:line="235" w:lineRule="exact"/>
        <w:rPr>
          <w:sz w:val="20"/>
          <w:szCs w:val="20"/>
          <w:color w:val="auto"/>
        </w:rPr>
      </w:pPr>
    </w:p>
    <w:p>
      <w:pPr>
        <w:jc w:val="both"/>
        <w:ind w:right="80" w:firstLine="214"/>
        <w:spacing w:after="0" w:line="253" w:lineRule="auto"/>
        <w:rPr>
          <w:sz w:val="20"/>
          <w:szCs w:val="20"/>
          <w:color w:val="auto"/>
        </w:rPr>
      </w:pPr>
      <w:r>
        <w:rPr>
          <w:rFonts w:ascii="Times New Roman" w:cs="Times New Roman" w:eastAsia="Times New Roman" w:hAnsi="Times New Roman"/>
          <w:sz w:val="15"/>
          <w:szCs w:val="15"/>
          <w:color w:val="auto"/>
        </w:rPr>
        <w:t>On May 9, 2025, we entered into an Amendment and Restatement Agreement ("Amended Credit Agreement") to our existing unsecured revolving credit facility with JPMorgan Chase Bank, N.A., as administrative agent, and the other lenders party thereto. The Amended Credit Agreement decreased our total revolving commitments from $1.1 billion to $1.0 billion with an option to increase the revolving commitments by up to $350 million at our request, subject to the terms and conditions of the Amended Credit Agreement. The Amended Credit Agreement also extended the maturity date of the revolving commitments from July 2026 to May 2030. We had no outstanding borrowings and $1.7 million committed to standby letters of credit as of September 30, 2025. Subject to covenant limitations, $841.3 million was available for future borrowings after taking into consideration outstanding borrowings under our Program. Availability under the Amended Credit Agreement is reduced by borrowings under the Program. The Amended Credit Agreement includes a subfacility for swingline loans up to $65.0 million. Maturity of the Amended Credit Agreement may be extended by the lenders pursuant to two one-year extension options that we may request under the Amended Credit Agreement.</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Our weighted average borrowing rate on the Amended Credit Agreement was as follows as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42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0" w:type="dxa"/>
            <w:vAlign w:val="bottom"/>
          </w:tcPr>
          <w:p>
            <w:pPr>
              <w:spacing w:after="0"/>
              <w:rPr>
                <w:sz w:val="16"/>
                <w:szCs w:val="16"/>
                <w:color w:val="auto"/>
              </w:rPr>
            </w:pPr>
          </w:p>
        </w:tc>
        <w:tc>
          <w:tcPr>
            <w:tcW w:w="17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r>
      <w:tr>
        <w:trPr>
          <w:trHeight w:val="205"/>
        </w:trPr>
        <w:tc>
          <w:tcPr>
            <w:tcW w:w="220" w:type="dxa"/>
            <w:vAlign w:val="bottom"/>
          </w:tcPr>
          <w:p>
            <w:pPr>
              <w:spacing w:after="0"/>
              <w:rPr>
                <w:sz w:val="17"/>
                <w:szCs w:val="17"/>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Weighted average borrowing rate</w:t>
            </w:r>
          </w:p>
        </w:tc>
        <w:tc>
          <w:tcPr>
            <w:tcW w:w="44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r>
      <w:tr>
        <w:trPr>
          <w:trHeight w:val="758"/>
        </w:trPr>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20" w:type="dxa"/>
            <w:vAlign w:val="bottom"/>
          </w:tcPr>
          <w:p>
            <w:pPr>
              <w:jc w:val="right"/>
              <w:ind w:right="2845"/>
              <w:spacing w:after="0"/>
              <w:rPr>
                <w:sz w:val="20"/>
                <w:szCs w:val="20"/>
                <w:color w:val="auto"/>
              </w:rPr>
            </w:pPr>
            <w:r>
              <w:rPr>
                <w:rFonts w:ascii="Times New Roman" w:cs="Times New Roman" w:eastAsia="Times New Roman" w:hAnsi="Times New Roman"/>
                <w:sz w:val="15"/>
                <w:szCs w:val="15"/>
                <w:color w:val="auto"/>
              </w:rPr>
              <w:t>17</w:t>
            </w: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6"/>
        </w:trPr>
        <w:tc>
          <w:tcPr>
            <w:tcW w:w="220" w:type="dxa"/>
            <w:vAlign w:val="bottom"/>
            <w:tcBorders>
              <w:bottom w:val="single" w:sz="8" w:color="EEEEEE"/>
            </w:tcBorders>
          </w:tcPr>
          <w:p>
            <w:pPr>
              <w:spacing w:after="0"/>
              <w:rPr>
                <w:sz w:val="8"/>
                <w:szCs w:val="8"/>
                <w:color w:val="auto"/>
              </w:rPr>
            </w:pPr>
          </w:p>
        </w:tc>
        <w:tc>
          <w:tcPr>
            <w:tcW w:w="3640" w:type="dxa"/>
            <w:vAlign w:val="bottom"/>
            <w:tcBorders>
              <w:bottom w:val="single" w:sz="8" w:color="EEEEEE"/>
            </w:tcBorders>
          </w:tcPr>
          <w:p>
            <w:pPr>
              <w:spacing w:after="0"/>
              <w:rPr>
                <w:sz w:val="8"/>
                <w:szCs w:val="8"/>
                <w:color w:val="auto"/>
              </w:rPr>
            </w:pPr>
          </w:p>
        </w:tc>
        <w:tc>
          <w:tcPr>
            <w:tcW w:w="442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1700" w:type="dxa"/>
            <w:vAlign w:val="bottom"/>
            <w:tcBorders>
              <w:bottom w:val="single" w:sz="8" w:color="EEEEEE"/>
            </w:tcBorders>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-27305</wp:posOffset>
            </wp:positionV>
            <wp:extent cx="673417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660"/>
          </w:cols>
          <w:pgMar w:left="660" w:top="1231" w:right="580" w:bottom="1440" w:gutter="0" w:footer="0" w:header="0"/>
        </w:sectPr>
      </w:pPr>
    </w:p>
    <w:bookmarkStart w:id="19" w:name="page20"/>
    <w:bookmarkEnd w:id="19"/>
    <w:p>
      <w:pPr>
        <w:spacing w:after="0" w:line="21" w:lineRule="exact"/>
        <w:rPr>
          <w:sz w:val="20"/>
          <w:szCs w:val="20"/>
          <w:color w:val="auto"/>
        </w:rPr>
      </w:pPr>
    </w:p>
    <w:p>
      <w:pPr>
        <w:jc w:val="both"/>
        <w:ind w:right="20" w:firstLine="214"/>
        <w:spacing w:after="0" w:line="260" w:lineRule="auto"/>
        <w:rPr>
          <w:sz w:val="20"/>
          <w:szCs w:val="20"/>
          <w:color w:val="auto"/>
        </w:rPr>
      </w:pPr>
      <w:r>
        <w:rPr>
          <w:rFonts w:ascii="Times New Roman" w:cs="Times New Roman" w:eastAsia="Times New Roman" w:hAnsi="Times New Roman"/>
          <w:sz w:val="15"/>
          <w:szCs w:val="15"/>
          <w:color w:val="auto"/>
        </w:rPr>
        <w:t>The Amended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Amended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190"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Our Amended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186" w:lineRule="exact"/>
        <w:rPr>
          <w:sz w:val="20"/>
          <w:szCs w:val="20"/>
          <w:color w:val="auto"/>
        </w:rPr>
      </w:pPr>
    </w:p>
    <w:p>
      <w:pPr>
        <w:ind w:left="560" w:hanging="270"/>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We fail to pay any principal or interest when due on any other indebtedness or receivables securitization exceeding $75.0 million; or</w:t>
      </w:r>
    </w:p>
    <w:p>
      <w:pPr>
        <w:spacing w:after="0" w:line="21" w:lineRule="exact"/>
        <w:rPr>
          <w:rFonts w:ascii="Times New Roman" w:cs="Times New Roman" w:eastAsia="Times New Roman" w:hAnsi="Times New Roman"/>
          <w:sz w:val="14"/>
          <w:szCs w:val="14"/>
          <w:color w:val="auto"/>
        </w:rPr>
      </w:pPr>
    </w:p>
    <w:p>
      <w:pPr>
        <w:ind w:left="580" w:right="20" w:hanging="290"/>
        <w:spacing w:after="0" w:line="263" w:lineRule="auto"/>
        <w:tabs>
          <w:tab w:leader="none" w:pos="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88"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Each of our major debt agreements contains provisions by which a default under one agreement causes a default in the others (a cross default). If a cross default under our Amended Credit Agreement or our senior unsecured notes were to occur, it could have a wider impact on our liquidity than might otherwise occur from a default of a single debt instrument or lease commitment.</w:t>
      </w:r>
    </w:p>
    <w:p>
      <w:pPr>
        <w:spacing w:after="0" w:line="186"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If any event of default occurs and is continuing, the administrative agent, or lenders with a majority of the aggregate commitments may require the administrative agent to, terminate our right to borrow under our Amended Credit Agreement and accelerate amounts due under our Amended Credit Agreement (except for a bankruptcy event of default, in which case such amounts will automatically become due and payable and the lenders’ commitments will automatically terminate).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We are currently in compliance with all covenant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Unsecured Notes</w:t>
      </w:r>
    </w:p>
    <w:p>
      <w:pPr>
        <w:spacing w:after="0" w:line="235"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190" w:lineRule="exact"/>
        <w:rPr>
          <w:sz w:val="20"/>
          <w:szCs w:val="20"/>
          <w:color w:val="auto"/>
        </w:rPr>
      </w:pPr>
    </w:p>
    <w:p>
      <w:pPr>
        <w:jc w:val="both"/>
        <w:ind w:firstLine="214"/>
        <w:spacing w:after="0" w:line="254" w:lineRule="auto"/>
        <w:rPr>
          <w:sz w:val="20"/>
          <w:szCs w:val="20"/>
          <w:color w:val="auto"/>
        </w:rPr>
      </w:pPr>
      <w:r>
        <w:rPr>
          <w:rFonts w:ascii="Times New Roman" w:cs="Times New Roman" w:eastAsia="Times New Roman" w:hAnsi="Times New Roman"/>
          <w:sz w:val="15"/>
          <w:szCs w:val="15"/>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Amended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 w:name="page21"/>
    <w:bookmarkEnd w:id="20"/>
    <w:p>
      <w:pPr>
        <w:ind w:left="240" w:hanging="235"/>
        <w:spacing w:after="0"/>
        <w:tabs>
          <w:tab w:leader="none" w:pos="240"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Comprehensive Income (Loss):</w:t>
      </w:r>
    </w:p>
    <w:p>
      <w:pPr>
        <w:spacing w:after="0" w:line="235" w:lineRule="exact"/>
        <w:rPr>
          <w:rFonts w:ascii="Times New Roman" w:cs="Times New Roman" w:eastAsia="Times New Roman" w:hAnsi="Times New Roman"/>
          <w:sz w:val="15"/>
          <w:szCs w:val="15"/>
          <w:b w:val="1"/>
          <w:bCs w:val="1"/>
          <w:color w:val="auto"/>
        </w:rPr>
      </w:pPr>
    </w:p>
    <w:p>
      <w:pPr>
        <w:ind w:left="2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provides information on items reclassified from AOCL to Net income in the accompanying Consolidated Statements of Operations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Affected Line Item(s) in the Consolidated</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Gains (Losses) on Cash Flow Hedges: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Derivatives contracts</w:t>
            </w: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center"/>
              <w:ind w:left="304"/>
              <w:spacing w:after="0"/>
              <w:rPr>
                <w:sz w:val="20"/>
                <w:szCs w:val="20"/>
                <w:color w:val="auto"/>
              </w:rPr>
            </w:pPr>
            <w:r>
              <w:rPr>
                <w:rFonts w:ascii="Times New Roman" w:cs="Times New Roman" w:eastAsia="Times New Roman" w:hAnsi="Times New Roman"/>
                <w:sz w:val="15"/>
                <w:szCs w:val="15"/>
                <w:color w:val="auto"/>
                <w:w w:val="95"/>
              </w:rPr>
              <w:t>9.3</w:t>
            </w:r>
          </w:p>
        </w:tc>
        <w:tc>
          <w:tcPr>
            <w:tcW w:w="3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center"/>
              <w:ind w:left="283"/>
              <w:spacing w:after="0"/>
              <w:rPr>
                <w:sz w:val="20"/>
                <w:szCs w:val="20"/>
                <w:color w:val="auto"/>
              </w:rPr>
            </w:pPr>
            <w:r>
              <w:rPr>
                <w:rFonts w:ascii="Times New Roman" w:cs="Times New Roman" w:eastAsia="Times New Roman" w:hAnsi="Times New Roman"/>
                <w:sz w:val="15"/>
                <w:szCs w:val="15"/>
                <w:color w:val="auto"/>
              </w:rPr>
              <w:t>(0.8)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3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center"/>
              <w:ind w:left="303"/>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3"/>
                <w:szCs w:val="13"/>
                <w:color w:val="auto"/>
              </w:rPr>
            </w:pPr>
          </w:p>
        </w:tc>
        <w:tc>
          <w:tcPr>
            <w:tcW w:w="26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color w:val="auto"/>
              </w:rPr>
              <w:t>Cost of goods sold; Losses and other</w:t>
            </w: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expenses, net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left="304"/>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0" w:type="dxa"/>
            <w:vAlign w:val="bottom"/>
          </w:tcPr>
          <w:p>
            <w:pPr>
              <w:spacing w:after="0"/>
              <w:rPr>
                <w:sz w:val="1"/>
                <w:szCs w:val="1"/>
                <w:color w:val="auto"/>
              </w:rPr>
            </w:pPr>
          </w:p>
        </w:tc>
      </w:tr>
      <w:tr>
        <w:trPr>
          <w:trHeight w:val="193"/>
        </w:trPr>
        <w:tc>
          <w:tcPr>
            <w:tcW w:w="3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of tax</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ind w:left="304"/>
              <w:spacing w:after="0"/>
              <w:rPr>
                <w:sz w:val="20"/>
                <w:szCs w:val="20"/>
                <w:color w:val="auto"/>
              </w:rPr>
            </w:pPr>
            <w:r>
              <w:rPr>
                <w:rFonts w:ascii="Times New Roman" w:cs="Times New Roman" w:eastAsia="Times New Roman" w:hAnsi="Times New Roman"/>
                <w:sz w:val="15"/>
                <w:szCs w:val="15"/>
                <w:color w:val="auto"/>
                <w:w w:val="95"/>
              </w:rPr>
              <w:t>7.2</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ind w:left="283"/>
              <w:spacing w:after="0"/>
              <w:rPr>
                <w:sz w:val="20"/>
                <w:szCs w:val="20"/>
                <w:color w:val="auto"/>
              </w:rPr>
            </w:pPr>
            <w:r>
              <w:rPr>
                <w:rFonts w:ascii="Times New Roman" w:cs="Times New Roman" w:eastAsia="Times New Roman" w:hAnsi="Times New Roman"/>
                <w:sz w:val="15"/>
                <w:szCs w:val="15"/>
                <w:color w:val="auto"/>
              </w:rPr>
              <w:t>(0.6)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ind w:left="30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Defined Benefit Plan items: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Pension and post-retirement benefit costs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center"/>
              <w:ind w:left="304"/>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center"/>
              <w:ind w:left="303"/>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expense, net</w:t>
            </w:r>
          </w:p>
        </w:tc>
        <w:tc>
          <w:tcPr>
            <w:tcW w:w="0" w:type="dxa"/>
            <w:vAlign w:val="bottom"/>
          </w:tcPr>
          <w:p>
            <w:pPr>
              <w:spacing w:after="0"/>
              <w:rPr>
                <w:sz w:val="1"/>
                <w:szCs w:val="1"/>
                <w:color w:val="auto"/>
              </w:rPr>
            </w:pPr>
          </w:p>
        </w:tc>
      </w:tr>
      <w:tr>
        <w:trPr>
          <w:trHeight w:val="201"/>
        </w:trPr>
        <w:tc>
          <w:tcPr>
            <w:tcW w:w="3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settlements</w:t>
            </w:r>
          </w:p>
        </w:tc>
        <w:tc>
          <w:tcPr>
            <w:tcW w:w="200" w:type="dxa"/>
            <w:vAlign w:val="bottom"/>
          </w:tcPr>
          <w:p>
            <w:pPr>
              <w:spacing w:after="0"/>
              <w:rPr>
                <w:sz w:val="17"/>
                <w:szCs w:val="17"/>
                <w:color w:val="auto"/>
              </w:rPr>
            </w:pPr>
          </w:p>
        </w:tc>
        <w:tc>
          <w:tcPr>
            <w:tcW w:w="720" w:type="dxa"/>
            <w:vAlign w:val="bottom"/>
          </w:tcPr>
          <w:p>
            <w:pPr>
              <w:jc w:val="center"/>
              <w:ind w:left="304"/>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left="28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center"/>
              <w:ind w:left="30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settlements</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left="304"/>
              <w:spacing w:after="0"/>
              <w:rPr>
                <w:sz w:val="20"/>
                <w:szCs w:val="20"/>
                <w:color w:val="auto"/>
              </w:rPr>
            </w:pPr>
            <w:r>
              <w:rPr>
                <w:rFonts w:ascii="Times New Roman" w:cs="Times New Roman" w:eastAsia="Times New Roman" w:hAnsi="Times New Roman"/>
                <w:sz w:val="15"/>
                <w:szCs w:val="15"/>
                <w:color w:val="auto"/>
                <w:w w:val="95"/>
              </w:rPr>
              <w:t>0.1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0" w:type="dxa"/>
            <w:vAlign w:val="bottom"/>
          </w:tcPr>
          <w:p>
            <w:pPr>
              <w:spacing w:after="0"/>
              <w:rPr>
                <w:sz w:val="1"/>
                <w:szCs w:val="1"/>
                <w:color w:val="auto"/>
              </w:rPr>
            </w:pPr>
          </w:p>
        </w:tc>
      </w:tr>
      <w:tr>
        <w:trPr>
          <w:trHeight w:val="193"/>
        </w:trPr>
        <w:tc>
          <w:tcPr>
            <w:tcW w:w="3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of tax</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ind w:left="304"/>
              <w:spacing w:after="0"/>
              <w:rPr>
                <w:sz w:val="20"/>
                <w:szCs w:val="20"/>
                <w:color w:val="auto"/>
              </w:rPr>
            </w:pPr>
            <w:r>
              <w:rPr>
                <w:rFonts w:ascii="Times New Roman" w:cs="Times New Roman" w:eastAsia="Times New Roman" w:hAnsi="Times New Roman"/>
                <w:sz w:val="15"/>
                <w:szCs w:val="15"/>
                <w:color w:val="auto"/>
              </w:rPr>
              <w:t>(0.4)</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ind w:left="283"/>
              <w:spacing w:after="0"/>
              <w:rPr>
                <w:sz w:val="20"/>
                <w:szCs w:val="20"/>
                <w:color w:val="auto"/>
              </w:rPr>
            </w:pPr>
            <w:r>
              <w:rPr>
                <w:rFonts w:ascii="Times New Roman" w:cs="Times New Roman" w:eastAsia="Times New Roman" w:hAnsi="Times New Roman"/>
                <w:sz w:val="15"/>
                <w:szCs w:val="15"/>
                <w:color w:val="auto"/>
              </w:rPr>
              <w:t>(0.3)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center"/>
              <w:ind w:left="303"/>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reclassifications from AOCL</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center"/>
              <w:ind w:left="283"/>
              <w:spacing w:after="0"/>
              <w:rPr>
                <w:sz w:val="20"/>
                <w:szCs w:val="20"/>
                <w:color w:val="auto"/>
              </w:rPr>
            </w:pPr>
            <w:r>
              <w:rPr>
                <w:rFonts w:ascii="Times New Roman" w:cs="Times New Roman" w:eastAsia="Times New Roman" w:hAnsi="Times New Roman"/>
                <w:sz w:val="15"/>
                <w:szCs w:val="15"/>
                <w:b w:val="1"/>
                <w:bCs w:val="1"/>
                <w:color w:val="auto"/>
              </w:rPr>
              <w:t>(0.9)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5"/>
                <w:szCs w:val="15"/>
                <w:b w:val="1"/>
                <w:bCs w:val="1"/>
                <w:color w:val="auto"/>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provides information on changes in AOCL, by component (net of tax), for the nine months ended September 30, 2025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4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ind w:right="104"/>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5"/>
              <w:spacing w:after="0" w:line="143" w:lineRule="exact"/>
              <w:rPr>
                <w:sz w:val="20"/>
                <w:szCs w:val="20"/>
                <w:color w:val="auto"/>
              </w:rPr>
            </w:pPr>
            <w:r>
              <w:rPr>
                <w:rFonts w:ascii="Times New Roman" w:cs="Times New Roman" w:eastAsia="Times New Roman" w:hAnsi="Times New Roman"/>
                <w:sz w:val="14"/>
                <w:szCs w:val="14"/>
                <w:b w:val="1"/>
                <w:bCs w:val="1"/>
                <w:color w:val="auto"/>
              </w:rPr>
              <w:t>Pension Plan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5"/>
              <w:spacing w:after="0" w:line="14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AOCL</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0.4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b w:val="1"/>
                <w:bCs w:val="1"/>
                <w:color w:val="auto"/>
              </w:rPr>
              <w:t>(93.7)</w:t>
            </w:r>
          </w:p>
        </w:tc>
        <w:tc>
          <w:tcPr>
            <w:tcW w:w="0" w:type="dxa"/>
            <w:vAlign w:val="bottom"/>
          </w:tcPr>
          <w:p>
            <w:pPr>
              <w:spacing w:after="0"/>
              <w:rPr>
                <w:sz w:val="1"/>
                <w:szCs w:val="1"/>
                <w:color w:val="auto"/>
              </w:rPr>
            </w:pPr>
          </w:p>
        </w:tc>
      </w:tr>
      <w:tr>
        <w:trPr>
          <w:trHeight w:val="201"/>
        </w:trPr>
        <w:tc>
          <w:tcPr>
            <w:tcW w:w="3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before reclassifications</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504"/>
              <w:spacing w:after="0"/>
              <w:rPr>
                <w:sz w:val="20"/>
                <w:szCs w:val="20"/>
                <w:color w:val="auto"/>
              </w:rPr>
            </w:pPr>
            <w:r>
              <w:rPr>
                <w:rFonts w:ascii="Times New Roman" w:cs="Times New Roman" w:eastAsia="Times New Roman" w:hAnsi="Times New Roman"/>
                <w:sz w:val="15"/>
                <w:szCs w:val="15"/>
                <w:color w:val="auto"/>
                <w:w w:val="98"/>
              </w:rPr>
              <w:t>43.7</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Amounts reclassified from AOCL</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other comprehensive income (loss)</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504"/>
              <w:spacing w:after="0"/>
              <w:rPr>
                <w:sz w:val="20"/>
                <w:szCs w:val="20"/>
                <w:color w:val="auto"/>
              </w:rPr>
            </w:pPr>
            <w:r>
              <w:rPr>
                <w:rFonts w:ascii="Times New Roman" w:cs="Times New Roman" w:eastAsia="Times New Roman" w:hAnsi="Times New Roman"/>
                <w:sz w:val="15"/>
                <w:szCs w:val="15"/>
                <w:color w:val="auto"/>
                <w:w w:val="98"/>
              </w:rPr>
              <w:t>31.7</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bottom w:val="single" w:sz="8" w:color="auto"/>
            </w:tcBorders>
            <w:shd w:val="clear" w:color="auto" w:fill="CCEEFF"/>
          </w:tcPr>
          <w:p>
            <w:pPr>
              <w:jc w:val="center"/>
              <w:ind w:left="504"/>
              <w:spacing w:after="0"/>
              <w:rPr>
                <w:sz w:val="20"/>
                <w:szCs w:val="20"/>
                <w:color w:val="auto"/>
              </w:rPr>
            </w:pPr>
            <w:r>
              <w:rPr>
                <w:rFonts w:ascii="Times New Roman" w:cs="Times New Roman" w:eastAsia="Times New Roman" w:hAnsi="Times New Roman"/>
                <w:sz w:val="15"/>
                <w:szCs w:val="15"/>
                <w:b w:val="1"/>
                <w:bCs w:val="1"/>
                <w:color w:val="auto"/>
              </w:rPr>
              <w:t>(62.0)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Fair Value Measurements: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Hierarchy</w:t>
      </w:r>
    </w:p>
    <w:p>
      <w:pPr>
        <w:spacing w:after="0" w:line="235"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The methodologies used to determine the fair value of our financial assets and liabilities as of September 30, 2025 were the same as those used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Carried at Fair Value on a Recurring Basis</w:t>
      </w:r>
    </w:p>
    <w:p>
      <w:pPr>
        <w:spacing w:after="0" w:line="215"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Fair Value Disclosures</w:t>
      </w:r>
    </w:p>
    <w:p>
      <w:pPr>
        <w:spacing w:after="0" w:line="235"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The carrying amounts of Cash and cash equivalents, Short- term investments, Accounts and notes receivable, net, Accounts payable, and Short-term debt approximate fair value due to the short maturities of these instruments. The carrying amount of our Amended Credit Agreement in Long-term debt also approximates fair value due to its variable-rate characteristics.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21" w:name="page22"/>
    <w:bookmarkEnd w:id="21"/>
    <w:p>
      <w:pPr>
        <w:jc w:val="both"/>
        <w:ind w:right="20" w:firstLine="214"/>
        <w:spacing w:after="0" w:line="270" w:lineRule="auto"/>
        <w:rPr>
          <w:sz w:val="20"/>
          <w:szCs w:val="20"/>
          <w:color w:val="auto"/>
        </w:rPr>
      </w:pPr>
      <w:r>
        <w:rPr>
          <w:rFonts w:ascii="Times New Roman" w:cs="Times New Roman" w:eastAsia="Times New Roman" w:hAnsi="Times New Roman"/>
          <w:sz w:val="15"/>
          <w:szCs w:val="15"/>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190"/>
        </w:trPr>
        <w:tc>
          <w:tcPr>
            <w:tcW w:w="6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unsecured notes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806.9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1,093.4</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Subsequent Events: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 – Duro Dyne and Supco</w:t>
      </w:r>
    </w:p>
    <w:p>
      <w:pPr>
        <w:spacing w:after="0" w:line="235"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On October 15, 2025, the Company completed the previously announced acquisition of Duro Dyne Buyer, Inc. and Sealed Unit Parts Buyer, Inc. (“Duro Dyne and Supco”). Duro Dyne and Supco offer a robust portfolio of HVAC parts and supplies that complement our existing residential and commercial offerings. Excluding cash received at the closing, the net purchase price for the acquisition was $546.3 million. We used cash on hand and available borrowing capacity to fund the purchase price. The purchase price is subject to final adjustments for net working capital. The financial results of Duro Dyne and Supco will be included beginning in the fourth quarter of 2025.</w:t>
      </w: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Due to the timing of this transaction, the allocation of the purchase price has not yet been finalized.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Term Credit Agreement</w:t>
      </w:r>
    </w:p>
    <w:p>
      <w:pPr>
        <w:spacing w:after="0" w:line="235" w:lineRule="exact"/>
        <w:rPr>
          <w:sz w:val="20"/>
          <w:szCs w:val="20"/>
          <w:color w:val="auto"/>
        </w:rPr>
      </w:pPr>
    </w:p>
    <w:p>
      <w:pPr>
        <w:jc w:val="both"/>
        <w:ind w:right="20" w:firstLine="214"/>
        <w:spacing w:after="0" w:line="237" w:lineRule="auto"/>
        <w:rPr>
          <w:sz w:val="20"/>
          <w:szCs w:val="20"/>
          <w:color w:val="auto"/>
        </w:rPr>
      </w:pPr>
      <w:r>
        <w:rPr>
          <w:rFonts w:ascii="Times New Roman" w:cs="Times New Roman" w:eastAsia="Times New Roman" w:hAnsi="Times New Roman"/>
          <w:sz w:val="15"/>
          <w:szCs w:val="15"/>
          <w:color w:val="auto"/>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Amended Credit Agreement. The Term Credit Agreement matures on October 16, 2027. Loans under the Term Credit Agreement bear interest at our election at a rate per annum equal to (i) a forward -looking term rate based on the secured overnight financing rate for the applicable interest period ("Term SOFR"), plus an applicable margin ranging between 0.90% and 1.025% per annum depending on our long -term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w:t>
      </w:r>
    </w:p>
    <w:p>
      <w:pPr>
        <w:spacing w:after="0" w:line="197" w:lineRule="exact"/>
        <w:rPr>
          <w:sz w:val="20"/>
          <w:szCs w:val="20"/>
          <w:color w:val="auto"/>
        </w:rPr>
      </w:pPr>
    </w:p>
    <w:p>
      <w:pPr>
        <w:jc w:val="both"/>
        <w:ind w:right="40" w:firstLine="214"/>
        <w:spacing w:after="0" w:line="285" w:lineRule="auto"/>
        <w:rPr>
          <w:sz w:val="20"/>
          <w:szCs w:val="20"/>
          <w:color w:val="auto"/>
        </w:rPr>
      </w:pPr>
      <w:r>
        <w:rPr>
          <w:rFonts w:ascii="Times New Roman" w:cs="Times New Roman" w:eastAsia="Times New Roman" w:hAnsi="Times New Roman"/>
          <w:sz w:val="15"/>
          <w:szCs w:val="15"/>
          <w:color w:val="auto"/>
        </w:rPr>
        <w:t>The Term Credit Agreement is guaranteed by the Guarantor Subsidiaries and contains customary covenants and events of default that are substantially similar to the existing covenants and events of default in our Amended Credit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22" w:name="page23"/>
    <w:bookmarkEnd w:id="22"/>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2. </w:t>
      </w:r>
      <w:r>
        <w:rPr>
          <w:rFonts w:ascii="Times New Roman" w:cs="Times New Roman" w:eastAsia="Times New Roman" w:hAnsi="Times New Roman"/>
          <w:sz w:val="15"/>
          <w:szCs w:val="15"/>
          <w:b w:val="1"/>
          <w:bCs w:val="1"/>
          <w:i w:val="1"/>
          <w:iCs w:val="1"/>
          <w:color w:val="auto"/>
        </w:rPr>
        <w:t>Management's Discussion and Analysis of Financial Condition and Results of Operations</w:t>
      </w:r>
    </w:p>
    <w:p>
      <w:pPr>
        <w:spacing w:after="0" w:line="235" w:lineRule="exact"/>
        <w:rPr>
          <w:sz w:val="20"/>
          <w:szCs w:val="20"/>
          <w:color w:val="auto"/>
        </w:rPr>
      </w:pPr>
    </w:p>
    <w:p>
      <w:pPr>
        <w:jc w:val="both"/>
        <w:ind w:right="20" w:firstLine="214"/>
        <w:spacing w:after="0" w:line="255" w:lineRule="auto"/>
        <w:rPr>
          <w:sz w:val="20"/>
          <w:szCs w:val="20"/>
          <w:color w:val="auto"/>
        </w:rPr>
      </w:pPr>
      <w:r>
        <w:rPr>
          <w:rFonts w:ascii="Times New Roman" w:cs="Times New Roman" w:eastAsia="Times New Roman" w:hAnsi="Times New Roman"/>
          <w:sz w:val="15"/>
          <w:szCs w:val="15"/>
          <w:color w:val="auto"/>
        </w:rPr>
        <w:t>This Quarterly Report on Form 10 -Q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194" w:lineRule="exact"/>
        <w:rPr>
          <w:sz w:val="20"/>
          <w:szCs w:val="20"/>
          <w:color w:val="auto"/>
        </w:rPr>
      </w:pPr>
    </w:p>
    <w:p>
      <w:pPr>
        <w:jc w:val="both"/>
        <w:ind w:right="20" w:firstLine="214"/>
        <w:spacing w:after="0" w:line="257" w:lineRule="auto"/>
        <w:rPr>
          <w:sz w:val="20"/>
          <w:szCs w:val="20"/>
          <w:color w:val="auto"/>
        </w:rPr>
      </w:pPr>
      <w:r>
        <w:rPr>
          <w:rFonts w:ascii="Times New Roman" w:cs="Times New Roman" w:eastAsia="Times New Roman" w:hAnsi="Times New Roman"/>
          <w:sz w:val="15"/>
          <w:szCs w:val="15"/>
          <w:color w:val="auto"/>
        </w:rPr>
        <w:t>In addition to the specific uncertainties discussed elsewhere in this Quarterly Report on Form 10- Q, the risk factors set forth in Part I, “Item 1A. Risk Factors” in our Annual Report on Form 10-K for the year ended December 31, 2024,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23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186" w:lineRule="exact"/>
        <w:rPr>
          <w:sz w:val="20"/>
          <w:szCs w:val="20"/>
          <w:color w:val="auto"/>
        </w:rPr>
      </w:pPr>
    </w:p>
    <w:p>
      <w:pPr>
        <w:jc w:val="both"/>
        <w:ind w:right="20" w:firstLine="214"/>
        <w:spacing w:after="0" w:line="260" w:lineRule="auto"/>
        <w:rPr>
          <w:sz w:val="20"/>
          <w:szCs w:val="20"/>
          <w:color w:val="auto"/>
        </w:rPr>
      </w:pPr>
      <w:r>
        <w:rPr>
          <w:rFonts w:ascii="Times New Roman" w:cs="Times New Roman" w:eastAsia="Times New Roman" w:hAnsi="Times New Roman"/>
          <w:sz w:val="15"/>
          <w:szCs w:val="15"/>
          <w:color w:val="auto"/>
        </w:rPr>
        <w:t>Our fiscal quarterly periods are comprised of approximately 13 weeks, but the number of days per quarter may vary year -over-year.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90" w:lineRule="exact"/>
        <w:rPr>
          <w:sz w:val="20"/>
          <w:szCs w:val="20"/>
          <w:color w:val="auto"/>
        </w:rPr>
      </w:pPr>
    </w:p>
    <w:p>
      <w:pPr>
        <w:jc w:val="both"/>
        <w:ind w:firstLine="214"/>
        <w:spacing w:after="0" w:line="254" w:lineRule="auto"/>
        <w:rPr>
          <w:sz w:val="20"/>
          <w:szCs w:val="20"/>
          <w:color w:val="auto"/>
        </w:rPr>
      </w:pPr>
      <w:r>
        <w:rPr>
          <w:rFonts w:ascii="Times New Roman" w:cs="Times New Roman" w:eastAsia="Times New Roman" w:hAnsi="Times New Roman"/>
          <w:sz w:val="15"/>
          <w:szCs w:val="15"/>
          <w:color w:val="auto"/>
        </w:rPr>
        <w:t>We sell our products and services through a combination of direct sales, distributors and company- 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4"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5"/>
          <w:szCs w:val="15"/>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t>Financial Overview</w:t>
      </w:r>
    </w:p>
    <w:p>
      <w:pPr>
        <w:spacing w:after="0" w:line="235"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Results for the third quarter of 2025 were mixed as our Home Comfort Solutions segment faced volume headwinds driven by market softness. Overall our net sales decreased 5% to $1.4 billion and our segment profit increased 2% to $ 310 million. For our Home Comfort Solutions segment, net sales decreased 12% and segment profit decreased $24 million. For our Building Climate Solutions segment, net sales increased 10% and segment profit increased $28 million. Segment loss decreased $2.4 million for our Corporate and Other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Highlights</w:t>
      </w:r>
    </w:p>
    <w:p>
      <w:pPr>
        <w:spacing w:after="0" w:line="235" w:lineRule="exact"/>
        <w:rPr>
          <w:sz w:val="20"/>
          <w:szCs w:val="20"/>
          <w:color w:val="auto"/>
        </w:rPr>
      </w:pPr>
    </w:p>
    <w:p>
      <w:pPr>
        <w:ind w:left="580" w:hanging="290"/>
        <w:spacing w:after="0"/>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sales of $1,427 million in the third quarter of 2025 reflected a 5% decrease as compared to the same period in 2024.</w:t>
      </w:r>
    </w:p>
    <w:p>
      <w:pPr>
        <w:spacing w:after="0" w:line="21" w:lineRule="exact"/>
        <w:rPr>
          <w:rFonts w:ascii="Times New Roman" w:cs="Times New Roman" w:eastAsia="Times New Roman" w:hAnsi="Times New Roman"/>
          <w:sz w:val="15"/>
          <w:szCs w:val="15"/>
          <w:color w:val="auto"/>
        </w:rPr>
      </w:pPr>
    </w:p>
    <w:p>
      <w:pPr>
        <w:ind w:left="580" w:hanging="290"/>
        <w:spacing w:after="0" w:line="247"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income in the third quarter of 2025 increased $7 million to $310 million as favorable mix and price were partially offset by lower sales volumes, higher product costs, primarily related to inflationary pressures, including tariffs, and higher freight and distribution costs.</w:t>
      </w:r>
    </w:p>
    <w:p>
      <w:pPr>
        <w:spacing w:after="0" w:line="1" w:lineRule="exact"/>
        <w:rPr>
          <w:rFonts w:ascii="Times New Roman" w:cs="Times New Roman" w:eastAsia="Times New Roman" w:hAnsi="Times New Roman"/>
          <w:sz w:val="15"/>
          <w:szCs w:val="15"/>
          <w:color w:val="auto"/>
        </w:rPr>
      </w:pPr>
    </w:p>
    <w:p>
      <w:pPr>
        <w:ind w:left="580" w:hanging="290"/>
        <w:spacing w:after="0"/>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for the third quarter of 2025 was $246 million.</w:t>
      </w:r>
    </w:p>
    <w:p>
      <w:pPr>
        <w:spacing w:after="0" w:line="5" w:lineRule="exact"/>
        <w:rPr>
          <w:rFonts w:ascii="Times New Roman" w:cs="Times New Roman" w:eastAsia="Times New Roman" w:hAnsi="Times New Roman"/>
          <w:sz w:val="15"/>
          <w:szCs w:val="15"/>
          <w:color w:val="auto"/>
        </w:rPr>
      </w:pPr>
    </w:p>
    <w:p>
      <w:pPr>
        <w:ind w:left="580" w:hanging="290"/>
        <w:spacing w:after="0"/>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Diluted earnings per share was $6.98 per share in the third quarter of 2025 as compared to $6.68 per share in the same period in 2024.</w:t>
      </w:r>
    </w:p>
    <w:p>
      <w:pPr>
        <w:spacing w:after="0" w:line="5" w:lineRule="exact"/>
        <w:rPr>
          <w:rFonts w:ascii="Times New Roman" w:cs="Times New Roman" w:eastAsia="Times New Roman" w:hAnsi="Times New Roman"/>
          <w:sz w:val="15"/>
          <w:szCs w:val="15"/>
          <w:color w:val="auto"/>
        </w:rPr>
      </w:pPr>
    </w:p>
    <w:p>
      <w:pPr>
        <w:ind w:left="580" w:right="20" w:hanging="290"/>
        <w:spacing w:after="0" w:line="263" w:lineRule="auto"/>
        <w:tabs>
          <w:tab w:leader="none" w:pos="5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nine months ended September 30, 2025, we returned $127 million to shareholders through dividend payments and repurchased $332 million of common stock through our share repurchase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223"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On July 4, 2025, the “One Big Beautiful Bill Act” was signed into law, which includes significant changes to federal tax law and other regulatory provisions that may impact the Company. Based on an initial analysis of the relevant provisions, the impacts to our effective tax rate are immaterial, but several timing provisions are expected to result in material 2025 cash tax savings.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Three Months Ended September 30, 2025 Compared to Three Months Ended September 30, 2024 - Consolidated Results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provides a summary of our financial results, including information presented as a percentage of net sales: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Percent of Sales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48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4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2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Fav/(Unfav)</w:t>
            </w: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1,426.8</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1,498.1</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 %</w:t>
            </w:r>
          </w:p>
        </w:tc>
        <w:tc>
          <w:tcPr>
            <w:tcW w:w="1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100.0 %</w:t>
            </w: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100.0 %</w:t>
            </w:r>
          </w:p>
        </w:tc>
        <w:tc>
          <w:tcPr>
            <w:tcW w:w="0" w:type="dxa"/>
            <w:vAlign w:val="bottom"/>
          </w:tcPr>
          <w:p>
            <w:pPr>
              <w:spacing w:after="0"/>
              <w:rPr>
                <w:sz w:val="1"/>
                <w:szCs w:val="1"/>
                <w:color w:val="auto"/>
              </w:rPr>
            </w:pPr>
          </w:p>
        </w:tc>
      </w:tr>
      <w:tr>
        <w:trPr>
          <w:trHeight w:val="20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958.2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1,009.7</w:t>
            </w:r>
          </w:p>
        </w:tc>
        <w:tc>
          <w:tcPr>
            <w:tcW w:w="1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5.1</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67.2</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67.4</w:t>
            </w: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Gross profit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488.4</w:t>
            </w:r>
          </w:p>
        </w:tc>
        <w:tc>
          <w:tcPr>
            <w:tcW w:w="14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201"/>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184.4</w:t>
            </w:r>
          </w:p>
        </w:tc>
        <w:tc>
          <w:tcPr>
            <w:tcW w:w="1480" w:type="dxa"/>
            <w:vAlign w:val="bottom"/>
            <w:gridSpan w:val="2"/>
          </w:tcPr>
          <w:p>
            <w:pPr>
              <w:jc w:val="right"/>
              <w:ind w:right="186"/>
              <w:spacing w:after="0"/>
              <w:rPr>
                <w:sz w:val="20"/>
                <w:szCs w:val="20"/>
                <w:color w:val="auto"/>
              </w:rPr>
            </w:pPr>
            <w:r>
              <w:rPr>
                <w:rFonts w:ascii="Times New Roman" w:cs="Times New Roman" w:eastAsia="Times New Roman" w:hAnsi="Times New Roman"/>
                <w:sz w:val="15"/>
                <w:szCs w:val="15"/>
                <w:color w:val="auto"/>
              </w:rPr>
              <w:t>12.4</w:t>
            </w:r>
          </w:p>
        </w:tc>
        <w:tc>
          <w:tcPr>
            <w:tcW w:w="140" w:type="dxa"/>
            <w:vAlign w:val="bottom"/>
          </w:tcPr>
          <w:p>
            <w:pPr>
              <w:spacing w:after="0"/>
              <w:rPr>
                <w:sz w:val="17"/>
                <w:szCs w:val="17"/>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(Gains) losses and other expenses, net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4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122.6</w:t>
            </w:r>
          </w:p>
        </w:tc>
        <w:tc>
          <w:tcPr>
            <w:tcW w:w="1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1"/>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equity method investments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80" w:type="dxa"/>
            <w:vAlign w:val="bottom"/>
            <w:gridSpan w:val="2"/>
          </w:tcPr>
          <w:p>
            <w:pPr>
              <w:jc w:val="right"/>
              <w:ind w:right="186"/>
              <w:spacing w:after="0"/>
              <w:rPr>
                <w:sz w:val="20"/>
                <w:szCs w:val="20"/>
                <w:color w:val="auto"/>
              </w:rPr>
            </w:pPr>
            <w:r>
              <w:rPr>
                <w:rFonts w:ascii="Times New Roman" w:cs="Times New Roman" w:eastAsia="Times New Roman" w:hAnsi="Times New Roman"/>
                <w:sz w:val="15"/>
                <w:szCs w:val="15"/>
                <w:color w:val="auto"/>
              </w:rPr>
              <w:t>4.2</w:t>
            </w:r>
          </w:p>
        </w:tc>
        <w:tc>
          <w:tcPr>
            <w:tcW w:w="140" w:type="dxa"/>
            <w:vAlign w:val="bottom"/>
          </w:tcPr>
          <w:p>
            <w:pPr>
              <w:spacing w:after="0"/>
              <w:rPr>
                <w:sz w:val="17"/>
                <w:szCs w:val="17"/>
                <w:color w:val="auto"/>
              </w:rPr>
            </w:pP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19"/>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20.2 %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Sales</w:t>
      </w:r>
    </w:p>
    <w:p>
      <w:pPr>
        <w:spacing w:after="0" w:line="235"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Net sales for the third quarter of 2025 decreased 5% as compared to the same period in 2024 primarily due to a 16% decrease in sales volumes, which was partially offset by an 11% increase in mix and pricing.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Gross Profit</w:t>
      </w:r>
    </w:p>
    <w:p>
      <w:pPr>
        <w:spacing w:after="0" w:line="23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Gross profit margins in the third quarter of 2025 increased 20 basis points ("bps") to 32.8% as compared to 32.6% in the same period in 2024. Gross margins increased 350 bps from favorable mix and pricing, which were partially offset by 200 bps from higher product costs, primarily related to inflationary pressures, including tariffs, and 130 bps from higher freight and distribution costs.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Expenses</w:t>
      </w:r>
    </w:p>
    <w:p>
      <w:pPr>
        <w:spacing w:after="0" w:line="235"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Selling, general and administrative expenses ("SG&amp;A") decreased $22 million to $162 million in the third quarter of 2025 as compared to $184 million in the same period in 2024, primarily due to lower incentive compensation related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(Gains) losses and Other Expenses, Net</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(Gains) losses and other expenses, net for the third quarter of 2025 and 2024 included the following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20" w:type="dxa"/>
            <w:vAlign w:val="bottom"/>
            <w:tcBorders>
              <w:bottom w:val="single" w:sz="8" w:color="auto"/>
            </w:tcBorders>
          </w:tcPr>
          <w:p>
            <w:pPr>
              <w:spacing w:after="0"/>
              <w:rPr>
                <w:sz w:val="16"/>
                <w:szCs w:val="16"/>
                <w:color w:val="auto"/>
              </w:rPr>
            </w:pPr>
          </w:p>
        </w:tc>
      </w:tr>
      <w:tr>
        <w:trPr>
          <w:trHeight w:val="183"/>
        </w:trPr>
        <w:tc>
          <w:tcPr>
            <w:tcW w:w="69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r>
      <w:tr>
        <w:trPr>
          <w:trHeight w:val="19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exchange (gains) losses</w:t>
            </w:r>
          </w:p>
        </w:tc>
        <w:tc>
          <w:tcPr>
            <w:tcW w:w="1240" w:type="dxa"/>
            <w:vAlign w:val="bottom"/>
            <w:shd w:val="clear" w:color="auto" w:fill="CCEEFF"/>
          </w:tcPr>
          <w:p>
            <w:pPr>
              <w:jc w:val="right"/>
              <w:ind w:right="108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480" w:type="dxa"/>
            <w:vAlign w:val="bottom"/>
            <w:gridSpan w:val="2"/>
            <w:shd w:val="clear" w:color="auto" w:fill="CCEEFF"/>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r>
      <w:tr>
        <w:trPr>
          <w:trHeight w:val="201"/>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disposal of fixed assets</w:t>
            </w:r>
          </w:p>
        </w:tc>
        <w:tc>
          <w:tcPr>
            <w:tcW w:w="124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w:t>
            </w: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operating income</w:t>
            </w:r>
          </w:p>
        </w:tc>
        <w:tc>
          <w:tcPr>
            <w:tcW w:w="1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(0.5)</w:t>
            </w:r>
          </w:p>
        </w:tc>
      </w:tr>
      <w:tr>
        <w:trPr>
          <w:trHeight w:val="201"/>
        </w:trPr>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unrealized losses (gains) on unsettled futures contracts</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w:t>
            </w:r>
          </w:p>
        </w:tc>
      </w:tr>
      <w:tr>
        <w:trPr>
          <w:trHeight w:val="20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Environmental liabilities and special litigation charges</w:t>
            </w:r>
          </w:p>
        </w:tc>
        <w:tc>
          <w:tcPr>
            <w:tcW w:w="1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2.6</w:t>
            </w:r>
          </w:p>
        </w:tc>
      </w:tr>
      <w:tr>
        <w:trPr>
          <w:trHeight w:val="193"/>
        </w:trPr>
        <w:tc>
          <w:tcPr>
            <w:tcW w:w="69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(Gains) losses and other expenses, net (pre-tax)</w:t>
            </w:r>
          </w:p>
        </w:tc>
        <w:tc>
          <w:tcPr>
            <w:tcW w:w="1240" w:type="dxa"/>
            <w:vAlign w:val="bottom"/>
          </w:tcPr>
          <w:p>
            <w:pPr>
              <w:jc w:val="right"/>
              <w:ind w:right="1086"/>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480" w:type="dxa"/>
            <w:vAlign w:val="bottom"/>
            <w:gridSpan w:val="2"/>
          </w:tcPr>
          <w:p>
            <w:pPr>
              <w:jc w:val="right"/>
              <w:ind w:right="1209"/>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w:t>
            </w:r>
          </w:p>
        </w:tc>
      </w:tr>
      <w:tr>
        <w:trPr>
          <w:trHeight w:val="20"/>
        </w:trPr>
        <w:tc>
          <w:tcPr>
            <w:tcW w:w="6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from Equity Method Investments</w:t>
      </w:r>
    </w:p>
    <w:p>
      <w:pPr>
        <w:spacing w:after="0" w:line="235"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Investments over which we do not exercise control but have significant influence are accounted for using the equity method of accounting. Income from equity method investments was $2 million in the third quarter of 2025, consistent with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Expense, net</w:t>
      </w:r>
    </w:p>
    <w:p>
      <w:pPr>
        <w:spacing w:after="0" w:line="235"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Interest expense, net increased to $10 million in the third quarter of 2025 from $9 million in the same period in 2024 primarily due to increased borrowings on our commercial paper facility partially offset by the decrease in interest associated with the senior unsecured notes that were repaid on August 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235" w:lineRule="exact"/>
        <w:rPr>
          <w:sz w:val="20"/>
          <w:szCs w:val="20"/>
          <w:color w:val="auto"/>
        </w:rPr>
      </w:pPr>
    </w:p>
    <w:p>
      <w:pPr>
        <w:jc w:val="both"/>
        <w:ind w:firstLine="214"/>
        <w:spacing w:after="0" w:line="268" w:lineRule="auto"/>
        <w:rPr>
          <w:sz w:val="20"/>
          <w:szCs w:val="20"/>
          <w:color w:val="auto"/>
        </w:rPr>
      </w:pPr>
      <w:r>
        <w:rPr>
          <w:rFonts w:ascii="Times New Roman" w:cs="Times New Roman" w:eastAsia="Times New Roman" w:hAnsi="Times New Roman"/>
          <w:sz w:val="15"/>
          <w:szCs w:val="15"/>
          <w:color w:val="auto"/>
        </w:rPr>
        <w:t>Our effective tax rate was 17.7% for the third quarter of 2025 as compared to 18.7% in the same period in 2024. The decrease in rate is primarily due to higher income in low tax jurisdictions.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Third Quarter of 2025 Compared to Third Quarter of 2024 - Results by Segment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Home Comfort Solutions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presents our Home Comfort Solutions segment's net sales and profit for the third quarter of 2025 and 2024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6"/>
        </w:trPr>
        <w:tc>
          <w:tcPr>
            <w:tcW w:w="42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00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912.9</w:t>
            </w:r>
          </w:p>
        </w:tc>
        <w:tc>
          <w:tcPr>
            <w:tcW w:w="1080" w:type="dxa"/>
            <w:vAlign w:val="bottom"/>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97"/>
              </w:rPr>
              <w:t>1,032.8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201"/>
        </w:trPr>
        <w:tc>
          <w:tcPr>
            <w:tcW w:w="4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1000" w:type="dxa"/>
            <w:vAlign w:val="bottom"/>
          </w:tcPr>
          <w:p>
            <w:pPr>
              <w:jc w:val="right"/>
              <w:ind w:right="84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202.9</w:t>
            </w:r>
          </w:p>
        </w:tc>
        <w:tc>
          <w:tcPr>
            <w:tcW w:w="1080" w:type="dxa"/>
            <w:vAlign w:val="bottom"/>
            <w:gridSpan w:val="2"/>
          </w:tcPr>
          <w:p>
            <w:pPr>
              <w:jc w:val="right"/>
              <w:ind w:right="78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226.5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of net sales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22.2 %</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bl>
    <w:p>
      <w:pPr>
        <w:spacing w:after="0" w:line="60"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Net sales decreased 12% in the third quarter of 2025 as compared to the same period in 2024 primarily due to a 23% decrease in sales volumes, which was partially offset by a 11% increase in mix and pricing.</w:t>
      </w:r>
    </w:p>
    <w:p>
      <w:pPr>
        <w:spacing w:after="0" w:line="172"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Segment profit in the third quarter of 2025 decreased $24 million as compared to the same period in 2024, primarily due to an $86 million reduction in sales volumes, $26 million in higher product costs largely driven by inflationary pressures including tariffs, and $17 million in higher freight and distribution expenses. These impacts were partially offset by an $85 million benefit from favorable mix and pricing, a $15 million reduction in commission and other SG&amp;A costs, and $5 million in miscellaneous cost savings.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25" w:name="page26"/>
    <w:bookmarkEnd w:id="25"/>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Building Climate Solutions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presents our Building Climate Solutions segment's net sales and profit for the third quarter of 2025 and 2024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6"/>
        </w:trPr>
        <w:tc>
          <w:tcPr>
            <w:tcW w:w="4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98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513.9</w:t>
            </w:r>
          </w:p>
        </w:tc>
        <w:tc>
          <w:tcPr>
            <w:tcW w:w="116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465.3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4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980" w:type="dxa"/>
            <w:vAlign w:val="bottom"/>
          </w:tcPr>
          <w:p>
            <w:pPr>
              <w:jc w:val="right"/>
              <w:ind w:right="826"/>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134.0</w:t>
            </w:r>
          </w:p>
        </w:tc>
        <w:tc>
          <w:tcPr>
            <w:tcW w:w="1160" w:type="dxa"/>
            <w:vAlign w:val="bottom"/>
            <w:gridSpan w:val="2"/>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28.1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of net sales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26.1 %</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Net sales increased 10% in the third quarter of 2025 as compared to the same period in 2024 primarily due to a 10% increase in mix and price.</w:t>
      </w:r>
    </w:p>
    <w:p>
      <w:pPr>
        <w:spacing w:after="0" w:line="231" w:lineRule="exact"/>
        <w:rPr>
          <w:sz w:val="20"/>
          <w:szCs w:val="20"/>
          <w:color w:val="auto"/>
        </w:rPr>
      </w:pPr>
    </w:p>
    <w:p>
      <w:pPr>
        <w:jc w:val="both"/>
        <w:ind w:right="20" w:firstLine="214"/>
        <w:spacing w:after="0" w:line="266" w:lineRule="auto"/>
        <w:rPr>
          <w:sz w:val="20"/>
          <w:szCs w:val="20"/>
          <w:color w:val="auto"/>
        </w:rPr>
      </w:pPr>
      <w:r>
        <w:rPr>
          <w:rFonts w:ascii="Times New Roman" w:cs="Times New Roman" w:eastAsia="Times New Roman" w:hAnsi="Times New Roman"/>
          <w:sz w:val="15"/>
          <w:szCs w:val="15"/>
          <w:color w:val="auto"/>
        </w:rPr>
        <w:t>Segment profit in the third quarter of 2025 increased $28 million as compared to the same period in 2024 primarily due to $33 million in favorable mix and pricing and a $ 1 million increase in sales volumes, which were partially offset by $4 million in higher product costs, primarily related to inflationary pressures, including tariffs, and $2 million from investments in distribution and selling as well as other inflationary pressures.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Corporate and Other</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presents our Corporate and Other segment's net sales and loss for the third quarter of 2025 and 2024 (dollars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6"/>
        </w:trPr>
        <w:tc>
          <w:tcPr>
            <w:tcW w:w="4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r>
      <w:tr>
        <w:trPr>
          <w:trHeight w:val="19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87"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Segment loss decreased $2 million to $27 million in the third quarter of 2025 as compared to the same period in 2024 primarily due to lower incentive compensation related costs.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Year-to-Date through September 30, 2025 Compared to Year-to-Date through September 30, 2024 - Consolidated Results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provides a summary of our financial results, including information presented as a percentage of net sales: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3"/>
                <w:szCs w:val="13"/>
                <w:color w:val="auto"/>
              </w:rPr>
            </w:pPr>
          </w:p>
        </w:tc>
        <w:tc>
          <w:tcPr>
            <w:tcW w:w="1180" w:type="dxa"/>
            <w:vAlign w:val="bottom"/>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Percent of Sales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80" w:type="dxa"/>
            <w:vAlign w:val="bottom"/>
            <w:vMerge w:val="restart"/>
          </w:tcPr>
          <w:p>
            <w:pPr>
              <w:jc w:val="center"/>
              <w:ind w:left="126"/>
              <w:spacing w:after="0" w:line="143"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88"/>
        </w:trPr>
        <w:tc>
          <w:tcPr>
            <w:tcW w:w="4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Fav/(Unfav)</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4,000.3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3,996.3</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100.0 %</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100.0 %</w:t>
            </w:r>
          </w:p>
        </w:tc>
        <w:tc>
          <w:tcPr>
            <w:tcW w:w="0" w:type="dxa"/>
            <w:vAlign w:val="bottom"/>
          </w:tcPr>
          <w:p>
            <w:pPr>
              <w:spacing w:after="0"/>
              <w:rPr>
                <w:sz w:val="1"/>
                <w:szCs w:val="1"/>
                <w:color w:val="auto"/>
              </w:rPr>
            </w:pPr>
          </w:p>
        </w:tc>
      </w:tr>
      <w:tr>
        <w:trPr>
          <w:trHeight w:val="201"/>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2,680.7</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2,679.7</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67.0</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67.1</w:t>
            </w:r>
          </w:p>
        </w:tc>
        <w:tc>
          <w:tcPr>
            <w:tcW w:w="0" w:type="dxa"/>
            <w:vAlign w:val="bottom"/>
          </w:tcPr>
          <w:p>
            <w:pPr>
              <w:spacing w:after="0"/>
              <w:rPr>
                <w:sz w:val="1"/>
                <w:szCs w:val="1"/>
                <w:color w:val="auto"/>
              </w:rPr>
            </w:pPr>
          </w:p>
        </w:tc>
      </w:tr>
      <w:tr>
        <w:trPr>
          <w:trHeight w:val="194"/>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Gross profit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1,316.6</w:t>
            </w:r>
          </w:p>
        </w:tc>
        <w:tc>
          <w:tcPr>
            <w:tcW w:w="13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33.0</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523.6</w:t>
            </w:r>
          </w:p>
        </w:tc>
        <w:tc>
          <w:tcPr>
            <w:tcW w:w="13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3.3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12.7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(Gains) losses and other expenses, net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3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from previous dispositions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30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from equity method investments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819.8</w:t>
            </w:r>
          </w:p>
        </w:tc>
        <w:tc>
          <w:tcPr>
            <w:tcW w:w="1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790.2</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20.5 %</w:t>
            </w:r>
          </w:p>
        </w:tc>
        <w:tc>
          <w:tcPr>
            <w:tcW w:w="14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19.8 %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i w:val="1"/>
          <w:iCs w:val="1"/>
          <w:color w:val="auto"/>
        </w:rPr>
        <w:t>Net Sales</w:t>
      </w:r>
    </w:p>
    <w:p>
      <w:pPr>
        <w:spacing w:after="0" w:line="235" w:lineRule="exact"/>
        <w:rPr>
          <w:sz w:val="20"/>
          <w:szCs w:val="20"/>
          <w:color w:val="auto"/>
        </w:rPr>
      </w:pPr>
    </w:p>
    <w:p>
      <w:pPr>
        <w:jc w:val="both"/>
        <w:ind w:right="40" w:firstLine="214"/>
        <w:spacing w:after="0" w:line="258" w:lineRule="auto"/>
        <w:rPr>
          <w:sz w:val="20"/>
          <w:szCs w:val="20"/>
          <w:color w:val="auto"/>
        </w:rPr>
      </w:pPr>
      <w:r>
        <w:rPr>
          <w:rFonts w:ascii="Times New Roman" w:cs="Times New Roman" w:eastAsia="Times New Roman" w:hAnsi="Times New Roman"/>
          <w:sz w:val="15"/>
          <w:szCs w:val="15"/>
          <w:color w:val="auto"/>
        </w:rPr>
        <w:t>Net sales remained relatively flat for the nine months ended September 30, 2025 as compared to the same period in 2024, as a 9% increase in mix and pricing was offset by a 9% decrease in sales volumes.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Gross Profit</w:t>
      </w:r>
    </w:p>
    <w:p>
      <w:pPr>
        <w:spacing w:after="0" w:line="215" w:lineRule="exact"/>
        <w:rPr>
          <w:sz w:val="20"/>
          <w:szCs w:val="20"/>
          <w:color w:val="auto"/>
        </w:rPr>
      </w:pPr>
    </w:p>
    <w:p>
      <w:pPr>
        <w:jc w:val="both"/>
        <w:ind w:right="40" w:firstLine="214"/>
        <w:spacing w:after="0" w:line="266" w:lineRule="auto"/>
        <w:rPr>
          <w:sz w:val="20"/>
          <w:szCs w:val="20"/>
          <w:color w:val="auto"/>
        </w:rPr>
      </w:pPr>
      <w:r>
        <w:rPr>
          <w:rFonts w:ascii="Times New Roman" w:cs="Times New Roman" w:eastAsia="Times New Roman" w:hAnsi="Times New Roman"/>
          <w:sz w:val="15"/>
          <w:szCs w:val="15"/>
          <w:color w:val="auto"/>
        </w:rPr>
        <w:t>Gross profit margins for the nine months ended September 30, 2025 increased 10 bps to 33.0% as compared to 32.9% in the same period in 2024. Gross margins increased 310 bps from favorable mix and pricing, which were partially offset by 180 bps from higher product costs, primarily related to inflationary pressures, including tariffs, and 120 bps from higher freight and distribution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Expenses</w:t>
      </w:r>
    </w:p>
    <w:p>
      <w:pPr>
        <w:spacing w:after="0" w:line="26" w:lineRule="exact"/>
        <w:rPr>
          <w:sz w:val="20"/>
          <w:szCs w:val="20"/>
          <w:color w:val="auto"/>
        </w:rPr>
      </w:pPr>
    </w:p>
    <w:p>
      <w:pPr>
        <w:jc w:val="both"/>
        <w:ind w:right="60" w:firstLine="214"/>
        <w:spacing w:after="0" w:line="263" w:lineRule="auto"/>
        <w:rPr>
          <w:sz w:val="20"/>
          <w:szCs w:val="20"/>
          <w:color w:val="auto"/>
        </w:rPr>
      </w:pPr>
      <w:r>
        <w:rPr>
          <w:rFonts w:ascii="Times New Roman" w:cs="Times New Roman" w:eastAsia="Times New Roman" w:hAnsi="Times New Roman"/>
          <w:sz w:val="15"/>
          <w:szCs w:val="15"/>
          <w:color w:val="auto"/>
        </w:rPr>
        <w:t>SG&amp;A decreased $17 million to $ 506 million for the nine months ended September 30, 2025 as compared to $524 million in the same period in 2024 primarily due to lower incentive compensation related costs. As a percentage of net sales, SG&amp;A decreased 40 bps to 12.7% from 13.1%.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(Gains) losses and Other Expenses, Net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04"/>
        </w:trPr>
        <w:tc>
          <w:tcPr>
            <w:tcW w:w="5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(Gains)  losses  and  other  expenses,  net  for  the  nine  months  ended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September  30,  2025  and  2024  included</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7"/>
              </w:rPr>
              <w:t>the</w:t>
            </w:r>
          </w:p>
        </w:tc>
        <w:tc>
          <w:tcPr>
            <w:tcW w:w="1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99"/>
              </w:rPr>
              <w:t>following</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(in  millions):</w:t>
            </w:r>
          </w:p>
        </w:tc>
      </w:tr>
      <w:tr>
        <w:trPr>
          <w:trHeight w:val="201"/>
        </w:trPr>
        <w:tc>
          <w:tcPr>
            <w:tcW w:w="5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5"/>
        </w:trPr>
        <w:tc>
          <w:tcPr>
            <w:tcW w:w="54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Foreign currency exchange (gains) losses</w:t>
            </w:r>
          </w:p>
        </w:tc>
        <w:tc>
          <w:tcPr>
            <w:tcW w:w="3060" w:type="dxa"/>
            <w:vAlign w:val="bottom"/>
            <w:gridSpan w:val="2"/>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w:t>
            </w:r>
          </w:p>
        </w:tc>
        <w:tc>
          <w:tcPr>
            <w:tcW w:w="820" w:type="dxa"/>
            <w:vAlign w:val="bottom"/>
            <w:gridSpan w:val="2"/>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6"/>
                <w:szCs w:val="16"/>
                <w:color w:val="auto"/>
              </w:rPr>
            </w:pPr>
          </w:p>
        </w:tc>
      </w:tr>
      <w:tr>
        <w:trPr>
          <w:trHeight w:val="203"/>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Loss (gain) on disposal of fixed assets</w:t>
            </w:r>
          </w:p>
        </w:tc>
        <w:tc>
          <w:tcPr>
            <w:tcW w:w="1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7"/>
                <w:szCs w:val="17"/>
                <w:color w:val="auto"/>
              </w:rPr>
            </w:pPr>
          </w:p>
        </w:tc>
      </w:tr>
      <w:tr>
        <w:trPr>
          <w:trHeight w:val="201"/>
        </w:trPr>
        <w:tc>
          <w:tcPr>
            <w:tcW w:w="54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operating (income) loss</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r>
      <w:tr>
        <w:trPr>
          <w:trHeight w:val="203"/>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Net change in unrealized losses (gains) on unsettled futures contracts</w:t>
            </w:r>
          </w:p>
        </w:tc>
        <w:tc>
          <w:tcPr>
            <w:tcW w:w="1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r>
      <w:tr>
        <w:trPr>
          <w:trHeight w:val="201"/>
        </w:trPr>
        <w:tc>
          <w:tcPr>
            <w:tcW w:w="5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Environmental liabilities and special litigation charges</w:t>
            </w:r>
          </w:p>
        </w:tc>
        <w:tc>
          <w:tcPr>
            <w:tcW w:w="18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r>
      <w:tr>
        <w:trPr>
          <w:trHeight w:val="214"/>
        </w:trPr>
        <w:tc>
          <w:tcPr>
            <w:tcW w:w="5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(Gains) losses and other expenses, net (pre-tax)</w:t>
            </w:r>
          </w:p>
        </w:tc>
        <w:tc>
          <w:tcPr>
            <w:tcW w:w="306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w:t>
            </w:r>
          </w:p>
        </w:tc>
        <w:tc>
          <w:tcPr>
            <w:tcW w:w="82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8"/>
                <w:szCs w:val="18"/>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from Equity Method Investments</w:t>
      </w:r>
    </w:p>
    <w:p>
      <w:pPr>
        <w:spacing w:after="0" w:line="26" w:lineRule="exact"/>
        <w:rPr>
          <w:sz w:val="20"/>
          <w:szCs w:val="20"/>
          <w:color w:val="auto"/>
        </w:rPr>
      </w:pPr>
    </w:p>
    <w:p>
      <w:pPr>
        <w:jc w:val="both"/>
        <w:ind w:right="40" w:firstLine="214"/>
        <w:spacing w:after="0" w:line="263" w:lineRule="auto"/>
        <w:rPr>
          <w:sz w:val="20"/>
          <w:szCs w:val="20"/>
          <w:color w:val="auto"/>
        </w:rPr>
      </w:pPr>
      <w:r>
        <w:rPr>
          <w:rFonts w:ascii="Times New Roman" w:cs="Times New Roman" w:eastAsia="Times New Roman" w:hAnsi="Times New Roman"/>
          <w:sz w:val="15"/>
          <w:szCs w:val="15"/>
          <w:color w:val="auto"/>
        </w:rPr>
        <w:t>Investments over which we do not exercise control but have significant influence are accounted for using the equity method of accounting. Income from equity method investments remained flat at $6 million for the nine months ended September 30, 2025 as compared to the same period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Expense, net</w:t>
      </w:r>
    </w:p>
    <w:p>
      <w:pPr>
        <w:spacing w:after="0" w:line="235" w:lineRule="exact"/>
        <w:rPr>
          <w:sz w:val="20"/>
          <w:szCs w:val="20"/>
          <w:color w:val="auto"/>
        </w:rPr>
      </w:pPr>
    </w:p>
    <w:p>
      <w:pPr>
        <w:jc w:val="both"/>
        <w:ind w:right="40" w:firstLine="214"/>
        <w:spacing w:after="0" w:line="266" w:lineRule="auto"/>
        <w:rPr>
          <w:sz w:val="20"/>
          <w:szCs w:val="20"/>
          <w:color w:val="auto"/>
        </w:rPr>
      </w:pPr>
      <w:r>
        <w:rPr>
          <w:rFonts w:ascii="Times New Roman" w:cs="Times New Roman" w:eastAsia="Times New Roman" w:hAnsi="Times New Roman"/>
          <w:sz w:val="15"/>
          <w:szCs w:val="15"/>
          <w:color w:val="auto"/>
        </w:rPr>
        <w:t>Interest expense, net decreased $8 million for the nine months ended September 30, 2025 to $25 million as compared to $ 33 million in the same period in 2024 primarily due to a decrease in interest associated with the senior unsecured notes that were repaid on August 1, 2025 and increased interest earned on investment accounts, which were partially offset by increased borrowings on our commercial paper facility.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Taxes</w:t>
      </w:r>
    </w:p>
    <w:p>
      <w:pPr>
        <w:spacing w:after="0" w:line="235" w:lineRule="exact"/>
        <w:rPr>
          <w:sz w:val="20"/>
          <w:szCs w:val="20"/>
          <w:color w:val="auto"/>
        </w:rPr>
      </w:pPr>
    </w:p>
    <w:p>
      <w:pPr>
        <w:ind w:right="160" w:firstLine="214"/>
        <w:spacing w:after="0" w:line="268" w:lineRule="auto"/>
        <w:rPr>
          <w:sz w:val="20"/>
          <w:szCs w:val="20"/>
          <w:color w:val="auto"/>
        </w:rPr>
      </w:pPr>
      <w:r>
        <w:rPr>
          <w:rFonts w:ascii="Times New Roman" w:cs="Times New Roman" w:eastAsia="Times New Roman" w:hAnsi="Times New Roman"/>
          <w:sz w:val="15"/>
          <w:szCs w:val="15"/>
          <w:color w:val="auto"/>
        </w:rPr>
        <w:t>Our effective tax rate was 18.7% for the nine months ended September 30, 2025 as compared to 19.3% in the same period in 2024. The decrease in rate was primarily due to higher income in low tax jurisdictions.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620"/>
          </w:cols>
          <w:pgMar w:left="660" w:top="1231" w:right="620" w:bottom="1440" w:gutter="0" w:footer="0" w:header="0"/>
        </w:sectPr>
      </w:pPr>
    </w:p>
    <w:bookmarkStart w:id="27" w:name="page28"/>
    <w:bookmarkEnd w:id="27"/>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Year-to-Date through September 30, 2025 Compared to Year-to-Date through September 30, 2024 - Results by Segment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Home Comfort Solutions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presents our Home Comfort Solutions segment's net sales and profit for the nine months ended September 30, 2025 and 2024 (dollars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gridSpan w:val="5"/>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r>
      <w:tr>
        <w:trPr>
          <w:trHeight w:val="185"/>
        </w:trPr>
        <w:tc>
          <w:tcPr>
            <w:tcW w:w="44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4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auto"/>
            </w:tcBorders>
            <w:shd w:val="clear" w:color="auto" w:fill="CCEEFF"/>
          </w:tcPr>
          <w:p>
            <w:pPr>
              <w:spacing w:after="0"/>
              <w:rPr>
                <w:sz w:val="16"/>
                <w:szCs w:val="16"/>
                <w:color w:val="auto"/>
              </w:rPr>
            </w:pP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940" w:type="dxa"/>
            <w:vAlign w:val="bottom"/>
          </w:tcPr>
          <w:p>
            <w:pPr>
              <w:jc w:val="right"/>
              <w:ind w:right="766"/>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97"/>
              </w:rPr>
              <w:t>2,643.6</w:t>
            </w:r>
          </w:p>
        </w:tc>
        <w:tc>
          <w:tcPr>
            <w:tcW w:w="1060" w:type="dxa"/>
            <w:vAlign w:val="bottom"/>
            <w:gridSpan w:val="2"/>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97"/>
              </w:rPr>
              <w:t>2,689.7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94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574.9</w:t>
            </w:r>
          </w:p>
        </w:tc>
        <w:tc>
          <w:tcPr>
            <w:tcW w:w="106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567.1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of net sales</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21.7 %</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62"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Net sales decreased 2% for the nine months ended September 30, 2025 as compared to the same period in 2024 primarily due to a 12% decrease in sales volumes, which was partially offset by a 10% increase in mix and pricing.</w:t>
      </w:r>
    </w:p>
    <w:p>
      <w:pPr>
        <w:spacing w:after="0" w:line="172"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Segment profit for the first nine months of 2025 increased by $8 million as compared to the same period in 2024, primarily driven by a $200 million benefit from favorable mix and pricing, $16 million from factory efficiencies, a $12 million reduction in SG&amp;A expenses, and $10 million in lower miscellaneous costs. These gains were partially offset by a $122 million decline in sales volumes, $67 million in higher product costs largely attributable to inflationary pressures including tariffs, and a $41 million increase in freight and distribution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Building Climate Solutions</w:t>
      </w:r>
    </w:p>
    <w:p>
      <w:pPr>
        <w:spacing w:after="0" w:line="235" w:lineRule="exact"/>
        <w:rPr>
          <w:sz w:val="20"/>
          <w:szCs w:val="20"/>
          <w:color w:val="auto"/>
        </w:rPr>
      </w:pPr>
    </w:p>
    <w:p>
      <w:pPr>
        <w:jc w:val="both"/>
        <w:ind w:firstLine="214"/>
        <w:spacing w:after="0" w:line="262" w:lineRule="auto"/>
        <w:rPr>
          <w:sz w:val="20"/>
          <w:szCs w:val="20"/>
          <w:color w:val="auto"/>
        </w:rPr>
      </w:pPr>
      <w:r>
        <w:rPr>
          <w:rFonts w:ascii="Times New Roman" w:cs="Times New Roman" w:eastAsia="Times New Roman" w:hAnsi="Times New Roman"/>
          <w:sz w:val="15"/>
          <w:szCs w:val="15"/>
          <w:color w:val="auto"/>
        </w:rPr>
        <w:t>The following table presents our Building Climate Solutions segment's net sales and profit for the nine months ended September 30, 2025 and 2024 (dollars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r>
      <w:tr>
        <w:trPr>
          <w:trHeight w:val="185"/>
        </w:trPr>
        <w:tc>
          <w:tcPr>
            <w:tcW w:w="45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4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shd w:val="clear" w:color="auto" w:fill="CCEEFF"/>
          </w:tcPr>
          <w:p>
            <w:pPr>
              <w:spacing w:after="0"/>
              <w:rPr>
                <w:sz w:val="16"/>
                <w:szCs w:val="16"/>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1,356.7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1,306.6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50.1</w:t>
            </w:r>
          </w:p>
        </w:tc>
        <w:tc>
          <w:tcPr>
            <w:tcW w:w="1300" w:type="dxa"/>
            <w:vAlign w:val="bottom"/>
            <w:gridSpan w:val="2"/>
          </w:tcPr>
          <w:p>
            <w:pPr>
              <w:jc w:val="right"/>
              <w:ind w:right="9"/>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Profit</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310.0</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298.1</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11.9</w:t>
            </w:r>
          </w:p>
        </w:tc>
        <w:tc>
          <w:tcPr>
            <w:tcW w:w="13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of net sales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r>
    </w:tbl>
    <w:p>
      <w:pPr>
        <w:spacing w:after="0" w:line="287" w:lineRule="exact"/>
        <w:rPr>
          <w:sz w:val="20"/>
          <w:szCs w:val="20"/>
          <w:color w:val="auto"/>
        </w:rPr>
      </w:pPr>
    </w:p>
    <w:p>
      <w:pPr>
        <w:jc w:val="both"/>
        <w:ind w:firstLine="214"/>
        <w:spacing w:after="0" w:line="258" w:lineRule="auto"/>
        <w:rPr>
          <w:sz w:val="20"/>
          <w:szCs w:val="20"/>
          <w:color w:val="auto"/>
        </w:rPr>
      </w:pPr>
      <w:r>
        <w:rPr>
          <w:rFonts w:ascii="Times New Roman" w:cs="Times New Roman" w:eastAsia="Times New Roman" w:hAnsi="Times New Roman"/>
          <w:sz w:val="15"/>
          <w:szCs w:val="15"/>
          <w:color w:val="auto"/>
        </w:rPr>
        <w:t>Net sales increased 4% for the nine months ended September 30, 2025 as compared to the same period in 2024 primarily due to a 8% increase in mix and pricing, which was partially offset by a 4% decrease in sales volumes.</w:t>
      </w:r>
    </w:p>
    <w:p>
      <w:pPr>
        <w:spacing w:after="0" w:line="1" w:lineRule="exact"/>
        <w:rPr>
          <w:sz w:val="20"/>
          <w:szCs w:val="20"/>
          <w:color w:val="auto"/>
        </w:rPr>
      </w:pPr>
    </w:p>
    <w:p>
      <w:pPr>
        <w:jc w:val="both"/>
        <w:ind w:firstLine="214"/>
        <w:spacing w:after="0" w:line="252" w:lineRule="auto"/>
        <w:rPr>
          <w:sz w:val="20"/>
          <w:szCs w:val="20"/>
          <w:color w:val="auto"/>
        </w:rPr>
      </w:pPr>
      <w:r>
        <w:rPr>
          <w:rFonts w:ascii="Times New Roman" w:cs="Times New Roman" w:eastAsia="Times New Roman" w:hAnsi="Times New Roman"/>
          <w:sz w:val="15"/>
          <w:szCs w:val="15"/>
          <w:color w:val="auto"/>
        </w:rPr>
        <w:t>Segment profit for the first nine months of 2025 increased $12 million as compared to the same period in 2024 primarily due to $73 million from favorable mix and pricing, $5 million from factory efficiencies, and $ 1 million in lower miscellaneous costs, which were partially offset by $28 million from higher product costs, primarily related to inflationary pressures, including tariffs, $18 million from decreased sales volumes, $12 million in higher SG&amp;A costs, and $9 million from investments in distribution and selling as well as other inflationary pressures.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i w:val="1"/>
          <w:iCs w:val="1"/>
          <w:color w:val="auto"/>
        </w:rPr>
        <w:t>Corporate and Other</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presents our Corporate and Other segment's net sales and loss for the nine months ended September 30, 2025 and 2024 (dollars in millions):</w:t>
      </w:r>
    </w:p>
    <w:p>
      <w:pPr>
        <w:spacing w:after="0" w:line="2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670877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8775" cy="12827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p>
      <w:pPr>
        <w:spacing w:after="0" w:line="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Difference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Change</w:t>
      </w:r>
    </w:p>
    <w:p>
      <w:pPr>
        <w:spacing w:after="0" w:line="26" w:lineRule="exact"/>
        <w:rPr>
          <w:sz w:val="20"/>
          <w:szCs w:val="20"/>
          <w:color w:val="auto"/>
        </w:rPr>
      </w:pPr>
    </w:p>
    <w:p>
      <w:pPr>
        <w:sectPr>
          <w:pgSz w:w="11900" w:h="16840" w:orient="portrait"/>
          <w:cols w:equalWidth="0" w:num="4">
            <w:col w:w="6120" w:space="720"/>
            <w:col w:w="480" w:space="720"/>
            <w:col w:w="780" w:space="720"/>
            <w:col w:w="1040"/>
          </w:cols>
          <w:pgMar w:left="660" w:top="1231" w:right="66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540" w:type="dxa"/>
            <w:vAlign w:val="bottom"/>
            <w:tcBorders>
              <w:top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6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700" w:type="dxa"/>
            <w:vAlign w:val="bottom"/>
            <w:gridSpan w:val="2"/>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64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86"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Segment loss decreased $11 million for the nine months ended September 30, 2025 as compared to the same period in 2024 primarily due to lower incentive compensation related costs.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35"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Statement of Cash Flows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summarizes our cash flow activity for the nine months ended September 30, 2025 and 2024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Borders>
              <w:bottom w:val="single" w:sz="8" w:color="CCEEFF"/>
            </w:tcBorders>
          </w:tcPr>
          <w:p>
            <w:pPr>
              <w:spacing w:after="0"/>
              <w:rPr>
                <w:sz w:val="16"/>
                <w:szCs w:val="16"/>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540" w:type="dxa"/>
            <w:vAlign w:val="bottom"/>
            <w:tcBorders>
              <w:bottom w:val="single" w:sz="8" w:color="auto"/>
            </w:tcBorders>
          </w:tcPr>
          <w:p>
            <w:pPr>
              <w:spacing w:after="0"/>
              <w:rPr>
                <w:sz w:val="16"/>
                <w:szCs w:val="16"/>
                <w:color w:val="auto"/>
              </w:rPr>
            </w:pPr>
          </w:p>
        </w:tc>
      </w:tr>
      <w:tr>
        <w:trPr>
          <w:trHeight w:val="185"/>
        </w:trPr>
        <w:tc>
          <w:tcPr>
            <w:tcW w:w="68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shd w:val="clear" w:color="auto" w:fill="CCEEFF"/>
          </w:tcPr>
          <w:p>
            <w:pPr>
              <w:spacing w:after="0"/>
              <w:rPr>
                <w:sz w:val="16"/>
                <w:szCs w:val="16"/>
                <w:color w:val="auto"/>
              </w:rPr>
            </w:pPr>
          </w:p>
        </w:tc>
      </w:tr>
      <w:tr>
        <w:trPr>
          <w:trHeight w:val="193"/>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200" w:type="dxa"/>
            <w:vAlign w:val="bottom"/>
          </w:tcPr>
          <w:p>
            <w:pPr>
              <w:jc w:val="right"/>
              <w:ind w:right="10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351.7</w:t>
            </w:r>
          </w:p>
        </w:tc>
        <w:tc>
          <w:tcPr>
            <w:tcW w:w="1420" w:type="dxa"/>
            <w:vAlign w:val="bottom"/>
            <w:gridSpan w:val="2"/>
          </w:tcPr>
          <w:p>
            <w:pPr>
              <w:jc w:val="right"/>
              <w:ind w:right="1129"/>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613.3</w:t>
            </w: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(108.1)</w:t>
            </w:r>
          </w:p>
        </w:tc>
      </w:tr>
      <w:tr>
        <w:trPr>
          <w:trHeight w:val="200"/>
        </w:trPr>
        <w:tc>
          <w:tcPr>
            <w:tcW w:w="6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(627.4)</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(327.4)</w:t>
            </w:r>
          </w:p>
        </w:tc>
      </w:tr>
    </w:tbl>
    <w:p>
      <w:pPr>
        <w:spacing w:after="0" w:line="283" w:lineRule="exact"/>
        <w:rPr>
          <w:sz w:val="20"/>
          <w:szCs w:val="20"/>
          <w:color w:val="auto"/>
        </w:rPr>
      </w:pPr>
    </w:p>
    <w:p>
      <w:pPr>
        <w:jc w:val="both"/>
        <w:ind w:right="20" w:firstLine="214"/>
        <w:spacing w:after="0" w:line="290" w:lineRule="auto"/>
        <w:rPr>
          <w:sz w:val="20"/>
          <w:szCs w:val="20"/>
          <w:color w:val="auto"/>
        </w:rPr>
      </w:pPr>
      <w:r>
        <w:rPr>
          <w:rFonts w:ascii="Times New Roman" w:cs="Times New Roman" w:eastAsia="Times New Roman" w:hAnsi="Times New Roman"/>
          <w:sz w:val="15"/>
          <w:szCs w:val="15"/>
          <w:i w:val="1"/>
          <w:iCs w:val="1"/>
          <w:color w:val="auto"/>
        </w:rPr>
        <w:t xml:space="preserve">Net Cash Provided By Operating Activities - </w:t>
      </w:r>
      <w:r>
        <w:rPr>
          <w:rFonts w:ascii="Times New Roman" w:cs="Times New Roman" w:eastAsia="Times New Roman" w:hAnsi="Times New Roman"/>
          <w:sz w:val="15"/>
          <w:szCs w:val="15"/>
          <w:color w:val="auto"/>
        </w:rPr>
        <w:t>The change in net cash provided by operating activities for the nine months ended September 30, 2025 compared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net cash provided by operating activities for the same period in 2024 primarily reflects less favorable changes in working capital.</w:t>
      </w:r>
    </w:p>
    <w:p>
      <w:pPr>
        <w:spacing w:after="0" w:line="165" w:lineRule="exact"/>
        <w:rPr>
          <w:sz w:val="20"/>
          <w:szCs w:val="20"/>
          <w:color w:val="auto"/>
        </w:rPr>
      </w:pPr>
    </w:p>
    <w:p>
      <w:pPr>
        <w:jc w:val="both"/>
        <w:ind w:firstLine="214"/>
        <w:spacing w:after="0" w:line="269" w:lineRule="auto"/>
        <w:rPr>
          <w:sz w:val="20"/>
          <w:szCs w:val="20"/>
          <w:color w:val="auto"/>
        </w:rPr>
      </w:pPr>
      <w:r>
        <w:rPr>
          <w:rFonts w:ascii="Times New Roman" w:cs="Times New Roman" w:eastAsia="Times New Roman" w:hAnsi="Times New Roman"/>
          <w:sz w:val="15"/>
          <w:szCs w:val="15"/>
          <w:i w:val="1"/>
          <w:iCs w:val="1"/>
          <w:color w:val="auto"/>
        </w:rPr>
        <w:t xml:space="preserve">Net Cash Used In Investing Activities - </w:t>
      </w:r>
      <w:r>
        <w:rPr>
          <w:rFonts w:ascii="Times New Roman" w:cs="Times New Roman" w:eastAsia="Times New Roman" w:hAnsi="Times New Roman"/>
          <w:sz w:val="15"/>
          <w:szCs w:val="15"/>
          <w:color w:val="auto"/>
        </w:rPr>
        <w:t>Capital expenditures were $90 million for the nine months ended September 30, 2025 compared to $ 103 million in the same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period of 2024. The reduction in capital expenditures was primarily driven by the general expansion of manufacturing capacity and equipment of the Commercial factory in Mexico that was completed in 2024.</w:t>
      </w:r>
    </w:p>
    <w:p>
      <w:pPr>
        <w:spacing w:after="0" w:line="180" w:lineRule="exact"/>
        <w:rPr>
          <w:sz w:val="20"/>
          <w:szCs w:val="20"/>
          <w:color w:val="auto"/>
        </w:rPr>
      </w:pPr>
    </w:p>
    <w:p>
      <w:pPr>
        <w:jc w:val="both"/>
        <w:ind w:firstLine="214"/>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Net Cash Used In Financing Activities - </w:t>
      </w:r>
      <w:r>
        <w:rPr>
          <w:rFonts w:ascii="Times New Roman" w:cs="Times New Roman" w:eastAsia="Times New Roman" w:hAnsi="Times New Roman"/>
          <w:sz w:val="15"/>
          <w:szCs w:val="15"/>
          <w:color w:val="auto"/>
        </w:rPr>
        <w:t>Net cash used in financing activities for the nine months ended September 30, 2025 increased to $627 million as compared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$327 million provided by in the same period of 2024. The change was primarily due to changes in net borrowings and repayments of long-term debt and repurchase of common stock through our share repurchase program. We repurchased $332.3 million of shares for the nine months ended September 30, 2025 and returned $127 million to shareholders through dividend payments.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5"/>
          <w:szCs w:val="15"/>
          <w:i w:val="1"/>
          <w:iCs w:val="1"/>
          <w:color w:val="auto"/>
        </w:rPr>
        <w:t>Debt Position</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 following table details our lines of credit and financing arrangements as of September 30, 2025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Outstanding Borrowings</w:t>
            </w:r>
          </w:p>
        </w:tc>
      </w:tr>
      <w:tr>
        <w:trPr>
          <w:trHeight w:val="196"/>
        </w:trPr>
        <w:tc>
          <w:tcPr>
            <w:tcW w:w="8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Commercial paper: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157.0</w:t>
            </w:r>
          </w:p>
        </w:tc>
      </w:tr>
      <w:tr>
        <w:trPr>
          <w:trHeight w:val="202"/>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maturities of long-term debt:</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16.9</w:t>
            </w:r>
          </w:p>
        </w:tc>
      </w:tr>
      <w:tr>
        <w:trPr>
          <w:trHeight w:val="193"/>
        </w:trPr>
        <w:tc>
          <w:tcPr>
            <w:tcW w:w="8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current maturities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w:t>
            </w:r>
          </w:p>
        </w:tc>
      </w:tr>
      <w:tr>
        <w:trPr>
          <w:trHeight w:val="20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Long-term debt:</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1"/>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44.7</w:t>
            </w:r>
          </w:p>
        </w:tc>
      </w:tr>
      <w:tr>
        <w:trPr>
          <w:trHeight w:val="20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unsecured notes</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800.0</w:t>
            </w:r>
          </w:p>
        </w:tc>
      </w:tr>
      <w:tr>
        <w:trPr>
          <w:trHeight w:val="201"/>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Debt issuance costs</w:t>
            </w: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4"/>
        </w:trPr>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838.2</w:t>
            </w:r>
          </w:p>
        </w:tc>
      </w:tr>
      <w:tr>
        <w:trPr>
          <w:trHeight w:val="194"/>
        </w:trPr>
        <w:tc>
          <w:tcPr>
            <w:tcW w:w="8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1,012.1</w:t>
            </w:r>
          </w:p>
        </w:tc>
      </w:tr>
      <w:tr>
        <w:trPr>
          <w:trHeight w:val="20"/>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Commercial Paper Program</w:t>
      </w:r>
    </w:p>
    <w:p>
      <w:pPr>
        <w:spacing w:after="0" w:line="235" w:lineRule="exact"/>
        <w:rPr>
          <w:sz w:val="20"/>
          <w:szCs w:val="20"/>
          <w:color w:val="auto"/>
        </w:rPr>
      </w:pPr>
    </w:p>
    <w:p>
      <w:pPr>
        <w:jc w:val="both"/>
        <w:ind w:firstLine="214"/>
        <w:spacing w:after="0" w:line="237" w:lineRule="auto"/>
        <w:rPr>
          <w:sz w:val="20"/>
          <w:szCs w:val="20"/>
          <w:color w:val="auto"/>
        </w:rPr>
      </w:pPr>
      <w:r>
        <w:rPr>
          <w:rFonts w:ascii="Times New Roman" w:cs="Times New Roman" w:eastAsia="Times New Roman" w:hAnsi="Times New Roman"/>
          <w:sz w:val="15"/>
          <w:szCs w:val="15"/>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$157.0 million CP Notes outstanding under the Program as of September 30,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Agreement</w:t>
      </w:r>
    </w:p>
    <w:p>
      <w:pPr>
        <w:spacing w:after="0" w:line="235" w:lineRule="exact"/>
        <w:rPr>
          <w:sz w:val="20"/>
          <w:szCs w:val="20"/>
          <w:color w:val="auto"/>
        </w:rPr>
      </w:pPr>
    </w:p>
    <w:p>
      <w:pPr>
        <w:jc w:val="both"/>
        <w:ind w:firstLine="214"/>
        <w:spacing w:after="0" w:line="237" w:lineRule="auto"/>
        <w:rPr>
          <w:sz w:val="20"/>
          <w:szCs w:val="20"/>
          <w:color w:val="auto"/>
        </w:rPr>
      </w:pPr>
      <w:r>
        <w:rPr>
          <w:rFonts w:ascii="Times New Roman" w:cs="Times New Roman" w:eastAsia="Times New Roman" w:hAnsi="Times New Roman"/>
          <w:sz w:val="15"/>
          <w:szCs w:val="15"/>
          <w:color w:val="auto"/>
        </w:rPr>
        <w:t>On May 9, 2025, we entered into an Amendment and Restatement Agreement ("Amended Credit Agreement") to our existing unsecured revolving credit facility with JPMorgan Chase Bank, N.A., as administrative agent, and the other lenders party thereto. The Amended Credit Agreement decreased our total revolving commitments from $1.1 billion to $1.0 billion with an option to increase the revolving commitments by up to $350 million at our request, subject to the terms and conditions of the Amended Credit Agreement. The Amended Credit Agreement also extended the maturity date of the revolving commitments from July 2026 to May 2030. We had no outstanding borrowings and $1.7 million committed to standby letters of credit as of September 30, 2025. Subject to covenant limitations, $841.3 million was available for future borrowings after taking into consideration outstanding borrowings under our Program. Availability under the Amended Credit Agreement is reduced by borrowings under the Program. The Amended Credit Agreement includes a subfacility for swingline loans up to $65.0 million. Maturity of the Amended Credit Agreement may be extended by the lenders pursuant to two one-year extension options that we may request under the Amended Credit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Senior Unsecured Notes</w:t>
      </w:r>
    </w:p>
    <w:p>
      <w:pPr>
        <w:spacing w:after="0" w:line="235"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190" w:lineRule="exact"/>
        <w:rPr>
          <w:sz w:val="20"/>
          <w:szCs w:val="20"/>
          <w:color w:val="auto"/>
        </w:rPr>
      </w:pPr>
    </w:p>
    <w:p>
      <w:pPr>
        <w:jc w:val="both"/>
        <w:ind w:firstLine="214"/>
        <w:spacing w:after="0" w:line="260" w:lineRule="auto"/>
        <w:rPr>
          <w:sz w:val="20"/>
          <w:szCs w:val="20"/>
          <w:color w:val="auto"/>
        </w:rPr>
      </w:pPr>
      <w:r>
        <w:rPr>
          <w:rFonts w:ascii="Times New Roman" w:cs="Times New Roman" w:eastAsia="Times New Roman" w:hAnsi="Times New Roman"/>
          <w:sz w:val="15"/>
          <w:szCs w:val="15"/>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Amended Credit Agreement (the "Guarantor Subsidiaries"). The indenture governing the Notes contains covenants that, among other things, limit our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15"/>
          <w:szCs w:val="15"/>
          <w:color w:val="auto"/>
        </w:rPr>
        <w:t>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Financial Leverage</w:t>
      </w:r>
    </w:p>
    <w:p>
      <w:pPr>
        <w:spacing w:after="0" w:line="235" w:lineRule="exact"/>
        <w:rPr>
          <w:sz w:val="20"/>
          <w:szCs w:val="20"/>
          <w:color w:val="auto"/>
        </w:rPr>
      </w:pPr>
    </w:p>
    <w:p>
      <w:pPr>
        <w:jc w:val="both"/>
        <w:ind w:right="20" w:firstLine="214"/>
        <w:spacing w:after="0" w:line="260" w:lineRule="auto"/>
        <w:rPr>
          <w:sz w:val="20"/>
          <w:szCs w:val="20"/>
          <w:color w:val="auto"/>
        </w:rPr>
      </w:pPr>
      <w:r>
        <w:rPr>
          <w:rFonts w:ascii="Times New Roman" w:cs="Times New Roman" w:eastAsia="Times New Roman" w:hAnsi="Times New Roman"/>
          <w:sz w:val="15"/>
          <w:szCs w:val="15"/>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 to-EBITDA ratios to determine, among other considerations, the appropriate targets for capital expenditures and share repurchases under our share repurchase programs. Our debt-to-total-capital ratio decreased to 49% at September 30, 2025, as compared to 57% at December 31, 2024.</w:t>
      </w:r>
    </w:p>
    <w:p>
      <w:pPr>
        <w:spacing w:after="0" w:line="190" w:lineRule="exact"/>
        <w:rPr>
          <w:sz w:val="20"/>
          <w:szCs w:val="20"/>
          <w:color w:val="auto"/>
        </w:rPr>
      </w:pPr>
    </w:p>
    <w:p>
      <w:pPr>
        <w:jc w:val="both"/>
        <w:ind w:right="20" w:firstLine="214"/>
        <w:spacing w:after="0" w:line="260" w:lineRule="auto"/>
        <w:rPr>
          <w:sz w:val="20"/>
          <w:szCs w:val="20"/>
          <w:color w:val="auto"/>
        </w:rPr>
      </w:pPr>
      <w:r>
        <w:rPr>
          <w:rFonts w:ascii="Times New Roman" w:cs="Times New Roman" w:eastAsia="Times New Roman" w:hAnsi="Times New Roman"/>
          <w:sz w:val="15"/>
          <w:szCs w:val="15"/>
          <w:color w:val="auto"/>
        </w:rPr>
        <w:t>As of September 30, 2025, our senior credit ratings were Baa1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Liquidity</w:t>
      </w:r>
    </w:p>
    <w:p>
      <w:pPr>
        <w:spacing w:after="0" w:line="235" w:lineRule="exact"/>
        <w:rPr>
          <w:sz w:val="20"/>
          <w:szCs w:val="20"/>
          <w:color w:val="auto"/>
        </w:rPr>
      </w:pPr>
    </w:p>
    <w:p>
      <w:pPr>
        <w:jc w:val="both"/>
        <w:ind w:right="20" w:firstLine="214"/>
        <w:spacing w:after="0" w:line="254" w:lineRule="auto"/>
        <w:rPr>
          <w:sz w:val="20"/>
          <w:szCs w:val="20"/>
          <w:color w:val="auto"/>
        </w:rPr>
      </w:pPr>
      <w:r>
        <w:rPr>
          <w:rFonts w:ascii="Times New Roman" w:cs="Times New Roman" w:eastAsia="Times New Roman" w:hAnsi="Times New Roman"/>
          <w:sz w:val="15"/>
          <w:szCs w:val="15"/>
          <w:color w:val="auto"/>
        </w:rPr>
        <w:t>We believe our cash and cash equivalents of $52.9 million, future cash generated from operations and available borrowing capacity are sufficient to fund operations, planned capital expenditures, future contractual obligations, potential share repurchases and dividends, and other needs in the foreseeable future. In October 2025, we acquired Duro Dyne Buyer, Inc. and Sealed Unit Parts Buyer, Inc. for approximately $546.3 million and borrowed $300 million under a new term loan. For more information, see Note 13 in the Notes to the Consolidated Financial Statements. Included in our cash and cash equivalents of $ 52.9 million as of September 30, 2025 was $31.1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Guarantees Related to Our Debt Obligations</w:t>
      </w:r>
    </w:p>
    <w:p>
      <w:pPr>
        <w:spacing w:after="0" w:line="23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Our senior unsecured notes were issued by Lennox International Inc. ("Parent") and are unconditionally guaranteed by the Guarantor Subsidiaries (and together with Lennox International Inc., the “Obligor Group”). The Guarantor Subsidiaries are 100% owned and consolidated, all guarantees are full and unconditional, and all guarantees are joint and several.</w:t>
      </w:r>
    </w:p>
    <w:p>
      <w:pPr>
        <w:spacing w:after="0" w:line="186"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5"/>
          <w:szCs w:val="15"/>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31" w:name="page32"/>
    <w:bookmarkEnd w:id="31"/>
    <w:p>
      <w:pPr>
        <w:ind w:firstLine="214"/>
        <w:spacing w:after="0" w:line="285" w:lineRule="auto"/>
        <w:rPr>
          <w:sz w:val="20"/>
          <w:szCs w:val="20"/>
          <w:color w:val="auto"/>
        </w:rPr>
      </w:pPr>
      <w:r>
        <w:rPr>
          <w:rFonts w:ascii="Times New Roman" w:cs="Times New Roman" w:eastAsia="Times New Roman" w:hAnsi="Times New Roman"/>
          <w:sz w:val="15"/>
          <w:szCs w:val="15"/>
          <w:color w:val="auto"/>
        </w:rPr>
        <w:t>The following combined Parent and Guarantor Subsidiaries financial information is presented as of September 30, 2025 and December 31, 2024 and for the nine months ended September 30, 2025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1,666.7</w:t>
            </w:r>
          </w:p>
        </w:tc>
        <w:tc>
          <w:tcPr>
            <w:tcW w:w="4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1,713.9</w:t>
            </w:r>
          </w:p>
        </w:tc>
      </w:tr>
      <w:tr>
        <w:trPr>
          <w:trHeight w:val="202"/>
        </w:trPr>
        <w:tc>
          <w:tcPr>
            <w:tcW w:w="6120" w:type="dxa"/>
            <w:vAlign w:val="bottom"/>
          </w:tcPr>
          <w:p>
            <w:pPr>
              <w:ind w:left="20"/>
              <w:spacing w:after="0" w:line="202" w:lineRule="exact"/>
              <w:rPr>
                <w:sz w:val="20"/>
                <w:szCs w:val="20"/>
                <w:color w:val="auto"/>
              </w:rPr>
            </w:pPr>
            <w:r>
              <w:rPr>
                <w:rFonts w:ascii="Times New Roman" w:cs="Times New Roman" w:eastAsia="Times New Roman" w:hAnsi="Times New Roman"/>
                <w:sz w:val="15"/>
                <w:szCs w:val="15"/>
                <w:color w:val="auto"/>
              </w:rPr>
              <w:t>Non-current assets</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1,241.3</w:t>
            </w:r>
          </w:p>
        </w:tc>
      </w:tr>
      <w:tr>
        <w:trPr>
          <w:trHeight w:val="20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1,084.9</w:t>
            </w:r>
          </w:p>
        </w:tc>
      </w:tr>
      <w:tr>
        <w:trPr>
          <w:trHeight w:val="201"/>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liabilities</w:t>
            </w:r>
          </w:p>
        </w:tc>
        <w:tc>
          <w:tcPr>
            <w:tcW w:w="28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1,286.5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1,266.8</w:t>
            </w: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Amounts due to non-Guarantor Subsidiaries</w:t>
            </w: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(536.8)</w:t>
            </w:r>
          </w:p>
        </w:tc>
      </w:tr>
      <w:tr>
        <w:trPr>
          <w:trHeight w:val="214"/>
        </w:trPr>
        <w:tc>
          <w:tcPr>
            <w:tcW w:w="612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r>
      <w:tr>
        <w:trPr>
          <w:trHeight w:val="142"/>
        </w:trPr>
        <w:tc>
          <w:tcPr>
            <w:tcW w:w="612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90"/>
        </w:trPr>
        <w:tc>
          <w:tcPr>
            <w:tcW w:w="6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3,947.6</w:t>
            </w:r>
          </w:p>
        </w:tc>
        <w:tc>
          <w:tcPr>
            <w:tcW w:w="420" w:type="dxa"/>
            <w:vAlign w:val="bottom"/>
            <w:gridSpan w:val="2"/>
          </w:tcPr>
          <w:p>
            <w:pPr>
              <w:jc w:val="right"/>
              <w:ind w:right="129"/>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5,265.6</w:t>
            </w:r>
          </w:p>
        </w:tc>
      </w:tr>
      <w:tr>
        <w:trPr>
          <w:trHeight w:val="20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1,058.4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1,363.9</w:t>
            </w:r>
          </w:p>
        </w:tc>
      </w:tr>
      <w:tr>
        <w:trPr>
          <w:trHeight w:val="282"/>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732.9</w:t>
            </w:r>
          </w:p>
        </w:tc>
      </w:tr>
    </w:tbl>
    <w:p>
      <w:pPr>
        <w:spacing w:after="0" w:line="206"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Updates previously disclosed amounts to reflect elimination of intercompany assets and net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 Balance Sheet Arrangements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We have no off-balance sheet arrangements that we believe may have a material current or future effect on our financial condition, liquidity or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 Contingencies, and Guarantees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For information regarding our commitments, contingencies, and guarantees, see Note 4 in the Notes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There were no recent accounting pronouncements that are expected to have a material impact on our financial statements and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3. </w:t>
      </w:r>
      <w:r>
        <w:rPr>
          <w:rFonts w:ascii="Times New Roman" w:cs="Times New Roman" w:eastAsia="Times New Roman" w:hAnsi="Times New Roman"/>
          <w:sz w:val="15"/>
          <w:szCs w:val="15"/>
          <w:b w:val="1"/>
          <w:bCs w:val="1"/>
          <w:i w:val="1"/>
          <w:iCs w:val="1"/>
          <w:color w:val="auto"/>
        </w:rPr>
        <w:t>Quantitative and Qualitative Disclosures About Market Risk</w:t>
      </w:r>
    </w:p>
    <w:p>
      <w:pPr>
        <w:spacing w:after="0" w:line="26" w:lineRule="exact"/>
        <w:rPr>
          <w:sz w:val="20"/>
          <w:szCs w:val="20"/>
          <w:color w:val="auto"/>
        </w:rPr>
      </w:pPr>
    </w:p>
    <w:p>
      <w:pPr>
        <w:ind w:right="20" w:firstLine="214"/>
        <w:spacing w:after="0" w:line="263" w:lineRule="auto"/>
        <w:rPr>
          <w:sz w:val="20"/>
          <w:szCs w:val="20"/>
          <w:color w:val="auto"/>
        </w:rPr>
      </w:pPr>
      <w:r>
        <w:rPr>
          <w:rFonts w:ascii="Times New Roman" w:cs="Times New Roman" w:eastAsia="Times New Roman" w:hAnsi="Times New Roman"/>
          <w:sz w:val="15"/>
          <w:szCs w:val="15"/>
          <w:color w:val="auto"/>
        </w:rPr>
        <w:t>For quantitative and qualitative disclosures about market risk affecting LII, see "Quantitative and Qualitative Disclosures About Market Risk" in Item 7A of Part II of our Annual Report on Form 10-K for the fiscal year ended December 31, 2024. Our exposure to market risk has not changed materially since December 31, 2024.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5" w:right="66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 xml:space="preserve">Item 4. </w:t>
      </w:r>
      <w:r>
        <w:rPr>
          <w:rFonts w:ascii="Times New Roman" w:cs="Times New Roman" w:eastAsia="Times New Roman" w:hAnsi="Times New Roman"/>
          <w:sz w:val="15"/>
          <w:szCs w:val="15"/>
          <w:b w:val="1"/>
          <w:bCs w:val="1"/>
          <w:i w:val="1"/>
          <w:iCs w:val="1"/>
          <w:color w:val="auto"/>
        </w:rPr>
        <w:t>Controls and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235" w:lineRule="exact"/>
        <w:rPr>
          <w:sz w:val="20"/>
          <w:szCs w:val="20"/>
          <w:color w:val="auto"/>
        </w:rPr>
      </w:pPr>
    </w:p>
    <w:p>
      <w:pPr>
        <w:jc w:val="both"/>
        <w:ind w:firstLine="214"/>
        <w:spacing w:after="0" w:line="253" w:lineRule="auto"/>
        <w:rPr>
          <w:sz w:val="20"/>
          <w:szCs w:val="20"/>
          <w:color w:val="auto"/>
        </w:rPr>
      </w:pPr>
      <w:r>
        <w:rPr>
          <w:rFonts w:ascii="Times New Roman" w:cs="Times New Roman" w:eastAsia="Times New Roman" w:hAnsi="Times New Roman"/>
          <w:sz w:val="15"/>
          <w:szCs w:val="15"/>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2025,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235"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There were no changes in our internal control over financial reporting that materially affected, or are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 </w:t>
      </w:r>
      <w:r>
        <w:rPr>
          <w:rFonts w:ascii="Times New Roman" w:cs="Times New Roman" w:eastAsia="Times New Roman" w:hAnsi="Times New Roman"/>
          <w:sz w:val="15"/>
          <w:szCs w:val="15"/>
          <w:b w:val="1"/>
          <w:bCs w:val="1"/>
          <w:i w:val="1"/>
          <w:iCs w:val="1"/>
          <w:color w:val="auto"/>
        </w:rPr>
        <w:t>Legal Proceedings</w:t>
      </w:r>
    </w:p>
    <w:p>
      <w:pPr>
        <w:spacing w:after="0" w:line="235"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1A. </w:t>
      </w:r>
      <w:r>
        <w:rPr>
          <w:rFonts w:ascii="Times New Roman" w:cs="Times New Roman" w:eastAsia="Times New Roman" w:hAnsi="Times New Roman"/>
          <w:sz w:val="15"/>
          <w:szCs w:val="15"/>
          <w:b w:val="1"/>
          <w:bCs w:val="1"/>
          <w:i w:val="1"/>
          <w:iCs w:val="1"/>
          <w:color w:val="auto"/>
        </w:rPr>
        <w:t>Risk Factors</w:t>
      </w:r>
    </w:p>
    <w:p>
      <w:pPr>
        <w:spacing w:after="0" w:line="200" w:lineRule="exact"/>
        <w:rPr>
          <w:sz w:val="20"/>
          <w:szCs w:val="20"/>
          <w:color w:val="auto"/>
        </w:rPr>
      </w:pPr>
    </w:p>
    <w:p>
      <w:pPr>
        <w:jc w:val="both"/>
        <w:ind w:firstLine="214"/>
        <w:spacing w:after="0" w:line="266" w:lineRule="auto"/>
        <w:rPr>
          <w:sz w:val="20"/>
          <w:szCs w:val="20"/>
          <w:color w:val="auto"/>
        </w:rPr>
      </w:pPr>
      <w:r>
        <w:rPr>
          <w:rFonts w:ascii="Times New Roman" w:cs="Times New Roman" w:eastAsia="Times New Roman" w:hAnsi="Times New Roman"/>
          <w:sz w:val="15"/>
          <w:szCs w:val="15"/>
          <w:color w:val="auto"/>
        </w:rPr>
        <w:t>In addition to the other information set forth in this Quarterly Report on Form 10-Q, you should carefully consider the risk factors discussed in Part I, “Item 1A. Risk Factors” in our Annual Report on Form 10-K for the year ended December 31, 2024, which could materially affect our business, financial condition or results of operations. There have been no material changes to our risk factors from those disclosed in our Annual Report on Form 10-K for the year ended December 31, 2024.</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 xml:space="preserve">Item 2. </w:t>
      </w:r>
      <w:r>
        <w:rPr>
          <w:rFonts w:ascii="Times New Roman" w:cs="Times New Roman" w:eastAsia="Times New Roman" w:hAnsi="Times New Roman"/>
          <w:sz w:val="15"/>
          <w:szCs w:val="15"/>
          <w:b w:val="1"/>
          <w:bCs w:val="1"/>
          <w:i w:val="1"/>
          <w:iCs w:val="1"/>
          <w:color w:val="auto"/>
        </w:rPr>
        <w:t>Unregistered Sales of Equity Securities and Use of Proceeds</w:t>
      </w:r>
    </w:p>
    <w:p>
      <w:pPr>
        <w:spacing w:after="0" w:line="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In the third quarter of 2025, we purchased shares of our common stock as follows:</w:t>
      </w: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66"/>
              <w:spacing w:after="0" w:line="143"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48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right"/>
              <w:ind w:right="6"/>
              <w:spacing w:after="0" w:line="143" w:lineRule="exact"/>
              <w:rPr>
                <w:sz w:val="20"/>
                <w:szCs w:val="20"/>
                <w:color w:val="auto"/>
              </w:rPr>
            </w:pPr>
            <w:r>
              <w:rPr>
                <w:rFonts w:ascii="Times New Roman" w:cs="Times New Roman" w:eastAsia="Times New Roman" w:hAnsi="Times New Roman"/>
                <w:sz w:val="14"/>
                <w:szCs w:val="14"/>
                <w:b w:val="1"/>
                <w:bCs w:val="1"/>
                <w:color w:val="auto"/>
              </w:rPr>
              <w:t>Purchased under our Share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5"/>
              <w:spacing w:after="0" w:line="143" w:lineRule="exact"/>
              <w:rPr>
                <w:sz w:val="20"/>
                <w:szCs w:val="20"/>
                <w:color w:val="auto"/>
              </w:rPr>
            </w:pPr>
            <w:r>
              <w:rPr>
                <w:rFonts w:ascii="Times New Roman" w:cs="Times New Roman" w:eastAsia="Times New Roman" w:hAnsi="Times New Roman"/>
                <w:sz w:val="14"/>
                <w:szCs w:val="14"/>
                <w:b w:val="1"/>
                <w:bCs w:val="1"/>
                <w:color w:val="auto"/>
              </w:rPr>
              <w:t>per Share (including</w:t>
            </w:r>
          </w:p>
        </w:tc>
        <w:tc>
          <w:tcPr>
            <w:tcW w:w="200" w:type="dxa"/>
            <w:vAlign w:val="bottom"/>
          </w:tcPr>
          <w:p>
            <w:pPr>
              <w:spacing w:after="0"/>
              <w:rPr>
                <w:sz w:val="12"/>
                <w:szCs w:val="12"/>
                <w:color w:val="auto"/>
              </w:rPr>
            </w:pPr>
          </w:p>
        </w:tc>
        <w:tc>
          <w:tcPr>
            <w:tcW w:w="1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86"/>
              <w:spacing w:after="0" w:line="143" w:lineRule="exact"/>
              <w:rPr>
                <w:sz w:val="20"/>
                <w:szCs w:val="20"/>
                <w:color w:val="auto"/>
              </w:rPr>
            </w:pPr>
            <w:r>
              <w:rPr>
                <w:rFonts w:ascii="Times New Roman" w:cs="Times New Roman" w:eastAsia="Times New Roman" w:hAnsi="Times New Roman"/>
                <w:sz w:val="14"/>
                <w:szCs w:val="14"/>
                <w:b w:val="1"/>
                <w:bCs w:val="1"/>
                <w:color w:val="auto"/>
              </w:rPr>
              <w:t>Repurchase Plans</w:t>
            </w:r>
          </w:p>
        </w:tc>
        <w:tc>
          <w:tcPr>
            <w:tcW w:w="0" w:type="dxa"/>
            <w:vAlign w:val="bottom"/>
          </w:tcPr>
          <w:p>
            <w:pPr>
              <w:spacing w:after="0"/>
              <w:rPr>
                <w:sz w:val="1"/>
                <w:szCs w:val="1"/>
                <w:color w:val="auto"/>
              </w:rPr>
            </w:pPr>
          </w:p>
        </w:tc>
      </w:tr>
      <w:tr>
        <w:trPr>
          <w:trHeight w:val="190"/>
        </w:trPr>
        <w:tc>
          <w:tcPr>
            <w:tcW w:w="3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86"/>
              <w:spacing w:after="0" w:line="190" w:lineRule="exact"/>
              <w:rPr>
                <w:sz w:val="20"/>
                <w:szCs w:val="20"/>
                <w:color w:val="auto"/>
              </w:rPr>
            </w:pPr>
            <w:r>
              <w:rPr>
                <w:rFonts w:ascii="Times New Roman" w:cs="Times New Roman" w:eastAsia="Times New Roman" w:hAnsi="Times New Roman"/>
                <w:sz w:val="14"/>
                <w:szCs w:val="14"/>
                <w:b w:val="1"/>
                <w:bCs w:val="1"/>
                <w:color w:val="auto"/>
                <w:w w:val="98"/>
              </w:rPr>
              <w:t xml:space="preserve">(in millions)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9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 1 through July 31</w:t>
            </w:r>
          </w:p>
        </w:tc>
        <w:tc>
          <w:tcPr>
            <w:tcW w:w="1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23,000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616.11</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1,182.3</w:t>
            </w:r>
          </w:p>
        </w:tc>
        <w:tc>
          <w:tcPr>
            <w:tcW w:w="0" w:type="dxa"/>
            <w:vAlign w:val="bottom"/>
          </w:tcPr>
          <w:p>
            <w:pPr>
              <w:spacing w:after="0"/>
              <w:rPr>
                <w:sz w:val="1"/>
                <w:szCs w:val="1"/>
                <w:color w:val="auto"/>
              </w:rPr>
            </w:pPr>
          </w:p>
        </w:tc>
      </w:tr>
      <w:tr>
        <w:trPr>
          <w:trHeight w:val="201"/>
        </w:trPr>
        <w:tc>
          <w:tcPr>
            <w:tcW w:w="3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 1 through August 31</w:t>
            </w: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588.85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1,169.9</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1 through September 30</w:t>
            </w: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19,000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547.96</w:t>
            </w:r>
          </w:p>
        </w:tc>
        <w:tc>
          <w:tcPr>
            <w:tcW w:w="20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1,159.5</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63,000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63,000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both"/>
        <w:ind w:left="360" w:hanging="141"/>
        <w:spacing w:after="0" w:line="559" w:lineRule="auto"/>
        <w:tabs>
          <w:tab w:leader="none" w:pos="36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Since the inception of the Company’s share repurchase program in 2008, the Board has authorized share repurchases in an amount not to exceed $5.0 billion (the "Share Repurchase Plans"). The Share Repurchase Plans do not have an expiration date. See Note 5 in the Notes to the Consolidated Financial Statement for further details.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31" w:right="66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b w:val="1"/>
          <w:bCs w:val="1"/>
          <w:color w:val="auto"/>
        </w:rPr>
        <w:t xml:space="preserve">Item 5. </w:t>
      </w:r>
      <w:r>
        <w:rPr>
          <w:rFonts w:ascii="Times New Roman" w:cs="Times New Roman" w:eastAsia="Times New Roman" w:hAnsi="Times New Roman"/>
          <w:sz w:val="15"/>
          <w:szCs w:val="15"/>
          <w:b w:val="1"/>
          <w:bCs w:val="1"/>
          <w:i w:val="1"/>
          <w:iCs w:val="1"/>
          <w:color w:val="auto"/>
        </w:rPr>
        <w:t>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Term Credit Agreement</w:t>
      </w:r>
    </w:p>
    <w:p>
      <w:pPr>
        <w:spacing w:after="0" w:line="235" w:lineRule="exact"/>
        <w:rPr>
          <w:sz w:val="20"/>
          <w:szCs w:val="20"/>
          <w:color w:val="auto"/>
        </w:rPr>
      </w:pPr>
    </w:p>
    <w:p>
      <w:pPr>
        <w:jc w:val="both"/>
        <w:ind w:firstLine="214"/>
        <w:spacing w:after="0" w:line="285" w:lineRule="auto"/>
        <w:rPr>
          <w:sz w:val="20"/>
          <w:szCs w:val="20"/>
          <w:color w:val="auto"/>
        </w:rPr>
      </w:pPr>
      <w:r>
        <w:rPr>
          <w:rFonts w:ascii="Times New Roman" w:cs="Times New Roman" w:eastAsia="Times New Roman" w:hAnsi="Times New Roman"/>
          <w:sz w:val="15"/>
          <w:szCs w:val="15"/>
          <w:color w:val="auto"/>
        </w:rPr>
        <w:t>The information set forth below in this Item 5 is included herein in lieu of reporting on a Current Report on Form 8-K under Item 1.01 Entry into a Material Definitive Agreement.and Item 2.03. Creation of a Direct Financial Obligation of a Registrant.</w:t>
      </w:r>
    </w:p>
    <w:p>
      <w:pPr>
        <w:spacing w:after="0" w:line="172" w:lineRule="exact"/>
        <w:rPr>
          <w:sz w:val="20"/>
          <w:szCs w:val="20"/>
          <w:color w:val="auto"/>
        </w:rPr>
      </w:pPr>
    </w:p>
    <w:p>
      <w:pPr>
        <w:jc w:val="both"/>
        <w:ind w:right="20" w:firstLine="214"/>
        <w:spacing w:after="0" w:line="237" w:lineRule="auto"/>
        <w:rPr>
          <w:sz w:val="20"/>
          <w:szCs w:val="20"/>
          <w:color w:val="auto"/>
        </w:rPr>
      </w:pPr>
      <w:r>
        <w:rPr>
          <w:rFonts w:ascii="Times New Roman" w:cs="Times New Roman" w:eastAsia="Times New Roman" w:hAnsi="Times New Roman"/>
          <w:sz w:val="15"/>
          <w:szCs w:val="15"/>
          <w:color w:val="auto"/>
        </w:rPr>
        <w:t>On October 16, 2025, we entered into a Term Credit Agreement (the “Term Credit Agreement”) with Wells Fargo Bank, National Association, as administrative agent, and the other lenders party thereto. We borrowed $300.0 million pursuant to the Term Credit Agreement, which matures on October 16, 2027. On the same date, our subsidiaries that guarantee our obligations under the Amended Credit Agreement also entered into a Guaranty Agreement with Wells Fargo Bank, National Association, as administrative agent (the "Guaranty Agreement"), to guarantee the Term Credit Agreement. Loans under the Term Credit Agreement bear interest at the Company’s election at a rate per annum equal to (i) a forward- looking term rate based on the secured overnight financing rate for the applicable interest period ("Term SOFR"), plus an applicable margin ranging between 0.90% and 1.025% per annum depending on our long- 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w:t>
      </w:r>
    </w:p>
    <w:p>
      <w:pPr>
        <w:spacing w:after="0" w:line="192" w:lineRule="exact"/>
        <w:rPr>
          <w:sz w:val="20"/>
          <w:szCs w:val="20"/>
          <w:color w:val="auto"/>
        </w:rPr>
      </w:pPr>
    </w:p>
    <w:p>
      <w:pPr>
        <w:jc w:val="both"/>
        <w:ind w:right="40" w:firstLine="214"/>
        <w:spacing w:after="0" w:line="260" w:lineRule="auto"/>
        <w:rPr>
          <w:sz w:val="20"/>
          <w:szCs w:val="20"/>
          <w:color w:val="auto"/>
        </w:rPr>
      </w:pPr>
      <w:r>
        <w:rPr>
          <w:rFonts w:ascii="Times New Roman" w:cs="Times New Roman" w:eastAsia="Times New Roman" w:hAnsi="Times New Roman"/>
          <w:sz w:val="15"/>
          <w:szCs w:val="15"/>
          <w:color w:val="auto"/>
        </w:rPr>
        <w:t>The Term Credit Agreement contains customary covenants and events of default that are substantially similar to the existing covenants and events of default in our Amended Credit Agreement. A copy of the Term Credit Agreement and the Guaranty Agreement are filed as Exhibit 10.1 and 10.2 hereto. The foregoing description of the Term Credit Agreement and the Guaranty Agreement does not purport to be complete and is qualified in its entirety by reference to the full text of the Term Credit Agreement and the Guaranty Agreement, which are incorporated by reference herein.</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Rule 10b5-1 Plan Elections</w:t>
      </w:r>
    </w:p>
    <w:p>
      <w:pPr>
        <w:spacing w:after="0" w:line="283" w:lineRule="exact"/>
        <w:rPr>
          <w:sz w:val="20"/>
          <w:szCs w:val="20"/>
          <w:color w:val="auto"/>
        </w:rPr>
      </w:pPr>
    </w:p>
    <w:p>
      <w:pPr>
        <w:jc w:val="both"/>
        <w:ind w:right="20" w:firstLine="214"/>
        <w:spacing w:after="0" w:line="285" w:lineRule="auto"/>
        <w:rPr>
          <w:sz w:val="20"/>
          <w:szCs w:val="20"/>
          <w:color w:val="auto"/>
        </w:rPr>
      </w:pPr>
      <w:r>
        <w:rPr>
          <w:rFonts w:ascii="Times New Roman" w:cs="Times New Roman" w:eastAsia="Times New Roman" w:hAnsi="Times New Roman"/>
          <w:sz w:val="15"/>
          <w:szCs w:val="15"/>
          <w:color w:val="auto"/>
        </w:rPr>
        <w:t>During the quarter ended September 30, 2025, none of our directors or officers adopted, modified, or terminated any Rule 10b5-1 trading arrangement or non-Rule 10b5-1 trading arrangement, as such terms are defined in Item 408(a) of Regulation S-K.</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580"/>
          </w:cols>
          <w:pgMar w:left="660" w:top="1279" w:right="66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200" w:lineRule="exact"/>
        <w:rPr>
          <w:sz w:val="20"/>
          <w:szCs w:val="20"/>
          <w:color w:val="auto"/>
        </w:rPr>
      </w:pPr>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Borders>
              <w:right w:val="single" w:sz="8" w:color="CCEEFF"/>
            </w:tcBorders>
            <w:vMerge w:val="restart"/>
            <w:shd w:val="clear" w:color="auto" w:fill="CCEEFF"/>
          </w:tcPr>
          <w:p>
            <w:pPr>
              <w:spacing w:after="0"/>
              <w:rPr>
                <w:rFonts w:ascii="Times New Roman" w:cs="Times New Roman" w:eastAsia="Times New Roman" w:hAnsi="Times New Roman"/>
                <w:sz w:val="15"/>
                <w:szCs w:val="15"/>
                <w:color w:val="0000FF"/>
                <w:w w:val="95"/>
              </w:rPr>
            </w:pPr>
            <w:hyperlink r:id="rId47">
              <w:r>
                <w:rPr>
                  <w:rFonts w:ascii="Times New Roman" w:cs="Times New Roman" w:eastAsia="Times New Roman" w:hAnsi="Times New Roman"/>
                  <w:sz w:val="15"/>
                  <w:szCs w:val="15"/>
                  <w:color w:val="0000FF"/>
                  <w:w w:val="95"/>
                </w:rPr>
                <w:t>15,</w:t>
              </w:r>
            </w:hyperlink>
          </w:p>
        </w:tc>
        <w:tc>
          <w:tcPr>
            <w:tcW w:w="9200" w:type="dxa"/>
            <w:vAlign w:val="bottom"/>
            <w:gridSpan w:val="19"/>
            <w:shd w:val="clear" w:color="auto" w:fill="CCEEFF"/>
          </w:tcPr>
          <w:p>
            <w:pPr>
              <w:spacing w:after="0"/>
              <w:rPr>
                <w:rFonts w:ascii="Times New Roman" w:cs="Times New Roman" w:eastAsia="Times New Roman" w:hAnsi="Times New Roman"/>
                <w:sz w:val="15"/>
                <w:szCs w:val="15"/>
                <w:color w:val="0000FF"/>
              </w:rPr>
            </w:pPr>
            <w:hyperlink r:id="rId47">
              <w:r>
                <w:rPr>
                  <w:rFonts w:ascii="Times New Roman" w:cs="Times New Roman" w:eastAsia="Times New Roman" w:hAnsi="Times New Roman"/>
                  <w:sz w:val="15"/>
                  <w:szCs w:val="15"/>
                  <w:color w:val="0000FF"/>
                </w:rPr>
                <w:t>Restated Certificate of Incorporation of Lennox International Inc. (“LII”) (filed as Exhibit 3.1 to LII's Annual Report on Form 10-K filed on Februar</w:t>
              </w:r>
            </w:hyperlink>
          </w:p>
        </w:tc>
        <w:tc>
          <w:tcPr>
            <w:tcW w:w="0" w:type="dxa"/>
            <w:vAlign w:val="bottom"/>
          </w:tcPr>
          <w:p>
            <w:pPr>
              <w:spacing w:after="0"/>
              <w:rPr>
                <w:sz w:val="1"/>
                <w:szCs w:val="1"/>
                <w:color w:val="auto"/>
              </w:rPr>
            </w:pPr>
          </w:p>
        </w:tc>
      </w:tr>
      <w:tr>
        <w:trPr>
          <w:trHeight w:val="150"/>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0000FF"/>
              <w:right w:val="single" w:sz="8" w:color="CCEEFF"/>
            </w:tcBorders>
            <w:vMerge w:val="continue"/>
            <w:shd w:val="clear" w:color="auto" w:fill="CCEEFF"/>
          </w:tcPr>
          <w:p>
            <w:pPr>
              <w:spacing w:after="0"/>
              <w:rPr>
                <w:sz w:val="13"/>
                <w:szCs w:val="13"/>
                <w:color w:val="auto"/>
              </w:rPr>
            </w:pPr>
          </w:p>
        </w:tc>
        <w:tc>
          <w:tcPr>
            <w:tcW w:w="2720" w:type="dxa"/>
            <w:vAlign w:val="bottom"/>
            <w:tcBorders>
              <w:top w:val="single" w:sz="8" w:color="0000FF"/>
              <w:bottom w:val="single" w:sz="8" w:color="0000FF"/>
            </w:tcBorders>
            <w:gridSpan w:val="6"/>
            <w:shd w:val="clear" w:color="auto" w:fill="CCEEFF"/>
          </w:tcPr>
          <w:p>
            <w:pPr>
              <w:spacing w:after="0" w:line="134" w:lineRule="exact"/>
              <w:rPr>
                <w:rFonts w:ascii="Times New Roman" w:cs="Times New Roman" w:eastAsia="Times New Roman" w:hAnsi="Times New Roman"/>
                <w:sz w:val="15"/>
                <w:szCs w:val="15"/>
                <w:color w:val="0000FF"/>
              </w:rPr>
            </w:pPr>
            <w:hyperlink r:id="rId47">
              <w:r>
                <w:rPr>
                  <w:rFonts w:ascii="Times New Roman" w:cs="Times New Roman" w:eastAsia="Times New Roman" w:hAnsi="Times New Roman"/>
                  <w:sz w:val="15"/>
                  <w:szCs w:val="15"/>
                  <w:color w:val="0000FF"/>
                </w:rPr>
                <w:t>2022 and incorporated herein by reference).</w:t>
              </w:r>
            </w:hyperlink>
          </w:p>
        </w:tc>
        <w:tc>
          <w:tcPr>
            <w:tcW w:w="648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3.2</w:t>
            </w:r>
          </w:p>
        </w:tc>
        <w:tc>
          <w:tcPr>
            <w:tcW w:w="220" w:type="dxa"/>
            <w:vAlign w:val="bottom"/>
            <w:vMerge w:val="restart"/>
          </w:tcPr>
          <w:p>
            <w:pPr>
              <w:spacing w:after="0"/>
              <w:rPr>
                <w:rFonts w:ascii="Times New Roman" w:cs="Times New Roman" w:eastAsia="Times New Roman" w:hAnsi="Times New Roman"/>
                <w:sz w:val="15"/>
                <w:szCs w:val="15"/>
                <w:color w:val="0000FF"/>
              </w:rPr>
            </w:pPr>
            <w:hyperlink r:id="rId48">
              <w:r>
                <w:rPr>
                  <w:rFonts w:ascii="Times New Roman" w:cs="Times New Roman" w:eastAsia="Times New Roman" w:hAnsi="Times New Roman"/>
                  <w:sz w:val="15"/>
                  <w:szCs w:val="15"/>
                  <w:color w:val="0000FF"/>
                </w:rPr>
                <w:t>by</w:t>
              </w:r>
            </w:hyperlink>
          </w:p>
        </w:tc>
        <w:tc>
          <w:tcPr>
            <w:tcW w:w="9200" w:type="dxa"/>
            <w:vAlign w:val="bottom"/>
            <w:gridSpan w:val="19"/>
          </w:tcPr>
          <w:p>
            <w:pPr>
              <w:spacing w:after="0" w:line="167" w:lineRule="exact"/>
              <w:rPr>
                <w:rFonts w:ascii="Times New Roman" w:cs="Times New Roman" w:eastAsia="Times New Roman" w:hAnsi="Times New Roman"/>
                <w:sz w:val="15"/>
                <w:szCs w:val="15"/>
                <w:color w:val="0000FF"/>
              </w:rPr>
            </w:pPr>
            <w:hyperlink r:id="rId48">
              <w:r>
                <w:rPr>
                  <w:rFonts w:ascii="Times New Roman" w:cs="Times New Roman" w:eastAsia="Times New Roman" w:hAnsi="Times New Roman"/>
                  <w:sz w:val="15"/>
                  <w:szCs w:val="15"/>
                  <w:color w:val="0000FF"/>
                </w:rPr>
                <w:t>Amended and Restated Bylaws of LII (filed as Exhibit 3.2 to LII's Annual Report on Form 10-K filed on February 15, 2022 and incorporated herein</w:t>
              </w:r>
            </w:hyperlink>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120" w:type="dxa"/>
            <w:vAlign w:val="bottom"/>
            <w:tcBorders>
              <w:top w:val="single" w:sz="8" w:color="0000FF"/>
            </w:tcBorders>
            <w:gridSpan w:val="17"/>
          </w:tcPr>
          <w:p>
            <w:pPr>
              <w:spacing w:after="0" w:line="134" w:lineRule="exact"/>
              <w:rPr>
                <w:rFonts w:ascii="Times New Roman" w:cs="Times New Roman" w:eastAsia="Times New Roman" w:hAnsi="Times New Roman"/>
                <w:sz w:val="15"/>
                <w:szCs w:val="15"/>
                <w:color w:val="0000FF"/>
              </w:rPr>
            </w:pPr>
            <w:hyperlink r:id="rId48">
              <w:r>
                <w:rPr>
                  <w:rFonts w:ascii="Times New Roman" w:cs="Times New Roman" w:eastAsia="Times New Roman" w:hAnsi="Times New Roman"/>
                  <w:sz w:val="15"/>
                  <w:szCs w:val="15"/>
                  <w:color w:val="0000FF"/>
                </w:rPr>
                <w:t>reference).</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4.1</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8600" w:type="dxa"/>
            <w:vAlign w:val="bottom"/>
            <w:tcBorders>
              <w:bottom w:val="single" w:sz="8" w:color="0000FF"/>
            </w:tcBorders>
            <w:gridSpan w:val="11"/>
            <w:shd w:val="clear" w:color="auto" w:fill="CCEEFF"/>
          </w:tcPr>
          <w:p>
            <w:pPr>
              <w:spacing w:after="0"/>
              <w:rPr>
                <w:rFonts w:ascii="Times New Roman" w:cs="Times New Roman" w:eastAsia="Times New Roman" w:hAnsi="Times New Roman"/>
                <w:sz w:val="15"/>
                <w:szCs w:val="15"/>
                <w:color w:val="0000FF"/>
              </w:rPr>
            </w:pPr>
            <w:hyperlink r:id="rId49">
              <w:r>
                <w:rPr>
                  <w:rFonts w:ascii="Times New Roman" w:cs="Times New Roman" w:eastAsia="Times New Roman" w:hAnsi="Times New Roman"/>
                  <w:sz w:val="15"/>
                  <w:szCs w:val="15"/>
                  <w:color w:val="0000FF"/>
                </w:rPr>
                <w:t>Indenture, dated as of May 3, 2010, between LII and U.S. Bank National Association, as trustee (filed as Exhibit 4.3 to LII’s Post-Effective</w:t>
              </w:r>
            </w:hyperlink>
          </w:p>
        </w:tc>
        <w:tc>
          <w:tcPr>
            <w:tcW w:w="600" w:type="dxa"/>
            <w:vAlign w:val="bottom"/>
            <w:tcBorders>
              <w:bottom w:val="single" w:sz="8" w:color="CCEEFF"/>
            </w:tcBorders>
            <w:gridSpan w:val="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040" w:type="dxa"/>
            <w:vAlign w:val="bottom"/>
            <w:shd w:val="clear" w:color="auto" w:fill="CCEEFF"/>
          </w:tcPr>
          <w:p>
            <w:pPr>
              <w:spacing w:after="0"/>
              <w:rPr>
                <w:sz w:val="11"/>
                <w:szCs w:val="11"/>
                <w:color w:val="auto"/>
              </w:rPr>
            </w:pPr>
          </w:p>
        </w:tc>
        <w:tc>
          <w:tcPr>
            <w:tcW w:w="8820" w:type="dxa"/>
            <w:vAlign w:val="bottom"/>
            <w:gridSpan w:val="12"/>
            <w:shd w:val="clear" w:color="auto" w:fill="CCEEFF"/>
          </w:tcPr>
          <w:p>
            <w:pPr>
              <w:spacing w:after="0" w:line="134" w:lineRule="exact"/>
              <w:rPr>
                <w:rFonts w:ascii="Times New Roman" w:cs="Times New Roman" w:eastAsia="Times New Roman" w:hAnsi="Times New Roman"/>
                <w:sz w:val="15"/>
                <w:szCs w:val="15"/>
                <w:color w:val="0000FF"/>
              </w:rPr>
            </w:pPr>
            <w:hyperlink r:id="rId49">
              <w:r>
                <w:rPr>
                  <w:rFonts w:ascii="Times New Roman" w:cs="Times New Roman" w:eastAsia="Times New Roman" w:hAnsi="Times New Roman"/>
                  <w:sz w:val="15"/>
                  <w:szCs w:val="15"/>
                  <w:color w:val="0000FF"/>
                </w:rPr>
                <w:t>Amendment No. 1 to Registration Statement on S-3 filed on May 3, 2010 and incorporated herein by reference).</w:t>
              </w:r>
            </w:hyperlink>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2840" w:type="dxa"/>
            <w:vAlign w:val="bottom"/>
            <w:shd w:val="clear" w:color="auto" w:fill="0000FF"/>
          </w:tcPr>
          <w:p>
            <w:pPr>
              <w:spacing w:after="0"/>
              <w:rPr>
                <w:sz w:val="3"/>
                <w:szCs w:val="3"/>
                <w:color w:val="auto"/>
              </w:rPr>
            </w:pPr>
          </w:p>
        </w:tc>
        <w:tc>
          <w:tcPr>
            <w:tcW w:w="17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4.2</w:t>
            </w:r>
          </w:p>
        </w:tc>
        <w:tc>
          <w:tcPr>
            <w:tcW w:w="220" w:type="dxa"/>
            <w:vAlign w:val="bottom"/>
          </w:tcPr>
          <w:p>
            <w:pPr>
              <w:spacing w:after="0"/>
              <w:rPr>
                <w:sz w:val="14"/>
                <w:szCs w:val="14"/>
                <w:color w:val="auto"/>
              </w:rPr>
            </w:pPr>
          </w:p>
        </w:tc>
        <w:tc>
          <w:tcPr>
            <w:tcW w:w="8780" w:type="dxa"/>
            <w:vAlign w:val="bottom"/>
            <w:tcBorders>
              <w:bottom w:val="single" w:sz="8" w:color="0000FF"/>
            </w:tcBorders>
            <w:gridSpan w:val="12"/>
          </w:tcPr>
          <w:p>
            <w:pPr>
              <w:spacing w:after="0" w:line="167"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Ninth Supplemental Indenture, dated as of July 30, 2020, among LII, each existing Guarantor under the Indenture, dated as of May 3, 2010, as</w:t>
              </w:r>
            </w:hyperlink>
          </w:p>
        </w:tc>
        <w:tc>
          <w:tcPr>
            <w:tcW w:w="4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9000" w:type="dxa"/>
            <w:vAlign w:val="bottom"/>
            <w:tcBorders>
              <w:bottom w:val="single" w:sz="8" w:color="0000FF"/>
            </w:tcBorders>
            <w:gridSpan w:val="13"/>
          </w:tcPr>
          <w:p>
            <w:pPr>
              <w:spacing w:after="0" w:line="134"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subsequently supplemented, and U.S. Bank National Association, as trustee (filed as Exhibit 4.2 to LII’s Current Report on Form 8-K filed on July</w:t>
              </w:r>
            </w:hyperlink>
          </w:p>
        </w:tc>
        <w:tc>
          <w:tcPr>
            <w:tcW w:w="280" w:type="dxa"/>
            <w:vAlign w:val="bottom"/>
            <w:tcBorders>
              <w:bottom w:val="single" w:sz="8" w:color="0000FF"/>
            </w:tcBorders>
            <w:gridSpan w:val="4"/>
          </w:tcPr>
          <w:p>
            <w:pPr>
              <w:jc w:val="right"/>
              <w:spacing w:after="0" w:line="134"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30,</w:t>
              </w:r>
            </w:hyperlink>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700" w:type="dxa"/>
            <w:vAlign w:val="bottom"/>
            <w:tcBorders>
              <w:bottom w:val="single" w:sz="8" w:color="0000FF"/>
            </w:tcBorders>
            <w:gridSpan w:val="6"/>
          </w:tcPr>
          <w:p>
            <w:pPr>
              <w:spacing w:after="0" w:line="134"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2020 and incorporated herein by reference).</w:t>
              </w:r>
            </w:hyperlink>
          </w:p>
        </w:tc>
        <w:tc>
          <w:tcPr>
            <w:tcW w:w="6580" w:type="dxa"/>
            <w:vAlign w:val="bottom"/>
            <w:gridSpan w:val="11"/>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4.3</w:t>
            </w:r>
          </w:p>
        </w:tc>
        <w:tc>
          <w:tcPr>
            <w:tcW w:w="220" w:type="dxa"/>
            <w:vAlign w:val="bottom"/>
            <w:tcBorders>
              <w:bottom w:val="single" w:sz="8" w:color="CCEEFF"/>
              <w:right w:val="single" w:sz="8" w:color="CCEEFF"/>
            </w:tcBorders>
            <w:vMerge w:val="restart"/>
            <w:shd w:val="clear" w:color="auto" w:fill="CCEEFF"/>
          </w:tcPr>
          <w:p>
            <w:pPr>
              <w:spacing w:after="0"/>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by</w:t>
              </w:r>
            </w:hyperlink>
          </w:p>
        </w:tc>
        <w:tc>
          <w:tcPr>
            <w:tcW w:w="9200" w:type="dxa"/>
            <w:vAlign w:val="bottom"/>
            <w:tcBorders>
              <w:bottom w:val="single" w:sz="8" w:color="0000FF"/>
            </w:tcBorders>
            <w:gridSpan w:val="19"/>
            <w:shd w:val="clear" w:color="auto" w:fill="CCEEFF"/>
          </w:tcPr>
          <w:p>
            <w:pPr>
              <w:spacing w:after="0"/>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Form of 1.700% Notes due 2027 (filed as Exhibit B in Exhibit 4.2 to LII’s Current Report on Form 8-K filed on July 30, 2020 and incorporated herei</w:t>
              </w:r>
            </w:hyperlink>
          </w:p>
        </w:tc>
        <w:tc>
          <w:tcPr>
            <w:tcW w:w="0" w:type="dxa"/>
            <w:vAlign w:val="bottom"/>
          </w:tcPr>
          <w:p>
            <w:pPr>
              <w:spacing w:after="0"/>
              <w:rPr>
                <w:sz w:val="1"/>
                <w:szCs w:val="1"/>
                <w:color w:val="auto"/>
              </w:rPr>
            </w:pPr>
          </w:p>
        </w:tc>
      </w:tr>
      <w:tr>
        <w:trPr>
          <w:trHeight w:val="134"/>
        </w:trPr>
        <w:tc>
          <w:tcPr>
            <w:tcW w:w="1040" w:type="dxa"/>
            <w:vAlign w:val="bottom"/>
            <w:shd w:val="clear" w:color="auto" w:fill="CCEEFF"/>
          </w:tcPr>
          <w:p>
            <w:pPr>
              <w:spacing w:after="0"/>
              <w:rPr>
                <w:sz w:val="11"/>
                <w:szCs w:val="11"/>
                <w:color w:val="auto"/>
              </w:rPr>
            </w:pP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9200" w:type="dxa"/>
            <w:vAlign w:val="bottom"/>
            <w:gridSpan w:val="19"/>
            <w:shd w:val="clear" w:color="auto" w:fill="CCEEFF"/>
          </w:tcPr>
          <w:p>
            <w:pPr>
              <w:spacing w:after="0" w:line="134"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reference).</w:t>
              </w:r>
            </w:hyperlink>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2840" w:type="dxa"/>
            <w:vAlign w:val="bottom"/>
            <w:shd w:val="clear" w:color="auto" w:fill="CCEEFF"/>
          </w:tcPr>
          <w:p>
            <w:pPr>
              <w:spacing w:after="0"/>
              <w:rPr>
                <w:sz w:val="3"/>
                <w:szCs w:val="3"/>
                <w:color w:val="auto"/>
              </w:rPr>
            </w:pPr>
          </w:p>
        </w:tc>
        <w:tc>
          <w:tcPr>
            <w:tcW w:w="17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4.4</w:t>
            </w:r>
          </w:p>
        </w:tc>
        <w:tc>
          <w:tcPr>
            <w:tcW w:w="220" w:type="dxa"/>
            <w:vAlign w:val="bottom"/>
          </w:tcPr>
          <w:p>
            <w:pPr>
              <w:spacing w:after="0"/>
              <w:rPr>
                <w:sz w:val="14"/>
                <w:szCs w:val="14"/>
                <w:color w:val="auto"/>
              </w:rPr>
            </w:pPr>
          </w:p>
        </w:tc>
        <w:tc>
          <w:tcPr>
            <w:tcW w:w="8800" w:type="dxa"/>
            <w:vAlign w:val="bottom"/>
            <w:tcBorders>
              <w:bottom w:val="single" w:sz="8" w:color="0000FF"/>
            </w:tcBorders>
            <w:gridSpan w:val="13"/>
          </w:tcPr>
          <w:p>
            <w:pPr>
              <w:spacing w:after="0" w:line="167"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Tenth Supplemental Indenture, dated as of July 14, 2021, among LII, each existing Guarantor under the Indenture, dated as of May 3, 2010, as</w:t>
              </w:r>
            </w:hyperlink>
          </w:p>
        </w:tc>
        <w:tc>
          <w:tcPr>
            <w:tcW w:w="4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9420" w:type="dxa"/>
            <w:vAlign w:val="bottom"/>
            <w:gridSpan w:val="20"/>
          </w:tcPr>
          <w:p>
            <w:pPr>
              <w:spacing w:after="0" w:line="134"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subsequently supplemented, and U.S. Bank National Association, as trustee (filed as Exhibit 4.7 to LII's Annual Report on Form 10-K filed on February</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7"/>
          </w:tcPr>
          <w:p>
            <w:pPr>
              <w:spacing w:after="0" w:line="134"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15, 2022 and incorporated herein by reference).</w:t>
              </w:r>
            </w:hyperlink>
          </w:p>
        </w:tc>
        <w:tc>
          <w:tcPr>
            <w:tcW w:w="64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4.5</w:t>
            </w:r>
          </w:p>
        </w:tc>
        <w:tc>
          <w:tcPr>
            <w:tcW w:w="220" w:type="dxa"/>
            <w:vAlign w:val="bottom"/>
            <w:tcBorders>
              <w:right w:val="single" w:sz="8" w:color="CCEEFF"/>
            </w:tcBorders>
            <w:shd w:val="clear" w:color="auto" w:fill="CCEEFF"/>
          </w:tcPr>
          <w:p>
            <w:pPr>
              <w:spacing w:after="0"/>
              <w:rPr>
                <w:sz w:val="15"/>
                <w:szCs w:val="15"/>
                <w:color w:val="auto"/>
              </w:rPr>
            </w:pPr>
          </w:p>
        </w:tc>
        <w:tc>
          <w:tcPr>
            <w:tcW w:w="9200" w:type="dxa"/>
            <w:vAlign w:val="bottom"/>
            <w:gridSpan w:val="19"/>
            <w:shd w:val="clear" w:color="auto" w:fill="CCEEFF"/>
          </w:tcPr>
          <w:p>
            <w:pPr>
              <w:spacing w:after="0"/>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Eleventh Supplemental Indenture, dated as of September 15, 2023, among LII, the guarantors party thereto and U.S. Bank Trust Company, National</w:t>
              </w:r>
            </w:hyperlink>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220" w:type="dxa"/>
            <w:vAlign w:val="bottom"/>
            <w:tcBorders>
              <w:right w:val="single" w:sz="8" w:color="0000FF"/>
            </w:tcBorders>
            <w:shd w:val="clear" w:color="auto" w:fill="CCEE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40" w:type="dxa"/>
            <w:vAlign w:val="bottom"/>
            <w:shd w:val="clear" w:color="auto" w:fill="CCEEFF"/>
          </w:tcPr>
          <w:p>
            <w:pPr>
              <w:spacing w:after="0"/>
              <w:rPr>
                <w:sz w:val="11"/>
                <w:szCs w:val="11"/>
                <w:color w:val="auto"/>
              </w:rPr>
            </w:pPr>
          </w:p>
        </w:tc>
        <w:tc>
          <w:tcPr>
            <w:tcW w:w="9340" w:type="dxa"/>
            <w:vAlign w:val="bottom"/>
            <w:gridSpan w:val="18"/>
            <w:shd w:val="clear" w:color="auto" w:fill="CCEEFF"/>
          </w:tcPr>
          <w:p>
            <w:pPr>
              <w:spacing w:after="0" w:line="134"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Association, as trustee (filed as Exhibit 4.2 to LII's Current Report on Form 8-K filed on September 15, 2023 and incorporated herein by reference).</w:t>
              </w:r>
            </w:hyperlink>
          </w:p>
        </w:tc>
        <w:tc>
          <w:tcPr>
            <w:tcW w:w="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2840" w:type="dxa"/>
            <w:vAlign w:val="bottom"/>
            <w:shd w:val="clear" w:color="auto" w:fill="0000FF"/>
          </w:tcPr>
          <w:p>
            <w:pPr>
              <w:spacing w:after="0"/>
              <w:rPr>
                <w:sz w:val="3"/>
                <w:szCs w:val="3"/>
                <w:color w:val="auto"/>
              </w:rPr>
            </w:pPr>
          </w:p>
        </w:tc>
        <w:tc>
          <w:tcPr>
            <w:tcW w:w="174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4.6</w:t>
            </w:r>
          </w:p>
        </w:tc>
        <w:tc>
          <w:tcPr>
            <w:tcW w:w="220" w:type="dxa"/>
            <w:vAlign w:val="bottom"/>
          </w:tcPr>
          <w:p>
            <w:pPr>
              <w:spacing w:after="0"/>
              <w:rPr>
                <w:sz w:val="14"/>
                <w:szCs w:val="14"/>
                <w:color w:val="auto"/>
              </w:rPr>
            </w:pPr>
          </w:p>
        </w:tc>
        <w:tc>
          <w:tcPr>
            <w:tcW w:w="9200" w:type="dxa"/>
            <w:vAlign w:val="bottom"/>
            <w:tcBorders>
              <w:bottom w:val="single" w:sz="8" w:color="0000FF"/>
            </w:tcBorders>
            <w:gridSpan w:val="19"/>
          </w:tcPr>
          <w:p>
            <w:pPr>
              <w:spacing w:after="0" w:line="167"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Form of 5.500% Notes due 2028 (filed as Exhibit A in Exhibit 4.2 to LII's Current Report on Form 8-K filed on September 15, 2023 and incorporate</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80" w:type="dxa"/>
            <w:vAlign w:val="bottom"/>
            <w:tcBorders>
              <w:bottom w:val="single" w:sz="8" w:color="0000FF"/>
            </w:tcBorders>
            <w:gridSpan w:val="3"/>
          </w:tcPr>
          <w:p>
            <w:pPr>
              <w:spacing w:after="0" w:line="134"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herein by reference).</w:t>
              </w:r>
            </w:hyperlink>
          </w:p>
        </w:tc>
        <w:tc>
          <w:tcPr>
            <w:tcW w:w="814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898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Term Credit Agreement, dated as of October 16, 2025, among LII, Wells Fargo Bank, National Association, as administrative agent and the other</w:t>
              </w:r>
            </w:hyperlink>
          </w:p>
        </w:tc>
        <w:tc>
          <w:tcPr>
            <w:tcW w:w="22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4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0000FF"/>
            </w:tcBorders>
            <w:gridSpan w:val="5"/>
            <w:shd w:val="clear" w:color="auto" w:fill="CCEEFF"/>
          </w:tcPr>
          <w:p>
            <w:pPr>
              <w:spacing w:after="0" w:line="134"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lenders party thereto (filed herewith).</w:t>
              </w:r>
            </w:hyperlink>
          </w:p>
        </w:tc>
        <w:tc>
          <w:tcPr>
            <w:tcW w:w="6900" w:type="dxa"/>
            <w:vAlign w:val="bottom"/>
            <w:tcBorders>
              <w:bottom w:val="single" w:sz="8" w:color="CCEEFF"/>
            </w:tcBorders>
            <w:gridSpan w:val="11"/>
            <w:shd w:val="clear" w:color="auto" w:fill="CCEEFF"/>
          </w:tcPr>
          <w:p>
            <w:pPr>
              <w:spacing w:after="0"/>
              <w:rPr>
                <w:sz w:val="13"/>
                <w:szCs w:val="13"/>
                <w:color w:val="auto"/>
              </w:rPr>
            </w:pPr>
          </w:p>
        </w:tc>
        <w:tc>
          <w:tcPr>
            <w:tcW w:w="22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10.2</w:t>
            </w:r>
          </w:p>
        </w:tc>
        <w:tc>
          <w:tcPr>
            <w:tcW w:w="220" w:type="dxa"/>
            <w:vAlign w:val="bottom"/>
          </w:tcPr>
          <w:p>
            <w:pPr>
              <w:spacing w:after="0"/>
              <w:rPr>
                <w:sz w:val="14"/>
                <w:szCs w:val="14"/>
                <w:color w:val="auto"/>
              </w:rPr>
            </w:pPr>
          </w:p>
        </w:tc>
        <w:tc>
          <w:tcPr>
            <w:tcW w:w="9200" w:type="dxa"/>
            <w:vAlign w:val="bottom"/>
            <w:gridSpan w:val="19"/>
          </w:tcPr>
          <w:p>
            <w:pPr>
              <w:spacing w:after="0" w:line="167"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Guaranty Agreement, dated as of October 16, 2025, among the guarantors party thereto and Wells Fargo Bank, National Association, as</w:t>
              </w:r>
            </w:hyperlink>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40" w:type="dxa"/>
            <w:vAlign w:val="bottom"/>
            <w:tcBorders>
              <w:top w:val="single" w:sz="8" w:color="0000FF"/>
            </w:tcBorders>
            <w:gridSpan w:val="10"/>
          </w:tcPr>
          <w:p>
            <w:pPr>
              <w:spacing w:after="0" w:line="134"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administrative agent (filed herewith).</w:t>
              </w:r>
            </w:hyperlink>
          </w:p>
        </w:tc>
        <w:tc>
          <w:tcPr>
            <w:tcW w:w="76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22.1</w:t>
            </w:r>
          </w:p>
        </w:tc>
        <w:tc>
          <w:tcPr>
            <w:tcW w:w="220" w:type="dxa"/>
            <w:vAlign w:val="bottom"/>
            <w:tcBorders>
              <w:right w:val="single" w:sz="8" w:color="CCEEFF"/>
            </w:tcBorders>
            <w:shd w:val="clear" w:color="auto" w:fill="CCEEFF"/>
          </w:tcPr>
          <w:p>
            <w:pPr>
              <w:spacing w:after="0"/>
              <w:rPr>
                <w:sz w:val="15"/>
                <w:szCs w:val="15"/>
                <w:color w:val="auto"/>
              </w:rPr>
            </w:pPr>
          </w:p>
        </w:tc>
        <w:tc>
          <w:tcPr>
            <w:tcW w:w="9200" w:type="dxa"/>
            <w:vAlign w:val="bottom"/>
            <w:gridSpan w:val="19"/>
            <w:shd w:val="clear" w:color="auto" w:fill="CCEEFF"/>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List of Guarantor Subsidiaries (filed herewith)</w:t>
              </w:r>
            </w:hyperlink>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2840" w:type="dxa"/>
            <w:vAlign w:val="bottom"/>
            <w:shd w:val="clear" w:color="auto" w:fill="CCEEFF"/>
          </w:tcPr>
          <w:p>
            <w:pPr>
              <w:spacing w:after="0"/>
              <w:rPr>
                <w:sz w:val="3"/>
                <w:szCs w:val="3"/>
                <w:color w:val="auto"/>
              </w:rPr>
            </w:pPr>
          </w:p>
        </w:tc>
        <w:tc>
          <w:tcPr>
            <w:tcW w:w="17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31.1</w:t>
            </w:r>
          </w:p>
        </w:tc>
        <w:tc>
          <w:tcPr>
            <w:tcW w:w="220" w:type="dxa"/>
            <w:vAlign w:val="bottom"/>
          </w:tcPr>
          <w:p>
            <w:pPr>
              <w:spacing w:after="0"/>
              <w:rPr>
                <w:sz w:val="14"/>
                <w:szCs w:val="14"/>
                <w:color w:val="auto"/>
              </w:rPr>
            </w:pPr>
          </w:p>
        </w:tc>
        <w:tc>
          <w:tcPr>
            <w:tcW w:w="9200" w:type="dxa"/>
            <w:vAlign w:val="bottom"/>
            <w:gridSpan w:val="19"/>
          </w:tcPr>
          <w:p>
            <w:pPr>
              <w:spacing w:after="0" w:line="167" w:lineRule="exact"/>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Certification of the principal executive officer (filed herewith)</w:t>
              </w:r>
            </w:hyperlink>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80" w:type="dxa"/>
            <w:vAlign w:val="bottom"/>
            <w:tcBorders>
              <w:right w:val="single" w:sz="8" w:color="0000FF"/>
            </w:tcBorders>
            <w:shd w:val="clear" w:color="auto" w:fill="0000FF"/>
          </w:tcPr>
          <w:p>
            <w:pPr>
              <w:spacing w:after="0"/>
              <w:rPr>
                <w:sz w:val="2"/>
                <w:szCs w:val="2"/>
                <w:color w:val="auto"/>
              </w:rPr>
            </w:pPr>
          </w:p>
        </w:tc>
        <w:tc>
          <w:tcPr>
            <w:tcW w:w="2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31.2</w:t>
            </w:r>
          </w:p>
        </w:tc>
        <w:tc>
          <w:tcPr>
            <w:tcW w:w="220" w:type="dxa"/>
            <w:vAlign w:val="bottom"/>
            <w:tcBorders>
              <w:right w:val="single" w:sz="8" w:color="CCEEFF"/>
            </w:tcBorders>
            <w:shd w:val="clear" w:color="auto" w:fill="CCEEFF"/>
          </w:tcPr>
          <w:p>
            <w:pPr>
              <w:spacing w:after="0"/>
              <w:rPr>
                <w:sz w:val="15"/>
                <w:szCs w:val="15"/>
                <w:color w:val="auto"/>
              </w:rPr>
            </w:pPr>
          </w:p>
        </w:tc>
        <w:tc>
          <w:tcPr>
            <w:tcW w:w="9200" w:type="dxa"/>
            <w:vAlign w:val="bottom"/>
            <w:gridSpan w:val="19"/>
            <w:shd w:val="clear" w:color="auto" w:fill="CCEEFF"/>
          </w:tcPr>
          <w:p>
            <w:pPr>
              <w:spacing w:after="0"/>
              <w:rPr>
                <w:rFonts w:ascii="Times New Roman" w:cs="Times New Roman" w:eastAsia="Times New Roman" w:hAnsi="Times New Roman"/>
                <w:sz w:val="15"/>
                <w:szCs w:val="15"/>
                <w:color w:val="0000FF"/>
              </w:rPr>
            </w:pPr>
            <w:hyperlink w:anchor="page156">
              <w:r>
                <w:rPr>
                  <w:rFonts w:ascii="Times New Roman" w:cs="Times New Roman" w:eastAsia="Times New Roman" w:hAnsi="Times New Roman"/>
                  <w:sz w:val="15"/>
                  <w:szCs w:val="15"/>
                  <w:color w:val="0000FF"/>
                </w:rPr>
                <w:t>Certification of the principal financial officer (filed herewith)</w:t>
              </w:r>
            </w:hyperlink>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36"/>
        </w:trPr>
        <w:tc>
          <w:tcPr>
            <w:tcW w:w="10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980" w:type="dxa"/>
            <w:vAlign w:val="bottom"/>
            <w:tcBorders>
              <w:right w:val="single" w:sz="8" w:color="CCEEFF"/>
            </w:tcBorders>
            <w:shd w:val="clear" w:color="auto" w:fill="0000FF"/>
          </w:tcPr>
          <w:p>
            <w:pPr>
              <w:spacing w:after="0"/>
              <w:rPr>
                <w:sz w:val="3"/>
                <w:szCs w:val="3"/>
                <w:color w:val="auto"/>
              </w:rPr>
            </w:pPr>
          </w:p>
        </w:tc>
        <w:tc>
          <w:tcPr>
            <w:tcW w:w="2840" w:type="dxa"/>
            <w:vAlign w:val="bottom"/>
            <w:shd w:val="clear" w:color="auto" w:fill="CCEEFF"/>
          </w:tcPr>
          <w:p>
            <w:pPr>
              <w:spacing w:after="0"/>
              <w:rPr>
                <w:sz w:val="3"/>
                <w:szCs w:val="3"/>
                <w:color w:val="auto"/>
              </w:rPr>
            </w:pPr>
          </w:p>
        </w:tc>
        <w:tc>
          <w:tcPr>
            <w:tcW w:w="17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040" w:type="dxa"/>
            <w:vAlign w:val="bottom"/>
          </w:tcPr>
          <w:p>
            <w:pPr>
              <w:ind w:left="220"/>
              <w:spacing w:after="0" w:line="167" w:lineRule="exact"/>
              <w:rPr>
                <w:sz w:val="20"/>
                <w:szCs w:val="20"/>
                <w:color w:val="auto"/>
              </w:rPr>
            </w:pPr>
            <w:r>
              <w:rPr>
                <w:rFonts w:ascii="Times New Roman" w:cs="Times New Roman" w:eastAsia="Times New Roman" w:hAnsi="Times New Roman"/>
                <w:sz w:val="15"/>
                <w:szCs w:val="15"/>
                <w:color w:val="auto"/>
              </w:rPr>
              <w:t>32.1</w:t>
            </w:r>
          </w:p>
        </w:tc>
        <w:tc>
          <w:tcPr>
            <w:tcW w:w="220" w:type="dxa"/>
            <w:vAlign w:val="bottom"/>
          </w:tcPr>
          <w:p>
            <w:pPr>
              <w:spacing w:after="0"/>
              <w:rPr>
                <w:sz w:val="14"/>
                <w:szCs w:val="14"/>
                <w:color w:val="auto"/>
              </w:rPr>
            </w:pPr>
          </w:p>
        </w:tc>
        <w:tc>
          <w:tcPr>
            <w:tcW w:w="9200" w:type="dxa"/>
            <w:vAlign w:val="bottom"/>
            <w:gridSpan w:val="19"/>
          </w:tcPr>
          <w:p>
            <w:pPr>
              <w:spacing w:after="0" w:line="167" w:lineRule="exact"/>
              <w:rPr>
                <w:rFonts w:ascii="Times New Roman" w:cs="Times New Roman" w:eastAsia="Times New Roman" w:hAnsi="Times New Roman"/>
                <w:sz w:val="15"/>
                <w:szCs w:val="15"/>
                <w:color w:val="0000FF"/>
              </w:rPr>
            </w:pPr>
            <w:hyperlink w:anchor="page158">
              <w:r>
                <w:rPr>
                  <w:rFonts w:ascii="Times New Roman" w:cs="Times New Roman" w:eastAsia="Times New Roman" w:hAnsi="Times New Roman"/>
                  <w:sz w:val="15"/>
                  <w:szCs w:val="15"/>
                  <w:color w:val="0000FF"/>
                </w:rPr>
                <w:t>Certification of the principal executive officer and the principal financial officer pursuant to 18 U.S.C. Section 1350 (furnished herewith)</w:t>
              </w:r>
            </w:hyperlink>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80" w:type="dxa"/>
            <w:vAlign w:val="bottom"/>
            <w:tcBorders>
              <w:right w:val="single" w:sz="8" w:color="0000FF"/>
            </w:tcBorders>
            <w:shd w:val="clear" w:color="auto" w:fill="0000FF"/>
          </w:tcPr>
          <w:p>
            <w:pPr>
              <w:spacing w:after="0"/>
              <w:rPr>
                <w:sz w:val="2"/>
                <w:szCs w:val="2"/>
                <w:color w:val="auto"/>
              </w:rPr>
            </w:pPr>
          </w:p>
        </w:tc>
        <w:tc>
          <w:tcPr>
            <w:tcW w:w="2840" w:type="dxa"/>
            <w:vAlign w:val="bottom"/>
            <w:shd w:val="clear" w:color="auto" w:fill="0000FF"/>
          </w:tcPr>
          <w:p>
            <w:pPr>
              <w:spacing w:after="0"/>
              <w:rPr>
                <w:sz w:val="2"/>
                <w:szCs w:val="2"/>
                <w:color w:val="auto"/>
              </w:rPr>
            </w:pPr>
          </w:p>
        </w:tc>
        <w:tc>
          <w:tcPr>
            <w:tcW w:w="174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right w:val="single" w:sz="8" w:color="CCEEFF"/>
            </w:tcBorders>
            <w:shd w:val="clear" w:color="auto" w:fill="CCEEFF"/>
          </w:tcPr>
          <w:p>
            <w:pPr>
              <w:spacing w:after="0"/>
              <w:rPr>
                <w:sz w:val="18"/>
                <w:szCs w:val="18"/>
                <w:color w:val="auto"/>
              </w:rPr>
            </w:pPr>
          </w:p>
        </w:tc>
        <w:tc>
          <w:tcPr>
            <w:tcW w:w="9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5"/>
                <w:szCs w:val="15"/>
                <w:color w:val="auto"/>
              </w:rPr>
              <w:t>INS Inline XBRL Instance Document</w:t>
            </w:r>
          </w:p>
        </w:tc>
        <w:tc>
          <w:tcPr>
            <w:tcW w:w="0" w:type="dxa"/>
            <w:vAlign w:val="bottom"/>
          </w:tcPr>
          <w:p>
            <w:pPr>
              <w:spacing w:after="0"/>
              <w:rPr>
                <w:sz w:val="1"/>
                <w:szCs w:val="1"/>
                <w:color w:val="auto"/>
              </w:rPr>
            </w:pPr>
          </w:p>
        </w:tc>
      </w:tr>
      <w:tr>
        <w:trPr>
          <w:trHeight w:val="201"/>
        </w:trPr>
        <w:tc>
          <w:tcPr>
            <w:tcW w:w="10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Pr>
          <w:p>
            <w:pPr>
              <w:spacing w:after="0"/>
              <w:rPr>
                <w:sz w:val="17"/>
                <w:szCs w:val="17"/>
                <w:color w:val="auto"/>
              </w:rPr>
            </w:pPr>
          </w:p>
        </w:tc>
        <w:tc>
          <w:tcPr>
            <w:tcW w:w="9200" w:type="dxa"/>
            <w:vAlign w:val="bottom"/>
            <w:gridSpan w:val="19"/>
          </w:tcPr>
          <w:p>
            <w:pPr>
              <w:spacing w:after="0"/>
              <w:rPr>
                <w:sz w:val="20"/>
                <w:szCs w:val="20"/>
                <w:color w:val="auto"/>
              </w:rPr>
            </w:pPr>
            <w:r>
              <w:rPr>
                <w:rFonts w:ascii="Times New Roman" w:cs="Times New Roman" w:eastAsia="Times New Roman" w:hAnsi="Times New Roman"/>
                <w:sz w:val="15"/>
                <w:szCs w:val="15"/>
                <w:color w:val="auto"/>
              </w:rPr>
              <w:t>SCH Inline XBRL Taxonomy Extension Schema Document</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right w:val="single" w:sz="8" w:color="CCEEFF"/>
            </w:tcBorders>
            <w:shd w:val="clear" w:color="auto" w:fill="CCEEFF"/>
          </w:tcPr>
          <w:p>
            <w:pPr>
              <w:spacing w:after="0"/>
              <w:rPr>
                <w:sz w:val="17"/>
                <w:szCs w:val="17"/>
                <w:color w:val="auto"/>
              </w:rPr>
            </w:pPr>
          </w:p>
        </w:tc>
        <w:tc>
          <w:tcPr>
            <w:tcW w:w="9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5"/>
                <w:szCs w:val="15"/>
                <w:color w:val="auto"/>
              </w:rPr>
              <w:t>CAL Inline XBRL Taxonomy Extension Calculation Linkbase Document</w:t>
            </w:r>
          </w:p>
        </w:tc>
        <w:tc>
          <w:tcPr>
            <w:tcW w:w="0" w:type="dxa"/>
            <w:vAlign w:val="bottom"/>
          </w:tcPr>
          <w:p>
            <w:pPr>
              <w:spacing w:after="0"/>
              <w:rPr>
                <w:sz w:val="1"/>
                <w:szCs w:val="1"/>
                <w:color w:val="auto"/>
              </w:rPr>
            </w:pPr>
          </w:p>
        </w:tc>
      </w:tr>
      <w:tr>
        <w:trPr>
          <w:trHeight w:val="201"/>
        </w:trPr>
        <w:tc>
          <w:tcPr>
            <w:tcW w:w="10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Pr>
          <w:p>
            <w:pPr>
              <w:spacing w:after="0"/>
              <w:rPr>
                <w:sz w:val="17"/>
                <w:szCs w:val="17"/>
                <w:color w:val="auto"/>
              </w:rPr>
            </w:pPr>
          </w:p>
        </w:tc>
        <w:tc>
          <w:tcPr>
            <w:tcW w:w="9200" w:type="dxa"/>
            <w:vAlign w:val="bottom"/>
            <w:gridSpan w:val="19"/>
          </w:tcPr>
          <w:p>
            <w:pPr>
              <w:spacing w:after="0"/>
              <w:rPr>
                <w:sz w:val="20"/>
                <w:szCs w:val="20"/>
                <w:color w:val="auto"/>
              </w:rPr>
            </w:pPr>
            <w:r>
              <w:rPr>
                <w:rFonts w:ascii="Times New Roman" w:cs="Times New Roman" w:eastAsia="Times New Roman" w:hAnsi="Times New Roman"/>
                <w:sz w:val="15"/>
                <w:szCs w:val="15"/>
                <w:color w:val="auto"/>
              </w:rPr>
              <w:t>LAB Inline XBRL Taxonomy Extension Label Linkbase Document</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right w:val="single" w:sz="8" w:color="CCEEFF"/>
            </w:tcBorders>
            <w:shd w:val="clear" w:color="auto" w:fill="CCEEFF"/>
          </w:tcPr>
          <w:p>
            <w:pPr>
              <w:spacing w:after="0"/>
              <w:rPr>
                <w:sz w:val="17"/>
                <w:szCs w:val="17"/>
                <w:color w:val="auto"/>
              </w:rPr>
            </w:pPr>
          </w:p>
        </w:tc>
        <w:tc>
          <w:tcPr>
            <w:tcW w:w="92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5"/>
                <w:szCs w:val="15"/>
                <w:color w:val="auto"/>
              </w:rPr>
              <w:t>PRE Inline XBRL Taxonomy Extension Presentation Linkbase Document</w:t>
            </w:r>
          </w:p>
        </w:tc>
        <w:tc>
          <w:tcPr>
            <w:tcW w:w="0" w:type="dxa"/>
            <w:vAlign w:val="bottom"/>
          </w:tcPr>
          <w:p>
            <w:pPr>
              <w:spacing w:after="0"/>
              <w:rPr>
                <w:sz w:val="1"/>
                <w:szCs w:val="1"/>
                <w:color w:val="auto"/>
              </w:rPr>
            </w:pPr>
          </w:p>
        </w:tc>
      </w:tr>
      <w:tr>
        <w:trPr>
          <w:trHeight w:val="200"/>
        </w:trPr>
        <w:tc>
          <w:tcPr>
            <w:tcW w:w="10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101</w:t>
            </w:r>
          </w:p>
        </w:tc>
        <w:tc>
          <w:tcPr>
            <w:tcW w:w="220" w:type="dxa"/>
            <w:vAlign w:val="bottom"/>
          </w:tcPr>
          <w:p>
            <w:pPr>
              <w:spacing w:after="0"/>
              <w:rPr>
                <w:sz w:val="17"/>
                <w:szCs w:val="17"/>
                <w:color w:val="auto"/>
              </w:rPr>
            </w:pPr>
          </w:p>
        </w:tc>
        <w:tc>
          <w:tcPr>
            <w:tcW w:w="9200" w:type="dxa"/>
            <w:vAlign w:val="bottom"/>
            <w:gridSpan w:val="19"/>
          </w:tcPr>
          <w:p>
            <w:pPr>
              <w:spacing w:after="0"/>
              <w:rPr>
                <w:sz w:val="20"/>
                <w:szCs w:val="20"/>
                <w:color w:val="auto"/>
              </w:rPr>
            </w:pPr>
            <w:r>
              <w:rPr>
                <w:rFonts w:ascii="Times New Roman" w:cs="Times New Roman" w:eastAsia="Times New Roman" w:hAnsi="Times New Roman"/>
                <w:sz w:val="15"/>
                <w:szCs w:val="15"/>
                <w:color w:val="auto"/>
              </w:rPr>
              <w:t>DEF Inline XBRL Taxonomy Extension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635</wp:posOffset>
            </wp:positionV>
            <wp:extent cx="6633210" cy="128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633210" cy="128270"/>
                    </a:xfrm>
                    <a:prstGeom prst="rect">
                      <a:avLst/>
                    </a:prstGeom>
                    <a:noFill/>
                  </pic:spPr>
                </pic:pic>
              </a:graphicData>
            </a:graphic>
          </wp:anchor>
        </w:drawing>
      </w:r>
    </w:p>
    <w:p>
      <w:pPr>
        <w:ind w:left="1460" w:hanging="1016"/>
        <w:spacing w:after="0"/>
        <w:tabs>
          <w:tab w:leader="none" w:pos="1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(formatted as inline XBRL and contained in Exhibit 101)</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38" w:lineRule="exact"/>
        <w:rPr>
          <w:rFonts w:ascii="Times New Roman" w:cs="Times New Roman" w:eastAsia="Times New Roman" w:hAnsi="Times New Roman"/>
          <w:sz w:val="15"/>
          <w:szCs w:val="15"/>
          <w:color w:val="auto"/>
        </w:rPr>
      </w:pPr>
    </w:p>
    <w:p>
      <w:pPr>
        <w:ind w:left="5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673417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734175" cy="40640"/>
                    </a:xfrm>
                    <a:prstGeom prst="rect">
                      <a:avLst/>
                    </a:prstGeom>
                    <a:noFill/>
                  </pic:spPr>
                </pic:pic>
              </a:graphicData>
            </a:graphic>
          </wp:anchor>
        </w:drawing>
      </w:r>
    </w:p>
    <w:p>
      <w:pPr>
        <w:sectPr>
          <w:pgSz w:w="11900" w:h="16840" w:orient="portrait"/>
          <w:cols w:equalWidth="0" w:num="1">
            <w:col w:w="10660"/>
          </w:cols>
          <w:pgMar w:left="660" w:top="1231" w:right="580" w:bottom="1440" w:gutter="0" w:footer="0" w:header="0"/>
        </w:sectPr>
      </w:pPr>
    </w:p>
    <w:bookmarkStart w:id="35" w:name="page36"/>
    <w:bookmarkEnd w:id="35"/>
    <w:p>
      <w:pPr>
        <w:spacing w:after="0" w:line="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35" w:lineRule="exact"/>
        <w:rPr>
          <w:sz w:val="20"/>
          <w:szCs w:val="20"/>
          <w:color w:val="auto"/>
        </w:rPr>
      </w:pPr>
    </w:p>
    <w:p>
      <w:pPr>
        <w:ind w:firstLine="214"/>
        <w:spacing w:after="0" w:line="28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color w:val="auto"/>
        </w:rPr>
        <w:t>LENNOX INTERNATIONAL INC.</w:t>
      </w:r>
    </w:p>
    <w:p>
      <w:pPr>
        <w:spacing w:after="0" w:line="2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Michael P. Quenzer</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color w:val="auto"/>
        </w:rPr>
        <w:t>Michael P. Quenzer</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color w:val="auto"/>
        </w:rPr>
        <w:t>(on behalf of registrant and as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October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34</w:t>
      </w:r>
    </w:p>
    <w:p>
      <w:pPr>
        <w:sectPr>
          <w:pgSz w:w="11900" w:h="16840" w:orient="portrait"/>
          <w:cols w:equalWidth="0" w:num="1">
            <w:col w:w="10480"/>
          </w:cols>
          <w:pgMar w:left="660" w:top="1440" w:right="76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774065</wp:posOffset>
            </wp:positionV>
            <wp:extent cx="670877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708775" cy="1524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796925</wp:posOffset>
            </wp:positionV>
            <wp:extent cx="670877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7087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color w:val="auto"/>
        </w:rPr>
        <w:t>US$300,000,000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TERM CREDIT AGREEMENT</w:t>
      </w:r>
    </w:p>
    <w:p>
      <w:pPr>
        <w:spacing w:after="0" w:line="19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dated as of October 16, 2025</w:t>
      </w:r>
    </w:p>
    <w:p>
      <w:pPr>
        <w:spacing w:after="0" w:line="19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among</w:t>
      </w:r>
    </w:p>
    <w:p>
      <w:pPr>
        <w:spacing w:after="0" w:line="19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Lennox International Inc.,</w:t>
      </w:r>
    </w:p>
    <w:p>
      <w:pPr>
        <w:spacing w:after="0" w:line="10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3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9"/>
          <w:szCs w:val="19"/>
          <w:color w:val="auto"/>
        </w:rPr>
        <w:t>The Banks Listed Herein</w:t>
      </w:r>
    </w:p>
    <w:p>
      <w:pPr>
        <w:spacing w:after="0" w:line="2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and</w:t>
      </w:r>
    </w:p>
    <w:p>
      <w:pPr>
        <w:spacing w:after="0" w:line="10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39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Wells Fargo Securities, LLC,</w:t>
      </w:r>
    </w:p>
    <w:p>
      <w:pPr>
        <w:spacing w:after="0" w:line="2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194945</wp:posOffset>
            </wp:positionV>
            <wp:extent cx="670877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708775" cy="1524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217170</wp:posOffset>
            </wp:positionV>
            <wp:extent cx="670877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708775" cy="15240"/>
                    </a:xfrm>
                    <a:prstGeom prst="rect">
                      <a:avLst/>
                    </a:prstGeom>
                    <a:noFill/>
                  </pic:spPr>
                </pic:pic>
              </a:graphicData>
            </a:graphic>
          </wp:anchor>
        </w:drawing>
      </w:r>
    </w:p>
    <w:p>
      <w:pPr>
        <w:sectPr>
          <w:pgSz w:w="11900" w:h="16840" w:orient="portrait"/>
          <w:cols w:equalWidth="0" w:num="1">
            <w:col w:w="9800"/>
          </w:cols>
          <w:pgMar w:left="1440" w:top="556" w:right="660" w:bottom="1440" w:gutter="0" w:footer="0" w:header="0"/>
        </w:sectPr>
      </w:pPr>
    </w:p>
    <w:bookmarkStart w:id="37" w:name="page38"/>
    <w:bookmarkEnd w:id="37"/>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TABLE OF CONTENTS</w:t>
      </w:r>
    </w:p>
    <w:p>
      <w:pPr>
        <w:jc w:val="right"/>
        <w:spacing w:after="0" w:line="227" w:lineRule="auto"/>
        <w:rPr>
          <w:sz w:val="20"/>
          <w:szCs w:val="20"/>
          <w:color w:val="auto"/>
        </w:rPr>
      </w:pPr>
      <w:r>
        <w:rPr>
          <w:rFonts w:ascii="Times New Roman" w:cs="Times New Roman" w:eastAsia="Times New Roman" w:hAnsi="Times New Roman"/>
          <w:sz w:val="19"/>
          <w:szCs w:val="19"/>
          <w:u w:val="single" w:color="auto"/>
          <w:color w:val="auto"/>
        </w:rPr>
        <w:t>Page</w:t>
      </w:r>
    </w:p>
    <w:p>
      <w:pPr>
        <w:ind w:left="4840"/>
        <w:spacing w:after="0"/>
        <w:rPr>
          <w:sz w:val="20"/>
          <w:szCs w:val="20"/>
          <w:color w:val="auto"/>
        </w:rPr>
      </w:pPr>
      <w:r>
        <w:rPr>
          <w:rFonts w:ascii="Times New Roman" w:cs="Times New Roman" w:eastAsia="Times New Roman" w:hAnsi="Times New Roman"/>
          <w:sz w:val="19"/>
          <w:szCs w:val="19"/>
          <w:color w:val="auto"/>
        </w:rPr>
        <w:t>ARTICLE I</w:t>
      </w:r>
    </w:p>
    <w:p>
      <w:pPr>
        <w:spacing w:after="0" w:line="1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DEFINITIONS</w:t>
      </w:r>
    </w:p>
    <w:p>
      <w:pPr>
        <w:spacing w:after="0"/>
        <w:tabs>
          <w:tab w:leader="dot" w:pos="7300" w:val="left"/>
        </w:tabs>
        <w:rPr>
          <w:sz w:val="20"/>
          <w:szCs w:val="20"/>
          <w:color w:val="auto"/>
        </w:rPr>
      </w:pPr>
      <w:r>
        <w:rPr>
          <w:rFonts w:ascii="Times New Roman" w:cs="Times New Roman" w:eastAsia="Times New Roman" w:hAnsi="Times New Roman"/>
          <w:sz w:val="19"/>
          <w:szCs w:val="19"/>
          <w:color w:val="auto"/>
        </w:rPr>
        <w:t>SECTION 1.1. Definitions</w:t>
      </w:r>
      <w:r>
        <w:rPr>
          <w:sz w:val="20"/>
          <w:szCs w:val="20"/>
          <w:color w:val="auto"/>
        </w:rPr>
        <w:tab/>
      </w:r>
      <w:r>
        <w:rPr>
          <w:rFonts w:ascii="Times New Roman" w:cs="Times New Roman" w:eastAsia="Times New Roman" w:hAnsi="Times New Roman"/>
          <w:sz w:val="16"/>
          <w:szCs w:val="16"/>
          <w:color w:val="auto"/>
        </w:rPr>
        <w:t>1</w:t>
      </w:r>
    </w:p>
    <w:p>
      <w:pPr>
        <w:spacing w:after="0" w:line="222" w:lineRule="auto"/>
        <w:tabs>
          <w:tab w:leader="dot" w:pos="7160" w:val="left"/>
        </w:tabs>
        <w:rPr>
          <w:sz w:val="20"/>
          <w:szCs w:val="20"/>
          <w:color w:val="auto"/>
        </w:rPr>
      </w:pPr>
      <w:r>
        <w:rPr>
          <w:rFonts w:ascii="Times New Roman" w:cs="Times New Roman" w:eastAsia="Times New Roman" w:hAnsi="Times New Roman"/>
          <w:sz w:val="19"/>
          <w:szCs w:val="19"/>
          <w:color w:val="auto"/>
        </w:rPr>
        <w:t>SECTION 1.2. Accounting Terms and Determinations</w:t>
      </w:r>
      <w:r>
        <w:rPr>
          <w:sz w:val="20"/>
          <w:szCs w:val="20"/>
          <w:color w:val="auto"/>
        </w:rPr>
        <w:tab/>
      </w:r>
      <w:r>
        <w:rPr>
          <w:rFonts w:ascii="Times New Roman" w:cs="Times New Roman" w:eastAsia="Times New Roman" w:hAnsi="Times New Roman"/>
          <w:sz w:val="19"/>
          <w:szCs w:val="19"/>
          <w:color w:val="auto"/>
        </w:rPr>
        <w:t>25</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1.3. [Reserved]</w:t>
      </w:r>
      <w:r>
        <w:rPr>
          <w:sz w:val="20"/>
          <w:szCs w:val="20"/>
          <w:color w:val="auto"/>
        </w:rPr>
        <w:tab/>
      </w:r>
      <w:r>
        <w:rPr>
          <w:rFonts w:ascii="Times New Roman" w:cs="Times New Roman" w:eastAsia="Times New Roman" w:hAnsi="Times New Roman"/>
          <w:sz w:val="18"/>
          <w:szCs w:val="18"/>
          <w:color w:val="auto"/>
        </w:rPr>
        <w:t>26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1.4. Terms Generally</w:t>
      </w:r>
      <w:r>
        <w:rPr>
          <w:sz w:val="20"/>
          <w:szCs w:val="20"/>
          <w:color w:val="auto"/>
        </w:rPr>
        <w:tab/>
      </w:r>
      <w:r>
        <w:rPr>
          <w:rFonts w:ascii="Times New Roman" w:cs="Times New Roman" w:eastAsia="Times New Roman" w:hAnsi="Times New Roman"/>
          <w:sz w:val="18"/>
          <w:szCs w:val="18"/>
          <w:color w:val="auto"/>
        </w:rPr>
        <w:t>26</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1.5. [Reserved]</w:t>
      </w:r>
      <w:r>
        <w:rPr>
          <w:sz w:val="20"/>
          <w:szCs w:val="20"/>
          <w:color w:val="auto"/>
        </w:rPr>
        <w:tab/>
      </w:r>
      <w:r>
        <w:rPr>
          <w:rFonts w:ascii="Times New Roman" w:cs="Times New Roman" w:eastAsia="Times New Roman" w:hAnsi="Times New Roman"/>
          <w:sz w:val="18"/>
          <w:szCs w:val="18"/>
          <w:color w:val="auto"/>
        </w:rPr>
        <w:t>26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1.6. Rates</w:t>
      </w:r>
      <w:r>
        <w:rPr>
          <w:sz w:val="20"/>
          <w:szCs w:val="20"/>
          <w:color w:val="auto"/>
        </w:rPr>
        <w:tab/>
      </w:r>
      <w:r>
        <w:rPr>
          <w:rFonts w:ascii="Times New Roman" w:cs="Times New Roman" w:eastAsia="Times New Roman" w:hAnsi="Times New Roman"/>
          <w:sz w:val="18"/>
          <w:szCs w:val="18"/>
          <w:color w:val="auto"/>
        </w:rPr>
        <w:t>26</w:t>
      </w:r>
    </w:p>
    <w:p>
      <w:pPr>
        <w:spacing w:after="0" w:line="221" w:lineRule="auto"/>
        <w:tabs>
          <w:tab w:leader="dot" w:pos="7160" w:val="left"/>
        </w:tabs>
        <w:rPr>
          <w:sz w:val="20"/>
          <w:szCs w:val="20"/>
          <w:color w:val="auto"/>
        </w:rPr>
      </w:pPr>
      <w:r>
        <w:rPr>
          <w:rFonts w:ascii="Times New Roman" w:cs="Times New Roman" w:eastAsia="Times New Roman" w:hAnsi="Times New Roman"/>
          <w:sz w:val="19"/>
          <w:szCs w:val="19"/>
          <w:color w:val="auto"/>
        </w:rPr>
        <w:t>SECTION 1.7. Divisions</w:t>
      </w:r>
      <w:r>
        <w:rPr>
          <w:sz w:val="20"/>
          <w:szCs w:val="20"/>
          <w:color w:val="auto"/>
        </w:rPr>
        <w:tab/>
      </w:r>
      <w:r>
        <w:rPr>
          <w:rFonts w:ascii="Times New Roman" w:cs="Times New Roman" w:eastAsia="Times New Roman" w:hAnsi="Times New Roman"/>
          <w:sz w:val="19"/>
          <w:szCs w:val="19"/>
          <w:color w:val="auto"/>
        </w:rPr>
        <w:t>27</w:t>
      </w:r>
    </w:p>
    <w:p>
      <w:pPr>
        <w:spacing w:after="0" w:line="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ARTICLE II</w:t>
      </w:r>
    </w:p>
    <w:p>
      <w:pPr>
        <w:spacing w:after="0" w:line="1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THE CREDITS</w:t>
      </w:r>
    </w:p>
    <w:p>
      <w:pPr>
        <w:spacing w:after="0" w:line="227" w:lineRule="auto"/>
        <w:tabs>
          <w:tab w:leader="dot" w:pos="7180" w:val="left"/>
        </w:tabs>
        <w:rPr>
          <w:sz w:val="20"/>
          <w:szCs w:val="20"/>
          <w:color w:val="auto"/>
        </w:rPr>
      </w:pPr>
      <w:r>
        <w:rPr>
          <w:rFonts w:ascii="Times New Roman" w:cs="Times New Roman" w:eastAsia="Times New Roman" w:hAnsi="Times New Roman"/>
          <w:sz w:val="19"/>
          <w:szCs w:val="19"/>
          <w:color w:val="auto"/>
        </w:rPr>
        <w:t>SECTION 2.1. Loans</w:t>
      </w:r>
      <w:r>
        <w:rPr>
          <w:sz w:val="20"/>
          <w:szCs w:val="20"/>
          <w:color w:val="auto"/>
        </w:rPr>
        <w:tab/>
      </w:r>
      <w:r>
        <w:rPr>
          <w:rFonts w:ascii="Times New Roman" w:cs="Times New Roman" w:eastAsia="Times New Roman" w:hAnsi="Times New Roman"/>
          <w:sz w:val="19"/>
          <w:szCs w:val="19"/>
          <w:color w:val="auto"/>
        </w:rPr>
        <w:t>27</w:t>
      </w:r>
    </w:p>
    <w:p>
      <w:pPr>
        <w:spacing w:after="0" w:line="234" w:lineRule="auto"/>
        <w:tabs>
          <w:tab w:leader="dot" w:pos="7160" w:val="left"/>
        </w:tabs>
        <w:rPr>
          <w:sz w:val="20"/>
          <w:szCs w:val="20"/>
          <w:color w:val="auto"/>
        </w:rPr>
      </w:pPr>
      <w:r>
        <w:rPr>
          <w:rFonts w:ascii="Times New Roman" w:cs="Times New Roman" w:eastAsia="Times New Roman" w:hAnsi="Times New Roman"/>
          <w:sz w:val="19"/>
          <w:szCs w:val="19"/>
          <w:color w:val="auto"/>
        </w:rPr>
        <w:t>SECTION 2.2. Procedure for Advance of Loans</w:t>
      </w:r>
      <w:r>
        <w:rPr>
          <w:sz w:val="20"/>
          <w:szCs w:val="20"/>
          <w:color w:val="auto"/>
        </w:rPr>
        <w:tab/>
      </w:r>
      <w:r>
        <w:rPr>
          <w:rFonts w:ascii="Times New Roman" w:cs="Times New Roman" w:eastAsia="Times New Roman" w:hAnsi="Times New Roman"/>
          <w:sz w:val="18"/>
          <w:szCs w:val="18"/>
          <w:color w:val="auto"/>
        </w:rPr>
        <w:t>27</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2.3. [Reserved]</w:t>
      </w:r>
      <w:r>
        <w:rPr>
          <w:sz w:val="20"/>
          <w:szCs w:val="20"/>
          <w:color w:val="auto"/>
        </w:rPr>
        <w:tab/>
      </w:r>
      <w:r>
        <w:rPr>
          <w:rFonts w:ascii="Times New Roman" w:cs="Times New Roman" w:eastAsia="Times New Roman" w:hAnsi="Times New Roman"/>
          <w:sz w:val="18"/>
          <w:szCs w:val="18"/>
          <w:color w:val="auto"/>
        </w:rPr>
        <w:t>28</w:t>
      </w:r>
    </w:p>
    <w:p>
      <w:pPr>
        <w:spacing w:after="0" w:line="221" w:lineRule="auto"/>
        <w:tabs>
          <w:tab w:leader="dot" w:pos="7160" w:val="left"/>
        </w:tabs>
        <w:rPr>
          <w:sz w:val="20"/>
          <w:szCs w:val="20"/>
          <w:color w:val="auto"/>
        </w:rPr>
      </w:pPr>
      <w:r>
        <w:rPr>
          <w:rFonts w:ascii="Times New Roman" w:cs="Times New Roman" w:eastAsia="Times New Roman" w:hAnsi="Times New Roman"/>
          <w:sz w:val="19"/>
          <w:szCs w:val="19"/>
          <w:color w:val="auto"/>
        </w:rPr>
        <w:t>SECTION 2.4. Funding of Loans</w:t>
      </w:r>
      <w:r>
        <w:rPr>
          <w:sz w:val="20"/>
          <w:szCs w:val="20"/>
          <w:color w:val="auto"/>
        </w:rPr>
        <w:tab/>
      </w:r>
      <w:r>
        <w:rPr>
          <w:rFonts w:ascii="Times New Roman" w:cs="Times New Roman" w:eastAsia="Times New Roman" w:hAnsi="Times New Roman"/>
          <w:sz w:val="19"/>
          <w:szCs w:val="19"/>
          <w:color w:val="auto"/>
        </w:rPr>
        <w:t>28</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2.5. Evidence of Indebtedness</w:t>
      </w:r>
      <w:r>
        <w:rPr>
          <w:sz w:val="20"/>
          <w:szCs w:val="20"/>
          <w:color w:val="auto"/>
        </w:rPr>
        <w:tab/>
      </w:r>
      <w:r>
        <w:rPr>
          <w:rFonts w:ascii="Times New Roman" w:cs="Times New Roman" w:eastAsia="Times New Roman" w:hAnsi="Times New Roman"/>
          <w:sz w:val="18"/>
          <w:szCs w:val="18"/>
          <w:color w:val="auto"/>
        </w:rPr>
        <w:t>28</w:t>
      </w:r>
    </w:p>
    <w:p>
      <w:pPr>
        <w:spacing w:after="0" w:line="222" w:lineRule="auto"/>
        <w:tabs>
          <w:tab w:leader="dot" w:pos="7200" w:val="left"/>
        </w:tabs>
        <w:rPr>
          <w:sz w:val="20"/>
          <w:szCs w:val="20"/>
          <w:color w:val="auto"/>
        </w:rPr>
      </w:pPr>
      <w:r>
        <w:rPr>
          <w:rFonts w:ascii="Times New Roman" w:cs="Times New Roman" w:eastAsia="Times New Roman" w:hAnsi="Times New Roman"/>
          <w:sz w:val="19"/>
          <w:szCs w:val="19"/>
          <w:color w:val="auto"/>
        </w:rPr>
        <w:t>SECTION 2.6. Maturity of Loans</w:t>
      </w:r>
      <w:r>
        <w:rPr>
          <w:sz w:val="20"/>
          <w:szCs w:val="20"/>
          <w:color w:val="auto"/>
        </w:rPr>
        <w:tab/>
      </w:r>
      <w:r>
        <w:rPr>
          <w:rFonts w:ascii="Times New Roman" w:cs="Times New Roman" w:eastAsia="Times New Roman" w:hAnsi="Times New Roman"/>
          <w:sz w:val="19"/>
          <w:szCs w:val="19"/>
          <w:color w:val="auto"/>
        </w:rPr>
        <w:t>29</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2.7. Interest Rates</w:t>
      </w:r>
      <w:r>
        <w:rPr>
          <w:sz w:val="20"/>
          <w:szCs w:val="20"/>
          <w:color w:val="auto"/>
        </w:rPr>
        <w:tab/>
      </w:r>
      <w:r>
        <w:rPr>
          <w:rFonts w:ascii="Times New Roman" w:cs="Times New Roman" w:eastAsia="Times New Roman" w:hAnsi="Times New Roman"/>
          <w:sz w:val="18"/>
          <w:szCs w:val="18"/>
          <w:color w:val="auto"/>
        </w:rPr>
        <w:t>29</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2.8. [Reserved]</w:t>
      </w:r>
      <w:r>
        <w:rPr>
          <w:sz w:val="20"/>
          <w:szCs w:val="20"/>
          <w:color w:val="auto"/>
        </w:rPr>
        <w:tab/>
      </w:r>
      <w:r>
        <w:rPr>
          <w:rFonts w:ascii="Times New Roman" w:cs="Times New Roman" w:eastAsia="Times New Roman" w:hAnsi="Times New Roman"/>
          <w:sz w:val="18"/>
          <w:szCs w:val="18"/>
          <w:color w:val="auto"/>
        </w:rPr>
        <w:t>30</w:t>
      </w:r>
    </w:p>
    <w:p>
      <w:pPr>
        <w:spacing w:after="0" w:line="221" w:lineRule="auto"/>
        <w:tabs>
          <w:tab w:leader="dot" w:pos="7180" w:val="left"/>
        </w:tabs>
        <w:rPr>
          <w:sz w:val="20"/>
          <w:szCs w:val="20"/>
          <w:color w:val="auto"/>
        </w:rPr>
      </w:pPr>
      <w:r>
        <w:rPr>
          <w:rFonts w:ascii="Times New Roman" w:cs="Times New Roman" w:eastAsia="Times New Roman" w:hAnsi="Times New Roman"/>
          <w:sz w:val="19"/>
          <w:szCs w:val="19"/>
          <w:color w:val="auto"/>
        </w:rPr>
        <w:t>SECTION 2.9. Termination of Commitments</w:t>
      </w:r>
      <w:r>
        <w:rPr>
          <w:sz w:val="20"/>
          <w:szCs w:val="20"/>
          <w:color w:val="auto"/>
        </w:rPr>
        <w:tab/>
      </w:r>
      <w:r>
        <w:rPr>
          <w:rFonts w:ascii="Times New Roman" w:cs="Times New Roman" w:eastAsia="Times New Roman" w:hAnsi="Times New Roman"/>
          <w:sz w:val="19"/>
          <w:szCs w:val="19"/>
          <w:color w:val="auto"/>
        </w:rPr>
        <w:t>30</w:t>
      </w:r>
    </w:p>
    <w:p>
      <w:pPr>
        <w:spacing w:after="0" w:line="235" w:lineRule="auto"/>
        <w:tabs>
          <w:tab w:leader="dot" w:pos="7180" w:val="left"/>
        </w:tabs>
        <w:rPr>
          <w:sz w:val="20"/>
          <w:szCs w:val="20"/>
          <w:color w:val="auto"/>
        </w:rPr>
      </w:pPr>
      <w:r>
        <w:rPr>
          <w:rFonts w:ascii="Times New Roman" w:cs="Times New Roman" w:eastAsia="Times New Roman" w:hAnsi="Times New Roman"/>
          <w:sz w:val="19"/>
          <w:szCs w:val="19"/>
          <w:color w:val="auto"/>
        </w:rPr>
        <w:t>SECTION 2.10. [Reserved]</w:t>
      </w:r>
      <w:r>
        <w:rPr>
          <w:sz w:val="20"/>
          <w:szCs w:val="20"/>
          <w:color w:val="auto"/>
        </w:rPr>
        <w:tab/>
      </w:r>
      <w:r>
        <w:rPr>
          <w:rFonts w:ascii="Times New Roman" w:cs="Times New Roman" w:eastAsia="Times New Roman" w:hAnsi="Times New Roman"/>
          <w:sz w:val="18"/>
          <w:szCs w:val="18"/>
          <w:color w:val="auto"/>
        </w:rPr>
        <w:t>30</w:t>
      </w:r>
    </w:p>
    <w:p>
      <w:pPr>
        <w:spacing w:after="0" w:line="233" w:lineRule="auto"/>
        <w:tabs>
          <w:tab w:leader="dot" w:pos="7180" w:val="left"/>
        </w:tabs>
        <w:rPr>
          <w:sz w:val="20"/>
          <w:szCs w:val="20"/>
          <w:color w:val="auto"/>
        </w:rPr>
      </w:pPr>
      <w:r>
        <w:rPr>
          <w:rFonts w:ascii="Times New Roman" w:cs="Times New Roman" w:eastAsia="Times New Roman" w:hAnsi="Times New Roman"/>
          <w:sz w:val="19"/>
          <w:szCs w:val="19"/>
          <w:color w:val="auto"/>
        </w:rPr>
        <w:t>SECTION 2.11. Optional Prepayments</w:t>
      </w:r>
      <w:r>
        <w:rPr>
          <w:sz w:val="20"/>
          <w:szCs w:val="20"/>
          <w:color w:val="auto"/>
        </w:rPr>
        <w:tab/>
      </w:r>
      <w:r>
        <w:rPr>
          <w:rFonts w:ascii="Times New Roman" w:cs="Times New Roman" w:eastAsia="Times New Roman" w:hAnsi="Times New Roman"/>
          <w:sz w:val="18"/>
          <w:szCs w:val="18"/>
          <w:color w:val="auto"/>
        </w:rPr>
        <w:t>30</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2.12. General Provisions as to Payments</w:t>
      </w:r>
      <w:r>
        <w:rPr>
          <w:sz w:val="20"/>
          <w:szCs w:val="20"/>
          <w:color w:val="auto"/>
        </w:rPr>
        <w:tab/>
      </w:r>
      <w:r>
        <w:rPr>
          <w:rFonts w:ascii="Times New Roman" w:cs="Times New Roman" w:eastAsia="Times New Roman" w:hAnsi="Times New Roman"/>
          <w:sz w:val="18"/>
          <w:szCs w:val="18"/>
          <w:color w:val="auto"/>
        </w:rPr>
        <w:t>31</w:t>
      </w:r>
    </w:p>
    <w:p>
      <w:pPr>
        <w:spacing w:after="0" w:line="234" w:lineRule="auto"/>
        <w:tabs>
          <w:tab w:leader="dot" w:pos="7160" w:val="left"/>
        </w:tabs>
        <w:rPr>
          <w:sz w:val="20"/>
          <w:szCs w:val="20"/>
          <w:color w:val="auto"/>
        </w:rPr>
      </w:pPr>
      <w:r>
        <w:rPr>
          <w:rFonts w:ascii="Times New Roman" w:cs="Times New Roman" w:eastAsia="Times New Roman" w:hAnsi="Times New Roman"/>
          <w:sz w:val="19"/>
          <w:szCs w:val="19"/>
          <w:color w:val="auto"/>
        </w:rPr>
        <w:t>SECTION 2.13. Funding Losses</w:t>
      </w:r>
      <w:r>
        <w:rPr>
          <w:sz w:val="20"/>
          <w:szCs w:val="20"/>
          <w:color w:val="auto"/>
        </w:rPr>
        <w:tab/>
      </w:r>
      <w:r>
        <w:rPr>
          <w:rFonts w:ascii="Times New Roman" w:cs="Times New Roman" w:eastAsia="Times New Roman" w:hAnsi="Times New Roman"/>
          <w:sz w:val="18"/>
          <w:szCs w:val="18"/>
          <w:color w:val="auto"/>
        </w:rPr>
        <w:t>31</w:t>
      </w:r>
    </w:p>
    <w:p>
      <w:pPr>
        <w:spacing w:after="0" w:line="221" w:lineRule="auto"/>
        <w:tabs>
          <w:tab w:leader="dot" w:pos="7160" w:val="left"/>
        </w:tabs>
        <w:rPr>
          <w:sz w:val="20"/>
          <w:szCs w:val="20"/>
          <w:color w:val="auto"/>
        </w:rPr>
      </w:pPr>
      <w:r>
        <w:rPr>
          <w:rFonts w:ascii="Times New Roman" w:cs="Times New Roman" w:eastAsia="Times New Roman" w:hAnsi="Times New Roman"/>
          <w:sz w:val="19"/>
          <w:szCs w:val="19"/>
          <w:color w:val="auto"/>
        </w:rPr>
        <w:t>SECTION 2.14. Computation of Interest and Fees</w:t>
      </w:r>
      <w:r>
        <w:rPr>
          <w:sz w:val="20"/>
          <w:szCs w:val="20"/>
          <w:color w:val="auto"/>
        </w:rPr>
        <w:tab/>
      </w:r>
      <w:r>
        <w:rPr>
          <w:rFonts w:ascii="Times New Roman" w:cs="Times New Roman" w:eastAsia="Times New Roman" w:hAnsi="Times New Roman"/>
          <w:sz w:val="19"/>
          <w:szCs w:val="19"/>
          <w:color w:val="auto"/>
        </w:rPr>
        <w:t>32</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2.15. Taxes</w:t>
      </w:r>
      <w:r>
        <w:rPr>
          <w:sz w:val="20"/>
          <w:szCs w:val="20"/>
          <w:color w:val="auto"/>
        </w:rPr>
        <w:tab/>
      </w:r>
      <w:r>
        <w:rPr>
          <w:rFonts w:ascii="Times New Roman" w:cs="Times New Roman" w:eastAsia="Times New Roman" w:hAnsi="Times New Roman"/>
          <w:sz w:val="18"/>
          <w:szCs w:val="18"/>
          <w:color w:val="auto"/>
        </w:rPr>
        <w:t>32</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2.16. [Reserved]</w:t>
      </w:r>
      <w:r>
        <w:rPr>
          <w:sz w:val="20"/>
          <w:szCs w:val="20"/>
          <w:color w:val="auto"/>
        </w:rPr>
        <w:tab/>
      </w:r>
      <w:r>
        <w:rPr>
          <w:rFonts w:ascii="Times New Roman" w:cs="Times New Roman" w:eastAsia="Times New Roman" w:hAnsi="Times New Roman"/>
          <w:sz w:val="18"/>
          <w:szCs w:val="18"/>
          <w:color w:val="auto"/>
        </w:rPr>
        <w:t>36</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2.17. [Reserved]</w:t>
      </w:r>
      <w:r>
        <w:rPr>
          <w:sz w:val="20"/>
          <w:szCs w:val="20"/>
          <w:color w:val="auto"/>
        </w:rPr>
        <w:tab/>
      </w:r>
      <w:r>
        <w:rPr>
          <w:rFonts w:ascii="Times New Roman" w:cs="Times New Roman" w:eastAsia="Times New Roman" w:hAnsi="Times New Roman"/>
          <w:sz w:val="18"/>
          <w:szCs w:val="18"/>
          <w:color w:val="auto"/>
        </w:rPr>
        <w:t>36</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2.18. [Reserved]</w:t>
      </w:r>
      <w:r>
        <w:rPr>
          <w:sz w:val="20"/>
          <w:szCs w:val="20"/>
          <w:color w:val="auto"/>
        </w:rPr>
        <w:tab/>
      </w:r>
      <w:r>
        <w:rPr>
          <w:rFonts w:ascii="Times New Roman" w:cs="Times New Roman" w:eastAsia="Times New Roman" w:hAnsi="Times New Roman"/>
          <w:sz w:val="18"/>
          <w:szCs w:val="18"/>
          <w:color w:val="auto"/>
        </w:rPr>
        <w:t>36</w:t>
      </w:r>
    </w:p>
    <w:p>
      <w:pPr>
        <w:spacing w:after="0" w:line="221" w:lineRule="auto"/>
        <w:tabs>
          <w:tab w:leader="dot" w:pos="7180" w:val="left"/>
        </w:tabs>
        <w:rPr>
          <w:sz w:val="20"/>
          <w:szCs w:val="20"/>
          <w:color w:val="auto"/>
        </w:rPr>
      </w:pPr>
      <w:r>
        <w:rPr>
          <w:rFonts w:ascii="Times New Roman" w:cs="Times New Roman" w:eastAsia="Times New Roman" w:hAnsi="Times New Roman"/>
          <w:sz w:val="19"/>
          <w:szCs w:val="19"/>
          <w:color w:val="auto"/>
        </w:rPr>
        <w:t>SECTION 2.19. Interest Elections</w:t>
      </w:r>
      <w:r>
        <w:rPr>
          <w:sz w:val="20"/>
          <w:szCs w:val="20"/>
          <w:color w:val="auto"/>
        </w:rPr>
        <w:tab/>
      </w:r>
      <w:r>
        <w:rPr>
          <w:rFonts w:ascii="Times New Roman" w:cs="Times New Roman" w:eastAsia="Times New Roman" w:hAnsi="Times New Roman"/>
          <w:sz w:val="19"/>
          <w:szCs w:val="19"/>
          <w:color w:val="auto"/>
        </w:rPr>
        <w:t>36</w:t>
      </w:r>
    </w:p>
    <w:p>
      <w:pPr>
        <w:spacing w:after="0" w:line="222" w:lineRule="auto"/>
        <w:tabs>
          <w:tab w:leader="dot" w:pos="7200" w:val="left"/>
        </w:tabs>
        <w:rPr>
          <w:sz w:val="20"/>
          <w:szCs w:val="20"/>
          <w:color w:val="auto"/>
        </w:rPr>
      </w:pPr>
      <w:r>
        <w:rPr>
          <w:rFonts w:ascii="Times New Roman" w:cs="Times New Roman" w:eastAsia="Times New Roman" w:hAnsi="Times New Roman"/>
          <w:sz w:val="19"/>
          <w:szCs w:val="19"/>
          <w:color w:val="auto"/>
        </w:rPr>
        <w:t>SECTION 2.20. Defaulting Banks</w:t>
      </w:r>
      <w:r>
        <w:rPr>
          <w:sz w:val="20"/>
          <w:szCs w:val="20"/>
          <w:color w:val="auto"/>
        </w:rPr>
        <w:tab/>
      </w:r>
      <w:r>
        <w:rPr>
          <w:rFonts w:ascii="Times New Roman" w:cs="Times New Roman" w:eastAsia="Times New Roman" w:hAnsi="Times New Roman"/>
          <w:sz w:val="19"/>
          <w:szCs w:val="19"/>
          <w:color w:val="auto"/>
        </w:rPr>
        <w:t>37</w:t>
      </w:r>
    </w:p>
    <w:p>
      <w:pPr>
        <w:spacing w:after="0"/>
        <w:tabs>
          <w:tab w:leader="dot" w:pos="7160" w:val="left"/>
        </w:tabs>
        <w:rPr>
          <w:sz w:val="20"/>
          <w:szCs w:val="20"/>
          <w:color w:val="auto"/>
        </w:rPr>
      </w:pPr>
      <w:r>
        <w:rPr>
          <w:rFonts w:ascii="Times New Roman" w:cs="Times New Roman" w:eastAsia="Times New Roman" w:hAnsi="Times New Roman"/>
          <w:sz w:val="19"/>
          <w:szCs w:val="19"/>
          <w:color w:val="auto"/>
        </w:rPr>
        <w:t>SECTION 2.21. Payments Generally</w:t>
      </w:r>
      <w:r>
        <w:rPr>
          <w:sz w:val="20"/>
          <w:szCs w:val="20"/>
          <w:color w:val="auto"/>
        </w:rPr>
        <w:tab/>
      </w:r>
      <w:r>
        <w:rPr>
          <w:rFonts w:ascii="Times New Roman" w:cs="Times New Roman" w:eastAsia="Times New Roman" w:hAnsi="Times New Roman"/>
          <w:sz w:val="19"/>
          <w:szCs w:val="19"/>
          <w:color w:val="auto"/>
        </w:rPr>
        <w:t>37</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III</w:t>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CONDITIONS</w:t>
      </w:r>
    </w:p>
    <w:p>
      <w:pPr>
        <w:spacing w:after="0" w:line="209" w:lineRule="exact"/>
        <w:rPr>
          <w:sz w:val="20"/>
          <w:szCs w:val="20"/>
          <w:color w:val="auto"/>
        </w:rPr>
      </w:pPr>
    </w:p>
    <w:p>
      <w:pPr>
        <w:spacing w:after="0"/>
        <w:tabs>
          <w:tab w:leader="dot" w:pos="7180" w:val="left"/>
        </w:tabs>
        <w:rPr>
          <w:sz w:val="20"/>
          <w:szCs w:val="20"/>
          <w:color w:val="auto"/>
        </w:rPr>
      </w:pPr>
      <w:r>
        <w:rPr>
          <w:rFonts w:ascii="Times New Roman" w:cs="Times New Roman" w:eastAsia="Times New Roman" w:hAnsi="Times New Roman"/>
          <w:sz w:val="19"/>
          <w:szCs w:val="19"/>
          <w:color w:val="auto"/>
        </w:rPr>
        <w:t>SECTION 3.1. Effectiveness</w:t>
      </w:r>
      <w:r>
        <w:rPr>
          <w:sz w:val="20"/>
          <w:szCs w:val="20"/>
          <w:color w:val="auto"/>
        </w:rPr>
        <w:tab/>
      </w:r>
      <w:r>
        <w:rPr>
          <w:rFonts w:ascii="Times New Roman" w:cs="Times New Roman" w:eastAsia="Times New Roman" w:hAnsi="Times New Roman"/>
          <w:sz w:val="18"/>
          <w:szCs w:val="18"/>
          <w:color w:val="auto"/>
        </w:rPr>
        <w:t>38</w:t>
      </w:r>
    </w:p>
    <w:p>
      <w:pPr>
        <w:sectPr>
          <w:pgSz w:w="11900" w:h="16840" w:orient="portrait"/>
          <w:cols w:equalWidth="0" w:num="1">
            <w:col w:w="10580"/>
          </w:cols>
          <w:pgMar w:left="660" w:top="1440" w:right="660" w:bottom="1440" w:gutter="0" w:footer="0" w:header="0"/>
        </w:sectPr>
      </w:pPr>
    </w:p>
    <w:bookmarkStart w:id="38" w:name="page39"/>
    <w:bookmarkEnd w:id="38"/>
    <w:p>
      <w:pPr>
        <w:spacing w:after="0" w:line="2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IV</w:t>
      </w:r>
    </w:p>
    <w:p>
      <w:pPr>
        <w:spacing w:after="0" w:line="20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09" w:lineRule="exact"/>
        <w:rPr>
          <w:sz w:val="20"/>
          <w:szCs w:val="20"/>
          <w:color w:val="auto"/>
        </w:rPr>
      </w:pPr>
    </w:p>
    <w:p>
      <w:pPr>
        <w:spacing w:after="0"/>
        <w:tabs>
          <w:tab w:leader="dot" w:pos="7180" w:val="left"/>
        </w:tabs>
        <w:rPr>
          <w:sz w:val="20"/>
          <w:szCs w:val="20"/>
          <w:color w:val="auto"/>
        </w:rPr>
      </w:pPr>
      <w:r>
        <w:rPr>
          <w:rFonts w:ascii="Times New Roman" w:cs="Times New Roman" w:eastAsia="Times New Roman" w:hAnsi="Times New Roman"/>
          <w:sz w:val="19"/>
          <w:szCs w:val="19"/>
          <w:color w:val="auto"/>
        </w:rPr>
        <w:t>SECTION 4.1. Corporate Existence and Power</w:t>
      </w:r>
      <w:r>
        <w:rPr>
          <w:sz w:val="20"/>
          <w:szCs w:val="20"/>
          <w:color w:val="auto"/>
        </w:rPr>
        <w:tab/>
      </w:r>
      <w:r>
        <w:rPr>
          <w:rFonts w:ascii="Times New Roman" w:cs="Times New Roman" w:eastAsia="Times New Roman" w:hAnsi="Times New Roman"/>
          <w:sz w:val="18"/>
          <w:szCs w:val="18"/>
          <w:color w:val="auto"/>
        </w:rPr>
        <w:t>39</w:t>
      </w:r>
    </w:p>
    <w:p>
      <w:pPr>
        <w:spacing w:after="0"/>
        <w:tabs>
          <w:tab w:leader="dot" w:pos="7180" w:val="left"/>
        </w:tabs>
        <w:rPr>
          <w:sz w:val="20"/>
          <w:szCs w:val="20"/>
          <w:color w:val="auto"/>
        </w:rPr>
      </w:pPr>
      <w:r>
        <w:rPr>
          <w:rFonts w:ascii="Times New Roman" w:cs="Times New Roman" w:eastAsia="Times New Roman" w:hAnsi="Times New Roman"/>
          <w:sz w:val="19"/>
          <w:szCs w:val="19"/>
          <w:color w:val="auto"/>
        </w:rPr>
        <w:t>SECTION 4.2. Organizational and Governmental Authorization; No Contravention</w:t>
      </w:r>
      <w:r>
        <w:rPr>
          <w:sz w:val="20"/>
          <w:szCs w:val="20"/>
          <w:color w:val="auto"/>
        </w:rPr>
        <w:tab/>
      </w:r>
      <w:r>
        <w:rPr>
          <w:rFonts w:ascii="Times New Roman" w:cs="Times New Roman" w:eastAsia="Times New Roman" w:hAnsi="Times New Roman"/>
          <w:sz w:val="18"/>
          <w:szCs w:val="18"/>
          <w:color w:val="auto"/>
        </w:rPr>
        <w:t>40</w:t>
      </w:r>
    </w:p>
    <w:p>
      <w:pPr>
        <w:spacing w:after="0" w:line="233" w:lineRule="auto"/>
        <w:tabs>
          <w:tab w:leader="dot" w:pos="7180" w:val="left"/>
        </w:tabs>
        <w:rPr>
          <w:sz w:val="20"/>
          <w:szCs w:val="20"/>
          <w:color w:val="auto"/>
        </w:rPr>
      </w:pPr>
      <w:r>
        <w:rPr>
          <w:rFonts w:ascii="Times New Roman" w:cs="Times New Roman" w:eastAsia="Times New Roman" w:hAnsi="Times New Roman"/>
          <w:sz w:val="19"/>
          <w:szCs w:val="19"/>
          <w:color w:val="auto"/>
        </w:rPr>
        <w:t>SECTION 4.3. Binding Effect</w:t>
      </w:r>
      <w:r>
        <w:rPr>
          <w:sz w:val="20"/>
          <w:szCs w:val="20"/>
          <w:color w:val="auto"/>
        </w:rPr>
        <w:tab/>
      </w:r>
      <w:r>
        <w:rPr>
          <w:rFonts w:ascii="Times New Roman" w:cs="Times New Roman" w:eastAsia="Times New Roman" w:hAnsi="Times New Roman"/>
          <w:sz w:val="18"/>
          <w:szCs w:val="18"/>
          <w:color w:val="auto"/>
        </w:rPr>
        <w:t>40</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4.4. Financial Information; No Material Adverse Change</w:t>
      </w:r>
      <w:r>
        <w:rPr>
          <w:sz w:val="20"/>
          <w:szCs w:val="20"/>
          <w:color w:val="auto"/>
        </w:rPr>
        <w:tab/>
      </w:r>
      <w:r>
        <w:rPr>
          <w:rFonts w:ascii="Times New Roman" w:cs="Times New Roman" w:eastAsia="Times New Roman" w:hAnsi="Times New Roman"/>
          <w:sz w:val="18"/>
          <w:szCs w:val="18"/>
          <w:color w:val="auto"/>
        </w:rPr>
        <w:t>40</w:t>
      </w:r>
    </w:p>
    <w:p>
      <w:pPr>
        <w:spacing w:after="0" w:line="222" w:lineRule="auto"/>
        <w:tabs>
          <w:tab w:leader="dot" w:pos="7180" w:val="left"/>
        </w:tabs>
        <w:rPr>
          <w:sz w:val="20"/>
          <w:szCs w:val="20"/>
          <w:color w:val="auto"/>
        </w:rPr>
      </w:pPr>
      <w:r>
        <w:rPr>
          <w:rFonts w:ascii="Times New Roman" w:cs="Times New Roman" w:eastAsia="Times New Roman" w:hAnsi="Times New Roman"/>
          <w:sz w:val="19"/>
          <w:szCs w:val="19"/>
          <w:color w:val="auto"/>
        </w:rPr>
        <w:t>SECTION 4.5. Litigation</w:t>
      </w:r>
      <w:r>
        <w:rPr>
          <w:sz w:val="20"/>
          <w:szCs w:val="20"/>
          <w:color w:val="auto"/>
        </w:rPr>
        <w:tab/>
      </w:r>
      <w:r>
        <w:rPr>
          <w:rFonts w:ascii="Times New Roman" w:cs="Times New Roman" w:eastAsia="Times New Roman" w:hAnsi="Times New Roman"/>
          <w:sz w:val="19"/>
          <w:szCs w:val="19"/>
          <w:color w:val="auto"/>
        </w:rPr>
        <w:t>40</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4.6. Compliance with ERISA</w:t>
      </w:r>
      <w:r>
        <w:rPr>
          <w:sz w:val="20"/>
          <w:szCs w:val="20"/>
          <w:color w:val="auto"/>
        </w:rPr>
        <w:tab/>
      </w:r>
      <w:r>
        <w:rPr>
          <w:rFonts w:ascii="Times New Roman" w:cs="Times New Roman" w:eastAsia="Times New Roman" w:hAnsi="Times New Roman"/>
          <w:sz w:val="18"/>
          <w:szCs w:val="18"/>
          <w:color w:val="auto"/>
        </w:rPr>
        <w:t>40</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4.7. Environmental Matters</w:t>
      </w:r>
      <w:r>
        <w:rPr>
          <w:sz w:val="20"/>
          <w:szCs w:val="20"/>
          <w:color w:val="auto"/>
        </w:rPr>
        <w:tab/>
      </w:r>
      <w:r>
        <w:rPr>
          <w:rFonts w:ascii="Times New Roman" w:cs="Times New Roman" w:eastAsia="Times New Roman" w:hAnsi="Times New Roman"/>
          <w:sz w:val="18"/>
          <w:szCs w:val="18"/>
          <w:color w:val="auto"/>
        </w:rPr>
        <w:t>41</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4.8. Taxes</w:t>
      </w:r>
      <w:r>
        <w:rPr>
          <w:sz w:val="20"/>
          <w:szCs w:val="20"/>
          <w:color w:val="auto"/>
        </w:rPr>
        <w:tab/>
      </w:r>
      <w:r>
        <w:rPr>
          <w:rFonts w:ascii="Times New Roman" w:cs="Times New Roman" w:eastAsia="Times New Roman" w:hAnsi="Times New Roman"/>
          <w:sz w:val="18"/>
          <w:szCs w:val="18"/>
          <w:color w:val="auto"/>
        </w:rPr>
        <w:t>41</w:t>
      </w:r>
    </w:p>
    <w:p>
      <w:pPr>
        <w:spacing w:after="0" w:line="234" w:lineRule="auto"/>
        <w:tabs>
          <w:tab w:leader="dot" w:pos="7160" w:val="left"/>
        </w:tabs>
        <w:rPr>
          <w:sz w:val="20"/>
          <w:szCs w:val="20"/>
          <w:color w:val="auto"/>
        </w:rPr>
      </w:pPr>
      <w:r>
        <w:rPr>
          <w:rFonts w:ascii="Times New Roman" w:cs="Times New Roman" w:eastAsia="Times New Roman" w:hAnsi="Times New Roman"/>
          <w:sz w:val="19"/>
          <w:szCs w:val="19"/>
          <w:color w:val="auto"/>
        </w:rPr>
        <w:t>SECTION 4.9. Compliance with Laws and Agreements; No Default</w:t>
      </w:r>
      <w:r>
        <w:rPr>
          <w:sz w:val="20"/>
          <w:szCs w:val="20"/>
          <w:color w:val="auto"/>
        </w:rPr>
        <w:tab/>
      </w:r>
      <w:r>
        <w:rPr>
          <w:rFonts w:ascii="Times New Roman" w:cs="Times New Roman" w:eastAsia="Times New Roman" w:hAnsi="Times New Roman"/>
          <w:sz w:val="18"/>
          <w:szCs w:val="18"/>
          <w:color w:val="auto"/>
        </w:rPr>
        <w:t>41</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4.10. Not an Investment Company</w:t>
      </w:r>
      <w:r>
        <w:rPr>
          <w:sz w:val="20"/>
          <w:szCs w:val="20"/>
          <w:color w:val="auto"/>
        </w:rPr>
        <w:tab/>
      </w:r>
      <w:r>
        <w:rPr>
          <w:rFonts w:ascii="Times New Roman" w:cs="Times New Roman" w:eastAsia="Times New Roman" w:hAnsi="Times New Roman"/>
          <w:sz w:val="18"/>
          <w:szCs w:val="18"/>
          <w:color w:val="auto"/>
        </w:rPr>
        <w:t>42</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4.11. Full Disclosure</w:t>
      </w:r>
      <w:r>
        <w:rPr>
          <w:sz w:val="20"/>
          <w:szCs w:val="20"/>
          <w:color w:val="auto"/>
        </w:rPr>
        <w:tab/>
      </w:r>
      <w:r>
        <w:rPr>
          <w:rFonts w:ascii="Times New Roman" w:cs="Times New Roman" w:eastAsia="Times New Roman" w:hAnsi="Times New Roman"/>
          <w:sz w:val="18"/>
          <w:szCs w:val="18"/>
          <w:color w:val="auto"/>
        </w:rPr>
        <w:t>42</w:t>
      </w:r>
    </w:p>
    <w:p>
      <w:pPr>
        <w:spacing w:after="0" w:line="221" w:lineRule="auto"/>
        <w:tabs>
          <w:tab w:leader="dot" w:pos="7200" w:val="left"/>
        </w:tabs>
        <w:rPr>
          <w:sz w:val="20"/>
          <w:szCs w:val="20"/>
          <w:color w:val="auto"/>
        </w:rPr>
      </w:pPr>
      <w:r>
        <w:rPr>
          <w:rFonts w:ascii="Times New Roman" w:cs="Times New Roman" w:eastAsia="Times New Roman" w:hAnsi="Times New Roman"/>
          <w:sz w:val="19"/>
          <w:szCs w:val="19"/>
          <w:color w:val="auto"/>
        </w:rPr>
        <w:t>SECTION 4.12. Regulations T, U and X</w:t>
      </w:r>
      <w:r>
        <w:rPr>
          <w:sz w:val="20"/>
          <w:szCs w:val="20"/>
          <w:color w:val="auto"/>
        </w:rPr>
        <w:tab/>
      </w:r>
      <w:r>
        <w:rPr>
          <w:rFonts w:ascii="Times New Roman" w:cs="Times New Roman" w:eastAsia="Times New Roman" w:hAnsi="Times New Roman"/>
          <w:sz w:val="19"/>
          <w:szCs w:val="19"/>
          <w:color w:val="auto"/>
        </w:rPr>
        <w:t>42</w:t>
      </w:r>
    </w:p>
    <w:p>
      <w:pPr>
        <w:spacing w:after="0" w:line="222" w:lineRule="auto"/>
        <w:tabs>
          <w:tab w:leader="dot" w:pos="7180" w:val="left"/>
        </w:tabs>
        <w:rPr>
          <w:sz w:val="20"/>
          <w:szCs w:val="20"/>
          <w:color w:val="auto"/>
        </w:rPr>
      </w:pPr>
      <w:r>
        <w:rPr>
          <w:rFonts w:ascii="Times New Roman" w:cs="Times New Roman" w:eastAsia="Times New Roman" w:hAnsi="Times New Roman"/>
          <w:sz w:val="19"/>
          <w:szCs w:val="19"/>
          <w:color w:val="auto"/>
        </w:rPr>
        <w:t>SECTION 4.13. Anti-Terrorism Laws; Anti-Corruption Laws</w:t>
      </w:r>
      <w:r>
        <w:rPr>
          <w:sz w:val="20"/>
          <w:szCs w:val="20"/>
          <w:color w:val="auto"/>
        </w:rPr>
        <w:tab/>
      </w:r>
      <w:r>
        <w:rPr>
          <w:rFonts w:ascii="Times New Roman" w:cs="Times New Roman" w:eastAsia="Times New Roman" w:hAnsi="Times New Roman"/>
          <w:sz w:val="19"/>
          <w:szCs w:val="19"/>
          <w:color w:val="auto"/>
        </w:rPr>
        <w:t>42</w:t>
      </w:r>
    </w:p>
    <w:p>
      <w:pPr>
        <w:spacing w:after="0" w:line="222" w:lineRule="auto"/>
        <w:tabs>
          <w:tab w:leader="dot" w:pos="7180" w:val="left"/>
        </w:tabs>
        <w:rPr>
          <w:sz w:val="20"/>
          <w:szCs w:val="20"/>
          <w:color w:val="auto"/>
        </w:rPr>
      </w:pPr>
      <w:r>
        <w:rPr>
          <w:rFonts w:ascii="Times New Roman" w:cs="Times New Roman" w:eastAsia="Times New Roman" w:hAnsi="Times New Roman"/>
          <w:sz w:val="19"/>
          <w:szCs w:val="19"/>
          <w:color w:val="auto"/>
        </w:rPr>
        <w:t>SECTION 4.14. Affected Financial Institutions</w:t>
      </w:r>
      <w:r>
        <w:rPr>
          <w:sz w:val="20"/>
          <w:szCs w:val="20"/>
          <w:color w:val="auto"/>
        </w:rPr>
        <w:tab/>
      </w:r>
      <w:r>
        <w:rPr>
          <w:rFonts w:ascii="Times New Roman" w:cs="Times New Roman" w:eastAsia="Times New Roman" w:hAnsi="Times New Roman"/>
          <w:sz w:val="19"/>
          <w:szCs w:val="19"/>
          <w:color w:val="auto"/>
        </w:rPr>
        <w:t>43</w:t>
      </w:r>
    </w:p>
    <w:p>
      <w:pPr>
        <w:spacing w:after="0"/>
        <w:tabs>
          <w:tab w:leader="dot" w:pos="7200" w:val="left"/>
        </w:tabs>
        <w:rPr>
          <w:sz w:val="20"/>
          <w:szCs w:val="20"/>
          <w:color w:val="auto"/>
        </w:rPr>
      </w:pPr>
      <w:r>
        <w:rPr>
          <w:rFonts w:ascii="Times New Roman" w:cs="Times New Roman" w:eastAsia="Times New Roman" w:hAnsi="Times New Roman"/>
          <w:sz w:val="19"/>
          <w:szCs w:val="19"/>
          <w:color w:val="auto"/>
        </w:rPr>
        <w:t>SECTION 4.15. Outbound Investment Rules</w:t>
      </w:r>
      <w:r>
        <w:rPr>
          <w:sz w:val="20"/>
          <w:szCs w:val="20"/>
          <w:color w:val="auto"/>
        </w:rPr>
        <w:tab/>
      </w:r>
      <w:r>
        <w:rPr>
          <w:rFonts w:ascii="Times New Roman" w:cs="Times New Roman" w:eastAsia="Times New Roman" w:hAnsi="Times New Roman"/>
          <w:sz w:val="18"/>
          <w:szCs w:val="18"/>
          <w:color w:val="auto"/>
        </w:rPr>
        <w:t>43</w:t>
      </w:r>
    </w:p>
    <w:p>
      <w:pPr>
        <w:spacing w:after="0" w:line="18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ARTICLE V</w:t>
      </w:r>
    </w:p>
    <w:p>
      <w:pPr>
        <w:spacing w:after="0" w:line="20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COVENANTS</w:t>
      </w:r>
    </w:p>
    <w:p>
      <w:pPr>
        <w:spacing w:after="0" w:line="227" w:lineRule="auto"/>
        <w:tabs>
          <w:tab w:leader="dot" w:pos="7200" w:val="left"/>
        </w:tabs>
        <w:rPr>
          <w:sz w:val="20"/>
          <w:szCs w:val="20"/>
          <w:color w:val="auto"/>
        </w:rPr>
      </w:pPr>
      <w:r>
        <w:rPr>
          <w:rFonts w:ascii="Times New Roman" w:cs="Times New Roman" w:eastAsia="Times New Roman" w:hAnsi="Times New Roman"/>
          <w:sz w:val="19"/>
          <w:szCs w:val="19"/>
          <w:color w:val="auto"/>
        </w:rPr>
        <w:t>SECTION 5.1. Information</w:t>
      </w:r>
      <w:r>
        <w:rPr>
          <w:sz w:val="20"/>
          <w:szCs w:val="20"/>
          <w:color w:val="auto"/>
        </w:rPr>
        <w:tab/>
      </w:r>
      <w:r>
        <w:rPr>
          <w:rFonts w:ascii="Times New Roman" w:cs="Times New Roman" w:eastAsia="Times New Roman" w:hAnsi="Times New Roman"/>
          <w:sz w:val="19"/>
          <w:szCs w:val="19"/>
          <w:color w:val="auto"/>
        </w:rPr>
        <w:t>43</w:t>
      </w:r>
    </w:p>
    <w:p>
      <w:pPr>
        <w:spacing w:after="0" w:line="222" w:lineRule="auto"/>
        <w:tabs>
          <w:tab w:leader="dot" w:pos="7160" w:val="left"/>
        </w:tabs>
        <w:rPr>
          <w:sz w:val="20"/>
          <w:szCs w:val="20"/>
          <w:color w:val="auto"/>
        </w:rPr>
      </w:pPr>
      <w:r>
        <w:rPr>
          <w:rFonts w:ascii="Times New Roman" w:cs="Times New Roman" w:eastAsia="Times New Roman" w:hAnsi="Times New Roman"/>
          <w:sz w:val="19"/>
          <w:szCs w:val="19"/>
          <w:color w:val="auto"/>
        </w:rPr>
        <w:t>SECTION 5.2. Maintenance of Property; Insurance</w:t>
      </w:r>
      <w:r>
        <w:rPr>
          <w:sz w:val="20"/>
          <w:szCs w:val="20"/>
          <w:color w:val="auto"/>
        </w:rPr>
        <w:tab/>
      </w:r>
      <w:r>
        <w:rPr>
          <w:rFonts w:ascii="Times New Roman" w:cs="Times New Roman" w:eastAsia="Times New Roman" w:hAnsi="Times New Roman"/>
          <w:sz w:val="19"/>
          <w:szCs w:val="19"/>
          <w:color w:val="auto"/>
        </w:rPr>
        <w:t>45</w:t>
      </w:r>
    </w:p>
    <w:p>
      <w:pPr>
        <w:spacing w:after="0" w:line="221" w:lineRule="auto"/>
        <w:tabs>
          <w:tab w:leader="dot" w:pos="7160" w:val="left"/>
        </w:tabs>
        <w:rPr>
          <w:sz w:val="20"/>
          <w:szCs w:val="20"/>
          <w:color w:val="auto"/>
        </w:rPr>
      </w:pPr>
      <w:r>
        <w:rPr>
          <w:rFonts w:ascii="Times New Roman" w:cs="Times New Roman" w:eastAsia="Times New Roman" w:hAnsi="Times New Roman"/>
          <w:sz w:val="19"/>
          <w:szCs w:val="19"/>
          <w:color w:val="auto"/>
        </w:rPr>
        <w:t>SECTION 5.3. Conduct of Business and Maintenance of Existence</w:t>
      </w:r>
      <w:r>
        <w:rPr>
          <w:sz w:val="20"/>
          <w:szCs w:val="20"/>
          <w:color w:val="auto"/>
        </w:rPr>
        <w:tab/>
      </w:r>
      <w:r>
        <w:rPr>
          <w:rFonts w:ascii="Times New Roman" w:cs="Times New Roman" w:eastAsia="Times New Roman" w:hAnsi="Times New Roman"/>
          <w:sz w:val="19"/>
          <w:szCs w:val="19"/>
          <w:color w:val="auto"/>
        </w:rPr>
        <w:t>45</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5.4. Compliance with Laws</w:t>
      </w:r>
      <w:r>
        <w:rPr>
          <w:sz w:val="20"/>
          <w:szCs w:val="20"/>
          <w:color w:val="auto"/>
        </w:rPr>
        <w:tab/>
      </w:r>
      <w:r>
        <w:rPr>
          <w:rFonts w:ascii="Times New Roman" w:cs="Times New Roman" w:eastAsia="Times New Roman" w:hAnsi="Times New Roman"/>
          <w:sz w:val="18"/>
          <w:szCs w:val="18"/>
          <w:color w:val="auto"/>
        </w:rPr>
        <w:t>46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5.5. Payment of Taxes</w:t>
      </w:r>
      <w:r>
        <w:rPr>
          <w:sz w:val="20"/>
          <w:szCs w:val="20"/>
          <w:color w:val="auto"/>
        </w:rPr>
        <w:tab/>
      </w:r>
      <w:r>
        <w:rPr>
          <w:rFonts w:ascii="Times New Roman" w:cs="Times New Roman" w:eastAsia="Times New Roman" w:hAnsi="Times New Roman"/>
          <w:sz w:val="18"/>
          <w:szCs w:val="18"/>
          <w:color w:val="auto"/>
        </w:rPr>
        <w:t>46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5.6. Use of Proceeds</w:t>
      </w:r>
      <w:r>
        <w:rPr>
          <w:sz w:val="20"/>
          <w:szCs w:val="20"/>
          <w:color w:val="auto"/>
        </w:rPr>
        <w:tab/>
      </w:r>
      <w:r>
        <w:rPr>
          <w:rFonts w:ascii="Times New Roman" w:cs="Times New Roman" w:eastAsia="Times New Roman" w:hAnsi="Times New Roman"/>
          <w:sz w:val="18"/>
          <w:szCs w:val="18"/>
          <w:color w:val="auto"/>
        </w:rPr>
        <w:t>46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5.7. Additional Guarantors</w:t>
      </w:r>
      <w:r>
        <w:rPr>
          <w:sz w:val="20"/>
          <w:szCs w:val="20"/>
          <w:color w:val="auto"/>
        </w:rPr>
        <w:tab/>
      </w:r>
      <w:r>
        <w:rPr>
          <w:rFonts w:ascii="Times New Roman" w:cs="Times New Roman" w:eastAsia="Times New Roman" w:hAnsi="Times New Roman"/>
          <w:sz w:val="18"/>
          <w:szCs w:val="18"/>
          <w:color w:val="auto"/>
        </w:rPr>
        <w:t>46</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5.8. Indebtedness</w:t>
      </w:r>
      <w:r>
        <w:rPr>
          <w:sz w:val="20"/>
          <w:szCs w:val="20"/>
          <w:color w:val="auto"/>
        </w:rPr>
        <w:tab/>
      </w:r>
      <w:r>
        <w:rPr>
          <w:rFonts w:ascii="Times New Roman" w:cs="Times New Roman" w:eastAsia="Times New Roman" w:hAnsi="Times New Roman"/>
          <w:sz w:val="18"/>
          <w:szCs w:val="18"/>
          <w:color w:val="auto"/>
        </w:rPr>
        <w:t>47</w:t>
      </w:r>
    </w:p>
    <w:p>
      <w:pPr>
        <w:spacing w:after="0" w:line="234" w:lineRule="auto"/>
        <w:tabs>
          <w:tab w:leader="dot" w:pos="7200" w:val="left"/>
        </w:tabs>
        <w:rPr>
          <w:sz w:val="20"/>
          <w:szCs w:val="20"/>
          <w:color w:val="auto"/>
        </w:rPr>
      </w:pPr>
      <w:r>
        <w:rPr>
          <w:rFonts w:ascii="Times New Roman" w:cs="Times New Roman" w:eastAsia="Times New Roman" w:hAnsi="Times New Roman"/>
          <w:sz w:val="19"/>
          <w:szCs w:val="19"/>
          <w:color w:val="auto"/>
        </w:rPr>
        <w:t>SECTION 5.9. Liens</w:t>
      </w:r>
      <w:r>
        <w:rPr>
          <w:sz w:val="20"/>
          <w:szCs w:val="20"/>
          <w:color w:val="auto"/>
        </w:rPr>
        <w:tab/>
      </w:r>
      <w:r>
        <w:rPr>
          <w:rFonts w:ascii="Times New Roman" w:cs="Times New Roman" w:eastAsia="Times New Roman" w:hAnsi="Times New Roman"/>
          <w:sz w:val="18"/>
          <w:szCs w:val="18"/>
          <w:color w:val="auto"/>
        </w:rPr>
        <w:t>48</w:t>
      </w:r>
    </w:p>
    <w:p>
      <w:pPr>
        <w:spacing w:after="0" w:line="234" w:lineRule="auto"/>
        <w:tabs>
          <w:tab w:leader="dot" w:pos="7180" w:val="left"/>
        </w:tabs>
        <w:rPr>
          <w:sz w:val="20"/>
          <w:szCs w:val="20"/>
          <w:color w:val="auto"/>
        </w:rPr>
      </w:pPr>
      <w:r>
        <w:rPr>
          <w:rFonts w:ascii="Times New Roman" w:cs="Times New Roman" w:eastAsia="Times New Roman" w:hAnsi="Times New Roman"/>
          <w:sz w:val="19"/>
          <w:szCs w:val="19"/>
          <w:color w:val="auto"/>
        </w:rPr>
        <w:t>SECTION 5.10. Fundamental Changes</w:t>
      </w:r>
      <w:r>
        <w:rPr>
          <w:sz w:val="20"/>
          <w:szCs w:val="20"/>
          <w:color w:val="auto"/>
        </w:rPr>
        <w:tab/>
      </w:r>
      <w:r>
        <w:rPr>
          <w:rFonts w:ascii="Times New Roman" w:cs="Times New Roman" w:eastAsia="Times New Roman" w:hAnsi="Times New Roman"/>
          <w:sz w:val="18"/>
          <w:szCs w:val="18"/>
          <w:color w:val="auto"/>
        </w:rPr>
        <w:t>50</w:t>
      </w:r>
    </w:p>
    <w:p>
      <w:pPr>
        <w:spacing w:after="0" w:line="221" w:lineRule="auto"/>
        <w:tabs>
          <w:tab w:leader="dot" w:pos="7180" w:val="left"/>
        </w:tabs>
        <w:rPr>
          <w:sz w:val="20"/>
          <w:szCs w:val="20"/>
          <w:color w:val="auto"/>
        </w:rPr>
      </w:pPr>
      <w:r>
        <w:rPr>
          <w:rFonts w:ascii="Times New Roman" w:cs="Times New Roman" w:eastAsia="Times New Roman" w:hAnsi="Times New Roman"/>
          <w:sz w:val="19"/>
          <w:szCs w:val="19"/>
          <w:color w:val="auto"/>
        </w:rPr>
        <w:t>SECTION 5.11. Restricted Payments</w:t>
      </w:r>
      <w:r>
        <w:rPr>
          <w:sz w:val="20"/>
          <w:szCs w:val="20"/>
          <w:color w:val="auto"/>
        </w:rPr>
        <w:tab/>
      </w:r>
      <w:r>
        <w:rPr>
          <w:rFonts w:ascii="Times New Roman" w:cs="Times New Roman" w:eastAsia="Times New Roman" w:hAnsi="Times New Roman"/>
          <w:sz w:val="19"/>
          <w:szCs w:val="19"/>
          <w:color w:val="auto"/>
        </w:rPr>
        <w:t>50</w:t>
      </w:r>
    </w:p>
    <w:p>
      <w:pPr>
        <w:spacing w:after="0" w:line="234" w:lineRule="auto"/>
        <w:tabs>
          <w:tab w:leader="dot" w:pos="7160" w:val="left"/>
        </w:tabs>
        <w:rPr>
          <w:sz w:val="20"/>
          <w:szCs w:val="20"/>
          <w:color w:val="auto"/>
        </w:rPr>
      </w:pPr>
      <w:r>
        <w:rPr>
          <w:rFonts w:ascii="Times New Roman" w:cs="Times New Roman" w:eastAsia="Times New Roman" w:hAnsi="Times New Roman"/>
          <w:sz w:val="19"/>
          <w:szCs w:val="19"/>
          <w:color w:val="auto"/>
        </w:rPr>
        <w:t>SECTION 5.12. Financial Covenant</w:t>
      </w:r>
      <w:r>
        <w:rPr>
          <w:sz w:val="20"/>
          <w:szCs w:val="20"/>
          <w:color w:val="auto"/>
        </w:rPr>
        <w:tab/>
      </w:r>
      <w:r>
        <w:rPr>
          <w:rFonts w:ascii="Times New Roman" w:cs="Times New Roman" w:eastAsia="Times New Roman" w:hAnsi="Times New Roman"/>
          <w:sz w:val="18"/>
          <w:szCs w:val="18"/>
          <w:color w:val="auto"/>
        </w:rPr>
        <w:t>51</w:t>
      </w:r>
    </w:p>
    <w:p>
      <w:pPr>
        <w:spacing w:after="0" w:line="1" w:lineRule="exact"/>
        <w:rPr>
          <w:sz w:val="20"/>
          <w:szCs w:val="20"/>
          <w:color w:val="auto"/>
        </w:rPr>
      </w:pPr>
    </w:p>
    <w:p>
      <w:pPr>
        <w:spacing w:after="0"/>
        <w:tabs>
          <w:tab w:leader="dot" w:pos="7200" w:val="left"/>
        </w:tabs>
        <w:rPr>
          <w:sz w:val="20"/>
          <w:szCs w:val="20"/>
          <w:color w:val="auto"/>
        </w:rPr>
      </w:pPr>
      <w:r>
        <w:rPr>
          <w:rFonts w:ascii="Times New Roman" w:cs="Times New Roman" w:eastAsia="Times New Roman" w:hAnsi="Times New Roman"/>
          <w:sz w:val="19"/>
          <w:szCs w:val="19"/>
          <w:color w:val="auto"/>
        </w:rPr>
        <w:t>SECTION 5.13. Outbound Investment Rules</w:t>
      </w:r>
      <w:r>
        <w:rPr>
          <w:sz w:val="20"/>
          <w:szCs w:val="20"/>
          <w:color w:val="auto"/>
        </w:rPr>
        <w:tab/>
      </w:r>
      <w:r>
        <w:rPr>
          <w:rFonts w:ascii="Times New Roman" w:cs="Times New Roman" w:eastAsia="Times New Roman" w:hAnsi="Times New Roman"/>
          <w:sz w:val="18"/>
          <w:szCs w:val="18"/>
          <w:color w:val="auto"/>
        </w:rPr>
        <w:t>51</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VI</w:t>
      </w:r>
    </w:p>
    <w:p>
      <w:pPr>
        <w:spacing w:after="0" w:line="2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DEFAULTS</w:t>
      </w:r>
    </w:p>
    <w:p>
      <w:pPr>
        <w:spacing w:after="0"/>
        <w:tabs>
          <w:tab w:leader="dot" w:pos="7160" w:val="left"/>
        </w:tabs>
        <w:rPr>
          <w:sz w:val="20"/>
          <w:szCs w:val="20"/>
          <w:color w:val="auto"/>
        </w:rPr>
      </w:pPr>
      <w:r>
        <w:rPr>
          <w:rFonts w:ascii="Times New Roman" w:cs="Times New Roman" w:eastAsia="Times New Roman" w:hAnsi="Times New Roman"/>
          <w:sz w:val="19"/>
          <w:szCs w:val="19"/>
          <w:color w:val="auto"/>
        </w:rPr>
        <w:t>SECTION 6.1. Events of Default</w:t>
      </w:r>
      <w:r>
        <w:rPr>
          <w:sz w:val="20"/>
          <w:szCs w:val="20"/>
          <w:color w:val="auto"/>
        </w:rPr>
        <w:tab/>
      </w:r>
      <w:r>
        <w:rPr>
          <w:rFonts w:ascii="Times New Roman" w:cs="Times New Roman" w:eastAsia="Times New Roman" w:hAnsi="Times New Roman"/>
          <w:sz w:val="18"/>
          <w:szCs w:val="18"/>
          <w:color w:val="auto"/>
        </w:rPr>
        <w:t>51</w:t>
      </w:r>
    </w:p>
    <w:p>
      <w:pPr>
        <w:spacing w:after="0"/>
        <w:tabs>
          <w:tab w:leader="dot" w:pos="7200" w:val="left"/>
        </w:tabs>
        <w:rPr>
          <w:sz w:val="20"/>
          <w:szCs w:val="20"/>
          <w:color w:val="auto"/>
        </w:rPr>
      </w:pPr>
      <w:r>
        <w:rPr>
          <w:rFonts w:ascii="Times New Roman" w:cs="Times New Roman" w:eastAsia="Times New Roman" w:hAnsi="Times New Roman"/>
          <w:sz w:val="19"/>
          <w:szCs w:val="19"/>
          <w:color w:val="auto"/>
        </w:rPr>
        <w:t>SECTION 6.2. Notice of Default</w:t>
      </w:r>
      <w:r>
        <w:rPr>
          <w:sz w:val="20"/>
          <w:szCs w:val="20"/>
          <w:color w:val="auto"/>
        </w:rPr>
        <w:tab/>
      </w:r>
      <w:r>
        <w:rPr>
          <w:rFonts w:ascii="Times New Roman" w:cs="Times New Roman" w:eastAsia="Times New Roman" w:hAnsi="Times New Roman"/>
          <w:sz w:val="18"/>
          <w:szCs w:val="18"/>
          <w:color w:val="auto"/>
        </w:rPr>
        <w:t>53</w:t>
      </w:r>
    </w:p>
    <w:p>
      <w:pPr>
        <w:spacing w:after="0" w:line="1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VII</w:t>
      </w:r>
    </w:p>
    <w:p>
      <w:pPr>
        <w:spacing w:after="0" w:line="20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5" w:lineRule="exact"/>
        <w:rPr>
          <w:sz w:val="20"/>
          <w:szCs w:val="20"/>
          <w:color w:val="auto"/>
        </w:rPr>
      </w:pPr>
    </w:p>
    <w:p>
      <w:pPr>
        <w:spacing w:after="0"/>
        <w:tabs>
          <w:tab w:leader="dot" w:pos="7200" w:val="left"/>
        </w:tabs>
        <w:rPr>
          <w:sz w:val="20"/>
          <w:szCs w:val="20"/>
          <w:color w:val="auto"/>
        </w:rPr>
      </w:pPr>
      <w:r>
        <w:rPr>
          <w:rFonts w:ascii="Times New Roman" w:cs="Times New Roman" w:eastAsia="Times New Roman" w:hAnsi="Times New Roman"/>
          <w:sz w:val="19"/>
          <w:szCs w:val="19"/>
          <w:color w:val="auto"/>
        </w:rPr>
        <w:t>SECTION 7.1. Appointment and Authorization</w:t>
      </w:r>
      <w:r>
        <w:rPr>
          <w:sz w:val="20"/>
          <w:szCs w:val="20"/>
          <w:color w:val="auto"/>
        </w:rPr>
        <w:tab/>
      </w:r>
      <w:r>
        <w:rPr>
          <w:rFonts w:ascii="Times New Roman" w:cs="Times New Roman" w:eastAsia="Times New Roman" w:hAnsi="Times New Roman"/>
          <w:sz w:val="18"/>
          <w:szCs w:val="18"/>
          <w:color w:val="auto"/>
        </w:rPr>
        <w:t>53</w:t>
      </w:r>
    </w:p>
    <w:p>
      <w:pPr>
        <w:sectPr>
          <w:pgSz w:w="11900" w:h="16840" w:orient="portrait"/>
          <w:cols w:equalWidth="0" w:num="1">
            <w:col w:w="9800"/>
          </w:cols>
          <w:pgMar w:left="660" w:top="1440" w:right="1440" w:bottom="1440" w:gutter="0" w:footer="0" w:header="0"/>
        </w:sectPr>
      </w:pPr>
    </w:p>
    <w:bookmarkStart w:id="39" w:name="page40"/>
    <w:bookmarkEnd w:id="39"/>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7.2. Administrative Agent and Affiliates....................................................................</w:t>
            </w:r>
          </w:p>
        </w:tc>
        <w:tc>
          <w:tcPr>
            <w:tcW w:w="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53</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7.3. Action by the Administrative Agent....................................................................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53</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7.4. Consultation with Experts....................................................................................</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54</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7.5. Liability of the Administrative Agent..................................................................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54</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7.6. Delegation of Duties............................................................................................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55</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7.7. Credit Decision....................................................................................................</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55</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7.8. Successor Administrative Agent..........................................................................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55</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7.9. No Other Duties, etc.............................................................................................</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56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7.10. Administrative Agent’s Fees..............................................................................</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56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7.11. [Reserved]..........................................................................................................</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7.12. Certain ERISA Matters......................................................................................</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56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7.13. Acknowledgments of Banks..............................................................................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57</w:t>
            </w:r>
          </w:p>
        </w:tc>
      </w:tr>
      <w:tr>
        <w:trPr>
          <w:trHeight w:val="249"/>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SECTION 7.14. Erroneous Payments...........................................................................................</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4"/>
              </w:rPr>
              <w:t>59</w:t>
            </w:r>
          </w:p>
        </w:tc>
      </w:tr>
      <w:tr>
        <w:trPr>
          <w:trHeight w:val="427"/>
        </w:trPr>
        <w:tc>
          <w:tcPr>
            <w:tcW w:w="6940" w:type="dxa"/>
            <w:vAlign w:val="bottom"/>
          </w:tcPr>
          <w:p>
            <w:pPr>
              <w:jc w:val="center"/>
              <w:ind w:left="3545"/>
              <w:spacing w:after="0"/>
              <w:rPr>
                <w:sz w:val="20"/>
                <w:szCs w:val="20"/>
                <w:color w:val="auto"/>
              </w:rPr>
            </w:pPr>
            <w:r>
              <w:rPr>
                <w:rFonts w:ascii="Times New Roman" w:cs="Times New Roman" w:eastAsia="Times New Roman" w:hAnsi="Times New Roman"/>
                <w:sz w:val="19"/>
                <w:szCs w:val="19"/>
                <w:color w:val="auto"/>
              </w:rPr>
              <w:t>ARTICLE VIII</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27"/>
        </w:trPr>
        <w:tc>
          <w:tcPr>
            <w:tcW w:w="6940" w:type="dxa"/>
            <w:vAlign w:val="bottom"/>
          </w:tcPr>
          <w:p>
            <w:pPr>
              <w:jc w:val="center"/>
              <w:ind w:left="3525"/>
              <w:spacing w:after="0"/>
              <w:rPr>
                <w:sz w:val="20"/>
                <w:szCs w:val="20"/>
                <w:color w:val="auto"/>
              </w:rPr>
            </w:pPr>
            <w:r>
              <w:rPr>
                <w:rFonts w:ascii="Times New Roman" w:cs="Times New Roman" w:eastAsia="Times New Roman" w:hAnsi="Times New Roman"/>
                <w:sz w:val="19"/>
                <w:szCs w:val="19"/>
                <w:color w:val="auto"/>
                <w:w w:val="99"/>
              </w:rPr>
              <w:t>CHANGE IN CIRCUMSTANCES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0"/>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8.1. Changed Circumstances.......................................................................................</w:t>
            </w:r>
          </w:p>
        </w:tc>
        <w:tc>
          <w:tcPr>
            <w:tcW w:w="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61</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8.2. Increased Cost and Reduced Return....................................................................</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64</w:t>
            </w:r>
          </w:p>
        </w:tc>
      </w:tr>
      <w:tr>
        <w:trPr>
          <w:trHeight w:val="249"/>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SECTION 8.3. Substitution of Bank.............................................................................................</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4"/>
              </w:rPr>
              <w:t>65</w:t>
            </w:r>
          </w:p>
        </w:tc>
      </w:tr>
      <w:tr>
        <w:trPr>
          <w:trHeight w:val="427"/>
        </w:trPr>
        <w:tc>
          <w:tcPr>
            <w:tcW w:w="6940" w:type="dxa"/>
            <w:vAlign w:val="bottom"/>
          </w:tcPr>
          <w:p>
            <w:pPr>
              <w:jc w:val="center"/>
              <w:ind w:left="3545"/>
              <w:spacing w:after="0"/>
              <w:rPr>
                <w:sz w:val="20"/>
                <w:szCs w:val="20"/>
                <w:color w:val="auto"/>
              </w:rPr>
            </w:pPr>
            <w:r>
              <w:rPr>
                <w:rFonts w:ascii="Times New Roman" w:cs="Times New Roman" w:eastAsia="Times New Roman" w:hAnsi="Times New Roman"/>
                <w:sz w:val="19"/>
                <w:szCs w:val="19"/>
                <w:color w:val="auto"/>
              </w:rPr>
              <w:t>ARTICLE IX</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0"/>
        </w:trPr>
        <w:tc>
          <w:tcPr>
            <w:tcW w:w="6940" w:type="dxa"/>
            <w:vAlign w:val="bottom"/>
          </w:tcPr>
          <w:p>
            <w:pPr>
              <w:jc w:val="center"/>
              <w:ind w:left="3545"/>
              <w:spacing w:after="0"/>
              <w:rPr>
                <w:sz w:val="20"/>
                <w:szCs w:val="20"/>
                <w:color w:val="auto"/>
              </w:rPr>
            </w:pPr>
            <w:r>
              <w:rPr>
                <w:rFonts w:ascii="Times New Roman" w:cs="Times New Roman" w:eastAsia="Times New Roman" w:hAnsi="Times New Roman"/>
                <w:sz w:val="19"/>
                <w:szCs w:val="19"/>
                <w:color w:val="auto"/>
                <w:w w:val="99"/>
              </w:rPr>
              <w:t>MISCELLANEOUS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 Notices.................................................................................................................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9.2. No Waivers..........................................................................................................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9.3. Expenses; Indemnification; Limitation of Liabilities..........................................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9.4. Sharing of Set-Offs..............................................................................................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69</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9.5. Amendments and Waivers...................................................................................</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69</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9.6. Successors and Assigns........................................................................................</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70</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9.7. Collateral..............................................................................................................</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73</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9.8. Governing Law; Submission to Jurisdiction........................................................</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73</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9.9. Counterparts; Integration; Execution...................................................................</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73</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9.10. Confidentiality...................................................................................................</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74</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9.11. No Fiduciary Duty.............................................................................................</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76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9.12. Conversion of Currencies...................................................................................</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76</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9.13. WAIVER OF JURY TRIAL..............................................................................</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77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9.14. Severability........................................................................................................</w:t>
            </w:r>
          </w:p>
        </w:tc>
        <w:tc>
          <w:tcPr>
            <w:tcW w:w="2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77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9.15. Headings.............................................................................................................</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77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9.16. [Reserved]..........................................................................................................</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77</w:t>
            </w:r>
          </w:p>
        </w:tc>
      </w:tr>
      <w:tr>
        <w:trPr>
          <w:trHeight w:val="202"/>
        </w:trPr>
        <w:tc>
          <w:tcPr>
            <w:tcW w:w="694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SECTION 9.17. USA Patriot Act Notice................................................................................</w:t>
            </w:r>
          </w:p>
        </w:tc>
        <w:tc>
          <w:tcPr>
            <w:tcW w:w="24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w w:val="83"/>
              </w:rPr>
              <w:t>77</w:t>
            </w:r>
          </w:p>
        </w:tc>
        <w:tc>
          <w:tcPr>
            <w:tcW w:w="240" w:type="dxa"/>
            <w:vAlign w:val="bottom"/>
          </w:tcPr>
          <w:p>
            <w:pPr>
              <w:spacing w:after="0"/>
              <w:rPr>
                <w:sz w:val="17"/>
                <w:szCs w:val="17"/>
                <w:color w:val="auto"/>
              </w:rPr>
            </w:pP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SECTION 9.18. Survival..............................................................................................................</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9"/>
                <w:szCs w:val="19"/>
                <w:color w:val="auto"/>
              </w:rPr>
              <w:t>77</w:t>
            </w:r>
          </w:p>
        </w:tc>
      </w:tr>
      <w:tr>
        <w:trPr>
          <w:trHeight w:val="202"/>
        </w:trPr>
        <w:tc>
          <w:tcPr>
            <w:tcW w:w="718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w w:val="99"/>
              </w:rPr>
              <w:t>SECTION 9.19. Acknowledgment and Consent to Bail-In of Affected Financial Institutions....</w:t>
            </w:r>
          </w:p>
        </w:tc>
        <w:tc>
          <w:tcPr>
            <w:tcW w:w="240" w:type="dxa"/>
            <w:vAlign w:val="bottom"/>
          </w:tcPr>
          <w:p>
            <w:pPr>
              <w:ind w:left="40"/>
              <w:spacing w:after="0" w:line="202" w:lineRule="exact"/>
              <w:rPr>
                <w:sz w:val="20"/>
                <w:szCs w:val="20"/>
                <w:color w:val="auto"/>
              </w:rPr>
            </w:pPr>
            <w:r>
              <w:rPr>
                <w:rFonts w:ascii="Times New Roman" w:cs="Times New Roman" w:eastAsia="Times New Roman" w:hAnsi="Times New Roman"/>
                <w:sz w:val="19"/>
                <w:szCs w:val="19"/>
                <w:color w:val="auto"/>
                <w:w w:val="94"/>
              </w:rPr>
              <w:t>77</w:t>
            </w:r>
          </w:p>
        </w:tc>
      </w:tr>
      <w:tr>
        <w:trPr>
          <w:trHeight w:val="249"/>
        </w:trPr>
        <w:tc>
          <w:tcPr>
            <w:tcW w:w="7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9.20. Acknowledgment Regarding Any Supported QFCs..........................................</w:t>
            </w:r>
          </w:p>
        </w:tc>
        <w:tc>
          <w:tcPr>
            <w:tcW w:w="2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78</w:t>
            </w:r>
          </w:p>
        </w:tc>
      </w:tr>
    </w:tbl>
    <w:p>
      <w:pPr>
        <w:sectPr>
          <w:pgSz w:w="11900" w:h="16840" w:orient="portrait"/>
          <w:cols w:equalWidth="0" w:num="1">
            <w:col w:w="9800"/>
          </w:cols>
          <w:pgMar w:left="660" w:top="1440" w:right="1440" w:bottom="1440" w:gutter="0" w:footer="0" w:header="0"/>
        </w:sectPr>
      </w:pPr>
    </w:p>
    <w:bookmarkStart w:id="40" w:name="page41"/>
    <w:bookmarkEnd w:id="40"/>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1.1</w:t>
            </w:r>
          </w:p>
        </w:tc>
        <w:tc>
          <w:tcPr>
            <w:tcW w:w="3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Term Loan Commitments</w:t>
            </w:r>
          </w:p>
        </w:tc>
      </w:tr>
      <w:tr>
        <w:trPr>
          <w:trHeight w:val="226"/>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5.8</w:t>
            </w:r>
          </w:p>
        </w:tc>
        <w:tc>
          <w:tcPr>
            <w:tcW w:w="3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0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Existing Indebtedness</w:t>
            </w:r>
          </w:p>
        </w:tc>
      </w:tr>
      <w:tr>
        <w:trPr>
          <w:trHeight w:val="249"/>
        </w:trPr>
        <w:tc>
          <w:tcPr>
            <w:tcW w:w="10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5.9</w:t>
            </w:r>
          </w:p>
        </w:tc>
        <w:tc>
          <w:tcPr>
            <w:tcW w:w="3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Existing Liens</w:t>
            </w:r>
          </w:p>
        </w:tc>
      </w:tr>
      <w:tr>
        <w:trPr>
          <w:trHeight w:val="427"/>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Exhibit A</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940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rPr>
              <w:t>Form of Note</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Exhibit B</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940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Assignment and Assumption</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Exhibit C-1</w:t>
            </w:r>
          </w:p>
        </w:tc>
        <w:tc>
          <w:tcPr>
            <w:tcW w:w="120" w:type="dxa"/>
            <w:vAlign w:val="bottom"/>
          </w:tcPr>
          <w:p>
            <w:pPr>
              <w:spacing w:after="0"/>
              <w:rPr>
                <w:sz w:val="19"/>
                <w:szCs w:val="19"/>
                <w:color w:val="auto"/>
              </w:rPr>
            </w:pPr>
          </w:p>
        </w:tc>
        <w:tc>
          <w:tcPr>
            <w:tcW w:w="94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Form of Notice of Borrowing</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Exhibit C-2</w:t>
            </w:r>
          </w:p>
        </w:tc>
        <w:tc>
          <w:tcPr>
            <w:tcW w:w="120" w:type="dxa"/>
            <w:vAlign w:val="bottom"/>
          </w:tcPr>
          <w:p>
            <w:pPr>
              <w:spacing w:after="0"/>
              <w:rPr>
                <w:sz w:val="19"/>
                <w:szCs w:val="19"/>
                <w:color w:val="auto"/>
              </w:rPr>
            </w:pPr>
          </w:p>
        </w:tc>
        <w:tc>
          <w:tcPr>
            <w:tcW w:w="94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Form of Notice of Prepayment</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Exhibit C-3</w:t>
            </w:r>
          </w:p>
        </w:tc>
        <w:tc>
          <w:tcPr>
            <w:tcW w:w="120" w:type="dxa"/>
            <w:vAlign w:val="bottom"/>
          </w:tcPr>
          <w:p>
            <w:pPr>
              <w:spacing w:after="0"/>
              <w:rPr>
                <w:sz w:val="19"/>
                <w:szCs w:val="19"/>
                <w:color w:val="auto"/>
              </w:rPr>
            </w:pPr>
          </w:p>
        </w:tc>
        <w:tc>
          <w:tcPr>
            <w:tcW w:w="94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Form of Notice of Conversion/Continuation</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w w:val="99"/>
              </w:rPr>
              <w:t>Exhibit D-1</w:t>
            </w:r>
          </w:p>
        </w:tc>
        <w:tc>
          <w:tcPr>
            <w:tcW w:w="120" w:type="dxa"/>
            <w:vAlign w:val="bottom"/>
          </w:tcPr>
          <w:p>
            <w:pPr>
              <w:spacing w:after="0"/>
              <w:rPr>
                <w:sz w:val="19"/>
                <w:szCs w:val="19"/>
                <w:color w:val="auto"/>
              </w:rPr>
            </w:pPr>
          </w:p>
        </w:tc>
        <w:tc>
          <w:tcPr>
            <w:tcW w:w="94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  Form of U.S. Tax Compliance Certificate (For Foreign Banks That Are Not Partnerships For U.S. Federal Income Tax</w:t>
            </w:r>
          </w:p>
        </w:tc>
      </w:tr>
      <w:tr>
        <w:trPr>
          <w:trHeight w:val="226"/>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Purposes)</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w w:val="99"/>
              </w:rPr>
              <w:t>Exhibit D-2</w:t>
            </w:r>
          </w:p>
        </w:tc>
        <w:tc>
          <w:tcPr>
            <w:tcW w:w="120" w:type="dxa"/>
            <w:vAlign w:val="bottom"/>
          </w:tcPr>
          <w:p>
            <w:pPr>
              <w:spacing w:after="0"/>
              <w:rPr>
                <w:sz w:val="19"/>
                <w:szCs w:val="19"/>
                <w:color w:val="auto"/>
              </w:rPr>
            </w:pPr>
          </w:p>
        </w:tc>
        <w:tc>
          <w:tcPr>
            <w:tcW w:w="94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  Form of U.S. Tax Compliance Certificate (For Foreign Participants That Are Not Partnerships For U.S. Federal Income</w:t>
            </w:r>
          </w:p>
        </w:tc>
      </w:tr>
      <w:tr>
        <w:trPr>
          <w:trHeight w:val="226"/>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Tax Purposes)</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w w:val="99"/>
              </w:rPr>
              <w:t>Exhibit D-3</w:t>
            </w:r>
          </w:p>
        </w:tc>
        <w:tc>
          <w:tcPr>
            <w:tcW w:w="120" w:type="dxa"/>
            <w:vAlign w:val="bottom"/>
          </w:tcPr>
          <w:p>
            <w:pPr>
              <w:spacing w:after="0"/>
              <w:rPr>
                <w:sz w:val="19"/>
                <w:szCs w:val="19"/>
                <w:color w:val="auto"/>
              </w:rPr>
            </w:pPr>
          </w:p>
        </w:tc>
        <w:tc>
          <w:tcPr>
            <w:tcW w:w="94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  Form of U.S. Tax Compliance Certificate (For Foreign Participants That Are Partnerships For U.S. Federal Income Tax</w:t>
            </w:r>
          </w:p>
        </w:tc>
      </w:tr>
      <w:tr>
        <w:trPr>
          <w:trHeight w:val="226"/>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Purposes)</w:t>
            </w:r>
          </w:p>
        </w:tc>
      </w:tr>
      <w:tr>
        <w:trPr>
          <w:trHeight w:val="22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w w:val="99"/>
              </w:rPr>
              <w:t>Exhibit D-4</w:t>
            </w:r>
          </w:p>
        </w:tc>
        <w:tc>
          <w:tcPr>
            <w:tcW w:w="120" w:type="dxa"/>
            <w:vAlign w:val="bottom"/>
          </w:tcPr>
          <w:p>
            <w:pPr>
              <w:spacing w:after="0"/>
              <w:rPr>
                <w:sz w:val="19"/>
                <w:szCs w:val="19"/>
                <w:color w:val="auto"/>
              </w:rPr>
            </w:pPr>
          </w:p>
        </w:tc>
        <w:tc>
          <w:tcPr>
            <w:tcW w:w="94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  Form of U.S. Tax Compliance Certificate (For Foreign Banks That Are Partnerships For U.S. Federal Income Tax</w:t>
            </w:r>
          </w:p>
        </w:tc>
      </w:tr>
      <w:tr>
        <w:trPr>
          <w:trHeight w:val="249"/>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Purposes)</w:t>
            </w:r>
          </w:p>
        </w:tc>
      </w:tr>
    </w:tbl>
    <w:p>
      <w:pPr>
        <w:sectPr>
          <w:pgSz w:w="11900" w:h="16840" w:orient="portrait"/>
          <w:cols w:equalWidth="0" w:num="1">
            <w:col w:w="10440"/>
          </w:cols>
          <w:pgMar w:left="660" w:top="1440" w:right="800" w:bottom="1440" w:gutter="0" w:footer="0" w:header="0"/>
        </w:sectPr>
      </w:pPr>
    </w:p>
    <w:bookmarkStart w:id="41" w:name="page42"/>
    <w:bookmarkEnd w:id="41"/>
    <w:p>
      <w:pPr>
        <w:ind w:left="10480"/>
        <w:spacing w:after="0"/>
        <w:rPr>
          <w:sz w:val="20"/>
          <w:szCs w:val="20"/>
          <w:color w:val="auto"/>
        </w:rPr>
      </w:pPr>
      <w:r>
        <w:rPr>
          <w:rFonts w:ascii="Times New Roman" w:cs="Times New Roman" w:eastAsia="Times New Roman" w:hAnsi="Times New Roman"/>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TERM CREDIT AGREEMENT</w:t>
      </w:r>
    </w:p>
    <w:p>
      <w:pPr>
        <w:spacing w:after="0" w:line="126" w:lineRule="exact"/>
        <w:rPr>
          <w:sz w:val="20"/>
          <w:szCs w:val="20"/>
          <w:color w:val="auto"/>
        </w:rPr>
      </w:pPr>
    </w:p>
    <w:p>
      <w:pPr>
        <w:jc w:val="both"/>
        <w:ind w:right="60" w:firstLine="570"/>
        <w:spacing w:after="0" w:line="239" w:lineRule="auto"/>
        <w:rPr>
          <w:sz w:val="20"/>
          <w:szCs w:val="20"/>
          <w:color w:val="auto"/>
        </w:rPr>
      </w:pPr>
      <w:r>
        <w:rPr>
          <w:rFonts w:ascii="Times New Roman" w:cs="Times New Roman" w:eastAsia="Times New Roman" w:hAnsi="Times New Roman"/>
          <w:sz w:val="19"/>
          <w:szCs w:val="19"/>
          <w:color w:val="auto"/>
        </w:rPr>
        <w:t>TERM CREDIT AGREEMENT dated as of October 16, 2025, among LENNOX INTERNATIONAL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BANKS listed on the signature pages hereof and WELLS FARGO BANK, NATIONAL ASSOCIATION, as Administrative Agent.</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The parties hereto agree as follows:</w:t>
      </w:r>
    </w:p>
    <w:p>
      <w:pPr>
        <w:spacing w:after="0" w:line="1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DEFINITIONS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1.1.</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xml:space="preserve"> The following terms, as used herein, have the following meanings: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 Loan</w:t>
      </w:r>
      <w:r>
        <w:rPr>
          <w:rFonts w:ascii="Times New Roman" w:cs="Times New Roman" w:eastAsia="Times New Roman" w:hAnsi="Times New Roman"/>
          <w:sz w:val="19"/>
          <w:szCs w:val="19"/>
          <w:color w:val="auto"/>
        </w:rPr>
        <w:t xml:space="preserve">” means a loan made to the Borrower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that bears interest at a rate based on the Alternate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Base Rate.</w:t>
      </w:r>
    </w:p>
    <w:p>
      <w:pPr>
        <w:spacing w:after="0" w:line="104"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Wells Fargo (or any of its designated branch offices or affiliates), in its capacity as administrative agent for the Banks hereunder, and its successors in such capacity.</w:t>
      </w:r>
    </w:p>
    <w:p>
      <w:pPr>
        <w:spacing w:after="0" w:line="82"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xml:space="preserve"> ” means the office of the Administrative Agent specified in or determined in accordance with the provisions of </w:t>
      </w:r>
      <w:r>
        <w:rPr>
          <w:rFonts w:ascii="Times New Roman" w:cs="Times New Roman" w:eastAsia="Times New Roman" w:hAnsi="Times New Roman"/>
          <w:sz w:val="19"/>
          <w:szCs w:val="19"/>
          <w:u w:val="single" w:color="auto"/>
          <w:color w:val="auto"/>
        </w:rPr>
        <w:t>Section 9.1(a)</w:t>
      </w:r>
      <w:r>
        <w:rPr>
          <w:rFonts w:ascii="Times New Roman" w:cs="Times New Roman" w:eastAsia="Times New Roman" w:hAnsi="Times New Roman"/>
          <w:sz w:val="19"/>
          <w:szCs w:val="19"/>
          <w:color w:val="auto"/>
        </w:rPr>
        <w:t>.</w:t>
      </w:r>
    </w:p>
    <w:p>
      <w:pPr>
        <w:spacing w:after="0" w:line="82"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 to the Borrower or any Bank, as the context requires.</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12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Person, any Person directly or indirectly controlling, controlled by or under common control with such other Person. As used herein, the term “control” means possession, directly or indirectly, of the power to direct or cause the direction of the management or policies of a Person, whether through ownership of voting securities, by contract or otherwise.</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9.1(c)</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means this Term Credit Agreement, as amended, supplemented or otherwise modified from time to time.</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9.12(b)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means, at any time, the highest of (a) the Prime Rate, (b) the Federal Funds Rate plus 0.50% and (c) Term SOFR for a one-month tenor in effect on such day plus 1.00%; each change in the Alternate Base Rate shall take effect simultaneously with the</w:t>
      </w:r>
    </w:p>
    <w:p>
      <w:pPr>
        <w:sectPr>
          <w:pgSz w:w="11900" w:h="16840" w:orient="portrait"/>
          <w:cols w:equalWidth="0" w:num="1">
            <w:col w:w="10580"/>
          </w:cols>
          <w:pgMar w:left="660" w:top="556" w:right="660" w:bottom="1440" w:gutter="0" w:footer="0" w:header="0"/>
        </w:sectPr>
      </w:pPr>
    </w:p>
    <w:bookmarkStart w:id="42" w:name="page43"/>
    <w:bookmarkEnd w:id="42"/>
    <w:p>
      <w:pPr>
        <w:ind w:left="10480"/>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corresponding change or changes in the Prime Rate, the Federal Funds Rate or Term SOFR,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clause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shall not be applicable during any period in which Term SOFR is unavailable or unascertainable). Notwithstanding the foregoing, in no event shall the Alternate Base Rate be less than 1.00%.</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9.9(b)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the United States of America, the European Union, any European Union member state, the United Kingdom or any other jurisdiction, in each case applicable to the Borrower or any of its Subsidiaries from time to time concerning or relating to bribery or corruption.</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9.12(b)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means Wells Fargo Securities, LLC, in its capacity as sole lead arranger and sole bookrunner.</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Bank and an assignee (with the consent of any party whose consent is required by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and accepted by the Administrative Agent,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or any other form (including electronic records generated by the use of an electronic platform) approved by the Administrative Agent.</w:t>
      </w:r>
    </w:p>
    <w:p>
      <w:pPr>
        <w:spacing w:after="0" w:line="95"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 means, as of any date of determination and with respect to the then-current Benchmark,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8.1(c)(iv)</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jc w:val="both"/>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any Affected Financial Institution.</w:t>
      </w:r>
    </w:p>
    <w:p>
      <w:pPr>
        <w:spacing w:after="0" w:line="82"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 -In Legislation</w:t>
      </w:r>
      <w:r>
        <w:rPr>
          <w:rFonts w:ascii="Times New Roman" w:cs="Times New Roman" w:eastAsia="Times New Roman" w:hAnsi="Times New Roman"/>
          <w:sz w:val="19"/>
          <w:szCs w:val="19"/>
          <w:color w:val="auto"/>
        </w:rPr>
        <w:t>” means (a) with respect to any EEA Member Country which has implemented, or which at any time implements, Article 55 BRRD, the relevant implementing law or regulation as described in the EU Bail-In Legislation Schedule from time to time; and (b) with respect to the United Kingdom, Part I of the United Kingdom Banking Act 2009 (as amended from time to time) and any other law, regulation or rule applicable in the United Kingdom relating to the resolution of unsound or failing banks, investment firms or other financial</w:t>
      </w:r>
    </w:p>
    <w:p>
      <w:pPr>
        <w:sectPr>
          <w:pgSz w:w="11900" w:h="16840" w:orient="portrait"/>
          <w:cols w:equalWidth="0" w:num="1">
            <w:col w:w="10580"/>
          </w:cols>
          <w:pgMar w:left="660" w:top="556" w:right="660" w:bottom="1440" w:gutter="0" w:footer="0" w:header="0"/>
        </w:sectPr>
      </w:pPr>
    </w:p>
    <w:bookmarkStart w:id="43" w:name="page44"/>
    <w:bookmarkEnd w:id="43"/>
    <w:p>
      <w:pPr>
        <w:ind w:left="10480"/>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institutions or their respective affiliates (other than through liquidation, administration or other insolvency proceedings).</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xml:space="preserve">” means each bank or other financial institution listed on the signature pages hereof, each Assignee that becomes a Bank pursuant to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 xml:space="preserve"> and their respective successors. In the event that any Bank utilizes a branch or Affiliate to make a Loan, the term “Bank” shall include any such branch or Affiliate with respect to such Loan.</w:t>
      </w:r>
    </w:p>
    <w:p>
      <w:pPr>
        <w:spacing w:after="0" w:line="95"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Margin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8.1(c)(i)</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w:t>
      </w:r>
    </w:p>
    <w:p>
      <w:pPr>
        <w:spacing w:after="0" w:line="2" w:lineRule="exact"/>
        <w:rPr>
          <w:sz w:val="20"/>
          <w:szCs w:val="20"/>
          <w:color w:val="auto"/>
        </w:rPr>
      </w:pPr>
    </w:p>
    <w:p>
      <w:pPr>
        <w:jc w:val="both"/>
        <w:ind w:right="20" w:firstLine="5"/>
        <w:spacing w:after="0" w:line="228" w:lineRule="auto"/>
        <w:tabs>
          <w:tab w:leader="none" w:pos="28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97"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w:t>
      </w:r>
    </w:p>
    <w:p>
      <w:pPr>
        <w:spacing w:after="0" w:line="2" w:lineRule="exact"/>
        <w:rPr>
          <w:sz w:val="20"/>
          <w:szCs w:val="20"/>
          <w:color w:val="auto"/>
        </w:rPr>
      </w:pPr>
    </w:p>
    <w:p>
      <w:pPr>
        <w:ind w:firstLine="5"/>
        <w:spacing w:after="0" w:line="235" w:lineRule="auto"/>
        <w:tabs>
          <w:tab w:leader="none" w:pos="25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selection or recommendation of a spread adjustment, or method for calculating or determining such spread adjustment, for the replacement of such Benchmark</w:t>
      </w:r>
    </w:p>
    <w:p>
      <w:pPr>
        <w:sectPr>
          <w:pgSz w:w="11900" w:h="16840" w:orient="portrait"/>
          <w:cols w:equalWidth="0" w:num="1">
            <w:col w:w="10580"/>
          </w:cols>
          <w:pgMar w:left="660" w:top="556" w:right="660" w:bottom="1440" w:gutter="0" w:footer="0" w:header="0"/>
        </w:sectPr>
      </w:pPr>
    </w:p>
    <w:bookmarkStart w:id="44" w:name="page45"/>
    <w:bookmarkEnd w:id="44"/>
    <w:p>
      <w:pPr>
        <w:ind w:left="1048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04" w:lineRule="exact"/>
        <w:rPr>
          <w:sz w:val="20"/>
          <w:szCs w:val="20"/>
          <w:color w:val="auto"/>
        </w:rPr>
      </w:pPr>
    </w:p>
    <w:p>
      <w:pPr>
        <w:jc w:val="both"/>
        <w:ind w:firstLine="1145"/>
        <w:spacing w:after="0" w:line="234" w:lineRule="auto"/>
        <w:tabs>
          <w:tab w:leader="none" w:pos="141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97" w:lineRule="exact"/>
        <w:rPr>
          <w:rFonts w:ascii="Times New Roman" w:cs="Times New Roman" w:eastAsia="Times New Roman" w:hAnsi="Times New Roman"/>
          <w:sz w:val="19"/>
          <w:szCs w:val="19"/>
          <w:color w:val="auto"/>
        </w:rPr>
      </w:pPr>
    </w:p>
    <w:p>
      <w:pPr>
        <w:jc w:val="both"/>
        <w:ind w:right="20" w:firstLine="1145"/>
        <w:spacing w:after="0" w:line="229" w:lineRule="auto"/>
        <w:tabs>
          <w:tab w:leader="none" w:pos="1413"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spacing w:after="0" w:line="9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82" w:lineRule="exact"/>
        <w:rPr>
          <w:sz w:val="20"/>
          <w:szCs w:val="20"/>
          <w:color w:val="auto"/>
        </w:rPr>
      </w:pPr>
    </w:p>
    <w:p>
      <w:pPr>
        <w:jc w:val="both"/>
        <w:ind w:firstLine="1145"/>
        <w:spacing w:after="0" w:line="230" w:lineRule="auto"/>
        <w:tabs>
          <w:tab w:leader="none" w:pos="144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97"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4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Board, the NYFRB, an insolvency official with jurisdiction over the administrator for such</w:t>
      </w:r>
    </w:p>
    <w:p>
      <w:pPr>
        <w:sectPr>
          <w:pgSz w:w="11900" w:h="16840" w:orient="portrait"/>
          <w:cols w:equalWidth="0" w:num="1">
            <w:col w:w="10580"/>
          </w:cols>
          <w:pgMar w:left="660" w:top="556" w:right="660" w:bottom="1440" w:gutter="0" w:footer="0" w:header="0"/>
        </w:sectPr>
      </w:pPr>
    </w:p>
    <w:bookmarkStart w:id="45" w:name="page46"/>
    <w:bookmarkEnd w:id="45"/>
    <w:p>
      <w:pPr>
        <w:ind w:left="10480"/>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 xml:space="preserve">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96" w:lineRule="exact"/>
        <w:rPr>
          <w:sz w:val="20"/>
          <w:szCs w:val="20"/>
          <w:color w:val="auto"/>
        </w:rPr>
      </w:pPr>
    </w:p>
    <w:p>
      <w:pPr>
        <w:jc w:val="both"/>
        <w:ind w:right="20" w:firstLine="1145"/>
        <w:spacing w:after="0" w:line="234" w:lineRule="auto"/>
        <w:tabs>
          <w:tab w:leader="none" w:pos="14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98"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95"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Start Date</w:t>
      </w:r>
      <w:r>
        <w:rPr>
          <w:rFonts w:ascii="Times New Roman" w:cs="Times New Roman" w:eastAsia="Times New Roman" w:hAnsi="Times New Roman"/>
          <w:sz w:val="19"/>
          <w:szCs w:val="19"/>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(or if the expected date of such prospective event is fewer than 90 days after such statement or publication, the date of such statement or publication).</w:t>
      </w:r>
    </w:p>
    <w:p>
      <w:pPr>
        <w:spacing w:after="0" w:line="98"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 means the period (if any) (x) beginning at the time that a Benchmark Replacement Date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8.1(c)(i)</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8.1(c)(i)</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or control as required by the Beneficial Ownership Regulation.</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126"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Arrangement</w:t>
      </w:r>
      <w:r>
        <w:rPr>
          <w:rFonts w:ascii="Times New Roman" w:cs="Times New Roman" w:eastAsia="Times New Roman" w:hAnsi="Times New Roman"/>
          <w:sz w:val="19"/>
          <w:szCs w:val="19"/>
          <w:color w:val="auto"/>
        </w:rPr>
        <w:t>” means at any time an employee benefit plan within the meaning of Section 3(3) of ERISA which is not a Plan or a Multiemployer Plan and which is maintained or otherwise contributed to by any ERISA Affiliate.</w:t>
      </w:r>
    </w:p>
    <w:p>
      <w:pPr>
        <w:spacing w:after="0" w:line="82"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w:t>
      </w:r>
    </w:p>
    <w:p>
      <w:pPr>
        <w:sectPr>
          <w:pgSz w:w="11900" w:h="16840" w:orient="portrait"/>
          <w:cols w:equalWidth="0" w:num="1">
            <w:col w:w="10580"/>
          </w:cols>
          <w:pgMar w:left="660" w:top="556" w:right="660" w:bottom="1440" w:gutter="0" w:footer="0" w:header="0"/>
        </w:sectPr>
      </w:pPr>
    </w:p>
    <w:bookmarkStart w:id="46" w:name="page47"/>
    <w:bookmarkEnd w:id="46"/>
    <w:p>
      <w:pPr>
        <w:ind w:left="10480"/>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purposes of Title I of ERISA or Section 4975 of the Internal Revenue Code) the assets of any such “employee benefit plan” or “plan”.</w:t>
      </w:r>
    </w:p>
    <w:p>
      <w:pPr>
        <w:spacing w:after="0" w:line="126"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xml:space="preserve"> ” means, with respect to any Person, an “affiliate” (as such term is defined under, and interpreted in accordance with, 12 U.S.C. § 1841(k)) of such Person.</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Governors of the Federal Reserve System (or any successors).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has the meaning set forth in the preamble hereto.</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Loans of the same Type made, converted or continued on the same date and, in the case of Term SOFR Loans, as to which a single Interest Period is in effect.</w:t>
      </w:r>
    </w:p>
    <w:p>
      <w:pPr>
        <w:spacing w:after="0" w:line="82"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that (a) is not a Saturday, Sunday or other day on which the Federal Reserve Bank of New York is closed and (b) is not a day on which commercial banks in Charlotte, North Carolina are closed.</w:t>
      </w:r>
    </w:p>
    <w:p>
      <w:pPr>
        <w:spacing w:after="0" w:line="82"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in each case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1.2</w:t>
      </w:r>
      <w:r>
        <w:rPr>
          <w:rFonts w:ascii="Times New Roman" w:cs="Times New Roman" w:eastAsia="Times New Roman" w:hAnsi="Times New Roman"/>
          <w:sz w:val="19"/>
          <w:szCs w:val="19"/>
          <w:color w:val="auto"/>
        </w:rPr>
        <w:t>.</w:t>
      </w:r>
    </w:p>
    <w:p>
      <w:pPr>
        <w:spacing w:after="0" w:line="96"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(a) marketable direct obligations issued by, or unconditionally guaranteed by, the United States of America (or by any agency thereof to the extent such obligations are backed by the full faith and credit of the United States of America), in each case maturing within one year from the date of acquisition; (b) certificates of deposit, time deposits, eurodollar time deposits or overnight bank deposits having maturities of one year or less from the date of acquisition issued by any Bank or by any commercial bank having combined capital and surplus of not less than US$ 500,000,000 or with a long-term credit rating of no less than A- by S&amp;P or A3 by Moody’s; (c) commercial paper of an issuer rated at least A -1 by S&amp;P or P -1 by Moody’s, or carrying an equivalent rating by a nationally recognized rating agency if both of the two named rating agencies cease publishing ratings of commercial paper issuers generally, and maturing within one year from the date of acquisition; (d) repurchase obligations of any Bank or of any commercial bank satisfying the requirements of clause (b) of this definition with respect to securities described in clause (a) or (b) of this definition; (e) securities with maturities of one year or less from the date of acquisition issued or fully guaranteed by any State, commonwealth or territory of the United States of America, or by any political subdivision or taxing authority of any such State, commonwealth or territory, the securities of which State, commonwealth, territory, political subdivision or taxing authority, as applicable, are rated at least A- by S&amp;P or A3 by Moody’s; (f) securities with maturities of one year or less from the date of acquisition backed by standby letters of credit issued by any Bank or any commercial bank satisfying the requirements of clause (b) of this definition; (g) shares of money market mutual or similar funds which invest substantially exclusively in assets satisfying the requirements of clauses</w:t>
      </w:r>
    </w:p>
    <w:p>
      <w:pPr>
        <w:sectPr>
          <w:pgSz w:w="11900" w:h="16840" w:orient="portrait"/>
          <w:cols w:equalWidth="0" w:num="1">
            <w:col w:w="10580"/>
          </w:cols>
          <w:pgMar w:left="660" w:top="556" w:right="660" w:bottom="1440" w:gutter="0" w:footer="0" w:header="0"/>
        </w:sectPr>
      </w:pPr>
    </w:p>
    <w:bookmarkStart w:id="47" w:name="page48"/>
    <w:bookmarkEnd w:id="47"/>
    <w:p>
      <w:pPr>
        <w:ind w:left="10480"/>
        <w:spacing w:after="0"/>
        <w:rPr>
          <w:sz w:val="20"/>
          <w:szCs w:val="20"/>
          <w:color w:val="auto"/>
        </w:rPr>
      </w:pPr>
      <w:r>
        <w:rPr>
          <w:rFonts w:ascii="Times New Roman" w:cs="Times New Roman" w:eastAsia="Times New Roman" w:hAnsi="Times New Roman"/>
          <w:sz w:val="19"/>
          <w:szCs w:val="1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
        <w:spacing w:after="0" w:line="228" w:lineRule="auto"/>
        <w:tabs>
          <w:tab w:leader="none" w:pos="25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 (f) of this definition; (h) money market funds having a long-term rating of AAA by S&amp;P or Aaa by Moody’s and total assets of at least US$1,000,000,000; or (i) in the case of any Foreign Subsidiary, (i) marketable direct obligations issued by, or unconditionally guaranteed by, the sovereign nation in which such Foreign Subsidiary is organized or is conducting business (or by any agency thereof to the extent such obligations are backed by the full faith and credit of such sovereign nation), in each case maturing within one year from the date of acquisition, so long as the indebtedness of such sovereign nation is rated at least A by S&amp;P or A-2 by Moody’s or carries an equivalent rating from a comparable foreign rating agency or (ii) investments of the type and maturity described in clauses (b) through (h) above of foreign obligors, which investments or obligors have ratings described in such clauses or equivalent ratings from comparable foreign rating agencies.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CFC</w:t>
      </w:r>
      <w:r>
        <w:rPr>
          <w:rFonts w:ascii="Times New Roman" w:cs="Times New Roman" w:eastAsia="Times New Roman" w:hAnsi="Times New Roman"/>
          <w:sz w:val="19"/>
          <w:szCs w:val="19"/>
          <w:color w:val="auto"/>
        </w:rPr>
        <w:t>” means a “controlled foreign corporation” within the meaning of Section 957 of the Internal Revenue Code.</w:t>
      </w:r>
    </w:p>
    <w:p>
      <w:pPr>
        <w:spacing w:after="0" w:line="12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the Borrower; (b) occupation of a majority of the seats (other than vacant seats) on the board of directors of the Borrower by Persons who were not Continuing Directors; or (c) the occurrence of any “Change in Control” (or similar definition however denominated) with respect to any Material Indebtedness.</w:t>
      </w:r>
    </w:p>
    <w:p>
      <w:pPr>
        <w:spacing w:after="0" w:line="97"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82"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xml:space="preserve">” means, collectively, any notice, demand, communication, information, document or other material provided by or on behalf of any Loan Party pursuant to any Loan Document or the transactions contemplated therein which is distributed by the Administrative Agent or any Bank by means of electronic communications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9.01(c)</w:t>
      </w:r>
      <w:r>
        <w:rPr>
          <w:rFonts w:ascii="Times New Roman" w:cs="Times New Roman" w:eastAsia="Times New Roman" w:hAnsi="Times New Roman"/>
          <w:sz w:val="19"/>
          <w:szCs w:val="19"/>
          <w:color w:val="auto"/>
        </w:rPr>
        <w:t>, including through a Platform.</w:t>
      </w:r>
    </w:p>
    <w:p>
      <w:pPr>
        <w:spacing w:after="0" w:line="98"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the applicability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ectPr>
          <w:pgSz w:w="11900" w:h="16840" w:orient="portrait"/>
          <w:cols w:equalWidth="0" w:num="1">
            <w:col w:w="10580"/>
          </w:cols>
          <w:pgMar w:left="660" w:top="556" w:right="660" w:bottom="1440" w:gutter="0" w:footer="0" w:header="0"/>
        </w:sectPr>
      </w:pPr>
    </w:p>
    <w:bookmarkStart w:id="48" w:name="page49"/>
    <w:bookmarkEnd w:id="48"/>
    <w:p>
      <w:pPr>
        <w:ind w:left="10480"/>
        <w:spacing w:after="0"/>
        <w:rPr>
          <w:sz w:val="20"/>
          <w:szCs w:val="20"/>
          <w:color w:val="auto"/>
        </w:rPr>
      </w:pPr>
      <w:r>
        <w:rPr>
          <w:rFonts w:ascii="Times New Roman" w:cs="Times New Roman" w:eastAsia="Times New Roman" w:hAnsi="Times New Roman"/>
          <w:sz w:val="19"/>
          <w:szCs w:val="19"/>
          <w:color w:val="auto"/>
        </w:rPr>
        <w:t>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administration of any such rate exists, in such other manner of administration as the Administrative Agent decides is reasonably necessary in connection with the administration of this Agreement and the other Loan Documents).</w:t>
      </w:r>
    </w:p>
    <w:p>
      <w:pPr>
        <w:spacing w:after="0" w:line="82" w:lineRule="exact"/>
        <w:rPr>
          <w:sz w:val="20"/>
          <w:szCs w:val="20"/>
          <w:color w:val="auto"/>
        </w:rPr>
      </w:pPr>
    </w:p>
    <w:p>
      <w:pPr>
        <w:jc w:val="both"/>
        <w:ind w:firstLine="1140"/>
        <w:spacing w:after="0" w:line="22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the total of the following calculated for the Borrower and its Subsidiaries without duplication on a consolidated basis in accordance with GAAP consistently applied for such period: (a) Consolidated Net Income; plus (b) without duplication and to the extent deducted in determining Consolidated Net Income for such period, the sum of: (i) income and franchise taxes, (ii) Interest Expense, (iii) amortization and depreciation expense, (iv) any non-cash charges or expenses resulting from the application of GAAP that requires a charge against earnings for the impairment of assets (including goodwill), (v) any non-cash charges or expenses that arose in connection with the grant of stock options or other equity based awards to officers, directors, consultants, and employees of the Borrower and its Subsidiaries, (vi) any other non-cash charges or expenses that do not represent an accrual for a future cash expenditure, (vii) any non-recurring charges which relate to the discontinuance of Subsidiary operations,</w:t>
      </w:r>
    </w:p>
    <w:p>
      <w:pPr>
        <w:spacing w:after="0" w:line="5" w:lineRule="exact"/>
        <w:rPr>
          <w:sz w:val="20"/>
          <w:szCs w:val="20"/>
          <w:color w:val="auto"/>
        </w:rPr>
      </w:pPr>
    </w:p>
    <w:p>
      <w:pPr>
        <w:jc w:val="both"/>
        <w:ind w:firstLine="5"/>
        <w:spacing w:after="0" w:line="223" w:lineRule="auto"/>
        <w:tabs>
          <w:tab w:leader="none" w:pos="42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non-recurring charges which relate to restructuring and severance activities;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total cash amount of such charges shall not exceed US$20,000,000 during any four fiscal quarter period, (ix) [reserved], (x) any non-cash loss (or minus any gain) associated with the sale of assets not in the ordinary course of business, (xi) non-recurring loss or other items (or minus any non-recurring gain or income), (xii) any non-cash loss (or minus any non-cash gain) related to financial instrument hedges, (xiii) the cumulative non-cash effects of changes in accounting policies, (xiv) unusual or non-recurring charges or losses, including transaction fees, costs and expenses (including financing fees, financial and other advisory fees, accounting and consulting fees and legal fees) incurred in connection with any acquisitions or dispositions; and (xv) fees and out-of-pocket expenses incurred in connection with or reasonably related to the negotiation, preparation and closing of this Agreement or any other syndicated credit facility, including any fees and out-of-pocket expenses incurred in the negotiation, preparation and closing of any amendment, waiver or consent to this Agreement or any other syndicated credit facility; minus (c) cash payments made in such period related to a non-cash expense (other than with respect to restructuring activities) added to Consolidated Net Income in a previous period. In the event that the Borrower or any Subsidiary shall have completed any Material Acquisition or Material Disposition since the beginning of the relevant period, Consolidated EBITDA shall be determined for such period on a pro forma basis as if such Material Acquisition or Material Disposition, and any related incurrence or repayment of Indebtedness, had occurred at the beginning of such period.</w:t>
      </w:r>
    </w:p>
    <w:p>
      <w:pPr>
        <w:spacing w:after="0" w:line="104"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for any period, the net income (or net loss) of the Borrower and its Subsidiaries for such period, determined in accordance with GAAP.</w:t>
      </w:r>
    </w:p>
    <w:p>
      <w:pPr>
        <w:spacing w:after="0" w:line="82"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Assets</w:t>
      </w:r>
      <w:r>
        <w:rPr>
          <w:rFonts w:ascii="Times New Roman" w:cs="Times New Roman" w:eastAsia="Times New Roman" w:hAnsi="Times New Roman"/>
          <w:sz w:val="19"/>
          <w:szCs w:val="19"/>
          <w:color w:val="auto"/>
        </w:rPr>
        <w:t xml:space="preserve"> ” means, as of any date of determination, the sum of the amounts that would appear on a consolidated balance sheet of the Borrower and its consolidated Subsidiaries as the total assets of the Borrower and its consolidated Subsidiaries in accordance with GAAP.</w:t>
      </w:r>
    </w:p>
    <w:p>
      <w:pPr>
        <w:spacing w:after="0" w:line="95"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Continuing Director</w:t>
      </w:r>
      <w:r>
        <w:rPr>
          <w:rFonts w:ascii="Times New Roman" w:cs="Times New Roman" w:eastAsia="Times New Roman" w:hAnsi="Times New Roman"/>
          <w:sz w:val="19"/>
          <w:szCs w:val="19"/>
          <w:color w:val="auto"/>
        </w:rPr>
        <w:t>” means, as of any date of determination, any member of the applicable board of directors who (a) was a member of the Borrower’s board of directors on the date of this Agreement (the “</w:t>
      </w:r>
      <w:r>
        <w:rPr>
          <w:rFonts w:ascii="Times New Roman" w:cs="Times New Roman" w:eastAsia="Times New Roman" w:hAnsi="Times New Roman"/>
          <w:sz w:val="19"/>
          <w:szCs w:val="19"/>
          <w:u w:val="single" w:color="auto"/>
          <w:color w:val="auto"/>
        </w:rPr>
        <w:t>Current Board</w:t>
      </w:r>
      <w:r>
        <w:rPr>
          <w:rFonts w:ascii="Times New Roman" w:cs="Times New Roman" w:eastAsia="Times New Roman" w:hAnsi="Times New Roman"/>
          <w:sz w:val="19"/>
          <w:szCs w:val="19"/>
          <w:color w:val="auto"/>
        </w:rPr>
        <w:t>”) or (b) was nominated for election, elected or</w:t>
      </w:r>
    </w:p>
    <w:p>
      <w:pPr>
        <w:sectPr>
          <w:pgSz w:w="11900" w:h="16840" w:orient="portrait"/>
          <w:cols w:equalWidth="0" w:num="1">
            <w:col w:w="10580"/>
          </w:cols>
          <w:pgMar w:left="660" w:top="556" w:right="660" w:bottom="1440" w:gutter="0" w:footer="0" w:header="0"/>
        </w:sectPr>
      </w:pPr>
    </w:p>
    <w:bookmarkStart w:id="49" w:name="page50"/>
    <w:bookmarkEnd w:id="49"/>
    <w:p>
      <w:pPr>
        <w:ind w:left="10480"/>
        <w:spacing w:after="0"/>
        <w:rPr>
          <w:sz w:val="20"/>
          <w:szCs w:val="20"/>
          <w:color w:val="auto"/>
        </w:rPr>
      </w:pPr>
      <w:r>
        <w:rPr>
          <w:rFonts w:ascii="Times New Roman" w:cs="Times New Roman" w:eastAsia="Times New Roman" w:hAnsi="Times New Roman"/>
          <w:sz w:val="19"/>
          <w:szCs w:val="19"/>
          <w:color w:val="auto"/>
        </w:rPr>
        <w:t>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appointed to such board of directors with the approval of majority of the Current Board or their successors so nominated, elected, or appointed who were members of such board of directors at the time of such nomination, election or appointment (either by specific vote or by approval of a proxy statement in which such member named as a nominee for election as a director).</w:t>
      </w:r>
    </w:p>
    <w:p>
      <w:pPr>
        <w:spacing w:after="0" w:line="95"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Current Board</w:t>
      </w:r>
      <w:r>
        <w:rPr>
          <w:rFonts w:ascii="Times New Roman" w:cs="Times New Roman" w:eastAsia="Times New Roman" w:hAnsi="Times New Roman"/>
          <w:sz w:val="19"/>
          <w:szCs w:val="19"/>
          <w:color w:val="auto"/>
        </w:rPr>
        <w:t>” has the meaning set forth in the definition of “Continuing Director”.</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Debtor Relief Laws</w:t>
      </w:r>
      <w:r>
        <w:rPr>
          <w:rFonts w:ascii="Times New Roman" w:cs="Times New Roman" w:eastAsia="Times New Roman" w:hAnsi="Times New Roman"/>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condition or event which constitutes an Event of Default or which with the giving of notice or lapse of time or both would, unless cured or waived, become an Event of Default.</w:t>
      </w:r>
    </w:p>
    <w:p>
      <w:pPr>
        <w:spacing w:after="0" w:line="82"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such term in, and shall be interpreted in accordance with, 12 C.F.R. §§ 252.81, 47.2 or 382.1, as applicable.</w:t>
      </w:r>
    </w:p>
    <w:p>
      <w:pPr>
        <w:spacing w:after="0" w:line="82"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Bank</w:t>
      </w:r>
      <w:r>
        <w:rPr>
          <w:rFonts w:ascii="Times New Roman" w:cs="Times New Roman" w:eastAsia="Times New Roman" w:hAnsi="Times New Roman"/>
          <w:sz w:val="19"/>
          <w:szCs w:val="19"/>
          <w:color w:val="auto"/>
        </w:rPr>
        <w:t xml:space="preserve">” means any Bank, as determined by the Administrative Agent, that shall have, or shall have a Parent that shall have, become the subject of a Bankruptcy Event or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 shall not be deemed to be a “Defaulting Bank” solely as a result of the acquisition or maintenance of an ownership interest in such Bank or any Person controlling such Bank by a Governmental Authority so long as such ownership interest does not result in or provide such Bank with immunity from the jurisdiction of courts within the United States or from the enforcement of judgments or writs of attachment on its assets or permit such Bank (or such Governmental Authority or instrumentality) to reject, repudiate, disavow or disaffirm any contracts or agreements made with such Bank.</w:t>
      </w:r>
    </w:p>
    <w:p>
      <w:pPr>
        <w:spacing w:after="0" w:line="97"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any Subsidiary of the Borrower that is organized under the laws of the United States of America, any State thereof or the District of Columbia.</w:t>
      </w:r>
    </w:p>
    <w:p>
      <w:pPr>
        <w:spacing w:after="0" w:line="82"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xml:space="preserve"> ”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ectPr>
          <w:pgSz w:w="11900" w:h="16840" w:orient="portrait"/>
          <w:cols w:equalWidth="0" w:num="1">
            <w:col w:w="10580"/>
          </w:cols>
          <w:pgMar w:left="660" w:top="556" w:right="660" w:bottom="1440" w:gutter="0" w:footer="0" w:header="0"/>
        </w:sectPr>
      </w:pPr>
    </w:p>
    <w:bookmarkStart w:id="50" w:name="page51"/>
    <w:bookmarkEnd w:id="50"/>
    <w:p>
      <w:pPr>
        <w:ind w:left="10380"/>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126" w:lineRule="exact"/>
        <w:rPr>
          <w:sz w:val="20"/>
          <w:szCs w:val="20"/>
          <w:color w:val="auto"/>
        </w:rPr>
      </w:pPr>
    </w:p>
    <w:p>
      <w:pPr>
        <w:jc w:val="both"/>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xml:space="preserve">” means the date this Agreement becomes effective in accordance with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which date is October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16, 2025.</w:t>
      </w:r>
    </w:p>
    <w:p>
      <w:pPr>
        <w:spacing w:after="0" w:line="104" w:lineRule="exact"/>
        <w:rPr>
          <w:sz w:val="20"/>
          <w:szCs w:val="20"/>
          <w:color w:val="auto"/>
        </w:rPr>
      </w:pPr>
    </w:p>
    <w:p>
      <w:pPr>
        <w:jc w:val="both"/>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xml:space="preserve"> ” means an electronic sound, symbol or process attached to, or associated with, a contract or other record and adopted by a Person with the intent to sign, authenticate or accept such contract or record.</w:t>
      </w:r>
    </w:p>
    <w:p>
      <w:pPr>
        <w:spacing w:after="0" w:line="82"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any and all federal, state, local and foreign statutes, laws, regulations, ordinances, rules, judgments, orders, decrees, permits, concessions, grants, franchises, licenses, agreements or other governmental restrictions relating to the environment or to emissions, discharges or releases of pollutants (including greenhouse gases), contaminants, petroleum or petroleum products,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petroleum or petroleum products, chemicals or industrial, toxic or hazardous substances or wastes or the clean-up or other remediation thereof.</w:t>
      </w:r>
    </w:p>
    <w:p>
      <w:pPr>
        <w:spacing w:after="0" w:line="9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97" w:lineRule="exact"/>
        <w:rPr>
          <w:sz w:val="20"/>
          <w:szCs w:val="20"/>
          <w:color w:val="auto"/>
        </w:rPr>
      </w:pPr>
    </w:p>
    <w:p>
      <w:pPr>
        <w:jc w:val="both"/>
        <w:ind w:right="4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xml:space="preserve"> ”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 or any successor statute, and the rules and regulations promulgated thereunder.</w:t>
      </w:r>
    </w:p>
    <w:p>
      <w:pPr>
        <w:spacing w:after="0" w:line="82" w:lineRule="exact"/>
        <w:rPr>
          <w:sz w:val="20"/>
          <w:szCs w:val="20"/>
          <w:color w:val="auto"/>
        </w:rPr>
      </w:pPr>
    </w:p>
    <w:p>
      <w:pPr>
        <w:jc w:val="both"/>
        <w:ind w:right="4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trade or business (whether or not incorporated) that, together with the Borrower, is treated as a single employer under Section 414(b) or (c) of the Internal Revenue Code or Section 4001(14) of ERISA or, solely for purposes of Section 302 of ERISA and Section 412 of the Internal Revenue Code, is treated as a single employer under Section 414(b), (c), (m) or (o) of the Internal Revenue Code.</w:t>
      </w:r>
    </w:p>
    <w:p>
      <w:pPr>
        <w:sectPr>
          <w:pgSz w:w="11900" w:h="16840" w:orient="portrait"/>
          <w:cols w:equalWidth="0" w:num="1">
            <w:col w:w="10600"/>
          </w:cols>
          <w:pgMar w:left="660" w:top="556" w:right="640" w:bottom="1440" w:gutter="0" w:footer="0" w:header="0"/>
        </w:sectPr>
      </w:pPr>
    </w:p>
    <w:bookmarkStart w:id="51" w:name="page52"/>
    <w:bookmarkEnd w:id="51"/>
    <w:p>
      <w:pPr>
        <w:ind w:left="10380"/>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140"/>
        <w:spacing w:after="0" w:line="22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 day notice period is waived); (b) the failure to satisfy the “minimum funding standard” (as defined in Section 412 of the Internal Revenue Code or Section 302 of ERISA), whether or not waived; (c) the filing pursuant to Section 412(c) of the Internal Revenue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(g) the receipt by the Borrower or any ERISA Affiliate of any notice, or the receipt by any Multiemployer Plan from the Borrower or any ERISA Affiliate of any notice, concerning the imposition upon the Borrower or any of its ERISA Affiliates of Withdrawal Liability or a determination that a Multiemployer Plan is, or is expected to be, insolvent within the meaning of Title IV of ERISA; (h) the failure to make any required contribution or payment to any Plan or Multiemployer Plan, or the making of any amendment to any Plan or Benefit Arrangement, which has resulted or would reasonably be expected to result in the imposition of a Lien upon the Borrower or any of its ERISA Affiliates pursuant to Section 430(k) of the Code or Section 303(k) of ERISA or the posting of a bond or other security under ERISA or the Internal Revenue Code; (i) the occurrence of a “prohibited transaction” with respect to which the Borrower or any Subsidiary is a “disqualified person” (within the meaning of Section 4975 of the Internal Revenue Code) or a “party in interest” (within the meaning of Section 406 of ERISA) with respect to which the Borrower or any such Subsidiary could otherwise be liable; or (j) a Foreign Benefit Event.</w:t>
      </w:r>
    </w:p>
    <w:p>
      <w:pPr>
        <w:spacing w:after="0" w:line="1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7.14(a)</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7.14(d)</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7.14(d)</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7.14(d)</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4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with respect to the Administrative Agent, any Bank or any other recipient of any payment to be made by or on account of any obligation of the Borrower or any Guarantor hereunder or under any Loan Document, (a) income or franchise Taxes imposed on (or measured by) its net income by the United States of America, or by the jurisdiction under the laws of which such recipient is organized or in which its principal office is located or, in the</w:t>
      </w:r>
    </w:p>
    <w:p>
      <w:pPr>
        <w:sectPr>
          <w:pgSz w:w="11900" w:h="16840" w:orient="portrait"/>
          <w:cols w:equalWidth="0" w:num="1">
            <w:col w:w="10600"/>
          </w:cols>
          <w:pgMar w:left="660" w:top="556" w:right="640" w:bottom="1440" w:gutter="0" w:footer="0" w:header="0"/>
        </w:sectPr>
      </w:pPr>
    </w:p>
    <w:bookmarkStart w:id="52" w:name="page53"/>
    <w:bookmarkEnd w:id="52"/>
    <w:p>
      <w:pPr>
        <w:ind w:left="10380"/>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9"/>
          <w:szCs w:val="19"/>
          <w:color w:val="auto"/>
        </w:rPr>
        <w:t xml:space="preserve">case of any Bank, in which its Lending Office is located, or that are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any branch profits Taxes imposed by the United States of America or the jurisdiction in which the Borrower is located or any similar Tax imposed by any other jurisdiction in which such recipient is located, (c) in the case of a Bank, any U.S. Federal withholding Tax that is imposed on amounts payable to such Bank with respect to any applicable interest in a Loan pursuant to any law in effect at the time such Bank becomes a party to this Agreement (or designates a new lending office), except to the extent that such Bank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19"/>
          <w:szCs w:val="19"/>
          <w:u w:val="single" w:color="auto"/>
          <w:color w:val="auto"/>
        </w:rPr>
        <w:t>Section 2.15(a)</w:t>
      </w:r>
      <w:r>
        <w:rPr>
          <w:rFonts w:ascii="Times New Roman" w:cs="Times New Roman" w:eastAsia="Times New Roman" w:hAnsi="Times New Roman"/>
          <w:sz w:val="19"/>
          <w:szCs w:val="19"/>
          <w:color w:val="auto"/>
        </w:rPr>
        <w:t xml:space="preserve">, (d) Taxes attributable to a recipient’s failure to comply with </w:t>
      </w:r>
      <w:r>
        <w:rPr>
          <w:rFonts w:ascii="Times New Roman" w:cs="Times New Roman" w:eastAsia="Times New Roman" w:hAnsi="Times New Roman"/>
          <w:sz w:val="19"/>
          <w:szCs w:val="19"/>
          <w:u w:val="single" w:color="auto"/>
          <w:color w:val="auto"/>
        </w:rPr>
        <w:t>Section 2.15(f)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and (e) any withholding Taxes imposed under FATCA.</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FASB</w:t>
      </w:r>
      <w:r>
        <w:rPr>
          <w:rFonts w:ascii="Times New Roman" w:cs="Times New Roman" w:eastAsia="Times New Roman" w:hAnsi="Times New Roman"/>
          <w:sz w:val="19"/>
          <w:szCs w:val="19"/>
          <w:color w:val="auto"/>
        </w:rPr>
        <w:t>” means the Financial Accounting Standards Board.</w:t>
      </w:r>
    </w:p>
    <w:p>
      <w:pPr>
        <w:spacing w:after="0" w:line="126"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 and any law, regulation, rule, promulgation or official agreement implementing an official government agreement with respect to the foregoing.</w:t>
      </w:r>
    </w:p>
    <w:p>
      <w:pPr>
        <w:spacing w:after="0" w:line="96" w:lineRule="exact"/>
        <w:rPr>
          <w:sz w:val="20"/>
          <w:szCs w:val="20"/>
          <w:color w:val="auto"/>
        </w:rPr>
      </w:pPr>
    </w:p>
    <w:p>
      <w:pPr>
        <w:jc w:val="both"/>
        <w:ind w:right="20"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xml:space="preserve">” means, for any day, the rate per annum equal to the weighted average of the rates on overnight federal funds transactions with members of the Federal Reserve System, as published by the NYFRB on the Business Day next succeeding such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97"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the Engagement and Fee Letter, dated as of October 1, 2025, among the Borrower, the Arranger and the Administrative Agent in respect of the credit facility provided under this Agreement.</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principal accounting officer, treasurer or controller of the Borrower.</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Fitch</w:t>
      </w:r>
      <w:r>
        <w:rPr>
          <w:rFonts w:ascii="Times New Roman" w:cs="Times New Roman" w:eastAsia="Times New Roman" w:hAnsi="Times New Roman"/>
          <w:sz w:val="19"/>
          <w:szCs w:val="19"/>
          <w:color w:val="auto"/>
        </w:rPr>
        <w:t>” means Fitch Ratings, Inc.</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0.00%.</w:t>
      </w:r>
    </w:p>
    <w:p>
      <w:pPr>
        <w:spacing w:after="0" w:line="126"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Bank</w:t>
      </w:r>
      <w:r>
        <w:rPr>
          <w:rFonts w:ascii="Times New Roman" w:cs="Times New Roman" w:eastAsia="Times New Roman" w:hAnsi="Times New Roman"/>
          <w:sz w:val="19"/>
          <w:szCs w:val="19"/>
          <w:color w:val="auto"/>
        </w:rPr>
        <w:t xml:space="preserve"> ” means, with respect to the Borrower, any Bank that is organized under the laws of a jurisdiction other than that in which the Borrower is located for tax purposes.</w:t>
      </w:r>
    </w:p>
    <w:p>
      <w:pPr>
        <w:sectPr>
          <w:pgSz w:w="11900" w:h="16840" w:orient="portrait"/>
          <w:cols w:equalWidth="0" w:num="1">
            <w:col w:w="10580"/>
          </w:cols>
          <w:pgMar w:left="660" w:top="556" w:right="660" w:bottom="1440" w:gutter="0" w:footer="0" w:header="0"/>
        </w:sectPr>
      </w:pPr>
    </w:p>
    <w:bookmarkStart w:id="53" w:name="page54"/>
    <w:bookmarkEnd w:id="53"/>
    <w:p>
      <w:pPr>
        <w:ind w:left="10380"/>
        <w:spacing w:after="0"/>
        <w:rPr>
          <w:sz w:val="20"/>
          <w:szCs w:val="20"/>
          <w:color w:val="auto"/>
        </w:rPr>
      </w:pPr>
      <w:r>
        <w:rPr>
          <w:rFonts w:ascii="Times New Roman" w:cs="Times New Roman" w:eastAsia="Times New Roman" w:hAnsi="Times New Roman"/>
          <w:sz w:val="19"/>
          <w:szCs w:val="19"/>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auto"/>
        </w:rPr>
        <w:t>For purposes of this definition, the United States of America, each State thereof and the District of Columbia shall be deemed to constitute a single jurisdiction.</w:t>
      </w:r>
    </w:p>
    <w:p>
      <w:pPr>
        <w:spacing w:after="0" w:line="82" w:lineRule="exact"/>
        <w:rPr>
          <w:sz w:val="20"/>
          <w:szCs w:val="20"/>
          <w:color w:val="auto"/>
        </w:rPr>
      </w:pPr>
    </w:p>
    <w:p>
      <w:pPr>
        <w:jc w:val="both"/>
        <w:ind w:firstLine="1140"/>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Benefit Event</w:t>
      </w:r>
      <w:r>
        <w:rPr>
          <w:rFonts w:ascii="Times New Roman" w:cs="Times New Roman" w:eastAsia="Times New Roman" w:hAnsi="Times New Roman"/>
          <w:sz w:val="19"/>
          <w:szCs w:val="19"/>
          <w:color w:val="auto"/>
        </w:rPr>
        <w:t>” 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applicable law, on or before the due date for such contributions or payments, (c) the receipt of a notice by a Governmental Authority relating to the intention to terminate any such Foreign Plan or to appoint a trustee or similar official to administer any such Foreign Plan, or alleging the insolvency of any such Foreign Plan, (d) the incurrence of any liability by the Borrower or any of its Subsidiaries under applicable law on account of the complete or partial termination of such Foreign Plan or (e) the occurrence of any transaction that is prohibited under any applicable law and that could reasonably be expected to result in the incurrence of liability by the Borrower or any of its Subsidiaries.</w:t>
      </w:r>
    </w:p>
    <w:p>
      <w:pPr>
        <w:spacing w:after="0" w:line="96"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Plan</w:t>
      </w:r>
      <w:r>
        <w:rPr>
          <w:rFonts w:ascii="Times New Roman" w:cs="Times New Roman" w:eastAsia="Times New Roman" w:hAnsi="Times New Roman"/>
          <w:sz w:val="19"/>
          <w:szCs w:val="19"/>
          <w:color w:val="auto"/>
        </w:rPr>
        <w:t>” means each plan, fund (other than a trust or funding vehicle maintained exclusively by a Governmental Authority) or similar program not subject to ERISA or the Code which is an “employee benefit plan” (as defined in Section 3(3) of ERISA) maintained or contributed to by the Borrower or any of its Subsidiaries outside the United States primarily for the benefit of employees of the Borrower or any Subsidiary residing outside the United States of America, which plan, fund or other similar program provides or results in retirement income, a deferral of income in contemplation of retirement or payments to be made upon termination or severance of employment and with respect to which the Borrower or any of its Subsidiaries could have any actual or contingent liability, other than a Plan.</w:t>
      </w:r>
    </w:p>
    <w:p>
      <w:pPr>
        <w:spacing w:after="0" w:line="96"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any Subsidiary that is organized under the laws of a jurisdiction other than the United States of America, any State thereof or the District of Columbia.</w:t>
      </w:r>
    </w:p>
    <w:p>
      <w:pPr>
        <w:spacing w:after="0" w:line="82"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FSHCO</w:t>
      </w:r>
      <w:r>
        <w:rPr>
          <w:rFonts w:ascii="Times New Roman" w:cs="Times New Roman" w:eastAsia="Times New Roman" w:hAnsi="Times New Roman"/>
          <w:sz w:val="19"/>
          <w:szCs w:val="19"/>
          <w:color w:val="auto"/>
        </w:rPr>
        <w:t xml:space="preserve"> ” means any Domestic Subsidiary that has no material assets other than Equity Interests (or Equity Interests and Indebtedness) of one or more CFCs.</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w:t>
      </w:r>
    </w:p>
    <w:p>
      <w:pPr>
        <w:spacing w:after="0" w:line="126"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any nation or government, any state or other political subdivision thereof and any entity exercising executive, legislative, judicial, regulatory or administrative functions of or pertaining to government.</w:t>
      </w:r>
    </w:p>
    <w:p>
      <w:pPr>
        <w:spacing w:after="0" w:line="82"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obligor</w:t>
      </w:r>
      <w:r>
        <w:rPr>
          <w:rFonts w:ascii="Times New Roman" w:cs="Times New Roman" w:eastAsia="Times New Roman" w:hAnsi="Times New Roman"/>
          <w:sz w:val="19"/>
          <w:szCs w:val="19"/>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w:t>
      </w:r>
    </w:p>
    <w:p>
      <w:pPr>
        <w:sectPr>
          <w:pgSz w:w="11900" w:h="16840" w:orient="portrait"/>
          <w:cols w:equalWidth="0" w:num="1">
            <w:col w:w="10580"/>
          </w:cols>
          <w:pgMar w:left="660" w:top="556" w:right="660" w:bottom="1440" w:gutter="0" w:footer="0" w:header="0"/>
        </w:sectPr>
      </w:pPr>
    </w:p>
    <w:bookmarkStart w:id="54" w:name="page55"/>
    <w:bookmarkEnd w:id="54"/>
    <w:p>
      <w:pPr>
        <w:ind w:left="10380"/>
        <w:spacing w:after="0"/>
        <w:rPr>
          <w:sz w:val="20"/>
          <w:szCs w:val="20"/>
          <w:color w:val="auto"/>
        </w:rPr>
      </w:pPr>
      <w:r>
        <w:rPr>
          <w:rFonts w:ascii="Times New Roman" w:cs="Times New Roman" w:eastAsia="Times New Roman" w:hAnsi="Times New Roman"/>
          <w:sz w:val="19"/>
          <w:szCs w:val="19"/>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term Guarantee shall not include endorsements for collection or deposit in the ordinary course of business.</w:t>
      </w:r>
    </w:p>
    <w:p>
      <w:pPr>
        <w:spacing w:after="0" w:line="95"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xml:space="preserve">” means all existing and future Domestic Subsidiaries of the Borrower that have executed the Guaranty Agreement or a joinder thereto as a guarantor of the Obligations in accordance with </w:t>
      </w:r>
      <w:r>
        <w:rPr>
          <w:rFonts w:ascii="Times New Roman" w:cs="Times New Roman" w:eastAsia="Times New Roman" w:hAnsi="Times New Roman"/>
          <w:sz w:val="19"/>
          <w:szCs w:val="19"/>
          <w:u w:val="single" w:color="auto"/>
          <w:color w:val="auto"/>
        </w:rPr>
        <w:t>Section 5.7</w:t>
      </w:r>
      <w:r>
        <w:rPr>
          <w:rFonts w:ascii="Times New Roman" w:cs="Times New Roman" w:eastAsia="Times New Roman" w:hAnsi="Times New Roman"/>
          <w:sz w:val="19"/>
          <w:szCs w:val="19"/>
          <w:color w:val="auto"/>
        </w:rPr>
        <w:t>, excluding any such Person that has been released from the Guaranty Agreement.</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Guaranty Agreement</w:t>
      </w:r>
      <w:r>
        <w:rPr>
          <w:rFonts w:ascii="Times New Roman" w:cs="Times New Roman" w:eastAsia="Times New Roman" w:hAnsi="Times New Roman"/>
          <w:sz w:val="19"/>
          <w:szCs w:val="19"/>
          <w:color w:val="auto"/>
        </w:rPr>
        <w:t>” means the Guaranty Agreement, dated as of the Effective Date, by the Domestic Subsidiaries of the Borrower party thereto, in favor of Wells Fargo, as Administrative Agent.</w:t>
      </w:r>
    </w:p>
    <w:p>
      <w:pPr>
        <w:spacing w:after="0" w:line="82"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98"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Agreement</w:t>
      </w:r>
      <w:r>
        <w:rPr>
          <w:rFonts w:ascii="Times New Roman" w:cs="Times New Roman" w:eastAsia="Times New Roman" w:hAnsi="Times New Roman"/>
          <w:sz w:val="19"/>
          <w:szCs w:val="19"/>
          <w:color w:val="auto"/>
        </w:rPr>
        <w:t>” means any agreement with respect to any swap, forward, future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 foregoing transactions.</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Illegality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8.1(b)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of any Person means, without duplication, (a) all obligations of such Person for borrowed money or with respect to deposits or advances of any kind (including the Receivable Securitization Outstandings), (b) all obligations of such Person evidenced by bonds, debentures, notes or similar instruments, (c) all Capital Lease Obligations of such Person, (d) all obligations of such Person in respect of the deferred purchase price of property (but not services) (excluding (i) trade accounts payable that are less than 90 days past due or subject to good faith disputes incurred in the ordinary course of business and (ii) any earn-out obligations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and (f) all Guarantees by such Person of Indebtedness of others;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Indebtedness shall not include (1) obligations in respect of acceptances, letters of credit, demand guarantees and similar independent undertakings, in each case, except to the extent such acceptances, letters of credit, demand guarantees or similar independent undertakings have been drawn and not reimbursed when due (after giving effect to all applicable grace or cure periods) or (2) any Indebtedness that has been defeased, discharged, satisfied and/or redeemed;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the Indebtedness of any Person shall include the Indebtedness of any other entity (including any partnership in which such Person is a general partner) to the extent such Person is liable therefor as a result of such</w:t>
      </w:r>
    </w:p>
    <w:p>
      <w:pPr>
        <w:sectPr>
          <w:pgSz w:w="11900" w:h="16840" w:orient="portrait"/>
          <w:cols w:equalWidth="0" w:num="1">
            <w:col w:w="10580"/>
          </w:cols>
          <w:pgMar w:left="660" w:top="556" w:right="660" w:bottom="1440" w:gutter="0" w:footer="0" w:header="0"/>
        </w:sectPr>
      </w:pPr>
    </w:p>
    <w:bookmarkStart w:id="55" w:name="page56"/>
    <w:bookmarkEnd w:id="55"/>
    <w:p>
      <w:pPr>
        <w:ind w:left="10380"/>
        <w:spacing w:after="0"/>
        <w:rPr>
          <w:sz w:val="20"/>
          <w:szCs w:val="20"/>
          <w:color w:val="auto"/>
        </w:rPr>
      </w:pPr>
      <w:r>
        <w:rPr>
          <w:rFonts w:ascii="Times New Roman" w:cs="Times New Roman" w:eastAsia="Times New Roman" w:hAnsi="Times New Roman"/>
          <w:sz w:val="19"/>
          <w:szCs w:val="19"/>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Person’s ownership interest in or other relationship with such entity, except to the extent the terms of such Indebtedness provide that such Person is not liable therefor.</w:t>
      </w:r>
    </w:p>
    <w:p>
      <w:pPr>
        <w:spacing w:after="0" w:line="82"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the sum of the following calculated on a consolidated basis without duplication in accordance with GAAP: (a) total interest expense (excluding interest expense derived from amortization of fees and including any interest expense attributable to any Receivable Securitization Facility); plus (b) that portion of amounts paid under synthetic lease obligations that is representative of the interest expense that would have been paid if such transaction were accounted for as a capital lease or otherwise as a financing.</w:t>
      </w:r>
    </w:p>
    <w:p>
      <w:pPr>
        <w:spacing w:after="0" w:line="96"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the last day of each March, June, September and December and the Maturity Date and (b) with respect to any Term SOFR Loan, the last day of each Interest Period applicable to the Borrowing of which such Loan is a part and, in the case of a Term SOFR Loan with an Interest Period of more than three months’ duration, each day prior to the last day of such Interest Period that occurs at intervals of three months’ duration after the first day of such Interest Period, and the Maturity Date.</w:t>
      </w:r>
    </w:p>
    <w:p>
      <w:pPr>
        <w:spacing w:after="0" w:line="96"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any Term SOFR Loan, the period commencing on the date such Term SOFR Loan is disbursed or converted to or continued as a Term SOFR Loan and ending on the date one, three or six months thereafter, in each case as selected by the Borrower in its Notice of Borrowing or Notice of Conversion/Continuation and subject to availability;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Interest Period shall commence on the date of advance of or conversion to any Term SOFR Loan and, in the case of immediately successive Interest Periods, each successive Interest Period shall commence on the date on which the immediately preceding Interest Period expires, (b) if any Interest Period would otherwise expire on a day that is not a Business Day, such Interest Period shall expire on the next succeeding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 (c)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 (d) no Interest Period shall extend beyond the Maturity Date and (e) no tenor that has been removed from this definition pursuant to </w:t>
      </w:r>
      <w:r>
        <w:rPr>
          <w:rFonts w:ascii="Times New Roman" w:cs="Times New Roman" w:eastAsia="Times New Roman" w:hAnsi="Times New Roman"/>
          <w:sz w:val="19"/>
          <w:szCs w:val="19"/>
          <w:u w:val="single" w:color="auto"/>
          <w:color w:val="auto"/>
        </w:rPr>
        <w:t>Section 8.1(c)(iv)</w:t>
      </w:r>
      <w:r>
        <w:rPr>
          <w:rFonts w:ascii="Times New Roman" w:cs="Times New Roman" w:eastAsia="Times New Roman" w:hAnsi="Times New Roman"/>
          <w:sz w:val="19"/>
          <w:szCs w:val="19"/>
          <w:color w:val="auto"/>
        </w:rPr>
        <w:t xml:space="preserve"> shall be available for specification in any Notice of Borrowing or Notice of Conversion/Continuation.</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Internal Revenue Code</w:t>
      </w:r>
      <w:r>
        <w:rPr>
          <w:rFonts w:ascii="Times New Roman" w:cs="Times New Roman" w:eastAsia="Times New Roman" w:hAnsi="Times New Roman"/>
          <w:sz w:val="19"/>
          <w:szCs w:val="19"/>
          <w:color w:val="auto"/>
        </w:rPr>
        <w:t>” means the Internal Revenue Code of 1986, as amended.</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United States Internal Revenue Service.</w:t>
      </w:r>
    </w:p>
    <w:p>
      <w:pPr>
        <w:sectPr>
          <w:pgSz w:w="11900" w:h="16840" w:orient="portrait"/>
          <w:cols w:equalWidth="0" w:num="1">
            <w:col w:w="10580"/>
          </w:cols>
          <w:pgMar w:left="660" w:top="556" w:right="660" w:bottom="1440" w:gutter="0" w:footer="0" w:header="0"/>
        </w:sectPr>
      </w:pPr>
    </w:p>
    <w:bookmarkStart w:id="56" w:name="page57"/>
    <w:bookmarkEnd w:id="56"/>
    <w:p>
      <w:pPr>
        <w:ind w:left="10380"/>
        <w:spacing w:after="0"/>
        <w:rPr>
          <w:sz w:val="20"/>
          <w:szCs w:val="20"/>
          <w:color w:val="auto"/>
        </w:rPr>
      </w:pPr>
      <w:r>
        <w:rPr>
          <w:rFonts w:ascii="Times New Roman" w:cs="Times New Roman" w:eastAsia="Times New Roman" w:hAnsi="Times New Roman"/>
          <w:sz w:val="19"/>
          <w:szCs w:val="19"/>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9.12(b)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Lending Office</w:t>
      </w:r>
      <w:r>
        <w:rPr>
          <w:rFonts w:ascii="Times New Roman" w:cs="Times New Roman" w:eastAsia="Times New Roman" w:hAnsi="Times New Roman"/>
          <w:sz w:val="19"/>
          <w:szCs w:val="19"/>
          <w:color w:val="auto"/>
        </w:rPr>
        <w:t>” means, as to each Bank, its office, branch or Affiliate located at its address set forth in its Administrative Questionnaire (or identified in its Administrative Questionnaire as its Lending Office) and/or one or more other offices, branches or Affiliates as such Bank may hereafter designate as its Lending Office by notice to the Borrower and the Administrative Agent.</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means any losses, claims (including intraparty claims), demands, damages or liabilities of any kind.</w:t>
      </w:r>
    </w:p>
    <w:p>
      <w:pPr>
        <w:spacing w:after="0" w:line="126"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any mortgage, lien, pledge, charge, security interest or encumbrance of any kind in respect of such asset. For the purposes of this Agreement, each of the Borrower and its Subsidiaries shall be deemed to own subject to a Lien any asset that it has acquired or holds subject to the interest of a vendor or lessor under any conditional sale agreement, capital lease or other title retention agreement (other than operating leases) relating to such asset.</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means a term loan made, or to be made, to the Borrower by the Banks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collectively, this Agreement, the Guaranty Agreement and any Notes.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Party</w:t>
      </w:r>
      <w:r>
        <w:rPr>
          <w:rFonts w:ascii="Times New Roman" w:cs="Times New Roman" w:eastAsia="Times New Roman" w:hAnsi="Times New Roman"/>
          <w:sz w:val="19"/>
          <w:szCs w:val="19"/>
          <w:color w:val="auto"/>
        </w:rPr>
        <w:t>” means the Borrower and each Guarantor.</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means any acquisition, or a series of related acquisitions, consummated after May 9, 2025 that</w:t>
      </w:r>
    </w:p>
    <w:p>
      <w:pPr>
        <w:spacing w:after="0" w:line="5" w:lineRule="exact"/>
        <w:rPr>
          <w:sz w:val="20"/>
          <w:szCs w:val="20"/>
          <w:color w:val="auto"/>
        </w:rPr>
      </w:pPr>
    </w:p>
    <w:p>
      <w:pPr>
        <w:jc w:val="both"/>
        <w:ind w:firstLine="5"/>
        <w:spacing w:after="0" w:line="227" w:lineRule="auto"/>
        <w:tabs>
          <w:tab w:leader="none" w:pos="28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involves the payment of consideration in excess of US$100,000,000 and (b) has been designated by the Borrower as a “Material Acquisition” by written notice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with respect to the first designation of a Material Acquisition, the Borrower may not designate an acquisition as a “Material Acquisition” unless the maximum Total Net Leverage Ratio 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as of the end of the most recent two fiscal quarters ended immediately prior to such designation was no greater than 3.50 to 1.00.</w:t>
      </w:r>
    </w:p>
    <w:p>
      <w:pPr>
        <w:spacing w:after="0" w:line="9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operations, affairs, financial condition, assets or properties of the Borrower and its Subsidiaries, considered as a whole or (b) the validity or enforceability or the rights and remedies of the Administrative Agent and the Banks under, and against the Loan Parties of, the Loan Documents.</w:t>
      </w:r>
    </w:p>
    <w:p>
      <w:pPr>
        <w:spacing w:after="0" w:line="95"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Disposition</w:t>
      </w:r>
      <w:r>
        <w:rPr>
          <w:rFonts w:ascii="Times New Roman" w:cs="Times New Roman" w:eastAsia="Times New Roman" w:hAnsi="Times New Roman"/>
          <w:sz w:val="19"/>
          <w:szCs w:val="19"/>
          <w:color w:val="auto"/>
        </w:rPr>
        <w:t xml:space="preserve">” means any sale, transfer or other disposition by the Borrower or any of its Subsidiaries of (a) all or substantially all the issued and outstanding equity interests in any Person that are owned by the Borrower or any of its Subsidiaries or (b) assets comprising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(a) and (b), such sale, transfer or other disposition yields net proceeds to the Borrower or any of its Subsidiaries in excess of US$100,000,000 in the aggregate.</w:t>
      </w:r>
    </w:p>
    <w:p>
      <w:pPr>
        <w:sectPr>
          <w:pgSz w:w="11900" w:h="16840" w:orient="portrait"/>
          <w:cols w:equalWidth="0" w:num="1">
            <w:col w:w="10580"/>
          </w:cols>
          <w:pgMar w:left="660" w:top="556" w:right="660" w:bottom="1440" w:gutter="0" w:footer="0" w:header="0"/>
        </w:sectPr>
      </w:pPr>
    </w:p>
    <w:bookmarkStart w:id="57" w:name="page58"/>
    <w:bookmarkEnd w:id="57"/>
    <w:p>
      <w:pPr>
        <w:ind w:left="10380"/>
        <w:spacing w:after="0"/>
        <w:rPr>
          <w:sz w:val="20"/>
          <w:szCs w:val="20"/>
          <w:color w:val="auto"/>
        </w:rPr>
      </w:pPr>
      <w:r>
        <w:rPr>
          <w:rFonts w:ascii="Times New Roman" w:cs="Times New Roman" w:eastAsia="Times New Roman" w:hAnsi="Times New Roman"/>
          <w:sz w:val="19"/>
          <w:szCs w:val="19"/>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any Indebtedness of the Borrower, or any of its Subsidiaries, arising in one or more related or unrelated transactions after the date hereof, in each case in an aggregate principal amount exceeding US$75,000,000.</w:t>
      </w:r>
    </w:p>
    <w:p>
      <w:pPr>
        <w:spacing w:after="0" w:line="82"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Subsidiary</w:t>
      </w:r>
      <w:r>
        <w:rPr>
          <w:rFonts w:ascii="Times New Roman" w:cs="Times New Roman" w:eastAsia="Times New Roman" w:hAnsi="Times New Roman"/>
          <w:sz w:val="19"/>
          <w:szCs w:val="19"/>
          <w:color w:val="auto"/>
        </w:rPr>
        <w:t>” means, as of any date of determination, each Subsidiary of the Borrower with (i) a book value (as determined in accordance with GAAP) of total assets exceeding 10% of the book value (as determined in accordance with GAAP) of the Consolidated Total Assets of the Borrower and all of its Subsidiaries as determined as of the last day of the fiscal quarter of the Borrower most recently ended prior to such date of determination or (ii) Consolidated EBITDA (determined on a standalone basis for such Subsidiary) equaling or exceeding 10% of Consolidated EBITDA of the Borrower and all of its Subsidiaries for any period of four consecutive fiscal quarters most recently ended prior to such date of determination.</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means October 16, 2027, or, if such day is not a Business Day, the next preceding Business Day.</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4001(a)(3) of ERISA to which the Borrower or any of its ERISA Affiliates has within the current plan year or any of the preceding five plan years made or accrued an obligation to make contributions.</w:t>
      </w:r>
    </w:p>
    <w:p>
      <w:pPr>
        <w:spacing w:after="0" w:line="95"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xml:space="preserve">” means promissory notes of the Borrower,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evidencing the obligation of the Borrower to repay the Loans, and “Note” means any one of such promissory notes issued hereunder.</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Conversion/Continuation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Notice of Prepayment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w:t>
      </w:r>
      <w:r>
        <w:rPr>
          <w:rFonts w:ascii="Times New Roman" w:cs="Times New Roman" w:eastAsia="Times New Roman" w:hAnsi="Times New Roman"/>
          <w:sz w:val="19"/>
          <w:szCs w:val="19"/>
          <w:color w:val="auto"/>
        </w:rPr>
        <w:t>” means the Federal Reserve Bank of New York.</w:t>
      </w:r>
    </w:p>
    <w:p>
      <w:pPr>
        <w:spacing w:after="0" w:line="126" w:lineRule="exact"/>
        <w:rPr>
          <w:sz w:val="20"/>
          <w:szCs w:val="20"/>
          <w:color w:val="auto"/>
        </w:rPr>
      </w:pPr>
    </w:p>
    <w:p>
      <w:pPr>
        <w:jc w:val="both"/>
        <w:ind w:right="20" w:firstLine="1140"/>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collectively,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 -petition interest is allowed in such proceeding) the Loans and all other obligations and liabilities of the Borrower to the Administrative Agent or to any Bank, whether direct or indirect, absolute or contingent, due or to become due, or now existing or hereafter incurred, which may arise under, out of, or in connection with, this Agreement, any Note or any other document made, delivered or given in connection herewith or therewith, whether on account of principal, interest, reimbursement obligations, fees, indemnities, costs, expenses (including all fees, charges and disbursements of counsel to the Administrative Agent or to any Bank that are required to be paid by the Borrower pursuant hereto) or otherwise.</w:t>
      </w:r>
    </w:p>
    <w:p>
      <w:pPr>
        <w:sectPr>
          <w:pgSz w:w="11900" w:h="16840" w:orient="portrait"/>
          <w:cols w:equalWidth="0" w:num="1">
            <w:col w:w="10580"/>
          </w:cols>
          <w:pgMar w:left="660" w:top="556" w:right="660" w:bottom="1440" w:gutter="0" w:footer="0" w:header="0"/>
        </w:sectPr>
      </w:pPr>
    </w:p>
    <w:bookmarkStart w:id="58" w:name="page59"/>
    <w:bookmarkEnd w:id="58"/>
    <w:p>
      <w:pPr>
        <w:ind w:left="10380"/>
        <w:spacing w:after="0"/>
        <w:rPr>
          <w:sz w:val="20"/>
          <w:szCs w:val="20"/>
          <w:color w:val="auto"/>
        </w:rPr>
      </w:pPr>
      <w:r>
        <w:rPr>
          <w:rFonts w:ascii="Times New Roman" w:cs="Times New Roman" w:eastAsia="Times New Roman" w:hAnsi="Times New Roman"/>
          <w:sz w:val="19"/>
          <w:szCs w:val="19"/>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means the Office of Foreign Assets Control of the U.S. Department of the Treasury.</w:t>
      </w:r>
    </w:p>
    <w:p>
      <w:pPr>
        <w:spacing w:after="0" w:line="126"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this Agreement or any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term shall not include any of the foregoing taxes that result from the execution of an Assignment and Assumption or grant of a participation pursuant to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 except to the extent that any such action is requested or required by any Loan Party.</w:t>
      </w:r>
    </w:p>
    <w:p>
      <w:pPr>
        <w:spacing w:after="0" w:line="9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the greater of (a) the Federal Funds Rate and (b) an overnight rate determined by the Administrative Agent in accordance with banking industry rules on interbank compensation.</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means, with respect to any Bank, any Person controlling such Bank.</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9.17</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7.14(a)</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or any entity succeeding to any or all of its functions under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ERISA.</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Encumbrance</w:t>
      </w:r>
      <w:r>
        <w:rPr>
          <w:rFonts w:ascii="Times New Roman" w:cs="Times New Roman" w:eastAsia="Times New Roman" w:hAnsi="Times New Roman"/>
          <w:sz w:val="19"/>
          <w:szCs w:val="19"/>
          <w:color w:val="auto"/>
        </w:rPr>
        <w:t>” means:</w:t>
      </w:r>
    </w:p>
    <w:p>
      <w:pPr>
        <w:spacing w:after="0" w:line="126" w:lineRule="exact"/>
        <w:rPr>
          <w:sz w:val="20"/>
          <w:szCs w:val="20"/>
          <w:color w:val="auto"/>
        </w:rPr>
      </w:pPr>
    </w:p>
    <w:p>
      <w:pPr>
        <w:ind w:left="1660" w:hanging="515"/>
        <w:spacing w:after="0"/>
        <w:tabs>
          <w:tab w:leader="none" w:pos="16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imposed by law for Taxes that are not yet due or are being contested in compliance with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ind w:right="60" w:firstLine="1145"/>
        <w:spacing w:after="0" w:line="255" w:lineRule="auto"/>
        <w:tabs>
          <w:tab w:leader="none" w:pos="166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carriers’, warehousemen’s, mechanics’, materialmen’s, repairmen’s and other like Liens imposed by law, arising in the ordinary course of business and securing obligations that are not overdue by more than 60 days or are being contested in good faith;</w:t>
      </w:r>
    </w:p>
    <w:p>
      <w:pPr>
        <w:spacing w:after="0" w:line="81" w:lineRule="exact"/>
        <w:rPr>
          <w:rFonts w:ascii="Times New Roman" w:cs="Times New Roman" w:eastAsia="Times New Roman" w:hAnsi="Times New Roman"/>
          <w:sz w:val="19"/>
          <w:szCs w:val="19"/>
          <w:color w:val="auto"/>
        </w:rPr>
      </w:pPr>
    </w:p>
    <w:p>
      <w:pPr>
        <w:jc w:val="both"/>
        <w:ind w:firstLine="1145"/>
        <w:spacing w:after="0" w:line="234" w:lineRule="auto"/>
        <w:tabs>
          <w:tab w:leader="none" w:pos="166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made in the ordinary course of business in compliance with workers’ compensation and other casualty-related insurance programs, unemployment insurance, employer’s health tax, other social security laws or regulations, or retirement benefits (including, pledges or deposits or similar Liens securing liabilities to insurance carriers under insurance or self-insurance arrangements in the ordinary course);</w:t>
      </w:r>
    </w:p>
    <w:p>
      <w:pPr>
        <w:sectPr>
          <w:pgSz w:w="11900" w:h="16840" w:orient="portrait"/>
          <w:cols w:equalWidth="0" w:num="1">
            <w:col w:w="10580"/>
          </w:cols>
          <w:pgMar w:left="660" w:top="556" w:right="660" w:bottom="1440" w:gutter="0" w:footer="0" w:header="0"/>
        </w:sectPr>
      </w:pPr>
    </w:p>
    <w:bookmarkStart w:id="59" w:name="page60"/>
    <w:bookmarkEnd w:id="59"/>
    <w:p>
      <w:pPr>
        <w:ind w:left="9600"/>
        <w:spacing w:after="0"/>
        <w:rPr>
          <w:sz w:val="20"/>
          <w:szCs w:val="20"/>
          <w:color w:val="auto"/>
        </w:rPr>
      </w:pPr>
      <w:r>
        <w:rPr>
          <w:rFonts w:ascii="Times New Roman" w:cs="Times New Roman" w:eastAsia="Times New Roman" w:hAnsi="Times New Roman"/>
          <w:sz w:val="19"/>
          <w:szCs w:val="19"/>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780" w:firstLine="1145"/>
        <w:spacing w:after="0" w:line="239" w:lineRule="auto"/>
        <w:tabs>
          <w:tab w:leader="none" w:pos="8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and deposits to secure the performance of, or related obligations to, bids, trade contracts, leases (other than Capital Lease Obligations), statutory obligations, surety and appeal bonds, performance bonds and other obligations of a like nature, in each case in the ordinary course of business;</w:t>
      </w:r>
    </w:p>
    <w:p>
      <w:pPr>
        <w:spacing w:after="0" w:line="95" w:lineRule="exact"/>
        <w:rPr>
          <w:rFonts w:ascii="Times New Roman" w:cs="Times New Roman" w:eastAsia="Times New Roman" w:hAnsi="Times New Roman"/>
          <w:sz w:val="19"/>
          <w:szCs w:val="19"/>
          <w:color w:val="auto"/>
        </w:rPr>
      </w:pPr>
    </w:p>
    <w:p>
      <w:pPr>
        <w:ind w:left="880" w:hanging="515"/>
        <w:spacing w:after="0"/>
        <w:tabs>
          <w:tab w:leader="none" w:pos="8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judgment Liens in respect of judgments that do not constitute an Event of Default under clause (i)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jc w:val="both"/>
        <w:ind w:left="-780" w:firstLine="1145"/>
        <w:spacing w:after="0" w:line="234" w:lineRule="auto"/>
        <w:tabs>
          <w:tab w:leader="none" w:pos="8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leases or subleases granted to others in the ordinary course of business and covering only the assets so leased, rights-of-way, restrictive covenants, and similar encumbrances on real property imposed by law or arising in the ordinary course of business that do not materially detract from the value of the affected property or interfere with the ordinary conduct of business of the Borrower or any Subsidiary;</w:t>
      </w:r>
    </w:p>
    <w:p>
      <w:pPr>
        <w:spacing w:after="0" w:line="97" w:lineRule="exact"/>
        <w:rPr>
          <w:rFonts w:ascii="Times New Roman" w:cs="Times New Roman" w:eastAsia="Times New Roman" w:hAnsi="Times New Roman"/>
          <w:sz w:val="19"/>
          <w:szCs w:val="19"/>
          <w:color w:val="auto"/>
        </w:rPr>
      </w:pPr>
    </w:p>
    <w:p>
      <w:pPr>
        <w:ind w:left="880" w:hanging="515"/>
        <w:spacing w:after="0"/>
        <w:tabs>
          <w:tab w:leader="none" w:pos="8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from filing UCC financing statements regarding leases not prohibited by this Agreement;</w:t>
      </w:r>
    </w:p>
    <w:p>
      <w:pPr>
        <w:spacing w:after="0" w:line="125" w:lineRule="exact"/>
        <w:rPr>
          <w:rFonts w:ascii="Times New Roman" w:cs="Times New Roman" w:eastAsia="Times New Roman" w:hAnsi="Times New Roman"/>
          <w:sz w:val="19"/>
          <w:szCs w:val="19"/>
          <w:color w:val="auto"/>
        </w:rPr>
      </w:pPr>
    </w:p>
    <w:p>
      <w:pPr>
        <w:ind w:left="-780" w:right="20" w:firstLine="1145"/>
        <w:spacing w:after="0" w:line="255" w:lineRule="auto"/>
        <w:tabs>
          <w:tab w:leader="none" w:pos="8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subleases, licenses and sublicenses entered into by the Borrower or a Subsidiary in good faith and which do not materially interfere with the ordinary conduct of business of the Borrower or any Subsidiary;</w:t>
      </w:r>
    </w:p>
    <w:p>
      <w:pPr>
        <w:spacing w:after="0" w:line="81" w:lineRule="exact"/>
        <w:rPr>
          <w:rFonts w:ascii="Times New Roman" w:cs="Times New Roman" w:eastAsia="Times New Roman" w:hAnsi="Times New Roman"/>
          <w:sz w:val="19"/>
          <w:szCs w:val="19"/>
          <w:color w:val="auto"/>
        </w:rPr>
      </w:pPr>
    </w:p>
    <w:p>
      <w:pPr>
        <w:ind w:left="-780" w:right="20" w:firstLine="1145"/>
        <w:spacing w:after="0" w:line="255" w:lineRule="auto"/>
        <w:tabs>
          <w:tab w:leader="none" w:pos="87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statutory and common law landlords’ liens or substantially similar Liens granted in favor of landlords, in each case, under or in respect of leases to which Borrower or one of the Subsidiaries is a party;</w:t>
      </w:r>
    </w:p>
    <w:p>
      <w:pPr>
        <w:spacing w:after="0" w:line="81" w:lineRule="exact"/>
        <w:rPr>
          <w:rFonts w:ascii="Times New Roman" w:cs="Times New Roman" w:eastAsia="Times New Roman" w:hAnsi="Times New Roman"/>
          <w:sz w:val="19"/>
          <w:szCs w:val="19"/>
          <w:color w:val="auto"/>
        </w:rPr>
      </w:pPr>
    </w:p>
    <w:p>
      <w:pPr>
        <w:jc w:val="both"/>
        <w:ind w:left="-780" w:firstLine="1145"/>
        <w:spacing w:after="0" w:line="239" w:lineRule="auto"/>
        <w:tabs>
          <w:tab w:leader="none" w:pos="8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customary Liens (including the right of set-off) in favor of banking institutions encumbering deposits held by such banking institutions incurred in the ordinary course of business and (ii) Liens of a collecting bank arising under Section 4-210 of the UCC on items in the course of collection;</w:t>
      </w:r>
    </w:p>
    <w:p>
      <w:pPr>
        <w:spacing w:after="0" w:line="95" w:lineRule="exact"/>
        <w:rPr>
          <w:rFonts w:ascii="Times New Roman" w:cs="Times New Roman" w:eastAsia="Times New Roman" w:hAnsi="Times New Roman"/>
          <w:sz w:val="19"/>
          <w:szCs w:val="19"/>
          <w:color w:val="auto"/>
        </w:rPr>
      </w:pPr>
    </w:p>
    <w:p>
      <w:pPr>
        <w:ind w:left="-780" w:right="20" w:firstLine="1145"/>
        <w:spacing w:after="0" w:line="255" w:lineRule="auto"/>
        <w:tabs>
          <w:tab w:leader="none" w:pos="90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non-fixed assets of a Foreign Subsidiary given in the ordinary course of business and securing the payment for goods or services or the unpaid purchase price of goods or services and related expenses;</w:t>
      </w:r>
    </w:p>
    <w:p>
      <w:pPr>
        <w:spacing w:after="0" w:line="81" w:lineRule="exact"/>
        <w:rPr>
          <w:rFonts w:ascii="Times New Roman" w:cs="Times New Roman" w:eastAsia="Times New Roman" w:hAnsi="Times New Roman"/>
          <w:sz w:val="19"/>
          <w:szCs w:val="19"/>
          <w:color w:val="auto"/>
        </w:rPr>
      </w:pPr>
    </w:p>
    <w:p>
      <w:pPr>
        <w:ind w:left="-780" w:right="40" w:firstLine="1145"/>
        <w:spacing w:after="0" w:line="255" w:lineRule="auto"/>
        <w:tabs>
          <w:tab w:leader="none" w:pos="8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or title of a lessor, licensor, sublessor or sublicensor under leases or licenses not prohibited under this Agreement that are entered into in the ordinary course of business;</w:t>
      </w:r>
    </w:p>
    <w:p>
      <w:pPr>
        <w:spacing w:after="0" w:line="81" w:lineRule="exact"/>
        <w:rPr>
          <w:rFonts w:ascii="Times New Roman" w:cs="Times New Roman" w:eastAsia="Times New Roman" w:hAnsi="Times New Roman"/>
          <w:sz w:val="19"/>
          <w:szCs w:val="19"/>
          <w:color w:val="auto"/>
        </w:rPr>
      </w:pPr>
    </w:p>
    <w:p>
      <w:pPr>
        <w:ind w:left="-780" w:firstLine="1145"/>
        <w:spacing w:after="0" w:line="255" w:lineRule="auto"/>
        <w:tabs>
          <w:tab w:leader="none" w:pos="8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favor of customs and revenue authorities to secure payment of customs duties in connection with the importation of goods in the ordinary course of business; and</w:t>
      </w:r>
    </w:p>
    <w:p>
      <w:pPr>
        <w:spacing w:after="0" w:line="81" w:lineRule="exact"/>
        <w:rPr>
          <w:rFonts w:ascii="Times New Roman" w:cs="Times New Roman" w:eastAsia="Times New Roman" w:hAnsi="Times New Roman"/>
          <w:sz w:val="19"/>
          <w:szCs w:val="19"/>
          <w:color w:val="auto"/>
        </w:rPr>
      </w:pPr>
    </w:p>
    <w:p>
      <w:pPr>
        <w:jc w:val="both"/>
        <w:ind w:left="-780" w:firstLine="1145"/>
        <w:spacing w:after="0" w:line="239" w:lineRule="auto"/>
        <w:tabs>
          <w:tab w:leader="none" w:pos="89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 connection with the purchase or shipping of goods or assets on the related goods or assets and proceeds thereof in favor of the seller or shipper of such goods or assets or pursuant to customary reservation or retention of title arising in the ordinary course of business and not securing Indebtedness.</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w:t>
      </w:r>
      <w:r>
        <w:rPr>
          <w:rFonts w:ascii="Times New Roman" w:cs="Times New Roman" w:eastAsia="Times New Roman" w:hAnsi="Times New Roman"/>
          <w:sz w:val="19"/>
          <w:szCs w:val="19"/>
          <w:u w:val="single" w:color="auto"/>
          <w:color w:val="auto"/>
        </w:rPr>
        <w:t>Permitted Encumbrances</w:t>
      </w:r>
      <w:r>
        <w:rPr>
          <w:rFonts w:ascii="Times New Roman" w:cs="Times New Roman" w:eastAsia="Times New Roman" w:hAnsi="Times New Roman"/>
          <w:sz w:val="19"/>
          <w:szCs w:val="19"/>
          <w:color w:val="auto"/>
        </w:rPr>
        <w:t>” shall not include any Lien securing Indebtedness for borrowed money.</w:t>
      </w:r>
    </w:p>
    <w:p>
      <w:pPr>
        <w:sectPr>
          <w:pgSz w:w="11900" w:h="16840" w:orient="portrait"/>
          <w:cols w:equalWidth="0" w:num="1">
            <w:col w:w="9800"/>
          </w:cols>
          <w:pgMar w:left="1440" w:top="556" w:right="660" w:bottom="1440" w:gutter="0" w:footer="0" w:header="0"/>
        </w:sectPr>
      </w:pPr>
    </w:p>
    <w:bookmarkStart w:id="60" w:name="page61"/>
    <w:bookmarkEnd w:id="60"/>
    <w:p>
      <w:pPr>
        <w:ind w:left="10380"/>
        <w:spacing w:after="0"/>
        <w:rPr>
          <w:sz w:val="20"/>
          <w:szCs w:val="20"/>
          <w:color w:val="auto"/>
        </w:rPr>
      </w:pPr>
      <w:r>
        <w:rPr>
          <w:rFonts w:ascii="Times New Roman" w:cs="Times New Roman" w:eastAsia="Times New Roman" w:hAnsi="Times New Roman"/>
          <w:sz w:val="19"/>
          <w:szCs w:val="19"/>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a corporation, a limited liability company, a partnership, an association, a trust or any other entity or organization, including a government or political subdivision or an agency or instrumentality thereof.</w:t>
      </w:r>
    </w:p>
    <w:p>
      <w:pPr>
        <w:spacing w:after="0" w:line="82"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pension benefit plan (other than a Multiemployer Plan) subject to the provisions of Title IV of ERISA or Section 412 of the Internal Revenue Code or Section 302 of ERISA, and in respect of which the Borrower or any ERISA Affiliate is (or, if such plan were terminated, would under Section 4069 of ERISA be deemed to be) an “employer” as defined in Section 3(5) of ERISA.</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Asset Regulations</w:t>
      </w:r>
      <w:r>
        <w:rPr>
          <w:rFonts w:ascii="Times New Roman" w:cs="Times New Roman" w:eastAsia="Times New Roman" w:hAnsi="Times New Roman"/>
          <w:sz w:val="19"/>
          <w:szCs w:val="19"/>
          <w:color w:val="auto"/>
        </w:rPr>
        <w:t>” means 29 CFR § 2510.3-101 et seq., as modified by Section 3(42) of ERISA, as amended from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to time.</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means Debt Domain, Intralinks, SyndTrak or a substantially similar electronic transmission system.</w:t>
      </w:r>
    </w:p>
    <w:p>
      <w:pPr>
        <w:spacing w:after="0" w:line="126"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98"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Bank</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5.1(j)</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 5390(c)(8)(D).</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Ratings</w:t>
      </w:r>
      <w:r>
        <w:rPr>
          <w:rFonts w:ascii="Times New Roman" w:cs="Times New Roman" w:eastAsia="Times New Roman" w:hAnsi="Times New Roman"/>
          <w:sz w:val="19"/>
          <w:szCs w:val="19"/>
          <w:color w:val="auto"/>
        </w:rPr>
        <w:t>” means the ratings of Fitch, Moody’s and S&amp;P applicable to the Borrower’s long-term senior unsecured debt.</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 Securitization Facility</w:t>
      </w:r>
      <w:r>
        <w:rPr>
          <w:rFonts w:ascii="Times New Roman" w:cs="Times New Roman" w:eastAsia="Times New Roman" w:hAnsi="Times New Roman"/>
          <w:sz w:val="19"/>
          <w:szCs w:val="19"/>
          <w:color w:val="auto"/>
        </w:rPr>
        <w:t>” means, with respect to the Borrower or any Subsidiary, a transaction or group of transactions typically referred to as a securitization in which the Borrower or such Subsidiary sells its accounts receivable in a transaction accounted for as a true sale to a special purpose bankruptcy remote entity that obtains debt financing to finance the purchase price.</w:t>
      </w:r>
    </w:p>
    <w:p>
      <w:pPr>
        <w:spacing w:after="0" w:line="95"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 Securitization Outstandings</w:t>
      </w:r>
      <w:r>
        <w:rPr>
          <w:rFonts w:ascii="Times New Roman" w:cs="Times New Roman" w:eastAsia="Times New Roman" w:hAnsi="Times New Roman"/>
          <w:sz w:val="19"/>
          <w:szCs w:val="19"/>
          <w:color w:val="auto"/>
        </w:rPr>
        <w:t>” means the aggregate amount outstanding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advanced as the purchase price and not repaid from collections) under all Receivable Securitization Facilities of the Borrower and its Subsidiaries that is representative of the principal amount that would be outstanding if such Receivable Securitization Facilities were accounted for as financings.</w:t>
      </w:r>
    </w:p>
    <w:p>
      <w:pPr>
        <w:sectPr>
          <w:pgSz w:w="11900" w:h="16840" w:orient="portrait"/>
          <w:cols w:equalWidth="0" w:num="1">
            <w:col w:w="10580"/>
          </w:cols>
          <w:pgMar w:left="660" w:top="556" w:right="660" w:bottom="1440" w:gutter="0" w:footer="0" w:header="0"/>
        </w:sectPr>
      </w:pPr>
    </w:p>
    <w:bookmarkStart w:id="61" w:name="page62"/>
    <w:bookmarkEnd w:id="61"/>
    <w:p>
      <w:pPr>
        <w:ind w:left="10380"/>
        <w:spacing w:after="0"/>
        <w:rPr>
          <w:sz w:val="20"/>
          <w:szCs w:val="20"/>
          <w:color w:val="auto"/>
        </w:rPr>
      </w:pPr>
      <w:r>
        <w:rPr>
          <w:rFonts w:ascii="Times New Roman" w:cs="Times New Roman" w:eastAsia="Times New Roman" w:hAnsi="Times New Roman"/>
          <w:sz w:val="19"/>
          <w:szCs w:val="19"/>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9.6(g)</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D</w:t>
      </w:r>
      <w:r>
        <w:rPr>
          <w:rFonts w:ascii="Times New Roman" w:cs="Times New Roman" w:eastAsia="Times New Roman" w:hAnsi="Times New Roman"/>
          <w:sz w:val="19"/>
          <w:szCs w:val="19"/>
          <w:color w:val="auto"/>
        </w:rPr>
        <w:t>” means Regulation D of the Board, as in effect from time to time and all official rulings and interpretations thereunder or thereof.</w:t>
      </w:r>
    </w:p>
    <w:p>
      <w:pPr>
        <w:spacing w:after="0" w:line="82" w:lineRule="exact"/>
        <w:rPr>
          <w:sz w:val="20"/>
          <w:szCs w:val="20"/>
          <w:color w:val="auto"/>
        </w:rPr>
      </w:pPr>
    </w:p>
    <w:p>
      <w:pPr>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T</w:t>
      </w:r>
      <w:r>
        <w:rPr>
          <w:rFonts w:ascii="Times New Roman" w:cs="Times New Roman" w:eastAsia="Times New Roman" w:hAnsi="Times New Roman"/>
          <w:sz w:val="19"/>
          <w:szCs w:val="19"/>
          <w:color w:val="auto"/>
        </w:rPr>
        <w:t>” means Regulation T of the Board, as in effect from time to time and all official rulings and interpretations thereunder or thereof.</w:t>
      </w:r>
    </w:p>
    <w:p>
      <w:pPr>
        <w:spacing w:after="0" w:line="82" w:lineRule="exact"/>
        <w:rPr>
          <w:sz w:val="20"/>
          <w:szCs w:val="20"/>
          <w:color w:val="auto"/>
        </w:rPr>
      </w:pPr>
    </w:p>
    <w:p>
      <w:pPr>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means Regulation U of the Board, as in effect from time to time and all official rulings and interpretations thereunder or thereof.</w:t>
      </w:r>
    </w:p>
    <w:p>
      <w:pPr>
        <w:spacing w:after="0" w:line="82" w:lineRule="exact"/>
        <w:rPr>
          <w:sz w:val="20"/>
          <w:szCs w:val="20"/>
          <w:color w:val="auto"/>
        </w:rPr>
      </w:pPr>
    </w:p>
    <w:p>
      <w:pPr>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Regulation X</w:t>
      </w:r>
      <w:r>
        <w:rPr>
          <w:rFonts w:ascii="Times New Roman" w:cs="Times New Roman" w:eastAsia="Times New Roman" w:hAnsi="Times New Roman"/>
          <w:sz w:val="19"/>
          <w:szCs w:val="19"/>
          <w:color w:val="auto"/>
        </w:rPr>
        <w:t>” means Regulation X of the Board, as in effect from time to time and all official rulings and interpretations thereunder or thereof.</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Regulatory Authority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employees, partners, trustees, administrators, agents and advisors of such Person and such Person’s Affiliates.</w:t>
      </w:r>
    </w:p>
    <w:p>
      <w:pPr>
        <w:spacing w:after="0" w:line="82"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Federal Reserve Board and/or the NYFRB, or a committee officially endorsed or convened by the Federal Reserve Board and/or the NYFRB or, in each case, any successor thereto.</w:t>
      </w:r>
    </w:p>
    <w:p>
      <w:pPr>
        <w:spacing w:after="0" w:line="82"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Banks</w:t>
      </w:r>
      <w:r>
        <w:rPr>
          <w:rFonts w:ascii="Times New Roman" w:cs="Times New Roman" w:eastAsia="Times New Roman" w:hAnsi="Times New Roman"/>
          <w:sz w:val="19"/>
          <w:szCs w:val="19"/>
          <w:color w:val="auto"/>
        </w:rPr>
        <w:t>” means, at any time, Banks holding Loans evidencing at least 50.1% of the aggregate unpaid principal amount of the Loans.</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right="6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w:t>
      </w:r>
      <w:r>
        <w:rPr>
          <w:rFonts w:ascii="Times New Roman" w:cs="Times New Roman" w:eastAsia="Times New Roman" w:hAnsi="Times New Roman"/>
          <w:sz w:val="19"/>
          <w:szCs w:val="19"/>
          <w:color w:val="auto"/>
        </w:rPr>
        <w:t>” means, when used in reference to cash or Cash Equivalents of any Person, that such cash or Cash Equivalents</w:t>
      </w:r>
    </w:p>
    <w:p>
      <w:pPr>
        <w:spacing w:after="0" w:line="5" w:lineRule="exact"/>
        <w:rPr>
          <w:sz w:val="20"/>
          <w:szCs w:val="20"/>
          <w:color w:val="auto"/>
        </w:rPr>
      </w:pPr>
    </w:p>
    <w:p>
      <w:pPr>
        <w:ind w:firstLine="5"/>
        <w:spacing w:after="0" w:line="235" w:lineRule="auto"/>
        <w:tabs>
          <w:tab w:leader="none" w:pos="27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appear (or would be required to appear) as “restricted” on a consolidated balance sheet of such Person prepared in conformity with GAAP or (b) are subject to a first priority Lien in favor of any creditor, other than Liens created under the Loan Documents.</w:t>
      </w:r>
    </w:p>
    <w:p>
      <w:pPr>
        <w:spacing w:after="0" w:line="9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 (other than any compensation related options, warrants or other rights granted to employees, officers or directors of the Borrower and its Subsidiaries).</w:t>
      </w:r>
    </w:p>
    <w:p>
      <w:pPr>
        <w:sectPr>
          <w:pgSz w:w="11900" w:h="16840" w:orient="portrait"/>
          <w:cols w:equalWidth="0" w:num="1">
            <w:col w:w="10580"/>
          </w:cols>
          <w:pgMar w:left="660" w:top="556" w:right="660" w:bottom="1440" w:gutter="0" w:footer="0" w:header="0"/>
        </w:sectPr>
      </w:pPr>
    </w:p>
    <w:bookmarkStart w:id="62" w:name="page63"/>
    <w:bookmarkEnd w:id="62"/>
    <w:p>
      <w:pPr>
        <w:ind w:left="10380"/>
        <w:spacing w:after="0"/>
        <w:rPr>
          <w:sz w:val="20"/>
          <w:szCs w:val="20"/>
          <w:color w:val="auto"/>
        </w:rPr>
      </w:pPr>
      <w:r>
        <w:rPr>
          <w:rFonts w:ascii="Times New Roman" w:cs="Times New Roman" w:eastAsia="Times New Roman" w:hAnsi="Times New Roman"/>
          <w:sz w:val="19"/>
          <w:szCs w:val="19"/>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S&amp;P Global Ratings, a division of S&amp;P Global Inc., or any successor to its rating agency business.</w:t>
      </w:r>
    </w:p>
    <w:p>
      <w:pPr>
        <w:spacing w:after="0" w:line="126" w:lineRule="exact"/>
        <w:rPr>
          <w:sz w:val="20"/>
          <w:szCs w:val="20"/>
          <w:color w:val="auto"/>
        </w:rPr>
      </w:pPr>
    </w:p>
    <w:p>
      <w:pPr>
        <w:jc w:val="both"/>
        <w:ind w:right="4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region or territory which is itself, or whose government is, the subject or target of any comprehensive Sanctions (at the time of this Agreement, the so-called Donetsk People’s Republic, the so-called Luhansk People’s Republic, the Crimea, Zaporizhzhia and Kherson Regions of Ukraine, Cuba, Iran, North Korea and Syria).</w:t>
      </w:r>
    </w:p>
    <w:p>
      <w:pPr>
        <w:spacing w:after="0" w:line="95"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any Person that is the subject or target of any Sanctions, including (a) any Person listed in any Sanctions -related list of designated Persons maintained by OFAC, the U.S. Department of State, the U.S. Department of Commerce, the United Nations Security Council, the European Union, any European Union member state, His Majesty’s Treasury of the United Kingdom or other relevant sanctions authority, (b) any Person organized or resident in a Sanctioned Country and (c) any Person greater than 50% owned or controlled by any such Person or Persons described in the foregoing clauses (a) or (b) (including, without limitation for purposes of defining a Sanctioned Person, as ownership and control may be defined and/or established in and/or by any applicable Sanctions).</w:t>
      </w:r>
    </w:p>
    <w:p>
      <w:pPr>
        <w:spacing w:after="0" w:line="96" w:lineRule="exact"/>
        <w:rPr>
          <w:sz w:val="20"/>
          <w:szCs w:val="20"/>
          <w:color w:val="auto"/>
        </w:rPr>
      </w:pPr>
    </w:p>
    <w:p>
      <w:pPr>
        <w:jc w:val="both"/>
        <w:ind w:right="4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of the United States of America.</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NYFRB (or a successor administrator of the secured overnight financing rate).</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corporation or other entity of which securities or other ownership interests having ordinary voting power to elect a majority of the board of directors or other persons performing similar functions are at the time directly or indirectly owned by the Borrower, as applicable.</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82"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assessments, fees or other charges or withholdings imposed by any Governmental Authority, including any interest, additions to tax or penalties applicable thereto.</w:t>
      </w:r>
    </w:p>
    <w:p>
      <w:pPr>
        <w:sectPr>
          <w:pgSz w:w="11900" w:h="16840" w:orient="portrait"/>
          <w:cols w:equalWidth="0" w:num="1">
            <w:col w:w="10600"/>
          </w:cols>
          <w:pgMar w:left="660" w:top="556" w:right="640" w:bottom="1440" w:gutter="0" w:footer="0" w:header="0"/>
        </w:sectPr>
      </w:pPr>
    </w:p>
    <w:bookmarkStart w:id="63" w:name="page64"/>
    <w:bookmarkEnd w:id="63"/>
    <w:p>
      <w:pPr>
        <w:ind w:left="10380"/>
        <w:spacing w:after="0"/>
        <w:rPr>
          <w:sz w:val="20"/>
          <w:szCs w:val="20"/>
          <w:color w:val="auto"/>
        </w:rPr>
      </w:pPr>
      <w:r>
        <w:rPr>
          <w:rFonts w:ascii="Times New Roman" w:cs="Times New Roman" w:eastAsia="Times New Roman" w:hAnsi="Times New Roman"/>
          <w:sz w:val="19"/>
          <w:szCs w:val="19"/>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Commitment</w:t>
      </w:r>
      <w:r>
        <w:rPr>
          <w:rFonts w:ascii="Times New Roman" w:cs="Times New Roman" w:eastAsia="Times New Roman" w:hAnsi="Times New Roman"/>
          <w:sz w:val="19"/>
          <w:szCs w:val="19"/>
          <w:color w:val="auto"/>
        </w:rPr>
        <w:t xml:space="preserve">” means (a) as to any Bank, the obligation of such Bank to make a portion of the Loans to the Borrower hereunder on the Effective Date in an aggregate principal amount not to exceed the amount set forth opposite such Bank’s name o 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and (b) as to all Banks, the aggregate commitment of all Banks to make such Loans. The aggregate Term Loan Commitment of all Banks on the Effective Date shall be $300,000,000.</w:t>
      </w:r>
    </w:p>
    <w:p>
      <w:pPr>
        <w:spacing w:after="0" w:line="98"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Percentage</w:t>
      </w:r>
      <w:r>
        <w:rPr>
          <w:rFonts w:ascii="Times New Roman" w:cs="Times New Roman" w:eastAsia="Times New Roman" w:hAnsi="Times New Roman"/>
          <w:sz w:val="19"/>
          <w:szCs w:val="19"/>
          <w:color w:val="auto"/>
        </w:rPr>
        <w:t>” means, with respect to any Bank at any time, the percentage of the total outstanding principal balance of the Loans represented by the outstanding principal balance of such Bank’s Loans.</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126" w:lineRule="exact"/>
        <w:rPr>
          <w:sz w:val="20"/>
          <w:szCs w:val="20"/>
          <w:color w:val="auto"/>
        </w:rPr>
      </w:pPr>
    </w:p>
    <w:p>
      <w:pPr>
        <w:ind w:firstLine="1145"/>
        <w:spacing w:after="0" w:line="226" w:lineRule="auto"/>
        <w:tabs>
          <w:tab w:leader="none" w:pos="167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03" w:lineRule="exact"/>
        <w:rPr>
          <w:rFonts w:ascii="Times New Roman" w:cs="Times New Roman" w:eastAsia="Times New Roman" w:hAnsi="Times New Roman"/>
          <w:sz w:val="19"/>
          <w:szCs w:val="19"/>
          <w:color w:val="auto"/>
        </w:rPr>
      </w:pPr>
    </w:p>
    <w:p>
      <w:pPr>
        <w:jc w:val="both"/>
        <w:ind w:firstLine="1145"/>
        <w:spacing w:after="0" w:line="227" w:lineRule="auto"/>
        <w:tabs>
          <w:tab w:leader="none" w:pos="167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Base Rate Term SOFR Determination Day;</w:t>
      </w:r>
    </w:p>
    <w:p>
      <w:pPr>
        <w:spacing w:after="0" w:line="99"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Term SOFR determined as provided above (including pursuant to the proviso under clause (a) or clause (b) above) shall ever be less than the Floor, then Term SOFR shall be deemed to be the Floor.</w:t>
      </w:r>
    </w:p>
    <w:p>
      <w:pPr>
        <w:spacing w:after="0" w:line="82"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xml:space="preserve"> ” means CME Group Benchmark Administration Limited (CBA) (or a successor administrator of the Term SOFR Reference Rate selected by the Administrative Agent in its reasonable discretion).</w:t>
      </w:r>
    </w:p>
    <w:p>
      <w:pPr>
        <w:sectPr>
          <w:pgSz w:w="11900" w:h="16840" w:orient="portrait"/>
          <w:cols w:equalWidth="0" w:num="1">
            <w:col w:w="10580"/>
          </w:cols>
          <w:pgMar w:left="660" w:top="556" w:right="660" w:bottom="1440" w:gutter="0" w:footer="0" w:header="0"/>
        </w:sectPr>
      </w:pPr>
    </w:p>
    <w:bookmarkStart w:id="64" w:name="page65"/>
    <w:bookmarkEnd w:id="64"/>
    <w:p>
      <w:pPr>
        <w:ind w:left="10380"/>
        <w:spacing w:after="0"/>
        <w:rPr>
          <w:sz w:val="20"/>
          <w:szCs w:val="20"/>
          <w:color w:val="auto"/>
        </w:rPr>
      </w:pPr>
      <w:r>
        <w:rPr>
          <w:rFonts w:ascii="Times New Roman" w:cs="Times New Roman" w:eastAsia="Times New Roman" w:hAnsi="Times New Roman"/>
          <w:sz w:val="19"/>
          <w:szCs w:val="19"/>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Loan</w:t>
      </w:r>
      <w:r>
        <w:rPr>
          <w:rFonts w:ascii="Times New Roman" w:cs="Times New Roman" w:eastAsia="Times New Roman" w:hAnsi="Times New Roman"/>
          <w:sz w:val="19"/>
          <w:szCs w:val="19"/>
          <w:color w:val="auto"/>
        </w:rPr>
        <w:t xml:space="preserve">” means a loan made to the Borrower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that bears interest based on Term SOFR.</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Margin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126"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Indebtedness</w:t>
      </w:r>
      <w:r>
        <w:rPr>
          <w:rFonts w:ascii="Times New Roman" w:cs="Times New Roman" w:eastAsia="Times New Roman" w:hAnsi="Times New Roman"/>
          <w:sz w:val="19"/>
          <w:szCs w:val="19"/>
          <w:color w:val="auto"/>
        </w:rPr>
        <w:t>” means, as of any date, the sum of the aggregate principal amount of Indebtedness of the Borrower and its Subsidiaries outstanding as of such date in the amount that would be reflected on a balance sheet prepared as of such date on a consolidated basis in accordance with GAAP, but excluding obligations, contingent or otherwise, of the Borrower and its Subsidiaries as an account party or applicant in respect of acceptances, letters of credit, surety bonds, letters of guaranty or similar arrangements, unless such acceptance, letter of credit, surety bond or letter of guaranty supports an obligation that constitutes Indebtedness.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xml:space="preserve">” means, on any date, the ratio of (a) Total Indebtedness on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lesser of</w:t>
      </w:r>
    </w:p>
    <w:p>
      <w:pPr>
        <w:spacing w:after="0" w:line="5" w:lineRule="exact"/>
        <w:rPr>
          <w:sz w:val="20"/>
          <w:szCs w:val="20"/>
          <w:color w:val="auto"/>
        </w:rPr>
      </w:pPr>
    </w:p>
    <w:p>
      <w:pPr>
        <w:jc w:val="both"/>
        <w:ind w:firstLine="5"/>
        <w:spacing w:after="0" w:line="221" w:lineRule="auto"/>
        <w:tabs>
          <w:tab w:leader="none" w:pos="29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Unrestricted Cash as of such date in excess of US$50,000,000 and (y) US$275,000,000 to (b) Consolidated EBITDA for the most recently ended four fiscal quarter period of the Borrower for which financial statements have been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w:t>
      </w:r>
    </w:p>
    <w:p>
      <w:pPr>
        <w:spacing w:after="0" w:line="1" w:lineRule="exact"/>
        <w:rPr>
          <w:rFonts w:ascii="Times New Roman" w:cs="Times New Roman" w:eastAsia="Times New Roman" w:hAnsi="Times New Roman"/>
          <w:sz w:val="19"/>
          <w:szCs w:val="19"/>
          <w:color w:val="auto"/>
        </w:rPr>
      </w:pPr>
    </w:p>
    <w:p>
      <w:pPr>
        <w:ind w:left="240" w:hanging="235"/>
        <w:spacing w:after="0"/>
        <w:tabs>
          <w:tab w:leader="none" w:pos="240" w:val="left"/>
        </w:tabs>
        <w:numPr>
          <w:ilvl w:val="0"/>
          <w:numId w:val="2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t>
      </w:r>
    </w:p>
    <w:p>
      <w:pPr>
        <w:spacing w:after="0" w:line="104"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Borrower of this Agreement, the borrowing of Loans and the use of the proceeds thereof.</w:t>
      </w:r>
    </w:p>
    <w:p>
      <w:pPr>
        <w:spacing w:after="0" w:line="82"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comprising such Borrowing, is determined by reference to Term SOFR or the Alternate Base Rate.</w:t>
      </w:r>
    </w:p>
    <w:p>
      <w:pPr>
        <w:spacing w:after="0" w:line="82"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98"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82"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xml:space="preserve">” means the Benchmark Replacement excluding the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Unadjusted Benchmark Replacement as so determined would be less than the Floor, the Unadjusted Benchmark Replacement will be deemed to be the Floor for the purposes of this Agreement.</w:t>
      </w:r>
    </w:p>
    <w:p>
      <w:pPr>
        <w:spacing w:after="0" w:line="95" w:lineRule="exact"/>
        <w:rPr>
          <w:sz w:val="20"/>
          <w:szCs w:val="20"/>
          <w:color w:val="auto"/>
        </w:rPr>
      </w:pPr>
    </w:p>
    <w:p>
      <w:pPr>
        <w:jc w:val="both"/>
        <w:ind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Cash</w:t>
      </w:r>
      <w:r>
        <w:rPr>
          <w:rFonts w:ascii="Times New Roman" w:cs="Times New Roman" w:eastAsia="Times New Roman" w:hAnsi="Times New Roman"/>
          <w:sz w:val="19"/>
          <w:szCs w:val="19"/>
          <w:color w:val="auto"/>
        </w:rPr>
        <w:t xml:space="preserve">” means, as of any date, the aggregate amount of cash and Cash Equivalents owned on such date by the Borrower and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cash and Cash Equivalents are not Restricted.</w:t>
      </w:r>
    </w:p>
    <w:p>
      <w:pPr>
        <w:sectPr>
          <w:pgSz w:w="11900" w:h="16840" w:orient="portrait"/>
          <w:cols w:equalWidth="0" w:num="1">
            <w:col w:w="10580"/>
          </w:cols>
          <w:pgMar w:left="660" w:top="556" w:right="660" w:bottom="1440" w:gutter="0" w:footer="0" w:header="0"/>
        </w:sectPr>
      </w:pPr>
    </w:p>
    <w:bookmarkStart w:id="65" w:name="page66"/>
    <w:bookmarkEnd w:id="65"/>
    <w:p>
      <w:pPr>
        <w:ind w:left="10380"/>
        <w:spacing w:after="0"/>
        <w:rPr>
          <w:sz w:val="20"/>
          <w:szCs w:val="20"/>
          <w:color w:val="auto"/>
        </w:rPr>
      </w:pPr>
      <w:r>
        <w:rPr>
          <w:rFonts w:ascii="Times New Roman" w:cs="Times New Roman" w:eastAsia="Times New Roman" w:hAnsi="Times New Roman"/>
          <w:sz w:val="19"/>
          <w:szCs w:val="19"/>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means the lawful currency of the United States.</w:t>
      </w:r>
    </w:p>
    <w:p>
      <w:pPr>
        <w:spacing w:after="0" w:line="12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95"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xml:space="preserve">” means (i) for the purposes of </w:t>
      </w:r>
      <w:r>
        <w:rPr>
          <w:rFonts w:ascii="Times New Roman" w:cs="Times New Roman" w:eastAsia="Times New Roman" w:hAnsi="Times New Roman"/>
          <w:sz w:val="19"/>
          <w:szCs w:val="19"/>
          <w:u w:val="single" w:color="auto"/>
          <w:color w:val="auto"/>
        </w:rPr>
        <w:t>Sections 4.15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5.13</w:t>
      </w:r>
      <w:r>
        <w:rPr>
          <w:rFonts w:ascii="Times New Roman" w:cs="Times New Roman" w:eastAsia="Times New Roman" w:hAnsi="Times New Roman"/>
          <w:sz w:val="19"/>
          <w:szCs w:val="19"/>
          <w:color w:val="auto"/>
        </w:rPr>
        <w:t xml:space="preserve">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Internal Revenue Code.</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9.20</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2.15(f)(ii)(C)</w:t>
      </w:r>
      <w:r>
        <w:rPr>
          <w:rFonts w:ascii="Times New Roman" w:cs="Times New Roman" w:eastAsia="Times New Roman" w:hAnsi="Times New Roman"/>
          <w:sz w:val="19"/>
          <w:szCs w:val="19"/>
          <w:color w:val="auto"/>
        </w:rPr>
        <w:t>.</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Wells Fargo</w:t>
      </w:r>
      <w:r>
        <w:rPr>
          <w:rFonts w:ascii="Times New Roman" w:cs="Times New Roman" w:eastAsia="Times New Roman" w:hAnsi="Times New Roman"/>
          <w:sz w:val="19"/>
          <w:szCs w:val="19"/>
          <w:color w:val="auto"/>
        </w:rPr>
        <w:t>” means Wells Fargo Bank, National Association, a national banking association.</w:t>
      </w:r>
    </w:p>
    <w:p>
      <w:pPr>
        <w:spacing w:after="0" w:line="126"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means liability to a Multiemployer Plan as a result of a complete or partial withdrawal from such Multiemployer Plan, as such terms are defined in Part I of Subtitle E of Title IV of ERISA.</w:t>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Withholding Agent</w:t>
      </w:r>
      <w:r>
        <w:rPr>
          <w:rFonts w:ascii="Times New Roman" w:cs="Times New Roman" w:eastAsia="Times New Roman" w:hAnsi="Times New Roman"/>
          <w:sz w:val="19"/>
          <w:szCs w:val="19"/>
          <w:color w:val="auto"/>
        </w:rPr>
        <w:t>” means any Loan Party or the Administrative Agent.</w:t>
      </w:r>
    </w:p>
    <w:p>
      <w:pPr>
        <w:spacing w:after="0" w:line="126" w:lineRule="exact"/>
        <w:rPr>
          <w:sz w:val="20"/>
          <w:szCs w:val="20"/>
          <w:color w:val="auto"/>
        </w:rPr>
      </w:pPr>
    </w:p>
    <w:p>
      <w:pPr>
        <w:jc w:val="both"/>
        <w:ind w:firstLine="1140"/>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 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SECTION 1.2.</w:t>
      </w:r>
      <w:r>
        <w:rPr>
          <w:rFonts w:ascii="Times New Roman" w:cs="Times New Roman" w:eastAsia="Times New Roman" w:hAnsi="Times New Roman"/>
          <w:sz w:val="19"/>
          <w:szCs w:val="19"/>
          <w:u w:val="single" w:color="auto"/>
          <w:color w:val="auto"/>
        </w:rPr>
        <w:t>Accounting Terms and Determinations.</w:t>
      </w:r>
      <w:r>
        <w:rPr>
          <w:rFonts w:ascii="Times New Roman" w:cs="Times New Roman" w:eastAsia="Times New Roman" w:hAnsi="Times New Roman"/>
          <w:sz w:val="19"/>
          <w:szCs w:val="19"/>
          <w:color w:val="auto"/>
        </w:rPr>
        <w:t xml:space="preserve"> Unless otherwise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(except for changes concurred in by the Borrower’s independent public accountants) with the most recent audited consolidated financial statements of the Borrower and its Subsidiaries delivered to the Banks;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Administrative Agent that it wishes to amend any covenant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to eliminate the effect of any change in GAAP on the operation of such</w:t>
      </w:r>
    </w:p>
    <w:p>
      <w:pPr>
        <w:sectPr>
          <w:pgSz w:w="11900" w:h="16840" w:orient="portrait"/>
          <w:cols w:equalWidth="0" w:num="1">
            <w:col w:w="10580"/>
          </w:cols>
          <w:pgMar w:left="660" w:top="556" w:right="660" w:bottom="1440" w:gutter="0" w:footer="0" w:header="0"/>
        </w:sectPr>
      </w:pPr>
    </w:p>
    <w:bookmarkStart w:id="66" w:name="page67"/>
    <w:bookmarkEnd w:id="66"/>
    <w:p>
      <w:pPr>
        <w:ind w:left="10380"/>
        <w:spacing w:after="0"/>
        <w:rPr>
          <w:sz w:val="20"/>
          <w:szCs w:val="20"/>
          <w:color w:val="auto"/>
        </w:rPr>
      </w:pPr>
      <w:r>
        <w:rPr>
          <w:rFonts w:ascii="Times New Roman" w:cs="Times New Roman" w:eastAsia="Times New Roman" w:hAnsi="Times New Roman"/>
          <w:sz w:val="19"/>
          <w:szCs w:val="19"/>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9"/>
          <w:szCs w:val="19"/>
          <w:color w:val="auto"/>
        </w:rPr>
        <w:t xml:space="preserve">covenant (or if the Administrative Agent notifies the Borrower that the Required Banks wish to amend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for such purpose), then the compliance by the Borrower with such covenant shall be determined on the basis of GAAP in effect immediately before the relevant change in GAAP became effective, until either such notice is withdrawn or such covenant is amended in a manner satisfactory to the Borrower and the Required Banks. Notwithstanding any other provision contained herein, all terms of an accounting or financial nature used herein shall be construed, and all computations of amounts and ratios referred to herein shall be made, without giving effect to any election under FASB Accounting Standards Codification 825 -10 -25 (formerly Statement of Financial Accounting Standards 159, The Fair Value Option for Financial Assets and Financial Liabilities), or any successor thereto, to value any Indebtedness of the Borrower or any other Subsidiary at “fair value”, as defined therein.</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1.3.</w:t>
      </w:r>
      <w:r>
        <w:rPr>
          <w:rFonts w:ascii="Times New Roman" w:cs="Times New Roman" w:eastAsia="Times New Roman" w:hAnsi="Times New Roman"/>
          <w:sz w:val="19"/>
          <w:szCs w:val="19"/>
          <w:u w:val="single" w:color="auto"/>
          <w:color w:val="auto"/>
        </w:rPr>
        <w:t>[Reserved].</w:t>
      </w:r>
    </w:p>
    <w:p>
      <w:pPr>
        <w:spacing w:after="0" w:line="126" w:lineRule="exact"/>
        <w:rPr>
          <w:sz w:val="20"/>
          <w:szCs w:val="20"/>
          <w:color w:val="auto"/>
        </w:rPr>
      </w:pPr>
    </w:p>
    <w:p>
      <w:pPr>
        <w:jc w:val="both"/>
        <w:ind w:firstLine="1140"/>
        <w:spacing w:after="0" w:line="224" w:lineRule="auto"/>
        <w:rPr>
          <w:sz w:val="20"/>
          <w:szCs w:val="20"/>
          <w:color w:val="auto"/>
        </w:rPr>
      </w:pPr>
      <w:r>
        <w:rPr>
          <w:rFonts w:ascii="Times New Roman" w:cs="Times New Roman" w:eastAsia="Times New Roman" w:hAnsi="Times New Roman"/>
          <w:sz w:val="19"/>
          <w:szCs w:val="19"/>
          <w:color w:val="auto"/>
        </w:rPr>
        <w:t>SECTION 1.4.</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and all judgments, orders, writs and decrees binding on the applicable Persons,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1.5.</w:t>
      </w:r>
      <w:r>
        <w:rPr>
          <w:rFonts w:ascii="Times New Roman" w:cs="Times New Roman" w:eastAsia="Times New Roman" w:hAnsi="Times New Roman"/>
          <w:sz w:val="19"/>
          <w:szCs w:val="19"/>
          <w:u w:val="single" w:color="auto"/>
          <w:color w:val="auto"/>
        </w:rPr>
        <w:t>[Reserved].</w:t>
      </w:r>
    </w:p>
    <w:p>
      <w:pPr>
        <w:spacing w:after="0" w:line="126" w:lineRule="exact"/>
        <w:rPr>
          <w:sz w:val="20"/>
          <w:szCs w:val="20"/>
          <w:color w:val="auto"/>
        </w:rPr>
      </w:pPr>
    </w:p>
    <w:p>
      <w:pPr>
        <w:jc w:val="both"/>
        <w:ind w:right="40" w:firstLine="1140"/>
        <w:spacing w:after="0" w:line="234" w:lineRule="auto"/>
        <w:rPr>
          <w:sz w:val="20"/>
          <w:szCs w:val="20"/>
          <w:color w:val="auto"/>
        </w:rPr>
      </w:pPr>
      <w:r>
        <w:rPr>
          <w:rFonts w:ascii="Times New Roman" w:cs="Times New Roman" w:eastAsia="Times New Roman" w:hAnsi="Times New Roman"/>
          <w:sz w:val="19"/>
          <w:szCs w:val="19"/>
          <w:color w:val="auto"/>
        </w:rPr>
        <w:t>SECTION 1.6.</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w:t>
      </w:r>
    </w:p>
    <w:p>
      <w:pPr>
        <w:sectPr>
          <w:pgSz w:w="11900" w:h="16840" w:orient="portrait"/>
          <w:cols w:equalWidth="0" w:num="1">
            <w:col w:w="10600"/>
          </w:cols>
          <w:pgMar w:left="660" w:top="556" w:right="640" w:bottom="1440" w:gutter="0" w:footer="0" w:header="0"/>
        </w:sectPr>
      </w:pPr>
    </w:p>
    <w:bookmarkStart w:id="67" w:name="page68"/>
    <w:bookmarkEnd w:id="67"/>
    <w:p>
      <w:pPr>
        <w:ind w:left="10380"/>
        <w:spacing w:after="0"/>
        <w:rPr>
          <w:sz w:val="20"/>
          <w:szCs w:val="20"/>
          <w:color w:val="auto"/>
        </w:rPr>
      </w:pPr>
      <w:r>
        <w:rPr>
          <w:rFonts w:ascii="Times New Roman" w:cs="Times New Roman" w:eastAsia="Times New Roman" w:hAnsi="Times New Roman"/>
          <w:sz w:val="19"/>
          <w:szCs w:val="19"/>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(including any Benchmark Replacement), including whether the composition or characteristics of any such alternative, successor or replacement rate (including any Benchmark Replacement), as it may or may not be adjusted pursuant to Section 8.1(c),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03"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SECTION 1.7.</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II</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THE CREDITS</w:t>
      </w:r>
    </w:p>
    <w:p>
      <w:pPr>
        <w:spacing w:after="0" w:line="126"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SECTION 2.1.</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Subject to the terms and conditions of this Agreement and the other Loan Documents, and in reliance upon the representations and warranties set forth in this Agreement and the other Loan Documents, each Bank severally agrees to make Loans to the Borrower on the Effective Date in a principal amount not to exceed such Bank’s Term Loan Commitment as of the Effective Date. Notwithstanding the foregoing, if the total Term Loan Commitment as of the Effective Date is not drawn on the Effective Date, the undrawn amount shall automatically be cancelled.</w:t>
      </w:r>
    </w:p>
    <w:p>
      <w:pPr>
        <w:spacing w:after="0" w:line="96"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SECTION 2.2.</w:t>
      </w:r>
      <w:r>
        <w:rPr>
          <w:rFonts w:ascii="Times New Roman" w:cs="Times New Roman" w:eastAsia="Times New Roman" w:hAnsi="Times New Roman"/>
          <w:sz w:val="19"/>
          <w:szCs w:val="19"/>
          <w:u w:val="single" w:color="auto"/>
          <w:color w:val="auto"/>
        </w:rPr>
        <w:t>Procedure for Advance of Loans.</w:t>
      </w:r>
      <w:r>
        <w:rPr>
          <w:rFonts w:ascii="Times New Roman" w:cs="Times New Roman" w:eastAsia="Times New Roman" w:hAnsi="Times New Roman"/>
          <w:sz w:val="19"/>
          <w:szCs w:val="19"/>
          <w:color w:val="auto"/>
        </w:rPr>
        <w:t xml:space="preserve"> The Borrower shall give the Administrative Agent irrevocable prior written notice substantially in the form of </w:t>
      </w:r>
      <w:r>
        <w:rPr>
          <w:rFonts w:ascii="Times New Roman" w:cs="Times New Roman" w:eastAsia="Times New Roman" w:hAnsi="Times New Roman"/>
          <w:sz w:val="19"/>
          <w:szCs w:val="19"/>
          <w:u w:val="single" w:color="auto"/>
          <w:color w:val="auto"/>
        </w:rPr>
        <w:t>Exhibit C-1</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prior to 11:00 A.M. (New York City time) on the Effective Date requesting that the Banks make the Loans as ABR Loans on such date (provided that the Borrower may request, no later than three U.S. Government Securities Business Days prior to the Effective Date, that the Banks make the Loans as Term SOFR Loans if the Borrower has delivered to the Administrative Agent a letter in form and substance reasonably satisfactory to the Administrative Agent indemnifying the Banks in the manner set forth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of this Agreement). Upon receipt of such Notice of Borrowing from the Borrower, the Administrative Agent shall promptly</w:t>
      </w:r>
    </w:p>
    <w:p>
      <w:pPr>
        <w:sectPr>
          <w:pgSz w:w="11900" w:h="16840" w:orient="portrait"/>
          <w:cols w:equalWidth="0" w:num="1">
            <w:col w:w="10580"/>
          </w:cols>
          <w:pgMar w:left="660" w:top="556" w:right="660" w:bottom="1440" w:gutter="0" w:footer="0" w:header="0"/>
        </w:sectPr>
      </w:pPr>
    </w:p>
    <w:bookmarkStart w:id="68" w:name="page69"/>
    <w:bookmarkEnd w:id="68"/>
    <w:p>
      <w:pPr>
        <w:ind w:left="10380"/>
        <w:spacing w:after="0"/>
        <w:rPr>
          <w:sz w:val="20"/>
          <w:szCs w:val="20"/>
          <w:color w:val="auto"/>
        </w:rPr>
      </w:pPr>
      <w:r>
        <w:rPr>
          <w:rFonts w:ascii="Times New Roman" w:cs="Times New Roman" w:eastAsia="Times New Roman" w:hAnsi="Times New Roman"/>
          <w:sz w:val="19"/>
          <w:szCs w:val="19"/>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notify each Bank thereof. Not later than 1:00 P.M. (New York City time) on the Effective Date, each Bank will make available to the Administrative Agent for the account of the Borrower, at the Administrative Agent’s Office in immediately available funds, the amount of such Loan to be made by such Bank on the Effective Date. The Borrower hereby irrevocably authorizes the Administrative Agent to disburse the proceeds of the Loans in immediately available funds by wire transfer to such Person or Persons as may be designated by the Borrower in writing.</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2.3.</w:t>
      </w:r>
      <w:r>
        <w:rPr>
          <w:rFonts w:ascii="Times New Roman" w:cs="Times New Roman" w:eastAsia="Times New Roman" w:hAnsi="Times New Roman"/>
          <w:sz w:val="19"/>
          <w:szCs w:val="19"/>
          <w:u w:val="single" w:color="auto"/>
          <w:color w:val="auto"/>
        </w:rPr>
        <w:t>[Reserved].</w:t>
      </w:r>
    </w:p>
    <w:p>
      <w:pPr>
        <w:spacing w:after="0" w:line="126" w:lineRule="exact"/>
        <w:rPr>
          <w:sz w:val="20"/>
          <w:szCs w:val="20"/>
          <w:color w:val="auto"/>
        </w:rPr>
      </w:pPr>
    </w:p>
    <w:p>
      <w:pPr>
        <w:jc w:val="both"/>
        <w:ind w:right="20" w:firstLine="1140"/>
        <w:spacing w:after="0" w:line="226" w:lineRule="auto"/>
        <w:rPr>
          <w:sz w:val="20"/>
          <w:szCs w:val="20"/>
          <w:color w:val="auto"/>
        </w:rPr>
      </w:pPr>
      <w:r>
        <w:rPr>
          <w:rFonts w:ascii="Times New Roman" w:cs="Times New Roman" w:eastAsia="Times New Roman" w:hAnsi="Times New Roman"/>
          <w:sz w:val="19"/>
          <w:szCs w:val="19"/>
          <w:color w:val="auto"/>
        </w:rPr>
        <w:t>SECTION 2.4.</w:t>
      </w:r>
      <w:r>
        <w:rPr>
          <w:rFonts w:ascii="Times New Roman" w:cs="Times New Roman" w:eastAsia="Times New Roman" w:hAnsi="Times New Roman"/>
          <w:sz w:val="19"/>
          <w:szCs w:val="19"/>
          <w:u w:val="single" w:color="auto"/>
          <w:color w:val="auto"/>
        </w:rPr>
        <w:t>Funding of Loans.</w:t>
      </w:r>
      <w:r>
        <w:rPr>
          <w:rFonts w:ascii="Times New Roman" w:cs="Times New Roman" w:eastAsia="Times New Roman" w:hAnsi="Times New Roman"/>
          <w:sz w:val="19"/>
          <w:szCs w:val="19"/>
          <w:color w:val="auto"/>
        </w:rPr>
        <w:t xml:space="preserve"> Unless the Administrative Agent shall have received notice from a Bank prior to the date (or, if an ABR Loan, the time) of any Borrowing that such Bank will not make available to the Administrative Agent such Bank’s share of such Borrowing, the Administrative Agent may assume that such Bank has made such share available to the Administrative Agent on the date of such Borrowing in accordance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and the Administrative Agent may, in reliance upon such assumption, make available to the Borrower on such date a corresponding amount. If and to the extent that such Bank shall not have so made such share available to the Administrative Agent, such Bank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a rate per annum equal to the daily average Overnight Rate. A certificate of the Administrative Agent submitted to any Bank with respect to any amounts owing under this paragraph shall be conclusive in the absence of manifest error. If such Bank shall repay to the Administrative Agent such corresponding amount, such amount so repaid shall constitute such Bank’s Loan included in such Borrowing for purposes of this Agreement.</w:t>
      </w:r>
    </w:p>
    <w:p>
      <w:pPr>
        <w:spacing w:after="0" w:line="99"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SECTION 2.5.</w:t>
      </w:r>
      <w:r>
        <w:rPr>
          <w:rFonts w:ascii="Times New Roman" w:cs="Times New Roman" w:eastAsia="Times New Roman" w:hAnsi="Times New Roman"/>
          <w:sz w:val="19"/>
          <w:szCs w:val="19"/>
          <w:u w:val="single" w:color="auto"/>
          <w:color w:val="auto"/>
        </w:rPr>
        <w:t>Evidence of Indebtedness</w:t>
      </w:r>
      <w:r>
        <w:rPr>
          <w:rFonts w:ascii="Times New Roman" w:cs="Times New Roman" w:eastAsia="Times New Roman" w:hAnsi="Times New Roman"/>
          <w:sz w:val="19"/>
          <w:szCs w:val="19"/>
          <w:color w:val="auto"/>
        </w:rPr>
        <w:t>. (a) Each Bank shall maintain in accordance with its usual practice an account or accounts evidencing indebtedness of the Borrower to such Bank resulting from the Loans of such Bank from time to time, including the amounts of principal and interest payable and paid to such Bank from time to time under this Agreement.</w:t>
      </w:r>
    </w:p>
    <w:p>
      <w:pPr>
        <w:spacing w:after="0" w:line="95" w:lineRule="exact"/>
        <w:rPr>
          <w:sz w:val="20"/>
          <w:szCs w:val="20"/>
          <w:color w:val="auto"/>
        </w:rPr>
      </w:pPr>
    </w:p>
    <w:p>
      <w:pPr>
        <w:jc w:val="both"/>
        <w:ind w:firstLine="1145"/>
        <w:spacing w:after="0" w:line="234" w:lineRule="auto"/>
        <w:tabs>
          <w:tab w:leader="none" w:pos="166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maintain the Register pursuant to </w:t>
      </w:r>
      <w:r>
        <w:rPr>
          <w:rFonts w:ascii="Times New Roman" w:cs="Times New Roman" w:eastAsia="Times New Roman" w:hAnsi="Times New Roman"/>
          <w:sz w:val="19"/>
          <w:szCs w:val="19"/>
          <w:u w:val="single" w:color="auto"/>
          <w:color w:val="auto"/>
        </w:rPr>
        <w:t>Section 9.6(g)</w:t>
      </w:r>
      <w:r>
        <w:rPr>
          <w:rFonts w:ascii="Times New Roman" w:cs="Times New Roman" w:eastAsia="Times New Roman" w:hAnsi="Times New Roman"/>
          <w:sz w:val="19"/>
          <w:szCs w:val="19"/>
          <w:color w:val="auto"/>
        </w:rPr>
        <w:t>, and a subaccount therein for each Bank, in which shall be recorded (i) the amount of each Loan made hereunder and each Interest Period applicable thereto, (ii) the amount of any principal or interest due and payable or to become due and payable from the Borrower to each Bank hereunder and (iii) both the amount of any sum received by the Administrative Agent hereunder from the Borrower and each Bank’s share thereof.</w:t>
      </w:r>
    </w:p>
    <w:p>
      <w:pPr>
        <w:spacing w:after="0" w:line="97" w:lineRule="exact"/>
        <w:rPr>
          <w:rFonts w:ascii="Times New Roman" w:cs="Times New Roman" w:eastAsia="Times New Roman" w:hAnsi="Times New Roman"/>
          <w:sz w:val="19"/>
          <w:szCs w:val="19"/>
          <w:color w:val="auto"/>
        </w:rPr>
      </w:pPr>
    </w:p>
    <w:p>
      <w:pPr>
        <w:jc w:val="both"/>
        <w:ind w:firstLine="1145"/>
        <w:spacing w:after="0" w:line="232" w:lineRule="auto"/>
        <w:tabs>
          <w:tab w:leader="none" w:pos="167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entries made in the Register and the accounts of each Bank maintained pursuant to </w:t>
      </w:r>
      <w:r>
        <w:rPr>
          <w:rFonts w:ascii="Times New Roman" w:cs="Times New Roman" w:eastAsia="Times New Roman" w:hAnsi="Times New Roman"/>
          <w:sz w:val="19"/>
          <w:szCs w:val="19"/>
          <w:u w:val="single" w:color="auto"/>
          <w:color w:val="auto"/>
        </w:rPr>
        <w:t>Section 2.5(b)</w:t>
      </w:r>
      <w:r>
        <w:rPr>
          <w:rFonts w:ascii="Times New Roman" w:cs="Times New Roman" w:eastAsia="Times New Roman" w:hAnsi="Times New Roman"/>
          <w:sz w:val="19"/>
          <w:szCs w:val="19"/>
          <w:color w:val="auto"/>
        </w:rPr>
        <w:t xml:space="preserve"> shall, to the extent permitted by applicable law, be prima facie evidence of the existence and amounts of the obligations of the Borrower therein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failure of any Bank or the Administrative Agent to maintain the Register or any such account, or any error therein, shall not in any manner affect the obligation of the Borrower to repay (with applicable interest) any Loans made to the Borrower by such Bank in accordance with the terms of this Agreement.</w:t>
      </w:r>
    </w:p>
    <w:p>
      <w:pPr>
        <w:sectPr>
          <w:pgSz w:w="11900" w:h="16840" w:orient="portrait"/>
          <w:cols w:equalWidth="0" w:num="1">
            <w:col w:w="10580"/>
          </w:cols>
          <w:pgMar w:left="660" w:top="556" w:right="660" w:bottom="1440" w:gutter="0" w:footer="0" w:header="0"/>
        </w:sectPr>
      </w:pPr>
    </w:p>
    <w:bookmarkStart w:id="69" w:name="page70"/>
    <w:bookmarkEnd w:id="69"/>
    <w:p>
      <w:pPr>
        <w:ind w:left="10380"/>
        <w:spacing w:after="0"/>
        <w:rPr>
          <w:sz w:val="20"/>
          <w:szCs w:val="20"/>
          <w:color w:val="auto"/>
        </w:rPr>
      </w:pPr>
      <w:r>
        <w:rPr>
          <w:rFonts w:ascii="Times New Roman" w:cs="Times New Roman" w:eastAsia="Times New Roman" w:hAnsi="Times New Roman"/>
          <w:sz w:val="19"/>
          <w:szCs w:val="19"/>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1145"/>
        <w:spacing w:after="0" w:line="255" w:lineRule="auto"/>
        <w:tabs>
          <w:tab w:leader="none" w:pos="166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upon the request to the Administrative Agent by any Bank, the Borrower will execute and deliver to such Bank a single Note of the Borrower evidencing any Loans of such Bank.</w:t>
      </w:r>
    </w:p>
    <w:p>
      <w:pPr>
        <w:spacing w:after="0" w:line="82" w:lineRule="exact"/>
        <w:rPr>
          <w:sz w:val="20"/>
          <w:szCs w:val="20"/>
          <w:color w:val="auto"/>
        </w:rPr>
      </w:pPr>
    </w:p>
    <w:p>
      <w:pPr>
        <w:ind w:right="360" w:firstLine="1140"/>
        <w:spacing w:after="0" w:line="242" w:lineRule="auto"/>
        <w:rPr>
          <w:sz w:val="20"/>
          <w:szCs w:val="20"/>
          <w:color w:val="auto"/>
        </w:rPr>
      </w:pPr>
      <w:r>
        <w:rPr>
          <w:rFonts w:ascii="Times New Roman" w:cs="Times New Roman" w:eastAsia="Times New Roman" w:hAnsi="Times New Roman"/>
          <w:sz w:val="19"/>
          <w:szCs w:val="19"/>
          <w:color w:val="auto"/>
        </w:rPr>
        <w:t>SECTION 2.6.</w:t>
      </w:r>
      <w:r>
        <w:rPr>
          <w:rFonts w:ascii="Times New Roman" w:cs="Times New Roman" w:eastAsia="Times New Roman" w:hAnsi="Times New Roman"/>
          <w:sz w:val="19"/>
          <w:szCs w:val="19"/>
          <w:u w:val="single" w:color="auto"/>
          <w:color w:val="auto"/>
        </w:rPr>
        <w:t>Maturity of Loans.</w:t>
      </w:r>
      <w:r>
        <w:rPr>
          <w:rFonts w:ascii="Times New Roman" w:cs="Times New Roman" w:eastAsia="Times New Roman" w:hAnsi="Times New Roman"/>
          <w:sz w:val="19"/>
          <w:szCs w:val="19"/>
          <w:color w:val="auto"/>
        </w:rPr>
        <w:t xml:space="preserve"> Each Loan included in any Borrowing shall mature, and the principal amount thereof shall be due and payable, on the Maturity Date.</w:t>
      </w:r>
    </w:p>
    <w:p>
      <w:pPr>
        <w:spacing w:after="0" w:line="129"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SECTION 2.7.</w:t>
      </w: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 xml:space="preserve"> (a) Each ABR Loan shall bear interest on the outstanding principal amount thereof, for each day from the date such Loan is made until it becomes due, at a rate per annum equal to the sum of the Alternate Base Rate for such day plus the applicable Base Rate Margin. Such interest shall be payable quarterly in arrears on each applicable Interest Payment Date. Any overdue principal of or interest on any ABR Loan (after giving effect to all applicable grace periods under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shall bear interest, payable on demand, for each day from and including the date payment thereof was due to but excluding the date of actual payment, at a rate per annum equal to the sum of 2% plus the rate otherwise applicable to ABR Loans for such day.</w:t>
      </w:r>
    </w:p>
    <w:p>
      <w:pPr>
        <w:spacing w:after="0" w:line="97" w:lineRule="exact"/>
        <w:rPr>
          <w:sz w:val="20"/>
          <w:szCs w:val="20"/>
          <w:color w:val="auto"/>
        </w:rPr>
      </w:pPr>
    </w:p>
    <w:p>
      <w:pPr>
        <w:jc w:val="both"/>
        <w:ind w:right="20" w:firstLine="1145"/>
        <w:spacing w:after="0" w:line="230" w:lineRule="auto"/>
        <w:tabs>
          <w:tab w:leader="none" w:pos="168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Term SOFR Loan shall bear interest on the outstanding principal amount thereof, for the Interest Period applicable thereto, at a rate per annum equal to the sum of Term SOFR plus the Term SOFR Margin. Such interest shall be payable on each applicable Interest Payment Date. Any overdue principal of or interest on any Term SOFR Loan (after giving effect to all applicable grace periods under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bear interest, payable on demand, for each day from and including the date payment thereof was due to but excluding the date of actual payment, at a rate per annum equal to the sum of 2% plus the rate otherwise applicable to such Loan as provided in this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w:t>
      </w:r>
    </w:p>
    <w:p>
      <w:pPr>
        <w:spacing w:after="0" w:line="97" w:lineRule="exact"/>
        <w:rPr>
          <w:rFonts w:ascii="Times New Roman" w:cs="Times New Roman" w:eastAsia="Times New Roman" w:hAnsi="Times New Roman"/>
          <w:sz w:val="19"/>
          <w:szCs w:val="19"/>
          <w:color w:val="auto"/>
        </w:rPr>
      </w:pPr>
    </w:p>
    <w:p>
      <w:pPr>
        <w:jc w:val="both"/>
        <w:ind w:right="20" w:firstLine="1145"/>
        <w:spacing w:after="0" w:line="232" w:lineRule="auto"/>
        <w:tabs>
          <w:tab w:leader="none" w:pos="166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Banks of the effectiveness of any Conforming Changes in connection with the use or administration of Term SOFR.</w:t>
      </w:r>
    </w:p>
    <w:p>
      <w:pPr>
        <w:spacing w:after="0" w:line="9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25"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6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determine each interest rate applicable to the Loans hereunder. The Administrative Agent shall give prompt notice to the Borrower and the participating Banks of each rate of interest so determined, and its determination thereof shall be conclusive in the absence of manifest error.</w:t>
      </w:r>
    </w:p>
    <w:p>
      <w:pPr>
        <w:spacing w:after="0" w:line="95" w:lineRule="exact"/>
        <w:rPr>
          <w:rFonts w:ascii="Times New Roman" w:cs="Times New Roman" w:eastAsia="Times New Roman" w:hAnsi="Times New Roman"/>
          <w:sz w:val="19"/>
          <w:szCs w:val="19"/>
          <w:color w:val="auto"/>
        </w:rPr>
      </w:pPr>
    </w:p>
    <w:p>
      <w:pPr>
        <w:ind w:right="20" w:firstLine="1145"/>
        <w:spacing w:after="0" w:line="255" w:lineRule="auto"/>
        <w:tabs>
          <w:tab w:leader="none" w:pos="1674"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Margin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Base Rate Margin</w:t>
      </w:r>
      <w:r>
        <w:rPr>
          <w:rFonts w:ascii="Times New Roman" w:cs="Times New Roman" w:eastAsia="Times New Roman" w:hAnsi="Times New Roman"/>
          <w:sz w:val="19"/>
          <w:szCs w:val="19"/>
          <w:color w:val="auto"/>
        </w:rPr>
        <w:t>” mean, for any day, the percentage set forth below in the column below such term and in the row corresponding to the “Level” in effect for the Borrower on such day:</w:t>
      </w:r>
    </w:p>
    <w:p>
      <w:pPr>
        <w:sectPr>
          <w:pgSz w:w="11900" w:h="16840" w:orient="portrait"/>
          <w:cols w:equalWidth="0" w:num="1">
            <w:col w:w="10580"/>
          </w:cols>
          <w:pgMar w:left="660" w:top="556" w:right="660" w:bottom="1440" w:gutter="0" w:footer="0" w:header="0"/>
        </w:sectPr>
      </w:pPr>
    </w:p>
    <w:bookmarkStart w:id="70" w:name="page71"/>
    <w:bookmarkEnd w:id="70"/>
    <w:p>
      <w:pPr>
        <w:ind w:left="10380"/>
        <w:spacing w:after="0"/>
        <w:rPr>
          <w:sz w:val="20"/>
          <w:szCs w:val="20"/>
          <w:color w:val="auto"/>
        </w:rPr>
      </w:pPr>
      <w:r>
        <w:rPr>
          <w:rFonts w:ascii="Times New Roman" w:cs="Times New Roman" w:eastAsia="Times New Roman" w:hAnsi="Times New Roman"/>
          <w:sz w:val="19"/>
          <w:szCs w:val="19"/>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6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Level</w:t>
            </w:r>
          </w:p>
        </w:tc>
        <w:tc>
          <w:tcPr>
            <w:tcW w:w="3140" w:type="dxa"/>
            <w:vAlign w:val="bottom"/>
          </w:tcPr>
          <w:p>
            <w:pPr>
              <w:jc w:val="center"/>
              <w:ind w:left="265"/>
              <w:spacing w:after="0"/>
              <w:rPr>
                <w:sz w:val="20"/>
                <w:szCs w:val="20"/>
                <w:color w:val="auto"/>
              </w:rPr>
            </w:pPr>
            <w:r>
              <w:rPr>
                <w:rFonts w:ascii="Times New Roman" w:cs="Times New Roman" w:eastAsia="Times New Roman" w:hAnsi="Times New Roman"/>
                <w:sz w:val="19"/>
                <w:szCs w:val="19"/>
                <w:color w:val="auto"/>
                <w:w w:val="99"/>
              </w:rPr>
              <w:t>Ratings</w:t>
            </w:r>
          </w:p>
        </w:tc>
        <w:tc>
          <w:tcPr>
            <w:tcW w:w="23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rPr>
              <w:t>Applicable Term SOFR</w:t>
            </w:r>
          </w:p>
        </w:tc>
        <w:tc>
          <w:tcPr>
            <w:tcW w:w="182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9"/>
              </w:rPr>
              <w:t>Applicable Base Rate</w:t>
            </w:r>
          </w:p>
        </w:tc>
        <w:tc>
          <w:tcPr>
            <w:tcW w:w="0" w:type="dxa"/>
            <w:vAlign w:val="bottom"/>
          </w:tcPr>
          <w:p>
            <w:pPr>
              <w:spacing w:after="0"/>
              <w:rPr>
                <w:sz w:val="1"/>
                <w:szCs w:val="1"/>
                <w:color w:val="auto"/>
              </w:rPr>
            </w:pPr>
          </w:p>
        </w:tc>
      </w:tr>
      <w:tr>
        <w:trPr>
          <w:trHeight w:val="249"/>
        </w:trPr>
        <w:tc>
          <w:tcPr>
            <w:tcW w:w="660" w:type="dxa"/>
            <w:vAlign w:val="bottom"/>
            <w:vMerge w:val="continue"/>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Fitch/Moody’s/S&amp;P</w:t>
            </w:r>
          </w:p>
        </w:tc>
        <w:tc>
          <w:tcPr>
            <w:tcW w:w="23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6"/>
              </w:rPr>
              <w:t>Margin</w:t>
            </w:r>
          </w:p>
        </w:tc>
        <w:tc>
          <w:tcPr>
            <w:tcW w:w="182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rPr>
              <w:t>Margin</w:t>
            </w:r>
          </w:p>
        </w:tc>
        <w:tc>
          <w:tcPr>
            <w:tcW w:w="0" w:type="dxa"/>
            <w:vAlign w:val="bottom"/>
          </w:tcPr>
          <w:p>
            <w:pPr>
              <w:spacing w:after="0"/>
              <w:rPr>
                <w:sz w:val="1"/>
                <w:szCs w:val="1"/>
                <w:color w:val="auto"/>
              </w:rPr>
            </w:pPr>
          </w:p>
        </w:tc>
      </w:tr>
      <w:tr>
        <w:trPr>
          <w:trHeight w:val="462"/>
        </w:trPr>
        <w:tc>
          <w:tcPr>
            <w:tcW w:w="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w:t>
            </w:r>
          </w:p>
        </w:tc>
        <w:tc>
          <w:tcPr>
            <w:tcW w:w="3140" w:type="dxa"/>
            <w:vAlign w:val="bottom"/>
          </w:tcPr>
          <w:p>
            <w:pPr>
              <w:jc w:val="center"/>
              <w:ind w:left="245"/>
              <w:spacing w:after="0"/>
              <w:rPr>
                <w:sz w:val="20"/>
                <w:szCs w:val="20"/>
                <w:color w:val="auto"/>
              </w:rPr>
            </w:pPr>
            <w:r>
              <w:rPr>
                <w:rFonts w:ascii="Times New Roman" w:cs="Times New Roman" w:eastAsia="Times New Roman" w:hAnsi="Times New Roman"/>
                <w:sz w:val="19"/>
                <w:szCs w:val="19"/>
                <w:color w:val="auto"/>
              </w:rPr>
              <w:t>BBB/Baa2/BBB or higher</w:t>
            </w:r>
          </w:p>
        </w:tc>
        <w:tc>
          <w:tcPr>
            <w:tcW w:w="23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8"/>
              </w:rPr>
              <w:t>0.900%</w:t>
            </w:r>
          </w:p>
        </w:tc>
        <w:tc>
          <w:tcPr>
            <w:tcW w:w="182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auto"/>
                <w:w w:val="98"/>
              </w:rPr>
              <w:t>0.000%</w:t>
            </w:r>
          </w:p>
        </w:tc>
        <w:tc>
          <w:tcPr>
            <w:tcW w:w="0" w:type="dxa"/>
            <w:vAlign w:val="bottom"/>
          </w:tcPr>
          <w:p>
            <w:pPr>
              <w:spacing w:after="0"/>
              <w:rPr>
                <w:sz w:val="1"/>
                <w:szCs w:val="1"/>
                <w:color w:val="auto"/>
              </w:rPr>
            </w:pPr>
          </w:p>
        </w:tc>
      </w:tr>
      <w:tr>
        <w:trPr>
          <w:trHeight w:val="249"/>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II</w:t>
            </w:r>
          </w:p>
        </w:tc>
        <w:tc>
          <w:tcPr>
            <w:tcW w:w="3140" w:type="dxa"/>
            <w:vAlign w:val="bottom"/>
          </w:tcPr>
          <w:p>
            <w:pPr>
              <w:jc w:val="center"/>
              <w:ind w:left="265"/>
              <w:spacing w:after="0"/>
              <w:rPr>
                <w:sz w:val="20"/>
                <w:szCs w:val="20"/>
                <w:color w:val="auto"/>
              </w:rPr>
            </w:pPr>
            <w:r>
              <w:rPr>
                <w:rFonts w:ascii="Times New Roman" w:cs="Times New Roman" w:eastAsia="Times New Roman" w:hAnsi="Times New Roman"/>
                <w:sz w:val="19"/>
                <w:szCs w:val="19"/>
                <w:color w:val="auto"/>
                <w:w w:val="99"/>
              </w:rPr>
              <w:t>BBB-/Baa3/BBB- or lower</w:t>
            </w:r>
          </w:p>
        </w:tc>
        <w:tc>
          <w:tcPr>
            <w:tcW w:w="2360" w:type="dxa"/>
            <w:vAlign w:val="bottom"/>
          </w:tcPr>
          <w:p>
            <w:pPr>
              <w:jc w:val="center"/>
              <w:ind w:left="85"/>
              <w:spacing w:after="0"/>
              <w:rPr>
                <w:sz w:val="20"/>
                <w:szCs w:val="20"/>
                <w:color w:val="auto"/>
              </w:rPr>
            </w:pPr>
            <w:r>
              <w:rPr>
                <w:rFonts w:ascii="Times New Roman" w:cs="Times New Roman" w:eastAsia="Times New Roman" w:hAnsi="Times New Roman"/>
                <w:sz w:val="19"/>
                <w:szCs w:val="19"/>
                <w:color w:val="auto"/>
                <w:w w:val="98"/>
              </w:rPr>
              <w:t>1.025%</w:t>
            </w:r>
          </w:p>
        </w:tc>
        <w:tc>
          <w:tcPr>
            <w:tcW w:w="1820" w:type="dxa"/>
            <w:vAlign w:val="bottom"/>
          </w:tcPr>
          <w:p>
            <w:pPr>
              <w:jc w:val="center"/>
              <w:ind w:left="105"/>
              <w:spacing w:after="0"/>
              <w:rPr>
                <w:sz w:val="20"/>
                <w:szCs w:val="20"/>
                <w:color w:val="auto"/>
              </w:rPr>
            </w:pPr>
            <w:r>
              <w:rPr>
                <w:rFonts w:ascii="Times New Roman" w:cs="Times New Roman" w:eastAsia="Times New Roman" w:hAnsi="Times New Roman"/>
                <w:sz w:val="19"/>
                <w:szCs w:val="19"/>
                <w:color w:val="auto"/>
                <w:w w:val="98"/>
              </w:rPr>
              <w:t>0.025%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firstLine="5"/>
        <w:spacing w:after="0" w:line="225" w:lineRule="auto"/>
        <w:tabs>
          <w:tab w:leader="none" w:pos="9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three Ratings exist, in the case of split Ratings from Fitch, S&amp;P and Moody’s, the Rating to be used to determine the applicable Level shall be the middle of the three Ratings (disregarding the highest and lowest Rating), (ii) if only two Ratings exist, in the case of split Ratings, the Rating to be used to determine the applicable Level shall be the higher of the two Ratings, or if the Ratings differ by more than one Level as indicated above, the Rating to be used to determine the applicable Level shall be the Rating one below the higher of the two Ratings, (iii) if only one Rating exists, the applicable Term SOFR Margin and Base Rate Margin shall be determined by reference to the Level corresponding to the available Rating, (iv) if no Ratings exist, the applicable Level shall be Level II and (v) if any Rating shall be changed (other than as a result of a change in the rating system of the applicable rating agency), such change shall be effective as of the third Business Day following the date on which it is first announced by the rating agency making such change. Each such change in the applicable Term SOFR Margin or Base Rate Margin shall apply to all outstanding Term SOFR Loans and ABR Loans. If the rating system of any rating agency described in this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shall change or if any such rating agency shall cease to be in the business of rating corporate debt obligations or the Ratings from any such rating agency shall become otherwise generally unavailable, the Borrower and the Banks party hereto shall negotiate in good faith to amend the references to specific Ratings in this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to reflect such changed rating system or the unavailability of ratings from such rating agency.</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2.8.</w:t>
      </w:r>
      <w:r>
        <w:rPr>
          <w:rFonts w:ascii="Times New Roman" w:cs="Times New Roman" w:eastAsia="Times New Roman" w:hAnsi="Times New Roman"/>
          <w:sz w:val="19"/>
          <w:szCs w:val="19"/>
          <w:u w:val="single" w:color="auto"/>
          <w:color w:val="auto"/>
        </w:rPr>
        <w:t>[Reserved].</w:t>
      </w:r>
    </w:p>
    <w:p>
      <w:pPr>
        <w:spacing w:after="0" w:line="126"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SECTION 2.9.</w:t>
      </w:r>
      <w:r>
        <w:rPr>
          <w:rFonts w:ascii="Times New Roman" w:cs="Times New Roman" w:eastAsia="Times New Roman" w:hAnsi="Times New Roman"/>
          <w:sz w:val="19"/>
          <w:szCs w:val="19"/>
          <w:u w:val="single" w:color="auto"/>
          <w:color w:val="auto"/>
        </w:rPr>
        <w:t>Termination of Commitments.</w:t>
      </w:r>
      <w:r>
        <w:rPr>
          <w:rFonts w:ascii="Times New Roman" w:cs="Times New Roman" w:eastAsia="Times New Roman" w:hAnsi="Times New Roman"/>
          <w:sz w:val="19"/>
          <w:szCs w:val="19"/>
          <w:color w:val="auto"/>
        </w:rPr>
        <w:t xml:space="preserve"> Each Bank’s Term Loan Commitment shall terminate immediately and without further action on the Effective Date immediately after giving effect to the funding of such Bank’s Loans on the Effective Date.</w:t>
      </w:r>
    </w:p>
    <w:p>
      <w:pPr>
        <w:spacing w:after="0" w:line="82"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2.10.</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126"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 xml:space="preserve">SECTION 2.11. </w:t>
      </w: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Borrower shall have the right at any time and from time to time, without premium or penalty, except as set forth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to prepay the Loans pursuant to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 in whole or in part, with irrevocable prior written notice to the Administrative Agent substantially in the form attached as </w:t>
      </w:r>
      <w:r>
        <w:rPr>
          <w:rFonts w:ascii="Times New Roman" w:cs="Times New Roman" w:eastAsia="Times New Roman" w:hAnsi="Times New Roman"/>
          <w:sz w:val="19"/>
          <w:szCs w:val="19"/>
          <w:u w:val="single" w:color="auto"/>
          <w:color w:val="auto"/>
        </w:rPr>
        <w:t>Exhibit C-2</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Prepayment</w:t>
      </w:r>
      <w:r>
        <w:rPr>
          <w:rFonts w:ascii="Times New Roman" w:cs="Times New Roman" w:eastAsia="Times New Roman" w:hAnsi="Times New Roman"/>
          <w:sz w:val="19"/>
          <w:szCs w:val="19"/>
          <w:color w:val="auto"/>
        </w:rPr>
        <w:t>”) not later than 1:00 P.M. (New York City time) (i) on the same Business Day as prepayment of each ABR Loan and (ii) at least three U.S. Government Securities Business Days before prepayment of each Term SOFR Loan, specifying the date and amount of prepayment, whether the prepayment is of Term SOFR Loans or ABR Loans or a combination thereof, and, if of a combination thereof, the amount allocable to each. Each optional prepayment of the Loans hereunder shall be in an aggregate principal amount of at least $5,000,000 or any whole multiple of $1,000,000 in excess thereof (or, if less, the remaining outstanding principal amount thereof) and shall be applied to prepay ratably the Loans of the Banks in the amounts set forth in the applicable Notice of Prepayment. A Notice of Prepayment received after 1:00 P.M. (New York City time) shall be deemed received on the next Business Day or U.S. Government Securities</w:t>
      </w:r>
    </w:p>
    <w:p>
      <w:pPr>
        <w:sectPr>
          <w:pgSz w:w="11900" w:h="16840" w:orient="portrait"/>
          <w:cols w:equalWidth="0" w:num="1">
            <w:col w:w="10580"/>
          </w:cols>
          <w:pgMar w:left="660" w:top="556" w:right="660" w:bottom="1440" w:gutter="0" w:footer="0" w:header="0"/>
        </w:sectPr>
      </w:pPr>
    </w:p>
    <w:bookmarkStart w:id="71" w:name="page72"/>
    <w:bookmarkEnd w:id="71"/>
    <w:p>
      <w:pPr>
        <w:ind w:left="10380"/>
        <w:spacing w:after="0"/>
        <w:rPr>
          <w:sz w:val="20"/>
          <w:szCs w:val="20"/>
          <w:color w:val="auto"/>
        </w:rPr>
      </w:pPr>
      <w:r>
        <w:rPr>
          <w:rFonts w:ascii="Times New Roman" w:cs="Times New Roman" w:eastAsia="Times New Roman" w:hAnsi="Times New Roman"/>
          <w:sz w:val="19"/>
          <w:szCs w:val="19"/>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 xml:space="preserve">Business Day, as applicable. The Administrative Agent shall promptly notify the applicable Banks of each Notice of Prepayment. Notwithstanding the foregoing, any Notice of Prepayment delivered in connection with any refinancing of all of the Loans with the proceeds of such refinancing or of any other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delay or failure of such contingency shall not relieve the Borrower from its obligations in respect thereof under Section 2.13.</w:t>
      </w:r>
    </w:p>
    <w:p>
      <w:pPr>
        <w:spacing w:after="0" w:line="97" w:lineRule="exact"/>
        <w:rPr>
          <w:sz w:val="20"/>
          <w:szCs w:val="20"/>
          <w:color w:val="auto"/>
        </w:rPr>
      </w:pPr>
    </w:p>
    <w:p>
      <w:pPr>
        <w:ind w:firstLine="1140"/>
        <w:spacing w:after="0" w:line="225" w:lineRule="auto"/>
        <w:rPr>
          <w:sz w:val="20"/>
          <w:szCs w:val="20"/>
          <w:color w:val="auto"/>
        </w:rPr>
      </w:pPr>
      <w:r>
        <w:rPr>
          <w:rFonts w:ascii="Times New Roman" w:cs="Times New Roman" w:eastAsia="Times New Roman" w:hAnsi="Times New Roman"/>
          <w:sz w:val="19"/>
          <w:szCs w:val="19"/>
          <w:color w:val="auto"/>
        </w:rPr>
        <w:t xml:space="preserve">SECTION 2.12. </w:t>
      </w:r>
      <w:r>
        <w:rPr>
          <w:rFonts w:ascii="Times New Roman" w:cs="Times New Roman" w:eastAsia="Times New Roman" w:hAnsi="Times New Roman"/>
          <w:sz w:val="19"/>
          <w:szCs w:val="19"/>
          <w:u w:val="single" w:color="auto"/>
          <w:color w:val="auto"/>
        </w:rPr>
        <w:t>General Provisions as to Payments.</w:t>
      </w:r>
      <w:r>
        <w:rPr>
          <w:rFonts w:ascii="Times New Roman" w:cs="Times New Roman" w:eastAsia="Times New Roman" w:hAnsi="Times New Roman"/>
          <w:sz w:val="19"/>
          <w:szCs w:val="19"/>
          <w:color w:val="auto"/>
        </w:rPr>
        <w:t xml:space="preserve"> (a) Each payment by the Borrower on account of the principal of or interest on the Loans or of any other amounts payable to the Banks under this Agreement shall be made not later than 1:00 P.M. (New York City time) on the date specified for payment under this Agreement to the Administrative Agent at the Administrative Agent’s Office for the account of the Banks entitled to such payment in US Dollars, in immediately available funds and shall be made without any setoff, counterclaim or deduction whatsoever. Any payment received after such time but before 3:00 P.M. (New York City time) on such day shall be deemed a payment on such date for the purposes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but for all other purposes shall be deemed to have been made on the next succeeding Business Day. Any payment received after 3:00 P.M. (New York City time) shall be deemed to have been made on the next succeeding Business Day for all purposes. Upon receipt by the Administrative Agent of each such payment, the Administrative Agent shall distribute to each such Bank at its address for notices set forth herein its Term Loan Percentage (or other applicable share as provided herein) of such payment and shall wire advice of the amount of such credit to each Bank. Each payment to the Administrative Agent of Administrative Agent’s fees or expenses shall be made for the account of the Administrative Agent and any amount payable to any Bank under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2. 15</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8.3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9.3</w:t>
      </w:r>
      <w:r>
        <w:rPr>
          <w:rFonts w:ascii="Times New Roman" w:cs="Times New Roman" w:eastAsia="Times New Roman" w:hAnsi="Times New Roman"/>
          <w:sz w:val="19"/>
          <w:szCs w:val="19"/>
          <w:color w:val="auto"/>
        </w:rPr>
        <w:t xml:space="preserve"> shall be paid to the Administrative Agent for the account of the applicable Bank.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w:t>
      </w:r>
    </w:p>
    <w:p>
      <w:pPr>
        <w:spacing w:after="0" w:line="97" w:lineRule="exact"/>
        <w:rPr>
          <w:sz w:val="20"/>
          <w:szCs w:val="20"/>
          <w:color w:val="auto"/>
        </w:rPr>
      </w:pPr>
    </w:p>
    <w:p>
      <w:pPr>
        <w:jc w:val="both"/>
        <w:ind w:firstLine="1145"/>
        <w:spacing w:after="0" w:line="229" w:lineRule="auto"/>
        <w:tabs>
          <w:tab w:leader="none" w:pos="168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that the Borrower shall not have so made such payment, each Bank shall repay to the Administrative Agent forthwith on demand such amount distributed to such Bank together with interest thereon, for each day from the date such amount is distributed to such Bank until the date such Bank repays such amount to the Administrative Agent, at a rate per annum equal to the daily average Overnight Rate.</w:t>
      </w:r>
    </w:p>
    <w:p>
      <w:pPr>
        <w:spacing w:after="0" w:line="9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Funding Losses.</w:t>
      </w:r>
      <w:r>
        <w:rPr>
          <w:rFonts w:ascii="Times New Roman" w:cs="Times New Roman" w:eastAsia="Times New Roman" w:hAnsi="Times New Roman"/>
          <w:sz w:val="19"/>
          <w:szCs w:val="19"/>
          <w:color w:val="auto"/>
        </w:rPr>
        <w:t xml:space="preserve"> If the Borrower makes any payment of principal with respect to any Term SOFR Loan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or otherwise, but not pursuant to </w:t>
      </w:r>
      <w:r>
        <w:rPr>
          <w:rFonts w:ascii="Times New Roman" w:cs="Times New Roman" w:eastAsia="Times New Roman" w:hAnsi="Times New Roman"/>
          <w:sz w:val="19"/>
          <w:szCs w:val="19"/>
          <w:u w:val="single" w:color="auto"/>
          <w:color w:val="auto"/>
        </w:rPr>
        <w:t>Section 8. 1</w:t>
      </w:r>
      <w:r>
        <w:rPr>
          <w:rFonts w:ascii="Times New Roman" w:cs="Times New Roman" w:eastAsia="Times New Roman" w:hAnsi="Times New Roman"/>
          <w:sz w:val="19"/>
          <w:szCs w:val="19"/>
          <w:color w:val="auto"/>
        </w:rPr>
        <w:t>) on any day other than the last day of the Interest Period applicable thereto, if the Borrower fails to borrow any Term SOFR Loans after notice has been given to any</w:t>
      </w:r>
    </w:p>
    <w:p>
      <w:pPr>
        <w:sectPr>
          <w:pgSz w:w="11900" w:h="16840" w:orient="portrait"/>
          <w:cols w:equalWidth="0" w:num="1">
            <w:col w:w="10580"/>
          </w:cols>
          <w:pgMar w:left="660" w:top="556" w:right="660" w:bottom="1440" w:gutter="0" w:footer="0" w:header="0"/>
        </w:sectPr>
      </w:pPr>
    </w:p>
    <w:bookmarkStart w:id="72" w:name="page73"/>
    <w:bookmarkEnd w:id="72"/>
    <w:p>
      <w:pPr>
        <w:ind w:left="10380"/>
        <w:spacing w:after="0"/>
        <w:rPr>
          <w:sz w:val="20"/>
          <w:szCs w:val="20"/>
          <w:color w:val="auto"/>
        </w:rPr>
      </w:pPr>
      <w:r>
        <w:rPr>
          <w:rFonts w:ascii="Times New Roman" w:cs="Times New Roman" w:eastAsia="Times New Roman" w:hAnsi="Times New Roman"/>
          <w:sz w:val="19"/>
          <w:szCs w:val="19"/>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 xml:space="preserve">Bank in accordance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or if the Borrower fails to prepay any Term SOFR Loans after notice has been given to any Bank in accordance with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the Borrower shall reimburse each Bank within 30 days after demand for any resulting loss or expense incurred by it (or by an existing or prospective Participant in the related Loan), including any loss incurred in obtaining, liquidating or employing deposits from third parties, but excluding loss of margin for the period after any such payment or failure to borrow or prepay; provided that such Bank shall have delivered to the Borrower a certificate setting forth the calculation of the amount of such loss or expense, which certificate shall be conclusive in the absence of manifest error.</w:t>
      </w:r>
    </w:p>
    <w:p>
      <w:pPr>
        <w:spacing w:after="0" w:line="97"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2.14. </w:t>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 xml:space="preserve"> Interest on ABR Loans hereunder shall be computed on the basis of a year of 365 days (or 366 days in a leap year) and paid for the actual number of days elapsed (including the first day but excluding the last day). All other interest shall be computed on the basis of a year of 360 days and paid for the actual number of days elapsed (including the first day and the last day of such period (but without double counting any individual day) but excluding the Maturity Date).</w:t>
      </w:r>
    </w:p>
    <w:p>
      <w:pPr>
        <w:spacing w:after="0" w:line="98" w:lineRule="exact"/>
        <w:rPr>
          <w:sz w:val="20"/>
          <w:szCs w:val="20"/>
          <w:color w:val="auto"/>
        </w:rPr>
      </w:pPr>
    </w:p>
    <w:p>
      <w:pPr>
        <w:jc w:val="both"/>
        <w:ind w:firstLine="1140"/>
        <w:spacing w:after="0" w:line="228" w:lineRule="auto"/>
        <w:rPr>
          <w:sz w:val="20"/>
          <w:szCs w:val="20"/>
          <w:color w:val="auto"/>
        </w:rPr>
      </w:pPr>
      <w:r>
        <w:rPr>
          <w:rFonts w:ascii="Times New Roman" w:cs="Times New Roman" w:eastAsia="Times New Roman" w:hAnsi="Times New Roman"/>
          <w:sz w:val="19"/>
          <w:szCs w:val="19"/>
          <w:color w:val="auto"/>
        </w:rPr>
        <w:t xml:space="preserve">SECTION 2.15.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 Any and all payments by or on account of any obligation of any Loan Party hereunder shall be made free and clear of and without deduction for any Taxes, except as required by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 applicable Withholding Agent shall be required by applicable law (as determined in the good faith discretion of an applicable Withholding Agent) to deduct any Taxes from such payments, then (i) if such Tax is an Indemnified Tax, the sum payable shall be increased as necessary so that after making all required deductions (including deductions applicable to additional sums payable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the Administrative Agent or the applicable Bank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spacing w:after="0" w:line="96" w:lineRule="exact"/>
        <w:rPr>
          <w:sz w:val="20"/>
          <w:szCs w:val="20"/>
          <w:color w:val="auto"/>
        </w:rPr>
      </w:pPr>
    </w:p>
    <w:p>
      <w:pPr>
        <w:ind w:right="20" w:firstLine="1145"/>
        <w:spacing w:after="0" w:line="255" w:lineRule="auto"/>
        <w:tabs>
          <w:tab w:leader="none" w:pos="1698"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Borrower and the other Loan Parties shall pay any Other Taxes to the relevant Governmental Authority in accordance with applicable law.</w:t>
      </w:r>
    </w:p>
    <w:p>
      <w:pPr>
        <w:spacing w:after="0" w:line="81" w:lineRule="exact"/>
        <w:rPr>
          <w:rFonts w:ascii="Times New Roman" w:cs="Times New Roman" w:eastAsia="Times New Roman" w:hAnsi="Times New Roman"/>
          <w:sz w:val="19"/>
          <w:szCs w:val="19"/>
          <w:color w:val="auto"/>
        </w:rPr>
      </w:pPr>
    </w:p>
    <w:p>
      <w:pPr>
        <w:jc w:val="both"/>
        <w:ind w:firstLine="1145"/>
        <w:spacing w:after="0" w:line="229" w:lineRule="auto"/>
        <w:tabs>
          <w:tab w:leader="none" w:pos="1674"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the other Loan Parties shall jointly and severally indemnify the Administrative Agent and each Bank, within 10 days after written demand therefor, for the full amount of any Indemnified Taxes paid by the Administrative Agent or such Bank, as the case may be, on or with respect to any payment by or on account of any obligation of any Loan Party hereunder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Bank or by the Administrative Agent, on its own behalf or on behalf of any Bank, shall be conclusive absent manifest error.</w:t>
      </w:r>
    </w:p>
    <w:p>
      <w:pPr>
        <w:spacing w:after="0" w:line="95" w:lineRule="exact"/>
        <w:rPr>
          <w:rFonts w:ascii="Times New Roman" w:cs="Times New Roman" w:eastAsia="Times New Roman" w:hAnsi="Times New Roman"/>
          <w:sz w:val="19"/>
          <w:szCs w:val="19"/>
          <w:color w:val="auto"/>
        </w:rPr>
      </w:pPr>
    </w:p>
    <w:p>
      <w:pPr>
        <w:ind w:left="1680" w:hanging="535"/>
        <w:spacing w:after="0"/>
        <w:tabs>
          <w:tab w:leader="none" w:pos="168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Bank shall severally indemnify the Administrative Agent, within 10 days after written demand therefor, for</w:t>
      </w:r>
    </w:p>
    <w:p>
      <w:pPr>
        <w:spacing w:after="0" w:line="5" w:lineRule="exact"/>
        <w:rPr>
          <w:rFonts w:ascii="Times New Roman" w:cs="Times New Roman" w:eastAsia="Times New Roman" w:hAnsi="Times New Roman"/>
          <w:sz w:val="19"/>
          <w:szCs w:val="19"/>
          <w:color w:val="auto"/>
        </w:rPr>
      </w:pPr>
    </w:p>
    <w:p>
      <w:pPr>
        <w:jc w:val="both"/>
        <w:ind w:right="40" w:firstLine="5"/>
        <w:spacing w:after="0" w:line="230" w:lineRule="auto"/>
        <w:tabs>
          <w:tab w:leader="none" w:pos="23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full amount of any Taxes attributable to such Bank (but, in the case of Indemnified Taxes, only to the extent that the Borrower has not already indemnified the Administrative Agent for such Indemnified Taxes, and without limiting the obligation of the Borrower to do so) and (ii) any Taxes attributable to such Bank’s failure to comply with the</w:t>
      </w:r>
    </w:p>
    <w:p>
      <w:pPr>
        <w:sectPr>
          <w:pgSz w:w="11900" w:h="16840" w:orient="portrait"/>
          <w:cols w:equalWidth="0" w:num="1">
            <w:col w:w="10580"/>
          </w:cols>
          <w:pgMar w:left="660" w:top="556" w:right="660" w:bottom="1440" w:gutter="0" w:footer="0" w:header="0"/>
        </w:sectPr>
      </w:pPr>
    </w:p>
    <w:bookmarkStart w:id="73" w:name="page74"/>
    <w:bookmarkEnd w:id="73"/>
    <w:p>
      <w:pPr>
        <w:ind w:left="10380"/>
        <w:spacing w:after="0"/>
        <w:rPr>
          <w:sz w:val="20"/>
          <w:szCs w:val="20"/>
          <w:color w:val="auto"/>
        </w:rPr>
      </w:pPr>
      <w:r>
        <w:rPr>
          <w:rFonts w:ascii="Times New Roman" w:cs="Times New Roman" w:eastAsia="Times New Roman" w:hAnsi="Times New Roman"/>
          <w:sz w:val="19"/>
          <w:szCs w:val="19"/>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9"/>
          <w:szCs w:val="19"/>
          <w:color w:val="auto"/>
        </w:rPr>
        <w:t xml:space="preserve">provisions of </w:t>
      </w:r>
      <w:r>
        <w:rPr>
          <w:rFonts w:ascii="Times New Roman" w:cs="Times New Roman" w:eastAsia="Times New Roman" w:hAnsi="Times New Roman"/>
          <w:sz w:val="19"/>
          <w:szCs w:val="19"/>
          <w:u w:val="single" w:color="auto"/>
          <w:color w:val="auto"/>
        </w:rPr>
        <w:t>Section 9.6(b)</w:t>
      </w:r>
      <w:r>
        <w:rPr>
          <w:rFonts w:ascii="Times New Roman" w:cs="Times New Roman" w:eastAsia="Times New Roman" w:hAnsi="Times New Roman"/>
          <w:sz w:val="19"/>
          <w:szCs w:val="19"/>
          <w:color w:val="auto"/>
        </w:rPr>
        <w:t xml:space="preserve"> relating to the maintenance of a Participant Register, in each case, that are paid or payable by the Administrative Agent in connection with any Loan Documents and any penalties, interest and reasonable expenses arising therefrom or with respect thereto, whether or not such Taxes were correctly or legally imposed or asserted by the relevant Governmental Authority. A certificate as to the amount of such payment or liability delivered to the applicable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(d).</w:t>
      </w:r>
    </w:p>
    <w:p>
      <w:pPr>
        <w:spacing w:after="0" w:line="96" w:lineRule="exact"/>
        <w:rPr>
          <w:sz w:val="20"/>
          <w:szCs w:val="20"/>
          <w:color w:val="auto"/>
        </w:rPr>
      </w:pPr>
    </w:p>
    <w:p>
      <w:pPr>
        <w:ind w:firstLine="1145"/>
        <w:spacing w:after="0" w:line="234" w:lineRule="auto"/>
        <w:tabs>
          <w:tab w:leader="none" w:pos="1662"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97" w:lineRule="exact"/>
        <w:rPr>
          <w:rFonts w:ascii="Times New Roman" w:cs="Times New Roman" w:eastAsia="Times New Roman" w:hAnsi="Times New Roman"/>
          <w:sz w:val="19"/>
          <w:szCs w:val="19"/>
          <w:color w:val="auto"/>
        </w:rPr>
      </w:pPr>
    </w:p>
    <w:p>
      <w:pPr>
        <w:jc w:val="both"/>
        <w:ind w:right="40" w:firstLine="1145"/>
        <w:spacing w:after="0" w:line="226" w:lineRule="auto"/>
        <w:tabs>
          <w:tab w:leader="none" w:pos="167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Sections 2.15(f)(i)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(f)(iv)</w:t>
      </w:r>
      <w:r>
        <w:rPr>
          <w:rFonts w:ascii="Times New Roman" w:cs="Times New Roman" w:eastAsia="Times New Roman" w:hAnsi="Times New Roman"/>
          <w:sz w:val="19"/>
          <w:szCs w:val="19"/>
          <w:color w:val="auto"/>
        </w:rPr>
        <w:t xml:space="preserve"> below) shall not be required if in the Bank’s reasonable judgment such completion, execution or submission would subject such Bank to any material unreimbursed cost or expense or would materially prejudice the legal or commercial position of such Bank. Without limiting the generality of the foregoing, in the event that the Borrower is a U.S. Person,</w:t>
      </w:r>
    </w:p>
    <w:p>
      <w:pPr>
        <w:spacing w:after="0" w:line="95" w:lineRule="exact"/>
        <w:rPr>
          <w:sz w:val="20"/>
          <w:szCs w:val="20"/>
          <w:color w:val="auto"/>
        </w:rPr>
      </w:pPr>
    </w:p>
    <w:p>
      <w:pPr>
        <w:jc w:val="both"/>
        <w:ind w:left="580" w:right="20" w:firstLine="565"/>
        <w:spacing w:after="0" w:line="234" w:lineRule="auto"/>
        <w:tabs>
          <w:tab w:leader="none" w:pos="16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 that is a U.S. Person shall deliver to the Borrower and the Administrative Agent on or prior to the date on which such Bank becomes a Bank under this Agreement (and from time to time thereafter upon the reasonable request of such Borrower or the Administrative Agent), executed originals of IRS Form W-9 certifying that such Bank is exempt from U.S. Federal backup withholding tax;</w:t>
      </w:r>
    </w:p>
    <w:p>
      <w:pPr>
        <w:spacing w:after="0" w:line="97" w:lineRule="exact"/>
        <w:rPr>
          <w:rFonts w:ascii="Times New Roman" w:cs="Times New Roman" w:eastAsia="Times New Roman" w:hAnsi="Times New Roman"/>
          <w:sz w:val="19"/>
          <w:szCs w:val="19"/>
          <w:color w:val="auto"/>
        </w:rPr>
      </w:pPr>
    </w:p>
    <w:p>
      <w:pPr>
        <w:jc w:val="both"/>
        <w:ind w:left="580" w:right="40" w:firstLine="565"/>
        <w:spacing w:after="0" w:line="234" w:lineRule="auto"/>
        <w:tabs>
          <w:tab w:leader="none" w:pos="168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ectPr>
          <w:pgSz w:w="11900" w:h="16840" w:orient="portrait"/>
          <w:cols w:equalWidth="0" w:num="1">
            <w:col w:w="10600"/>
          </w:cols>
          <w:pgMar w:left="660" w:top="556" w:right="640" w:bottom="1440" w:gutter="0" w:footer="0" w:header="0"/>
        </w:sectPr>
      </w:pPr>
    </w:p>
    <w:bookmarkStart w:id="74" w:name="page75"/>
    <w:bookmarkEnd w:id="74"/>
    <w:p>
      <w:pPr>
        <w:ind w:left="9600"/>
        <w:spacing w:after="0"/>
        <w:rPr>
          <w:sz w:val="20"/>
          <w:szCs w:val="20"/>
          <w:color w:val="auto"/>
        </w:rPr>
      </w:pPr>
      <w:r>
        <w:rPr>
          <w:rFonts w:ascii="Times New Roman" w:cs="Times New Roman" w:eastAsia="Times New Roman" w:hAnsi="Times New Roman"/>
          <w:sz w:val="19"/>
          <w:szCs w:val="19"/>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940" w:right="20" w:firstLine="564"/>
        <w:spacing w:after="0" w:line="229" w:lineRule="auto"/>
        <w:tabs>
          <w:tab w:leader="none" w:pos="206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Bank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95" w:lineRule="exact"/>
        <w:rPr>
          <w:rFonts w:ascii="Times New Roman" w:cs="Times New Roman" w:eastAsia="Times New Roman" w:hAnsi="Times New Roman"/>
          <w:sz w:val="19"/>
          <w:szCs w:val="19"/>
          <w:color w:val="auto"/>
        </w:rPr>
      </w:pPr>
    </w:p>
    <w:p>
      <w:pPr>
        <w:ind w:left="2060" w:hanging="556"/>
        <w:spacing w:after="0"/>
        <w:tabs>
          <w:tab w:leader="none" w:pos="206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originals of IRS Form W-8ECI;</w:t>
      </w:r>
    </w:p>
    <w:p>
      <w:pPr>
        <w:spacing w:after="0" w:line="125" w:lineRule="exact"/>
        <w:rPr>
          <w:rFonts w:ascii="Times New Roman" w:cs="Times New Roman" w:eastAsia="Times New Roman" w:hAnsi="Times New Roman"/>
          <w:sz w:val="19"/>
          <w:szCs w:val="19"/>
          <w:color w:val="auto"/>
        </w:rPr>
      </w:pPr>
    </w:p>
    <w:p>
      <w:pPr>
        <w:jc w:val="both"/>
        <w:ind w:left="940" w:firstLine="564"/>
        <w:spacing w:after="0" w:line="229" w:lineRule="auto"/>
        <w:tabs>
          <w:tab w:leader="none" w:pos="206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Bank claiming the benefits of the exemption for portfolio interest under Section 881(c) of the Internal Revenue Code, (x) a certificate substantially in the form of </w:t>
      </w:r>
      <w:r>
        <w:rPr>
          <w:rFonts w:ascii="Times New Roman" w:cs="Times New Roman" w:eastAsia="Times New Roman" w:hAnsi="Times New Roman"/>
          <w:sz w:val="19"/>
          <w:szCs w:val="19"/>
          <w:u w:val="single" w:color="auto"/>
          <w:color w:val="auto"/>
        </w:rPr>
        <w:t>Exhibit D-1</w:t>
      </w:r>
      <w:r>
        <w:rPr>
          <w:rFonts w:ascii="Times New Roman" w:cs="Times New Roman" w:eastAsia="Times New Roman" w:hAnsi="Times New Roman"/>
          <w:sz w:val="19"/>
          <w:szCs w:val="19"/>
          <w:color w:val="auto"/>
        </w:rPr>
        <w:t xml:space="preserve"> to the effect that such Foreign Bank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9"/>
          <w:szCs w:val="19"/>
          <w:u w:val="single" w:color="auto"/>
          <w:color w:val="auto"/>
        </w:rPr>
        <w:t>U.S.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and (y) executed originals of IRS Form W-8BEN or IRS Form W-8BEN-E, as applicable; or</w:t>
      </w:r>
    </w:p>
    <w:p>
      <w:pPr>
        <w:spacing w:after="0" w:line="95" w:lineRule="exact"/>
        <w:rPr>
          <w:rFonts w:ascii="Times New Roman" w:cs="Times New Roman" w:eastAsia="Times New Roman" w:hAnsi="Times New Roman"/>
          <w:sz w:val="19"/>
          <w:szCs w:val="19"/>
          <w:color w:val="auto"/>
        </w:rPr>
      </w:pPr>
    </w:p>
    <w:p>
      <w:pPr>
        <w:jc w:val="both"/>
        <w:ind w:left="940" w:firstLine="564"/>
        <w:spacing w:after="0" w:line="229" w:lineRule="auto"/>
        <w:tabs>
          <w:tab w:leader="none" w:pos="206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Bank is not the beneficial owner, executed originals of IRS Form W-8IMY, accompanied by IRS Form W-8ECI, IRS Form W-8BEN or IRS Form W-8BEN-E, as applicable, a U.S. Tax Compliance Certificate substantially in the form of </w:t>
      </w:r>
      <w:r>
        <w:rPr>
          <w:rFonts w:ascii="Times New Roman" w:cs="Times New Roman" w:eastAsia="Times New Roman" w:hAnsi="Times New Roman"/>
          <w:sz w:val="19"/>
          <w:szCs w:val="19"/>
          <w:u w:val="single" w:color="auto"/>
          <w:color w:val="auto"/>
        </w:rPr>
        <w:t>Exhibit D-2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D-3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Times New Roman" w:cs="Times New Roman" w:eastAsia="Times New Roman" w:hAnsi="Times New Roman"/>
          <w:sz w:val="19"/>
          <w:szCs w:val="19"/>
          <w:u w:val="single" w:color="auto"/>
          <w:color w:val="auto"/>
        </w:rPr>
        <w:t>Exhibit D-4</w:t>
      </w:r>
      <w:r>
        <w:rPr>
          <w:rFonts w:ascii="Times New Roman" w:cs="Times New Roman" w:eastAsia="Times New Roman" w:hAnsi="Times New Roman"/>
          <w:sz w:val="19"/>
          <w:szCs w:val="19"/>
          <w:color w:val="auto"/>
        </w:rPr>
        <w:t xml:space="preserve"> on behalf of each such direct and indirect partner;</w:t>
      </w:r>
    </w:p>
    <w:p>
      <w:pPr>
        <w:spacing w:after="0" w:line="95" w:lineRule="exact"/>
        <w:rPr>
          <w:rFonts w:ascii="Times New Roman" w:cs="Times New Roman" w:eastAsia="Times New Roman" w:hAnsi="Times New Roman"/>
          <w:sz w:val="19"/>
          <w:szCs w:val="19"/>
          <w:color w:val="auto"/>
        </w:rPr>
      </w:pPr>
    </w:p>
    <w:p>
      <w:pPr>
        <w:jc w:val="both"/>
        <w:ind w:left="-200" w:right="20" w:firstLine="565"/>
        <w:spacing w:after="0" w:line="229" w:lineRule="auto"/>
        <w:tabs>
          <w:tab w:leader="none" w:pos="90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95" w:lineRule="exact"/>
        <w:rPr>
          <w:rFonts w:ascii="Times New Roman" w:cs="Times New Roman" w:eastAsia="Times New Roman" w:hAnsi="Times New Roman"/>
          <w:sz w:val="19"/>
          <w:szCs w:val="19"/>
          <w:color w:val="auto"/>
        </w:rPr>
      </w:pPr>
    </w:p>
    <w:p>
      <w:pPr>
        <w:ind w:left="-200" w:right="20" w:firstLine="565"/>
        <w:spacing w:after="0" w:line="255" w:lineRule="auto"/>
        <w:tabs>
          <w:tab w:leader="none" w:pos="8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Bank under any Loan Document would be subject to U.S. Federal withholding Tax imposed by FATCA if such Bank fails to comply with the</w:t>
      </w:r>
    </w:p>
    <w:p>
      <w:pPr>
        <w:sectPr>
          <w:pgSz w:w="11900" w:h="16840" w:orient="portrait"/>
          <w:cols w:equalWidth="0" w:num="1">
            <w:col w:w="9800"/>
          </w:cols>
          <w:pgMar w:left="1440" w:top="556" w:right="660" w:bottom="1440" w:gutter="0" w:footer="0" w:header="0"/>
        </w:sectPr>
      </w:pPr>
    </w:p>
    <w:bookmarkStart w:id="75" w:name="page76"/>
    <w:bookmarkEnd w:id="75"/>
    <w:p>
      <w:pPr>
        <w:ind w:left="10375"/>
        <w:spacing w:after="0"/>
        <w:rPr>
          <w:sz w:val="20"/>
          <w:szCs w:val="20"/>
          <w:color w:val="auto"/>
        </w:rPr>
      </w:pPr>
      <w:r>
        <w:rPr>
          <w:rFonts w:ascii="Times New Roman" w:cs="Times New Roman" w:eastAsia="Times New Roman" w:hAnsi="Times New Roman"/>
          <w:sz w:val="19"/>
          <w:szCs w:val="19"/>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575"/>
        <w:spacing w:after="0" w:line="228" w:lineRule="auto"/>
        <w:rPr>
          <w:sz w:val="20"/>
          <w:szCs w:val="20"/>
          <w:color w:val="auto"/>
        </w:rPr>
      </w:pPr>
      <w:r>
        <w:rPr>
          <w:rFonts w:ascii="Times New Roman" w:cs="Times New Roman" w:eastAsia="Times New Roman" w:hAnsi="Times New Roman"/>
          <w:sz w:val="19"/>
          <w:szCs w:val="19"/>
          <w:color w:val="auto"/>
        </w:rPr>
        <w:t>applicable reporting requirements of FATCA (including those contained in Section 1471(b) or 1472(b) of the Internal Revenue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provided, that solely for purposes of this clause (iv), “FATCA” shall include any amendments made to FATCA after the date of this Agreement.</w:t>
      </w:r>
    </w:p>
    <w:p>
      <w:pPr>
        <w:spacing w:after="0" w:line="96" w:lineRule="exact"/>
        <w:rPr>
          <w:sz w:val="20"/>
          <w:szCs w:val="20"/>
          <w:color w:val="auto"/>
        </w:rPr>
      </w:pPr>
    </w:p>
    <w:p>
      <w:pPr>
        <w:jc w:val="both"/>
        <w:ind w:left="575"/>
        <w:spacing w:after="0" w:line="239" w:lineRule="auto"/>
        <w:rPr>
          <w:sz w:val="20"/>
          <w:szCs w:val="20"/>
          <w:color w:val="auto"/>
        </w:rPr>
      </w:pPr>
      <w:r>
        <w:rPr>
          <w:rFonts w:ascii="Times New Roman" w:cs="Times New Roman" w:eastAsia="Times New Roman" w:hAnsi="Times New Roman"/>
          <w:sz w:val="19"/>
          <w:szCs w:val="19"/>
          <w:color w:val="auto"/>
        </w:rPr>
        <w:t>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95" w:lineRule="exact"/>
        <w:rPr>
          <w:sz w:val="20"/>
          <w:szCs w:val="20"/>
          <w:color w:val="auto"/>
        </w:rPr>
      </w:pPr>
    </w:p>
    <w:p>
      <w:pPr>
        <w:jc w:val="both"/>
        <w:ind w:left="-5" w:right="40" w:firstLine="1145"/>
        <w:spacing w:after="0" w:line="233" w:lineRule="auto"/>
        <w:tabs>
          <w:tab w:leader="none" w:pos="1669"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date on which the Administrative Agent (including any successor or replacement Administrative Agent) becomes the Administrative Agent hereunder, it shall deliver to the Borrower two executed copies of either (a) IRS Form W-9 or</w:t>
      </w:r>
    </w:p>
    <w:p>
      <w:pPr>
        <w:spacing w:after="0" w:line="1" w:lineRule="exact"/>
        <w:rPr>
          <w:rFonts w:ascii="Times New Roman" w:cs="Times New Roman" w:eastAsia="Times New Roman" w:hAnsi="Times New Roman"/>
          <w:sz w:val="19"/>
          <w:szCs w:val="19"/>
          <w:color w:val="auto"/>
        </w:rPr>
      </w:pPr>
    </w:p>
    <w:p>
      <w:pPr>
        <w:jc w:val="both"/>
        <w:ind w:left="-5" w:firstLine="5"/>
        <w:spacing w:after="0" w:line="228" w:lineRule="auto"/>
        <w:tabs>
          <w:tab w:leader="none" w:pos="26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amounts received on its own account, IRS Form W-8ECI and with respect to amounts received on account of any Bank, IRS Form W-8IMY certifying that it is a U.S. branch that has agreed to be treated as a U.S. Person for U.S. federal tax purposes or a qualified intermediary that has agreed to assume primary withholding obligations for Chapter 3 and Chapter 4 of the Internal Revenue Code with respect to payments received by it from the Borrower in its capacity as Administrative Agent, as applicable.</w:t>
      </w:r>
    </w:p>
    <w:p>
      <w:pPr>
        <w:spacing w:after="0" w:line="97" w:lineRule="exact"/>
        <w:rPr>
          <w:rFonts w:ascii="Times New Roman" w:cs="Times New Roman" w:eastAsia="Times New Roman" w:hAnsi="Times New Roman"/>
          <w:sz w:val="19"/>
          <w:szCs w:val="19"/>
          <w:color w:val="auto"/>
        </w:rPr>
      </w:pPr>
    </w:p>
    <w:p>
      <w:pPr>
        <w:ind w:left="-5" w:firstLine="1145"/>
        <w:spacing w:after="0" w:line="225" w:lineRule="auto"/>
        <w:tabs>
          <w:tab w:leader="none" w:pos="1657"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or any Bank determines, in its sole, reasonable discretion, that it has received a refund of any Taxes or Other Taxes as to which it has been indemnified by any Loan Party or with respect to which the any Loan Party has paid additional amounts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it shall pay over such refund to such Loan Party (but only to the extent of indemnity payments made, or additional amounts paid, by such Loan Party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with respect to the Taxes giving rise to such refund), net of all out-of-pocket expenses of the Administrative Agent or such Bank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Loan Party, upon the request of the Administrative Agent or such Bank, agrees to repay the amount paid over to such Loan Party (plus any penalties, interest or other charges imposed by the relevant Governmental Authority) to the Administrative Agent or such Bank in the event the Administrative Agent or such Bank is required to repay such refund to such Governmental Authority. Notwithstanding anything to the contrary in this paragraph, in no event will the Administrative Agent or such Bank be required to pay any amount to an indemnifying party pursuant to this paragraph the payment of which would place the Administrative Agent or such Bank in a less favorable net after-Tax position than the Administrative Agent or such Bank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not be construed to require the Administrative</w:t>
      </w:r>
    </w:p>
    <w:p>
      <w:pPr>
        <w:sectPr>
          <w:pgSz w:w="11900" w:h="16840" w:orient="portrait"/>
          <w:cols w:equalWidth="0" w:num="1">
            <w:col w:w="10575"/>
          </w:cols>
          <w:pgMar w:left="665" w:top="556" w:right="660" w:bottom="1440" w:gutter="0" w:footer="0" w:header="0"/>
        </w:sectPr>
      </w:pPr>
    </w:p>
    <w:bookmarkStart w:id="76" w:name="page77"/>
    <w:bookmarkEnd w:id="76"/>
    <w:p>
      <w:pPr>
        <w:ind w:left="10380"/>
        <w:spacing w:after="0"/>
        <w:rPr>
          <w:sz w:val="20"/>
          <w:szCs w:val="20"/>
          <w:color w:val="auto"/>
        </w:rPr>
      </w:pPr>
      <w:r>
        <w:rPr>
          <w:rFonts w:ascii="Times New Roman" w:cs="Times New Roman" w:eastAsia="Times New Roman" w:hAnsi="Times New Roman"/>
          <w:sz w:val="19"/>
          <w:szCs w:val="19"/>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Agent or any Bank to make available its tax returns (or any other information relating to its taxes which it deems confidential) to any Loan Party or any other Person.</w:t>
      </w:r>
    </w:p>
    <w:p>
      <w:pPr>
        <w:spacing w:after="0" w:line="82" w:lineRule="exact"/>
        <w:rPr>
          <w:sz w:val="20"/>
          <w:szCs w:val="20"/>
          <w:color w:val="auto"/>
        </w:rPr>
      </w:pPr>
    </w:p>
    <w:p>
      <w:pPr>
        <w:jc w:val="both"/>
        <w:ind w:firstLine="1145"/>
        <w:spacing w:after="0" w:line="227" w:lineRule="auto"/>
        <w:tabs>
          <w:tab w:leader="none" w:pos="1662"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Loan Party is required to pay any additional amounts to any Bank or any Governmental Authority for the account of any Bank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then such Bank shall (at the request of the Borrower) use commercially reasonable efforts to designate a different lending office for funding or booking its Loans hereunder or to assign and delegate its rights and obligations hereunder to another of its offices, branches or Affiliates, if, in the judgment of such Bank, such designation or assignment and delegation</w:t>
      </w:r>
    </w:p>
    <w:p>
      <w:pPr>
        <w:spacing w:after="0" w:line="2" w:lineRule="exact"/>
        <w:rPr>
          <w:rFonts w:ascii="Times New Roman" w:cs="Times New Roman" w:eastAsia="Times New Roman" w:hAnsi="Times New Roman"/>
          <w:sz w:val="19"/>
          <w:szCs w:val="19"/>
          <w:color w:val="auto"/>
        </w:rPr>
      </w:pPr>
    </w:p>
    <w:p>
      <w:pPr>
        <w:jc w:val="both"/>
        <w:ind w:firstLine="5"/>
        <w:spacing w:after="0" w:line="230" w:lineRule="auto"/>
        <w:tabs>
          <w:tab w:leader="none" w:pos="24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would eliminate or reduce amounts payable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in the future and (ii) would not subject such Bank to any unreimbursed cost or expense and would not otherwise be disadvantageous to such Bank. The Borrower hereby agrees to pay all reasonable costs and expenses incurred by any Bank in connection with any such designation or assignment and delegation.</w:t>
      </w:r>
    </w:p>
    <w:p>
      <w:pPr>
        <w:spacing w:after="0" w:line="97"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86"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Each party’s obligations under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Bank and the repayment, satisfaction or discharge of all Obligations under any Loan Document.</w:t>
      </w:r>
    </w:p>
    <w:p>
      <w:pPr>
        <w:spacing w:after="0" w:line="9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the term “applicable law” includes FATCA.</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9"/>
                <w:szCs w:val="19"/>
                <w:color w:val="auto"/>
              </w:rPr>
              <w:t>SECTION 2.16.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[Reserved].</w:t>
            </w:r>
          </w:p>
        </w:tc>
      </w:tr>
      <w:tr>
        <w:trPr>
          <w:trHeight w:val="324"/>
        </w:trPr>
        <w:tc>
          <w:tcPr>
            <w:tcW w:w="1720" w:type="dxa"/>
            <w:vAlign w:val="bottom"/>
          </w:tcPr>
          <w:p>
            <w:pPr>
              <w:spacing w:after="0"/>
              <w:rPr>
                <w:sz w:val="20"/>
                <w:szCs w:val="20"/>
                <w:color w:val="auto"/>
              </w:rPr>
            </w:pPr>
            <w:r>
              <w:rPr>
                <w:rFonts w:ascii="Times New Roman" w:cs="Times New Roman" w:eastAsia="Times New Roman" w:hAnsi="Times New Roman"/>
                <w:sz w:val="19"/>
                <w:szCs w:val="19"/>
                <w:color w:val="auto"/>
              </w:rPr>
              <w:t>SECTION 2.17.</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[Reserved].</w:t>
            </w:r>
          </w:p>
        </w:tc>
      </w:tr>
      <w:tr>
        <w:trPr>
          <w:trHeight w:val="324"/>
        </w:trPr>
        <w:tc>
          <w:tcPr>
            <w:tcW w:w="1720" w:type="dxa"/>
            <w:vAlign w:val="bottom"/>
          </w:tcPr>
          <w:p>
            <w:pPr>
              <w:spacing w:after="0"/>
              <w:rPr>
                <w:sz w:val="20"/>
                <w:szCs w:val="20"/>
                <w:color w:val="auto"/>
              </w:rPr>
            </w:pPr>
            <w:r>
              <w:rPr>
                <w:rFonts w:ascii="Times New Roman" w:cs="Times New Roman" w:eastAsia="Times New Roman" w:hAnsi="Times New Roman"/>
                <w:sz w:val="19"/>
                <w:szCs w:val="19"/>
                <w:color w:val="auto"/>
              </w:rPr>
              <w:t>SECTION 2.18.</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[Reserved].</w:t>
            </w:r>
          </w:p>
        </w:tc>
      </w:tr>
    </w:tbl>
    <w:p>
      <w:pPr>
        <w:spacing w:after="0" w:line="129"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 xml:space="preserve">SECTION 2.19. </w:t>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 xml:space="preserve"> Provided that no Default or Event of Default has occurred and is then continuing, the Borrower shall have the option to (a) convert at any time, subject to the notice requirements herein, all or any portion of any outstanding ABR Loans in a principal amount equal to $5,000,000 or any whole multiple of $1,000,000 in excess thereof (or such lesser amount as shall represent all of the ABR Loans then outstanding) into one or more Term SOFR Loans and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ABR Loans or (ii) continue any such Term SOFR Loans as Term SOFR Loans. Whenever the Borrower desires to convert or continue Loans as provided above, the Borrower shall give the Administrative Agent irrevocable prior written notice in the form attached as </w:t>
      </w:r>
      <w:r>
        <w:rPr>
          <w:rFonts w:ascii="Times New Roman" w:cs="Times New Roman" w:eastAsia="Times New Roman" w:hAnsi="Times New Roman"/>
          <w:sz w:val="19"/>
          <w:szCs w:val="19"/>
          <w:u w:val="single" w:color="auto"/>
          <w:color w:val="auto"/>
        </w:rPr>
        <w:t>Exhibit C-3</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Notice of Conversion/Continuation</w:t>
      </w:r>
      <w:r>
        <w:rPr>
          <w:rFonts w:ascii="Times New Roman" w:cs="Times New Roman" w:eastAsia="Times New Roman" w:hAnsi="Times New Roman"/>
          <w:sz w:val="19"/>
          <w:szCs w:val="19"/>
          <w:color w:val="auto"/>
        </w:rPr>
        <w:t xml:space="preserve"> ”) not later than 11:00 A.M. (New York City time) three U.S. Government Securities Business Days before the day on which a proposed conversion or continuation of such Loan is to be effective specifying (A) the Loans to be converted or continued, and, in the case of any Term SOFR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Term SOFR Loan. If the Borrower fails to deliver a timely Notice of Conversion/Continuation prior to the end</w:t>
      </w:r>
    </w:p>
    <w:p>
      <w:pPr>
        <w:sectPr>
          <w:pgSz w:w="11900" w:h="16840" w:orient="portrait"/>
          <w:cols w:equalWidth="0" w:num="1">
            <w:col w:w="10580"/>
          </w:cols>
          <w:pgMar w:left="660" w:top="556" w:right="660" w:bottom="1440" w:gutter="0" w:footer="0" w:header="0"/>
        </w:sectPr>
      </w:pPr>
    </w:p>
    <w:bookmarkStart w:id="77" w:name="page78"/>
    <w:bookmarkEnd w:id="77"/>
    <w:p>
      <w:pPr>
        <w:ind w:left="10380"/>
        <w:spacing w:after="0"/>
        <w:rPr>
          <w:sz w:val="20"/>
          <w:szCs w:val="20"/>
          <w:color w:val="auto"/>
        </w:rPr>
      </w:pPr>
      <w:r>
        <w:rPr>
          <w:rFonts w:ascii="Times New Roman" w:cs="Times New Roman" w:eastAsia="Times New Roman" w:hAnsi="Times New Roman"/>
          <w:sz w:val="19"/>
          <w:szCs w:val="19"/>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9"/>
          <w:szCs w:val="19"/>
          <w:color w:val="auto"/>
        </w:rPr>
        <w:t>of the Interest Period for any Term SOFR Loan, then the applicable Term SOFR Loan shall be automatically continued as a Term SOFR Loan with the same Interest Period as such continued Term SOFR Loan. Any such automatic conversion to an ABR Loan shall be effective as of the last day of the Interest Period then in effect with respect to the applicable Term SOFR Loan. If the Borrower requests a conversion to, or continuation of, a Term SOFR Loan, but fails to specify an Interest Period, it will be deemed to have specified an Interest Period of one month. The Administrative Agent shall promptly notify the Banks of such Notice of Conversion/Continuation.</w:t>
      </w:r>
    </w:p>
    <w:p>
      <w:pPr>
        <w:spacing w:after="0" w:line="96" w:lineRule="exact"/>
        <w:rPr>
          <w:sz w:val="20"/>
          <w:szCs w:val="20"/>
          <w:color w:val="auto"/>
        </w:rPr>
      </w:pPr>
    </w:p>
    <w:p>
      <w:pPr>
        <w:jc w:val="both"/>
        <w:ind w:right="40"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Defaulting Banks.</w:t>
      </w:r>
      <w:r>
        <w:rPr>
          <w:rFonts w:ascii="Times New Roman" w:cs="Times New Roman" w:eastAsia="Times New Roman" w:hAnsi="Times New Roman"/>
          <w:sz w:val="19"/>
          <w:szCs w:val="19"/>
          <w:color w:val="auto"/>
        </w:rPr>
        <w:t xml:space="preserve"> (a) Notwithstanding any provision of this Agreement to the contrary, if one or more Banks become Defaulting Banks, then, upon notice to such effect by the Administrative Agent (which notice shall be given promptly after the Administrative Agent becomes aware that any Bank shall have become a Defaulting Bank, including as a result of being advised thereof by the Borrower), the following provisions shall apply for so long as any such Bank is a Defaulting Bank:</w:t>
      </w:r>
    </w:p>
    <w:p>
      <w:pPr>
        <w:spacing w:after="0" w:line="98" w:lineRule="exact"/>
        <w:rPr>
          <w:sz w:val="20"/>
          <w:szCs w:val="20"/>
          <w:color w:val="auto"/>
        </w:rPr>
      </w:pPr>
    </w:p>
    <w:p>
      <w:pPr>
        <w:jc w:val="both"/>
        <w:ind w:left="580" w:firstLine="565"/>
        <w:spacing w:after="0" w:line="228" w:lineRule="auto"/>
        <w:tabs>
          <w:tab w:leader="none" w:pos="166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Loans of each Defaulting Bank shall be disregarded in determining whether the requisite Banks shall have taken any action hereunder or under any other Loan Document (including any consent to any waiver, amendment or other modification pursuant to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waiver, amendment, or other modification that, disregarding the effect of this clause (i), requires the consent of each Bank directly and adversely affected thereby pursuant to clause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shall continue to require the consent of each Defaulting Bank directly and adversely affected thereby in accordance with the terms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waiver, amendment or other modification of this </w:t>
      </w:r>
      <w:r>
        <w:rPr>
          <w:rFonts w:ascii="Times New Roman" w:cs="Times New Roman" w:eastAsia="Times New Roman" w:hAnsi="Times New Roman"/>
          <w:sz w:val="19"/>
          <w:szCs w:val="19"/>
          <w:u w:val="single" w:color="auto"/>
          <w:color w:val="auto"/>
        </w:rPr>
        <w:t>Section 2.20(a)(i)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at any time that a Bank is a Defaulting Bank shall require the consent of such Defaulting Bank if such Defaulting Bank would be directly adversely affected thereby; and</w:t>
      </w:r>
    </w:p>
    <w:p>
      <w:pPr>
        <w:spacing w:after="0" w:line="96" w:lineRule="exact"/>
        <w:rPr>
          <w:rFonts w:ascii="Times New Roman" w:cs="Times New Roman" w:eastAsia="Times New Roman" w:hAnsi="Times New Roman"/>
          <w:sz w:val="19"/>
          <w:szCs w:val="19"/>
          <w:color w:val="auto"/>
        </w:rPr>
      </w:pPr>
    </w:p>
    <w:p>
      <w:pPr>
        <w:jc w:val="both"/>
        <w:ind w:left="580" w:right="20" w:firstLine="565"/>
        <w:spacing w:after="0" w:line="229" w:lineRule="auto"/>
        <w:tabs>
          <w:tab w:leader="none" w:pos="168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payable to or for the account of any Defaulting Bank in its capacity as a Bank hereunder (whether on account of principal, interest or otherwise, and including any amounts payable to such Defaulting Bank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but excluding any amounts payable to such Defaulting Bank pursuant to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9.3</w:t>
      </w:r>
      <w:r>
        <w:rPr>
          <w:rFonts w:ascii="Times New Roman" w:cs="Times New Roman" w:eastAsia="Times New Roman" w:hAnsi="Times New Roman"/>
          <w:sz w:val="19"/>
          <w:szCs w:val="19"/>
          <w:color w:val="auto"/>
        </w:rPr>
        <w:t>) shall, in lieu of being distributed to such Defaulting Bank, be retained by the Administrative Agent in a segregated account and, subject to any applicable requirements of law, (A) be applied, at such time or times as may be determined by the Administrative Agent, to the payment of any amounts owing by such Defaulting Bank to the Administrative Agent hereunder and (B) to the extent not applied or held as aforesaid, be distributed to such Defaulting Bank or as otherwise directed by a court of competent jurisdiction.</w:t>
      </w:r>
    </w:p>
    <w:p>
      <w:pPr>
        <w:spacing w:after="0" w:line="96" w:lineRule="exact"/>
        <w:rPr>
          <w:sz w:val="20"/>
          <w:szCs w:val="20"/>
          <w:color w:val="auto"/>
        </w:rPr>
      </w:pPr>
    </w:p>
    <w:p>
      <w:pPr>
        <w:jc w:val="both"/>
        <w:ind w:right="20" w:firstLine="1145"/>
        <w:spacing w:after="0" w:line="239" w:lineRule="auto"/>
        <w:tabs>
          <w:tab w:leader="none" w:pos="166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Administrative Agent and the Borrower shall have agreed that a Bank that is a Defaulting Bank has adequately remedied all matters that caused such Bank to become a Defaulting Bank, then such Bank shall cease to be a Defaulting Bank for all purposes hereof.</w:t>
      </w:r>
    </w:p>
    <w:p>
      <w:pPr>
        <w:spacing w:after="0" w:line="95"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2.21. </w:t>
      </w: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 xml:space="preserve"> (a) If at any time insufficient funds are received by and available to the Administrative Agent to pay fully all amounts of principal and interest then due hereunder, such funds shall be applied first towards payment of interest then due</w:t>
      </w:r>
    </w:p>
    <w:p>
      <w:pPr>
        <w:sectPr>
          <w:pgSz w:w="11900" w:h="16840" w:orient="portrait"/>
          <w:cols w:equalWidth="0" w:num="1">
            <w:col w:w="10580"/>
          </w:cols>
          <w:pgMar w:left="660" w:top="556" w:right="660" w:bottom="1440" w:gutter="0" w:footer="0" w:header="0"/>
        </w:sectPr>
      </w:pPr>
    </w:p>
    <w:bookmarkStart w:id="78" w:name="page79"/>
    <w:bookmarkEnd w:id="78"/>
    <w:p>
      <w:pPr>
        <w:ind w:left="10380"/>
        <w:spacing w:after="0"/>
        <w:rPr>
          <w:sz w:val="20"/>
          <w:szCs w:val="20"/>
          <w:color w:val="auto"/>
        </w:rPr>
      </w:pPr>
      <w:r>
        <w:rPr>
          <w:rFonts w:ascii="Times New Roman" w:cs="Times New Roman" w:eastAsia="Times New Roman" w:hAnsi="Times New Roman"/>
          <w:sz w:val="19"/>
          <w:szCs w:val="19"/>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hereunder, ratably among the parties entitled thereto in accordance with the amount of interest then due to such parties.</w:t>
      </w:r>
    </w:p>
    <w:p>
      <w:pPr>
        <w:spacing w:after="0" w:line="126" w:lineRule="exact"/>
        <w:rPr>
          <w:sz w:val="20"/>
          <w:szCs w:val="20"/>
          <w:color w:val="auto"/>
        </w:rPr>
      </w:pPr>
    </w:p>
    <w:p>
      <w:pPr>
        <w:jc w:val="both"/>
        <w:ind w:right="20" w:firstLine="1145"/>
        <w:spacing w:after="0" w:line="234" w:lineRule="auto"/>
        <w:tabs>
          <w:tab w:leader="none" w:pos="168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Bank shall fail to make any payment required to be made by it hereunder to or for the account of the Administrative Agent, then the Administrative Agent may, in its discretion (notwithstanding any contrary provision hereof), until all such unsatisfied obligations have been discharged, apply any amounts thereafter received by the Administrative Agent for the account of such Bank to satisfy such Bank’s obligations in respect of such payment as shall be determined by the Administrative Agent in its discretion.</w:t>
      </w:r>
    </w:p>
    <w:p>
      <w:pPr>
        <w:spacing w:after="0" w:line="9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III</w:t>
      </w:r>
    </w:p>
    <w:p>
      <w:pPr>
        <w:spacing w:after="0" w:line="1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CONDITIONS</w:t>
      </w:r>
    </w:p>
    <w:p>
      <w:pPr>
        <w:spacing w:after="0" w:line="126"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3.1.</w:t>
      </w:r>
      <w:r>
        <w:rPr>
          <w:rFonts w:ascii="Times New Roman" w:cs="Times New Roman" w:eastAsia="Times New Roman" w:hAnsi="Times New Roman"/>
          <w:sz w:val="19"/>
          <w:szCs w:val="19"/>
          <w:u w:val="single" w:color="auto"/>
          <w:color w:val="auto"/>
        </w:rPr>
        <w:t>Effectiveness.</w:t>
      </w:r>
      <w:r>
        <w:rPr>
          <w:rFonts w:ascii="Times New Roman" w:cs="Times New Roman" w:eastAsia="Times New Roman" w:hAnsi="Times New Roman"/>
          <w:sz w:val="19"/>
          <w:szCs w:val="19"/>
          <w:color w:val="auto"/>
        </w:rPr>
        <w:t xml:space="preserve"> This effectiveness of this Agreement and the obligation of the Banks to make the Loans is subject to the satisfaction of each of the following conditions:</w:t>
      </w:r>
    </w:p>
    <w:p>
      <w:pPr>
        <w:spacing w:after="0" w:line="82" w:lineRule="exact"/>
        <w:rPr>
          <w:sz w:val="20"/>
          <w:szCs w:val="20"/>
          <w:color w:val="auto"/>
        </w:rPr>
      </w:pPr>
    </w:p>
    <w:p>
      <w:pPr>
        <w:jc w:val="both"/>
        <w:ind w:left="580" w:right="20" w:firstLine="565"/>
        <w:spacing w:after="0" w:line="239" w:lineRule="auto"/>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receipt by the Administrative Agent of counterparts hereof signed by each of the parties hereto (which, subject to </w:t>
      </w:r>
      <w:r>
        <w:rPr>
          <w:rFonts w:ascii="Times New Roman" w:cs="Times New Roman" w:eastAsia="Times New Roman" w:hAnsi="Times New Roman"/>
          <w:sz w:val="19"/>
          <w:szCs w:val="19"/>
          <w:u w:val="single" w:color="auto"/>
          <w:color w:val="auto"/>
        </w:rPr>
        <w:t>Section 9.9(b)</w:t>
      </w:r>
      <w:r>
        <w:rPr>
          <w:rFonts w:ascii="Times New Roman" w:cs="Times New Roman" w:eastAsia="Times New Roman" w:hAnsi="Times New Roman"/>
          <w:sz w:val="19"/>
          <w:szCs w:val="19"/>
          <w:color w:val="auto"/>
        </w:rPr>
        <w:t>, may include any Electronic Signatures transmitted by telecopy, emailed pdf. or any other electronic means that reproduces an image of an actual executed signature page);</w:t>
      </w:r>
    </w:p>
    <w:p>
      <w:pPr>
        <w:spacing w:after="0" w:line="95" w:lineRule="exact"/>
        <w:rPr>
          <w:rFonts w:ascii="Times New Roman" w:cs="Times New Roman" w:eastAsia="Times New Roman" w:hAnsi="Times New Roman"/>
          <w:sz w:val="19"/>
          <w:szCs w:val="19"/>
          <w:color w:val="auto"/>
        </w:rPr>
      </w:pPr>
    </w:p>
    <w:p>
      <w:pPr>
        <w:ind w:left="580" w:right="20" w:firstLine="565"/>
        <w:spacing w:after="0" w:line="255" w:lineRule="auto"/>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receipt by the Administrative Agent for the account of each Bank requesting a Note of a duly executed Note dated on or before the Effective Date complying with the provisions of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pacing w:after="0" w:line="81" w:lineRule="exact"/>
        <w:rPr>
          <w:rFonts w:ascii="Times New Roman" w:cs="Times New Roman" w:eastAsia="Times New Roman" w:hAnsi="Times New Roman"/>
          <w:sz w:val="19"/>
          <w:szCs w:val="19"/>
          <w:color w:val="auto"/>
        </w:rPr>
      </w:pPr>
    </w:p>
    <w:p>
      <w:pPr>
        <w:ind w:left="1720" w:hanging="575"/>
        <w:spacing w:after="0"/>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the Guaranty Agreement executed by each of the Guarantors;</w:t>
      </w:r>
    </w:p>
    <w:p>
      <w:pPr>
        <w:spacing w:after="0" w:line="125" w:lineRule="exact"/>
        <w:rPr>
          <w:rFonts w:ascii="Times New Roman" w:cs="Times New Roman" w:eastAsia="Times New Roman" w:hAnsi="Times New Roman"/>
          <w:sz w:val="19"/>
          <w:szCs w:val="19"/>
          <w:color w:val="auto"/>
        </w:rPr>
      </w:pPr>
    </w:p>
    <w:p>
      <w:pPr>
        <w:ind w:left="580" w:right="40" w:firstLine="565"/>
        <w:spacing w:after="0" w:line="255" w:lineRule="auto"/>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a favorable written opinion of counsel for the Loan Parties in form and substance reasonably satisfactory to the Administrative Agent;</w:t>
      </w:r>
    </w:p>
    <w:p>
      <w:pPr>
        <w:spacing w:after="0" w:line="81" w:lineRule="exact"/>
        <w:rPr>
          <w:rFonts w:ascii="Times New Roman" w:cs="Times New Roman" w:eastAsia="Times New Roman" w:hAnsi="Times New Roman"/>
          <w:sz w:val="19"/>
          <w:szCs w:val="19"/>
          <w:color w:val="auto"/>
        </w:rPr>
      </w:pPr>
    </w:p>
    <w:p>
      <w:pPr>
        <w:jc w:val="both"/>
        <w:ind w:left="580" w:firstLine="565"/>
        <w:spacing w:after="0" w:line="225" w:lineRule="auto"/>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a certificate of the secretary or assistant secretary of the Borrower and each Guarantor, dated as of the Effective Date, certifying (i) that attached thereto is a true and complete copy of each organizational document of the Borrower or such Guarantor certified (to the extent applicable) as of a recent date by the appropriate Governmental Authority, (ii) that attached thereto is a true and complete copy of resolutions duly adopted by the board of directors (or equivalent governing body) of the Borrower or such Guarantor authorizing (A) the execution, delivery and performance of any Loan Documents to which the Borrower or such Guarantor is a party and (B) in the case of the Borrower, the Borrowings hereunder, and, in each case, that such resolutions have not been modified, rescinded or amended and are in full force and effect,</w:t>
      </w:r>
    </w:p>
    <w:p>
      <w:pPr>
        <w:jc w:val="both"/>
        <w:ind w:left="580" w:hanging="5"/>
        <w:spacing w:after="0" w:line="230" w:lineRule="auto"/>
        <w:tabs>
          <w:tab w:leader="none" w:pos="912"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the incumbency and specimen signature of each officer executing any Loan Document or any other document delivered in connection herewith on behalf of the Borrower or such Guarantor (together with a certificate of another officer as to the incumbency and specimen signature of the secretary or assistant secretary executing the certificate in this clause (e))</w:t>
      </w:r>
    </w:p>
    <w:p>
      <w:pPr>
        <w:sectPr>
          <w:pgSz w:w="11900" w:h="16840" w:orient="portrait"/>
          <w:cols w:equalWidth="0" w:num="1">
            <w:col w:w="10580"/>
          </w:cols>
          <w:pgMar w:left="660" w:top="556" w:right="660" w:bottom="1440" w:gutter="0" w:footer="0" w:header="0"/>
        </w:sectPr>
      </w:pPr>
    </w:p>
    <w:bookmarkStart w:id="79" w:name="page80"/>
    <w:bookmarkEnd w:id="79"/>
    <w:p>
      <w:pPr>
        <w:ind w:left="10380"/>
        <w:spacing w:after="0"/>
        <w:rPr>
          <w:sz w:val="20"/>
          <w:szCs w:val="20"/>
          <w:color w:val="auto"/>
        </w:rPr>
      </w:pPr>
      <w:r>
        <w:rPr>
          <w:rFonts w:ascii="Times New Roman" w:cs="Times New Roman" w:eastAsia="Times New Roman" w:hAnsi="Times New Roman"/>
          <w:sz w:val="19"/>
          <w:szCs w:val="19"/>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580" w:right="20"/>
        <w:spacing w:after="0" w:line="239" w:lineRule="auto"/>
        <w:rPr>
          <w:sz w:val="20"/>
          <w:szCs w:val="20"/>
          <w:color w:val="auto"/>
        </w:rPr>
      </w:pPr>
      <w:r>
        <w:rPr>
          <w:rFonts w:ascii="Times New Roman" w:cs="Times New Roman" w:eastAsia="Times New Roman" w:hAnsi="Times New Roman"/>
          <w:sz w:val="19"/>
          <w:szCs w:val="19"/>
          <w:color w:val="auto"/>
        </w:rPr>
        <w:t>and (iv) that there have been no changes in the certificate of incorporation or bylaws (or equivalent organizational document) of the Borrower or such Guarantor from the certificate of incorporation or bylaws (or equivalent organizational document) delivered pursuant to clause (i) above;</w:t>
      </w:r>
    </w:p>
    <w:p>
      <w:pPr>
        <w:spacing w:after="0" w:line="95" w:lineRule="exact"/>
        <w:rPr>
          <w:sz w:val="20"/>
          <w:szCs w:val="20"/>
          <w:color w:val="auto"/>
        </w:rPr>
      </w:pPr>
    </w:p>
    <w:p>
      <w:pPr>
        <w:jc w:val="both"/>
        <w:ind w:left="580" w:firstLine="565"/>
        <w:spacing w:after="0" w:line="234" w:lineRule="auto"/>
        <w:tabs>
          <w:tab w:leader="none" w:pos="17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all fees and expenses payable to the Administrative Agent or any Bank on or prior to the Effective Date hereunder and under the Fee Letter, including reimbursement or payment of all reasonable out-of-pocket expenses (including the reasonable and documented expenses of counsel) required to be reimbursed or paid by the Borrower hereunder, in each case to the extent invoiced at least two Business Days prior to the Effective Date;</w:t>
      </w:r>
    </w:p>
    <w:p>
      <w:pPr>
        <w:spacing w:after="0" w:line="97" w:lineRule="exact"/>
        <w:rPr>
          <w:rFonts w:ascii="Times New Roman" w:cs="Times New Roman" w:eastAsia="Times New Roman" w:hAnsi="Times New Roman"/>
          <w:sz w:val="19"/>
          <w:szCs w:val="19"/>
          <w:color w:val="auto"/>
        </w:rPr>
      </w:pPr>
    </w:p>
    <w:p>
      <w:pPr>
        <w:jc w:val="both"/>
        <w:ind w:left="580" w:firstLine="565"/>
        <w:spacing w:after="0" w:line="229" w:lineRule="auto"/>
        <w:tabs>
          <w:tab w:leader="none" w:pos="17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receipt by the Administrative Agent at least five Business Days prior to the Effective Date of all documentation and other information required by bank regulatory authorities under applicable “know your customer” and anti-money laundering rules and regulations, including the Patriot Act, that has been requested at least 10 Business Days prior to the Effective Date, and</w:t>
      </w:r>
    </w:p>
    <w:p>
      <w:pPr>
        <w:spacing w:after="0" w:line="2" w:lineRule="exact"/>
        <w:rPr>
          <w:rFonts w:ascii="Times New Roman" w:cs="Times New Roman" w:eastAsia="Times New Roman" w:hAnsi="Times New Roman"/>
          <w:sz w:val="19"/>
          <w:szCs w:val="19"/>
          <w:color w:val="auto"/>
        </w:rPr>
      </w:pPr>
    </w:p>
    <w:p>
      <w:pPr>
        <w:jc w:val="both"/>
        <w:ind w:left="580" w:hanging="5"/>
        <w:spacing w:after="0" w:line="228" w:lineRule="auto"/>
        <w:tabs>
          <w:tab w:leader="none" w:pos="87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qualifies as a “legal entity customer” under the Beneficial Ownership Regulation, receipt, at least five days prior to the Effective Date, by each Bank that has requested, in a written notice to the Borrower at least 10 days prior to the Effective Date, a Beneficial Ownership Certification in relation to the Borrower, of each requested Beneficial Ownership Certification;</w:t>
      </w:r>
    </w:p>
    <w:p>
      <w:pPr>
        <w:spacing w:after="0" w:line="97" w:lineRule="exact"/>
        <w:rPr>
          <w:rFonts w:ascii="Times New Roman" w:cs="Times New Roman" w:eastAsia="Times New Roman" w:hAnsi="Times New Roman"/>
          <w:sz w:val="19"/>
          <w:szCs w:val="19"/>
          <w:color w:val="auto"/>
        </w:rPr>
      </w:pPr>
    </w:p>
    <w:p>
      <w:pPr>
        <w:ind w:left="580" w:right="40" w:firstLine="565"/>
        <w:spacing w:after="0" w:line="255" w:lineRule="auto"/>
        <w:tabs>
          <w:tab w:leader="none" w:pos="172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a certificate of existence and/or good standing of the Borrower and the Guarantors issued as of a recent date by the Secretary of State in which such Person is incorporated or formed;</w:t>
      </w:r>
    </w:p>
    <w:p>
      <w:pPr>
        <w:spacing w:after="0" w:line="81" w:lineRule="exact"/>
        <w:rPr>
          <w:rFonts w:ascii="Times New Roman" w:cs="Times New Roman" w:eastAsia="Times New Roman" w:hAnsi="Times New Roman"/>
          <w:sz w:val="19"/>
          <w:szCs w:val="19"/>
          <w:color w:val="auto"/>
        </w:rPr>
      </w:pPr>
    </w:p>
    <w:p>
      <w:pPr>
        <w:jc w:val="both"/>
        <w:ind w:left="580" w:right="20" w:firstLine="565"/>
        <w:spacing w:after="0" w:line="239" w:lineRule="auto"/>
        <w:tabs>
          <w:tab w:leader="none" w:pos="170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receipt by the Administrative Agent of a certificate, dated the Effective Date and signed by the President, a Vice President or a Financial Officer of the Borrower, confirming (i) that no Default or Event of Default shall have occurred and be continuing as of the Effective Date and (ii) the accuracy of the representations and warranties set forth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hereof; and</w:t>
      </w:r>
    </w:p>
    <w:p>
      <w:pPr>
        <w:spacing w:after="0" w:line="95" w:lineRule="exact"/>
        <w:rPr>
          <w:rFonts w:ascii="Times New Roman" w:cs="Times New Roman" w:eastAsia="Times New Roman" w:hAnsi="Times New Roman"/>
          <w:sz w:val="19"/>
          <w:szCs w:val="19"/>
          <w:color w:val="auto"/>
        </w:rPr>
      </w:pPr>
    </w:p>
    <w:p>
      <w:pPr>
        <w:ind w:left="1700" w:hanging="555"/>
        <w:spacing w:after="0"/>
        <w:tabs>
          <w:tab w:leader="none" w:pos="170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by the Administrative Agent of a Notice of Borrowing.</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The Administrative Agent shall promptly notify the Borrower and the Banks of the Effective Date, and such notice shall be conclusive and binding on all parties hereto.</w:t>
      </w:r>
    </w:p>
    <w:p>
      <w:pPr>
        <w:spacing w:after="0" w:line="8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IV</w:t>
      </w:r>
    </w:p>
    <w:p>
      <w:pPr>
        <w:spacing w:after="0" w:line="18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The Borrower represents and warrants that:</w:t>
      </w:r>
    </w:p>
    <w:p>
      <w:pPr>
        <w:spacing w:after="0" w:line="126"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SECTION 4.1.</w:t>
      </w:r>
      <w:r>
        <w:rPr>
          <w:rFonts w:ascii="Times New Roman" w:cs="Times New Roman" w:eastAsia="Times New Roman" w:hAnsi="Times New Roman"/>
          <w:sz w:val="19"/>
          <w:szCs w:val="19"/>
          <w:u w:val="single" w:color="auto"/>
          <w:color w:val="auto"/>
        </w:rPr>
        <w:t>Corporate Existence and Power.</w:t>
      </w:r>
      <w:r>
        <w:rPr>
          <w:rFonts w:ascii="Times New Roman" w:cs="Times New Roman" w:eastAsia="Times New Roman" w:hAnsi="Times New Roman"/>
          <w:sz w:val="19"/>
          <w:szCs w:val="19"/>
          <w:color w:val="auto"/>
        </w:rPr>
        <w:t xml:space="preserve"> Each of the Borrower and its Material Subsidiaries is duly organized, validly existing and in good standing (to the extent the concept of “good standing” exists under the laws of such jurisdiction) under the laws of the jurisdiction of its organization, and have all organizational powers and all material governmental licenses, authorizations, consents and approvals required to carry on its business as now conducted</w:t>
      </w:r>
    </w:p>
    <w:p>
      <w:pPr>
        <w:sectPr>
          <w:pgSz w:w="11900" w:h="16840" w:orient="portrait"/>
          <w:cols w:equalWidth="0" w:num="1">
            <w:col w:w="10580"/>
          </w:cols>
          <w:pgMar w:left="660" w:top="556" w:right="660" w:bottom="1440" w:gutter="0" w:footer="0" w:header="0"/>
        </w:sectPr>
      </w:pPr>
    </w:p>
    <w:bookmarkStart w:id="80" w:name="page81"/>
    <w:bookmarkEnd w:id="80"/>
    <w:p>
      <w:pPr>
        <w:ind w:left="10380"/>
        <w:spacing w:after="0"/>
        <w:rPr>
          <w:sz w:val="20"/>
          <w:szCs w:val="20"/>
          <w:color w:val="auto"/>
        </w:rPr>
      </w:pPr>
      <w:r>
        <w:rPr>
          <w:rFonts w:ascii="Times New Roman" w:cs="Times New Roman" w:eastAsia="Times New Roman" w:hAnsi="Times New Roman"/>
          <w:sz w:val="19"/>
          <w:szCs w:val="19"/>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auto"/>
        </w:rPr>
        <w:t>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82" w:lineRule="exact"/>
        <w:rPr>
          <w:sz w:val="20"/>
          <w:szCs w:val="20"/>
          <w:color w:val="auto"/>
        </w:rPr>
      </w:pPr>
    </w:p>
    <w:p>
      <w:pPr>
        <w:jc w:val="both"/>
        <w:ind w:right="20" w:firstLine="1140"/>
        <w:spacing w:after="0" w:line="228" w:lineRule="auto"/>
        <w:rPr>
          <w:sz w:val="20"/>
          <w:szCs w:val="20"/>
          <w:color w:val="auto"/>
        </w:rPr>
      </w:pPr>
      <w:r>
        <w:rPr>
          <w:rFonts w:ascii="Times New Roman" w:cs="Times New Roman" w:eastAsia="Times New Roman" w:hAnsi="Times New Roman"/>
          <w:sz w:val="19"/>
          <w:szCs w:val="19"/>
          <w:color w:val="auto"/>
        </w:rPr>
        <w:t>SECTION 4.2.</w:t>
      </w:r>
      <w:r>
        <w:rPr>
          <w:rFonts w:ascii="Times New Roman" w:cs="Times New Roman" w:eastAsia="Times New Roman" w:hAnsi="Times New Roman"/>
          <w:sz w:val="19"/>
          <w:szCs w:val="19"/>
          <w:u w:val="single" w:color="auto"/>
          <w:color w:val="auto"/>
        </w:rPr>
        <w:t>Organizational and Governmental Authorization; No Contravention.</w:t>
      </w:r>
      <w:r>
        <w:rPr>
          <w:rFonts w:ascii="Times New Roman" w:cs="Times New Roman" w:eastAsia="Times New Roman" w:hAnsi="Times New Roman"/>
          <w:sz w:val="19"/>
          <w:szCs w:val="19"/>
          <w:color w:val="auto"/>
        </w:rPr>
        <w:t xml:space="preserve"> The execution, delivery and performance by each Loan Party of the Loan Documents to which it is a party (a) are within such Loan Party’s organizational powers and have been duly authorized by all necessary organizational action, (b) require no consent or approval of, registration or filing with, or any other action by, any governmental body, agency or official and (c) do not contravene, or constitute a default under, any (i) provision of applicable law, (ii) regulation or of the organizational documents of such Loan Party, (iii) judgment, injunction, order or decree binding upon such Loan Party or (iv) limitation on borrowing imposed by any agreement or other instrument binding upon such Loan Party, except, in the case of clauses (b) and (c)(i), (iii) and (iv), to the extent such failure to obtain such consent or approval or such contravention or default would not reasonably be expected to result in a Material Adverse Effect.</w:t>
      </w:r>
    </w:p>
    <w:p>
      <w:pPr>
        <w:spacing w:after="0" w:line="96"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4.3. </w:t>
      </w:r>
      <w:r>
        <w:rPr>
          <w:rFonts w:ascii="Times New Roman" w:cs="Times New Roman" w:eastAsia="Times New Roman" w:hAnsi="Times New Roman"/>
          <w:sz w:val="19"/>
          <w:szCs w:val="19"/>
          <w:u w:val="single" w:color="auto"/>
          <w:color w:val="auto"/>
        </w:rPr>
        <w:t>Binding Effect.</w:t>
      </w:r>
      <w:r>
        <w:rPr>
          <w:rFonts w:ascii="Times New Roman" w:cs="Times New Roman" w:eastAsia="Times New Roman" w:hAnsi="Times New Roman"/>
          <w:sz w:val="19"/>
          <w:szCs w:val="19"/>
          <w:color w:val="auto"/>
        </w:rPr>
        <w:t xml:space="preserve"> This Agreement constitutes a valid and binding agreement of each Loan Party and the Notes, when executed and delivered in accordance with this Agreement, will constitute valid and binding obligations of the Borrower, in each case enforceable in accordance with its respective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96"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SECTION 4.4.</w:t>
      </w:r>
      <w:r>
        <w:rPr>
          <w:rFonts w:ascii="Times New Roman" w:cs="Times New Roman" w:eastAsia="Times New Roman" w:hAnsi="Times New Roman"/>
          <w:sz w:val="19"/>
          <w:szCs w:val="19"/>
          <w:u w:val="single" w:color="auto"/>
          <w:color w:val="auto"/>
        </w:rPr>
        <w:t>Financial Information; No Material Adverse Change.</w:t>
      </w:r>
      <w:r>
        <w:rPr>
          <w:rFonts w:ascii="Times New Roman" w:cs="Times New Roman" w:eastAsia="Times New Roman" w:hAnsi="Times New Roman"/>
          <w:sz w:val="19"/>
          <w:szCs w:val="19"/>
          <w:color w:val="auto"/>
        </w:rPr>
        <w:t xml:space="preserve"> (a) The Borrower has heretofore furnished to the Banks its consolidated balance sheet and statements of income, stockholders equity and cash flows (i) as of and for the fiscal year ended December 31, 2024, reported on by KPMG LLP, independent public accountants, and (ii) as of and for the fiscal quarter and the portion of the fiscal year ended June 30, 2025, certified by its chief financial officer. Such financial statements present fairly, in all material respects, the financial position and results of operations and cash flows of the Borrower and its Subsidiaries as of such dates and for such periods in accordance with GAAP, subject to year-end audit adjustments and the absence of footnotes in the case of the statements referred to in clause (ii) above.</w:t>
      </w:r>
    </w:p>
    <w:p>
      <w:pPr>
        <w:spacing w:after="0" w:line="96" w:lineRule="exact"/>
        <w:rPr>
          <w:sz w:val="20"/>
          <w:szCs w:val="20"/>
          <w:color w:val="auto"/>
        </w:rPr>
      </w:pPr>
    </w:p>
    <w:p>
      <w:pPr>
        <w:ind w:firstLine="1145"/>
        <w:spacing w:after="0" w:line="255" w:lineRule="auto"/>
        <w:tabs>
          <w:tab w:leader="none" w:pos="166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December 31, 2024, there has been no material adverse change in the business, financial position or results of operations of the Borrower and its Subsidiaries, considered as a whole.</w:t>
      </w:r>
    </w:p>
    <w:p>
      <w:pPr>
        <w:spacing w:after="0" w:line="82"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SECTION 4.5.</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There are no actions, suits or proceedings by or before any arbitrator or any governmental body, agency or official pending against or, to the knowledge of the Borrower, threatened in writing against or affecting the Borrower or any of its Subsidiaries as to which there is a reasonable possibility of an adverse determination and that, if adversely determined, would reasonably be expected, individually or in the aggregate, to result in a Material Adverse Effect.</w:t>
      </w:r>
    </w:p>
    <w:p>
      <w:pPr>
        <w:spacing w:after="0" w:line="98"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4.6.</w:t>
      </w:r>
      <w:r>
        <w:rPr>
          <w:rFonts w:ascii="Times New Roman" w:cs="Times New Roman" w:eastAsia="Times New Roman" w:hAnsi="Times New Roman"/>
          <w:sz w:val="19"/>
          <w:szCs w:val="19"/>
          <w:u w:val="single" w:color="auto"/>
          <w:color w:val="auto"/>
        </w:rPr>
        <w:t>Compliance with ERISA.</w:t>
      </w:r>
      <w:r>
        <w:rPr>
          <w:rFonts w:ascii="Times New Roman" w:cs="Times New Roman" w:eastAsia="Times New Roman" w:hAnsi="Times New Roman"/>
          <w:sz w:val="19"/>
          <w:szCs w:val="19"/>
          <w:color w:val="auto"/>
        </w:rPr>
        <w:t xml:space="preserve"> No ERISA Event has occurred or is reasonably expected to occur that, when taken together with all other such ERISA Events for which</w:t>
      </w:r>
    </w:p>
    <w:p>
      <w:pPr>
        <w:sectPr>
          <w:pgSz w:w="11900" w:h="16840" w:orient="portrait"/>
          <w:cols w:equalWidth="0" w:num="1">
            <w:col w:w="10580"/>
          </w:cols>
          <w:pgMar w:left="660" w:top="556" w:right="660" w:bottom="1440" w:gutter="0" w:footer="0" w:header="0"/>
        </w:sectPr>
      </w:pPr>
    </w:p>
    <w:bookmarkStart w:id="81" w:name="page82"/>
    <w:bookmarkEnd w:id="81"/>
    <w:p>
      <w:pPr>
        <w:ind w:left="10380"/>
        <w:spacing w:after="0"/>
        <w:rPr>
          <w:sz w:val="20"/>
          <w:szCs w:val="20"/>
          <w:color w:val="auto"/>
        </w:rPr>
      </w:pPr>
      <w:r>
        <w:rPr>
          <w:rFonts w:ascii="Times New Roman" w:cs="Times New Roman" w:eastAsia="Times New Roman" w:hAnsi="Times New Roman"/>
          <w:sz w:val="19"/>
          <w:szCs w:val="19"/>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9"/>
          <w:szCs w:val="19"/>
          <w:color w:val="auto"/>
        </w:rPr>
        <w:t>liability is reasonably expected to occur, would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 Any underfunding with respect to one or more Plans (based on the assumptions used for purposes of Financial Accounting Standards No. 87) would not reasonably be expected, individually or in the aggregate, to result in a Material Adverse Effect. Except to the extent the failure to do so would not reasonably be expected to have a Material Adverse Effect, (a) each Foreign Plan has been maintained in compliance with its terms and in compliance with the requirements of any and all applicable laws, statutes, rules, regulations and orders (including all funding requirements and the respective requirements of the governing documents for each such Foreign Plan) and has been maintained, where required, in good standing with applicable regulatory authorities and (b) all contributions required to be made with respect to a Foreign Plan have been timely made. Neither the Borrower nor any Subsidiary has incurred any obligation in connection with the termination of or withdrawal from any Foreign Plan that would reasonably be expected to have a Material Adverse Effect. No actions or proceedings have been taken or instituted to terminate or wind-up a Foreign Plan that would reasonably be expected to have a Material Adverse Effect.</w:t>
      </w:r>
    </w:p>
    <w:p>
      <w:pPr>
        <w:spacing w:after="0" w:line="95" w:lineRule="exact"/>
        <w:rPr>
          <w:sz w:val="20"/>
          <w:szCs w:val="20"/>
          <w:color w:val="auto"/>
        </w:rPr>
      </w:pPr>
    </w:p>
    <w:p>
      <w:pPr>
        <w:jc w:val="both"/>
        <w:ind w:firstLine="1140"/>
        <w:spacing w:after="0" w:line="227" w:lineRule="auto"/>
        <w:rPr>
          <w:sz w:val="20"/>
          <w:szCs w:val="20"/>
          <w:color w:val="auto"/>
        </w:rPr>
      </w:pPr>
      <w:r>
        <w:rPr>
          <w:rFonts w:ascii="Times New Roman" w:cs="Times New Roman" w:eastAsia="Times New Roman" w:hAnsi="Times New Roman"/>
          <w:sz w:val="19"/>
          <w:szCs w:val="19"/>
          <w:color w:val="auto"/>
        </w:rPr>
        <w:t>SECTION 4.7.</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xml:space="preserve"> In the ordinary course of its business, the Borrower conducts an ongoing review of the effect of Environmental Laws on the business, operations and properties of the Borrower and its Subsidiaries, in the course of which it identifies and evaluates associated liabilities and costs (including, without limitation,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or any facility or reduction in the level of or change in the nature of operations conducted thereat and any actual or potential liabilities to third parties, including employees, and any related costs and expenses). On the basis of this review, the Borrower has reasonably concluded that Environmental Laws are unlikely to have a Material Adverse Effect.</w:t>
      </w:r>
    </w:p>
    <w:p>
      <w:pPr>
        <w:spacing w:after="0" w:line="99"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SECTION 4.8.</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The Borrower and its Subsidiaries have filed all material income tax returns and all other material tax returns which are required to be filed by them and have paid all taxes shown to be due pursuant to such returns or pursuant to any material assessment received by the Borrower or any Subsidiary, except for any such tax, assessment, charge or levy the payment of which is being contested in good faith by the Borrower or such Subsidiary as of the date this representation is made. The charges, accruals and reserves on the books of the Borrower and its Subsidiaries in respect of taxes or other governmental charges are, in the opinion of the Borrower, adequate in all material respects.</w:t>
      </w:r>
    </w:p>
    <w:p>
      <w:pPr>
        <w:spacing w:after="0" w:line="97"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4.9. </w:t>
      </w:r>
      <w:r>
        <w:rPr>
          <w:rFonts w:ascii="Times New Roman" w:cs="Times New Roman" w:eastAsia="Times New Roman" w:hAnsi="Times New Roman"/>
          <w:sz w:val="19"/>
          <w:szCs w:val="19"/>
          <w:u w:val="single" w:color="auto"/>
          <w:color w:val="auto"/>
        </w:rPr>
        <w:t>Compliance with Laws and Agreements; No Default.</w:t>
      </w:r>
      <w:r>
        <w:rPr>
          <w:rFonts w:ascii="Times New Roman" w:cs="Times New Roman" w:eastAsia="Times New Roman" w:hAnsi="Times New Roman"/>
          <w:sz w:val="19"/>
          <w:szCs w:val="19"/>
          <w:color w:val="auto"/>
        </w:rPr>
        <w:t xml:space="preserve"> Each of the Borrower and its Material Subsidiaries is in compliance with all laws, regulations and orders of any Governmental Authority applicable to it or its property and all indentures, agreements and other instruments binding upon it or its property, except in instances where the failure to do so, individually or in the aggregate, would not reasonably be expected to result in a Material Adverse Effect. No Default has occurred and is continuing.</w:t>
      </w:r>
    </w:p>
    <w:p>
      <w:pPr>
        <w:sectPr>
          <w:pgSz w:w="11900" w:h="16840" w:orient="portrait"/>
          <w:cols w:equalWidth="0" w:num="1">
            <w:col w:w="10580"/>
          </w:cols>
          <w:pgMar w:left="660" w:top="556" w:right="660" w:bottom="1440" w:gutter="0" w:footer="0" w:header="0"/>
        </w:sectPr>
      </w:pPr>
    </w:p>
    <w:bookmarkStart w:id="82" w:name="page83"/>
    <w:bookmarkEnd w:id="82"/>
    <w:p>
      <w:pPr>
        <w:ind w:left="10380"/>
        <w:spacing w:after="0"/>
        <w:rPr>
          <w:sz w:val="20"/>
          <w:szCs w:val="20"/>
          <w:color w:val="auto"/>
        </w:rPr>
      </w:pPr>
      <w:r>
        <w:rPr>
          <w:rFonts w:ascii="Times New Roman" w:cs="Times New Roman" w:eastAsia="Times New Roman" w:hAnsi="Times New Roman"/>
          <w:sz w:val="19"/>
          <w:szCs w:val="19"/>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1140"/>
        <w:spacing w:after="0" w:line="242" w:lineRule="auto"/>
        <w:rPr>
          <w:sz w:val="20"/>
          <w:szCs w:val="20"/>
          <w:color w:val="auto"/>
        </w:rPr>
      </w:pPr>
      <w:r>
        <w:rPr>
          <w:rFonts w:ascii="Times New Roman" w:cs="Times New Roman" w:eastAsia="Times New Roman" w:hAnsi="Times New Roman"/>
          <w:sz w:val="19"/>
          <w:szCs w:val="19"/>
          <w:color w:val="auto"/>
        </w:rPr>
        <w:t xml:space="preserve">SECTION 4.10. </w:t>
      </w:r>
      <w:r>
        <w:rPr>
          <w:rFonts w:ascii="Times New Roman" w:cs="Times New Roman" w:eastAsia="Times New Roman" w:hAnsi="Times New Roman"/>
          <w:sz w:val="19"/>
          <w:szCs w:val="19"/>
          <w:u w:val="single" w:color="auto"/>
          <w:color w:val="auto"/>
        </w:rPr>
        <w:t>Not an Investment Company</w:t>
      </w:r>
      <w:r>
        <w:rPr>
          <w:rFonts w:ascii="Times New Roman" w:cs="Times New Roman" w:eastAsia="Times New Roman" w:hAnsi="Times New Roman"/>
          <w:sz w:val="19"/>
          <w:szCs w:val="19"/>
          <w:color w:val="auto"/>
        </w:rPr>
        <w:t>. Neither the Borrower nor any of its Material Subsidiaries is an “investment company” within the meaning of the Investment Company Act of 1940, as amended.</w:t>
      </w:r>
    </w:p>
    <w:p>
      <w:pPr>
        <w:spacing w:after="0" w:line="129" w:lineRule="exact"/>
        <w:rPr>
          <w:sz w:val="20"/>
          <w:szCs w:val="20"/>
          <w:color w:val="auto"/>
        </w:rPr>
      </w:pPr>
    </w:p>
    <w:p>
      <w:pPr>
        <w:jc w:val="both"/>
        <w:ind w:firstLine="1140"/>
        <w:spacing w:after="0" w:line="227" w:lineRule="auto"/>
        <w:rPr>
          <w:sz w:val="20"/>
          <w:szCs w:val="20"/>
          <w:color w:val="auto"/>
        </w:rPr>
      </w:pPr>
      <w:r>
        <w:rPr>
          <w:rFonts w:ascii="Times New Roman" w:cs="Times New Roman" w:eastAsia="Times New Roman" w:hAnsi="Times New Roman"/>
          <w:sz w:val="19"/>
          <w:szCs w:val="19"/>
          <w:color w:val="auto"/>
        </w:rPr>
        <w:t xml:space="preserve">SECTION 4.11. </w:t>
      </w: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 xml:space="preserve"> (a) All information heretofore furnished by the Borrower to the Administrative Agent or any Bank for purposes of or in connection with this Agreement or any transaction contemplated hereby is, and any such information hereafter furnished by the Borrower to the Administrative Agent or any Bank will be, true and accurate in all material respects on the date as of which such information is stated or certified; provided that, with respect to any information consisting of forward-looking statements, estimates projections and projected financial information, the Borrower represents only that such information was prepared in good faith based upon assumptions believed to be reasonable at the time, it being understood that such forward- looking statements, estimates, projections and projected financial information are subject to significant uncertainties and contingencies, many of which are beyond the control of the Borrower or any of its Subsidiaries and no assurance can be given that such forward-looking statements, estimates, projections and projected financial information will be realized.</w:t>
      </w:r>
    </w:p>
    <w:p>
      <w:pPr>
        <w:spacing w:after="0" w:line="99" w:lineRule="exact"/>
        <w:rPr>
          <w:sz w:val="20"/>
          <w:szCs w:val="20"/>
          <w:color w:val="auto"/>
        </w:rPr>
      </w:pPr>
    </w:p>
    <w:p>
      <w:pPr>
        <w:jc w:val="both"/>
        <w:ind w:firstLine="1145"/>
        <w:spacing w:after="0" w:line="234" w:lineRule="auto"/>
        <w:tabs>
          <w:tab w:leader="none" w:pos="1662"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disclosed to the Banks in writing (such disclosure to be deemed to include any disclosure in any public filings with the SEC by the Borrower) any and all facts that materially and adversely affect or may affect (to the extent the Borrower can now reasonably foresee), the business, operations or financial condition of the Borrower and its Material Subsidiaries, taken as a whole, or the ability of the Borrower and its Material Subsidiaries to perform their obligations under this Agreement.</w:t>
      </w:r>
    </w:p>
    <w:p>
      <w:pPr>
        <w:spacing w:after="0" w:line="97"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9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Effective Date, to the best knowledge of the Borrower, the information included in the Beneficial Ownership Certification provided on or prior to the Effective Date to any Bank in connection with this Agreement is true and correct in all respects.</w:t>
      </w:r>
    </w:p>
    <w:p>
      <w:pPr>
        <w:spacing w:after="0" w:line="95"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 xml:space="preserve">SECTION 4.12. </w:t>
      </w:r>
      <w:r>
        <w:rPr>
          <w:rFonts w:ascii="Times New Roman" w:cs="Times New Roman" w:eastAsia="Times New Roman" w:hAnsi="Times New Roman"/>
          <w:sz w:val="19"/>
          <w:szCs w:val="19"/>
          <w:u w:val="single" w:color="auto"/>
          <w:color w:val="auto"/>
        </w:rPr>
        <w:t>Regulations T, U and X.</w:t>
      </w:r>
      <w:r>
        <w:rPr>
          <w:rFonts w:ascii="Times New Roman" w:cs="Times New Roman" w:eastAsia="Times New Roman" w:hAnsi="Times New Roman"/>
          <w:sz w:val="19"/>
          <w:szCs w:val="19"/>
          <w:color w:val="auto"/>
        </w:rPr>
        <w:t xml:space="preserve"> No part of the proceeds of any Loan will be used for any purpose that entails a violation of the provisions of Regulation T, Regulation U and Regulation X.</w:t>
      </w:r>
    </w:p>
    <w:p>
      <w:pPr>
        <w:spacing w:after="0" w:line="82"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 xml:space="preserve">SECTION 4.13. </w:t>
      </w:r>
      <w:r>
        <w:rPr>
          <w:rFonts w:ascii="Times New Roman" w:cs="Times New Roman" w:eastAsia="Times New Roman" w:hAnsi="Times New Roman"/>
          <w:sz w:val="19"/>
          <w:szCs w:val="19"/>
          <w:u w:val="single" w:color="auto"/>
          <w:color w:val="auto"/>
        </w:rPr>
        <w:t>Anti-Terrorism Laws; Anti -Corruption Laws.</w:t>
      </w:r>
      <w:r>
        <w:rPr>
          <w:rFonts w:ascii="Times New Roman" w:cs="Times New Roman" w:eastAsia="Times New Roman" w:hAnsi="Times New Roman"/>
          <w:sz w:val="19"/>
          <w:szCs w:val="19"/>
          <w:color w:val="auto"/>
        </w:rPr>
        <w:t xml:space="preserve"> (a) To the extent applicable, the Borrower and its Subsidiaries are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by the Borrower or any of its Subsidiaries for the purpose of funding or financing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96" w:lineRule="exact"/>
        <w:rPr>
          <w:sz w:val="20"/>
          <w:szCs w:val="20"/>
          <w:color w:val="auto"/>
        </w:rPr>
      </w:pPr>
    </w:p>
    <w:p>
      <w:pPr>
        <w:jc w:val="both"/>
        <w:ind w:right="20" w:firstLine="1145"/>
        <w:spacing w:after="0" w:line="239" w:lineRule="auto"/>
        <w:tabs>
          <w:tab w:leader="none" w:pos="169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Borrower or any Subsidiary nor, to the knowledge of the Borrower, any director, officer, agent, employee or Affiliate of the Borrower or any Subsidiary, (i) is a Sanctioned Person or (ii) is the subject of any Sanctions; and none of the Borrower or any</w:t>
      </w:r>
    </w:p>
    <w:p>
      <w:pPr>
        <w:sectPr>
          <w:pgSz w:w="11900" w:h="16840" w:orient="portrait"/>
          <w:cols w:equalWidth="0" w:num="1">
            <w:col w:w="10580"/>
          </w:cols>
          <w:pgMar w:left="660" w:top="556" w:right="660" w:bottom="1440" w:gutter="0" w:footer="0" w:header="0"/>
        </w:sectPr>
      </w:pPr>
    </w:p>
    <w:bookmarkStart w:id="83" w:name="page84"/>
    <w:bookmarkEnd w:id="83"/>
    <w:p>
      <w:pPr>
        <w:ind w:left="10380"/>
        <w:spacing w:after="0"/>
        <w:rPr>
          <w:sz w:val="20"/>
          <w:szCs w:val="20"/>
          <w:color w:val="auto"/>
        </w:rPr>
      </w:pPr>
      <w:r>
        <w:rPr>
          <w:rFonts w:ascii="Times New Roman" w:cs="Times New Roman" w:eastAsia="Times New Roman" w:hAnsi="Times New Roman"/>
          <w:sz w:val="19"/>
          <w:szCs w:val="19"/>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auto"/>
        </w:rPr>
        <w:t>Subsidiary will use the proceeds of the Loans for the purpose of financing the activities of any person that, at the time of such financing, is the subject of any Sanctions.</w:t>
      </w:r>
    </w:p>
    <w:p>
      <w:pPr>
        <w:spacing w:after="0" w:line="82"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 xml:space="preserve">SECTION 4.14. </w:t>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xml:space="preserve"> Neither the Borrower nor any of its Material Subsidiaries is an Affected Financial Institution.</w:t>
      </w:r>
    </w:p>
    <w:p>
      <w:pPr>
        <w:spacing w:after="0" w:line="82"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 xml:space="preserve">SECTION 4.15. </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V</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COVENANTS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Until the principal of and interest on each Loan shall have been paid in full, the Borrower agrees that:</w:t>
      </w:r>
    </w:p>
    <w:p>
      <w:pPr>
        <w:spacing w:after="0" w:line="12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SECTION 5.1.</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The Borrower will deliver to each of the Banks (via any method reasonably acceptable to the Administrative Agent, including via IntraLinks/IntraAgency, SyndTrak, Fixed Income Direct or another relevant website or substantially similar electronic transmission information platform reasonably acceptable to the Administrative Agent, it being understood that the following constitute delivery hereunder: (i) posting on any such electronic transmission information platform and (ii) only with respect to information found in Forms 10-K, 10- Q or 8-K (or their equivalents) or in proxy statements, the filing of registration statements and reports on such forms or filing of proxy statements, as the case may be, with the SEC):</w:t>
      </w:r>
    </w:p>
    <w:p>
      <w:pPr>
        <w:spacing w:after="0" w:line="97" w:lineRule="exact"/>
        <w:rPr>
          <w:sz w:val="20"/>
          <w:szCs w:val="20"/>
          <w:color w:val="auto"/>
        </w:rPr>
      </w:pPr>
    </w:p>
    <w:p>
      <w:pPr>
        <w:jc w:val="both"/>
        <w:ind w:right="20" w:firstLine="1145"/>
        <w:spacing w:after="0" w:line="232" w:lineRule="auto"/>
        <w:tabs>
          <w:tab w:leader="none" w:pos="166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90 days after the end of each fiscal year of the Borrower, a consolidated balance sheet of the Borrower and its Subsidiaries as of the end of such fiscal year and the related consolidated statements of income, equity and cash flows for such fiscal year, setting forth in each case in comparative form the figures for the previous fiscal year, all reported on in a manner acceptable to the SEC by KPMG LLP, Ernst &amp; Young LLP or other independent public accountants of nationally recognized standing;</w:t>
      </w:r>
    </w:p>
    <w:p>
      <w:pPr>
        <w:spacing w:after="0" w:line="95" w:lineRule="exact"/>
        <w:rPr>
          <w:rFonts w:ascii="Times New Roman" w:cs="Times New Roman" w:eastAsia="Times New Roman" w:hAnsi="Times New Roman"/>
          <w:sz w:val="19"/>
          <w:szCs w:val="19"/>
          <w:color w:val="auto"/>
        </w:rPr>
      </w:pPr>
    </w:p>
    <w:p>
      <w:pPr>
        <w:jc w:val="both"/>
        <w:ind w:right="20" w:firstLine="1145"/>
        <w:spacing w:after="0" w:line="232" w:lineRule="auto"/>
        <w:tabs>
          <w:tab w:leader="none" w:pos="167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45 days after the end of each of the first three quarters of each fiscal year of the Borrower, a consolidated balance sheet of the Borrower and its Subsidiaries as of the end of such quarter and as of the end of the preceding fiscal year, the condensed consolidated statements of income for such quarter, for the portion of the Borrower’s fiscal year ended at the end of such quarter and for the corresponding portion of the Borrower’s previous fiscal year and condensed consolidated statements of cash flows for such</w:t>
      </w:r>
    </w:p>
    <w:p>
      <w:pPr>
        <w:sectPr>
          <w:pgSz w:w="11900" w:h="16840" w:orient="portrait"/>
          <w:cols w:equalWidth="0" w:num="1">
            <w:col w:w="10580"/>
          </w:cols>
          <w:pgMar w:left="660" w:top="556" w:right="660" w:bottom="1440" w:gutter="0" w:footer="0" w:header="0"/>
        </w:sectPr>
      </w:pPr>
    </w:p>
    <w:bookmarkStart w:id="84" w:name="page85"/>
    <w:bookmarkEnd w:id="84"/>
    <w:p>
      <w:pPr>
        <w:ind w:left="10380"/>
        <w:spacing w:after="0"/>
        <w:rPr>
          <w:sz w:val="20"/>
          <w:szCs w:val="20"/>
          <w:color w:val="auto"/>
        </w:rPr>
      </w:pPr>
      <w:r>
        <w:rPr>
          <w:rFonts w:ascii="Times New Roman" w:cs="Times New Roman" w:eastAsia="Times New Roman" w:hAnsi="Times New Roman"/>
          <w:sz w:val="19"/>
          <w:szCs w:val="19"/>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fiscal quarter, for the portion of the Borrower’s fiscal year ended at the end of such quarter and for the corresponding portion of the Borrower’s previous fiscal year, all certified (subject to normal year-end adjustments) as to fairness of presentation, GAAP and consistency by the chief financial officer or the treasurer of the Borrower;</w:t>
      </w:r>
    </w:p>
    <w:p>
      <w:pPr>
        <w:spacing w:after="0" w:line="95" w:lineRule="exact"/>
        <w:rPr>
          <w:sz w:val="20"/>
          <w:szCs w:val="20"/>
          <w:color w:val="auto"/>
        </w:rPr>
      </w:pPr>
    </w:p>
    <w:p>
      <w:pPr>
        <w:jc w:val="both"/>
        <w:ind w:firstLine="1145"/>
        <w:spacing w:after="0" w:line="229" w:lineRule="auto"/>
        <w:tabs>
          <w:tab w:leader="none" w:pos="168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simultaneously with the delivery of each set of financial statements referred to in clauses (a) and (b) above, a certificate of the chief financial officer or the treasurer of the Borrower (i) setting forth in reasonable detail the calculations required to establish whether the Borrower was in compliance with the requirements of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on the date of such financial statements and</w:t>
      </w:r>
    </w:p>
    <w:p>
      <w:pPr>
        <w:spacing w:after="0" w:line="2" w:lineRule="exact"/>
        <w:rPr>
          <w:rFonts w:ascii="Times New Roman" w:cs="Times New Roman" w:eastAsia="Times New Roman" w:hAnsi="Times New Roman"/>
          <w:sz w:val="19"/>
          <w:szCs w:val="19"/>
          <w:color w:val="auto"/>
        </w:rPr>
      </w:pPr>
    </w:p>
    <w:p>
      <w:pPr>
        <w:ind w:firstLine="5"/>
        <w:spacing w:after="0" w:line="235" w:lineRule="auto"/>
        <w:tabs>
          <w:tab w:leader="none" w:pos="28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stating whether any Default exists on the date of such certificate and, if any Default then exists, setting forth the details thereof and the action which the Borrower is taking or proposes to take with respect thereto;</w:t>
      </w:r>
    </w:p>
    <w:p>
      <w:pPr>
        <w:spacing w:after="0" w:line="96"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6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Business Days after the chief financial officer, chief accounting officer, treasurer or chief legal officer of the Borrower obtains knowledge of any Default, a certificate of the chief financial officer or the treasurer of the Borrower setting forth the details thereof and the actions that the Borrower is taking or propose to take with respect thereto;</w:t>
      </w:r>
    </w:p>
    <w:p>
      <w:pPr>
        <w:spacing w:after="0" w:line="95" w:lineRule="exact"/>
        <w:rPr>
          <w:rFonts w:ascii="Times New Roman" w:cs="Times New Roman" w:eastAsia="Times New Roman" w:hAnsi="Times New Roman"/>
          <w:sz w:val="19"/>
          <w:szCs w:val="19"/>
          <w:color w:val="auto"/>
        </w:rPr>
      </w:pPr>
    </w:p>
    <w:p>
      <w:pPr>
        <w:ind w:right="20" w:firstLine="1145"/>
        <w:spacing w:after="0" w:line="255" w:lineRule="auto"/>
        <w:tabs>
          <w:tab w:leader="none" w:pos="166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the mailing thereof to the shareholders of the Borrower generally, copies of all financial statements, reports and proxy statements so mailed;</w:t>
      </w:r>
    </w:p>
    <w:p>
      <w:pPr>
        <w:spacing w:after="0" w:line="81" w:lineRule="exact"/>
        <w:rPr>
          <w:rFonts w:ascii="Times New Roman" w:cs="Times New Roman" w:eastAsia="Times New Roman" w:hAnsi="Times New Roman"/>
          <w:sz w:val="19"/>
          <w:szCs w:val="19"/>
          <w:color w:val="auto"/>
        </w:rPr>
      </w:pPr>
    </w:p>
    <w:p>
      <w:pPr>
        <w:jc w:val="both"/>
        <w:ind w:right="20" w:firstLine="1145"/>
        <w:spacing w:after="0" w:line="234" w:lineRule="auto"/>
        <w:tabs>
          <w:tab w:leader="none" w:pos="1698"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upon the filing thereof, copies of all registration statements (other than the exhibits thereto and any registration statements on Form S-8 or its equivalent) and reports on Forms 10-K, 10-Q and 8-K (or their equivalents) which the Borrower shall have filed with the SEC;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the Administrative Agent notifies the Borrower in writing to the contrary, satisfaction of the provisions of this subsection (f) shall satisfy as well the provisions of subsections (a) and (b);</w:t>
      </w:r>
    </w:p>
    <w:p>
      <w:pPr>
        <w:spacing w:after="0" w:line="97" w:lineRule="exact"/>
        <w:rPr>
          <w:rFonts w:ascii="Times New Roman" w:cs="Times New Roman" w:eastAsia="Times New Roman" w:hAnsi="Times New Roman"/>
          <w:sz w:val="19"/>
          <w:szCs w:val="19"/>
          <w:color w:val="auto"/>
        </w:rPr>
      </w:pPr>
    </w:p>
    <w:p>
      <w:pPr>
        <w:ind w:right="40" w:firstLine="1145"/>
        <w:spacing w:after="0" w:line="255" w:lineRule="auto"/>
        <w:tabs>
          <w:tab w:leader="none" w:pos="168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occurrence of any ERISA Event that, alone or together with any other ERISA Events that have occurred, would reasonably be expected to result in a Material Adverse Effect;</w:t>
      </w:r>
    </w:p>
    <w:p>
      <w:pPr>
        <w:spacing w:after="0" w:line="81"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8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chief financial officer or the treasurer of the Borrower obtains knowledge of a change or a proposed change in the Rating of the Borrower’s outstanding senior unsecured long-term debt securities by Fitch, Moody’s or S&amp;P, a certificate of the chief financial officer or the treasurer setting forth the details thereof;</w:t>
      </w:r>
    </w:p>
    <w:p>
      <w:pPr>
        <w:spacing w:after="0" w:line="95" w:lineRule="exact"/>
        <w:rPr>
          <w:rFonts w:ascii="Times New Roman" w:cs="Times New Roman" w:eastAsia="Times New Roman" w:hAnsi="Times New Roman"/>
          <w:sz w:val="19"/>
          <w:szCs w:val="19"/>
          <w:color w:val="auto"/>
        </w:rPr>
      </w:pPr>
    </w:p>
    <w:p>
      <w:pPr>
        <w:jc w:val="both"/>
        <w:ind w:firstLine="1145"/>
        <w:spacing w:after="0" w:line="232" w:lineRule="auto"/>
        <w:tabs>
          <w:tab w:leader="none" w:pos="165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Business Days after the chief financial officer, chief accounting officer, treasurer or chief legal officer of the Borrower obtains knowledge of, (i) the filing or commencement of any action, suit or proceeding by or before any arbitrator or Governmental Authority against or affecting the Borrower or any Affiliate thereof that, if adversely determined, would reasonably be expected to result in a Material Adverse Effect; and (ii) any other development that results in, or would reasonably be expected to result in, a Material Adverse Effect.</w:t>
      </w:r>
    </w:p>
    <w:p>
      <w:pPr>
        <w:spacing w:after="0" w:line="95"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5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time to time (i) such additional information regarding the financial position or business of the Borrower and its Subsidiaries promptly after the Administrative Agent, at the request of any Bank, may reasonably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such</w:t>
      </w:r>
    </w:p>
    <w:p>
      <w:pPr>
        <w:sectPr>
          <w:pgSz w:w="11900" w:h="16840" w:orient="portrait"/>
          <w:cols w:equalWidth="0" w:num="1">
            <w:col w:w="10580"/>
          </w:cols>
          <w:pgMar w:left="660" w:top="556" w:right="660" w:bottom="1440" w:gutter="0" w:footer="0" w:header="0"/>
        </w:sectPr>
      </w:pPr>
    </w:p>
    <w:bookmarkStart w:id="85" w:name="page86"/>
    <w:bookmarkEnd w:id="85"/>
    <w:p>
      <w:pPr>
        <w:ind w:left="10380"/>
        <w:spacing w:after="0"/>
        <w:rPr>
          <w:sz w:val="20"/>
          <w:szCs w:val="20"/>
          <w:color w:val="auto"/>
        </w:rPr>
      </w:pPr>
      <w:r>
        <w:rPr>
          <w:rFonts w:ascii="Times New Roman" w:cs="Times New Roman" w:eastAsia="Times New Roman" w:hAnsi="Times New Roman"/>
          <w:sz w:val="19"/>
          <w:szCs w:val="19"/>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 xml:space="preserve">additional, non-public information, the Administrative Agent and each Bank shall comply with the confidentiality provisions set forth in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and (ii) information and documentation reasonably requested by the Administrative Agent or any Bank for purposes of compliance with applicable “know your customer” and anti-money laundering rules and regulations, including the Patriot Act and the Beneficial Ownership Regulation.</w:t>
      </w:r>
    </w:p>
    <w:p>
      <w:pPr>
        <w:spacing w:after="0" w:line="98"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The Borrower hereby acknowledges that (a) the Administrative Agent and/or the Arranger will make available to the Banks materials and/or information provided by or on behalf of the Borrower hereunder (collectively, “</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by posting the Borrower Materials on the Platform and (b) certain of the Banks may be “public- side” Banks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Banks that do not wish to receive material non-public information with respect to the Borrower or its securities) (each, a “</w:t>
      </w:r>
      <w:r>
        <w:rPr>
          <w:rFonts w:ascii="Times New Roman" w:cs="Times New Roman" w:eastAsia="Times New Roman" w:hAnsi="Times New Roman"/>
          <w:sz w:val="19"/>
          <w:szCs w:val="19"/>
          <w:u w:val="single" w:color="auto"/>
          <w:color w:val="auto"/>
        </w:rPr>
        <w:t>Public Bank</w:t>
      </w:r>
      <w:r>
        <w:rPr>
          <w:rFonts w:ascii="Times New Roman" w:cs="Times New Roman" w:eastAsia="Times New Roman" w:hAnsi="Times New Roman"/>
          <w:sz w:val="19"/>
          <w:szCs w:val="19"/>
          <w:color w:val="auto"/>
        </w:rPr>
        <w:t xml:space="preserve"> ”). The Borrower hereby agrees that it will use commercially reasonable efforts to identify that portion of the Borrower Materials that may be distributed to the Public Banks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and the Banks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w:t>
      </w:r>
    </w:p>
    <w:p>
      <w:pPr>
        <w:spacing w:after="0" w:line="100"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SECTION 5.2.</w:t>
      </w:r>
      <w:r>
        <w:rPr>
          <w:rFonts w:ascii="Times New Roman" w:cs="Times New Roman" w:eastAsia="Times New Roman" w:hAnsi="Times New Roman"/>
          <w:sz w:val="19"/>
          <w:szCs w:val="19"/>
          <w:u w:val="single" w:color="auto"/>
          <w:color w:val="auto"/>
        </w:rPr>
        <w:t>Maintenance of Property; Insurance.</w:t>
      </w:r>
      <w:r>
        <w:rPr>
          <w:rFonts w:ascii="Times New Roman" w:cs="Times New Roman" w:eastAsia="Times New Roman" w:hAnsi="Times New Roman"/>
          <w:sz w:val="19"/>
          <w:szCs w:val="19"/>
          <w:color w:val="auto"/>
        </w:rPr>
        <w:t xml:space="preserve"> (a) The Borrower will keep, and will cause each of its Material Subsidiaries to keep, all property useful and necessary in its business in good working order and condition, ordinary wear and tear excepted, unless the failure to do so would not reasonably be expected to have a Material Adverse Effect.</w:t>
      </w:r>
    </w:p>
    <w:p>
      <w:pPr>
        <w:spacing w:after="0" w:line="95" w:lineRule="exact"/>
        <w:rPr>
          <w:sz w:val="20"/>
          <w:szCs w:val="20"/>
          <w:color w:val="auto"/>
        </w:rPr>
      </w:pPr>
    </w:p>
    <w:p>
      <w:pPr>
        <w:jc w:val="both"/>
        <w:ind w:firstLine="1145"/>
        <w:spacing w:after="0" w:line="234" w:lineRule="auto"/>
        <w:tabs>
          <w:tab w:leader="none" w:pos="166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maintain, and will cause each Material Subsidiary to maintain (either in the name of the Borrower or in such Material Subsidiary’s own name), with financially sound and responsible insurance companies, insurance on all their respective properties in at least such amounts and against at least such risks (and with such risk retention) as are usually insured against in the same general area by companies of established repute engaged in the same or a similar business.</w:t>
      </w:r>
    </w:p>
    <w:p>
      <w:pPr>
        <w:spacing w:after="0" w:line="98"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SECTION 5.3.</w:t>
      </w:r>
      <w:r>
        <w:rPr>
          <w:rFonts w:ascii="Times New Roman" w:cs="Times New Roman" w:eastAsia="Times New Roman" w:hAnsi="Times New Roman"/>
          <w:sz w:val="19"/>
          <w:szCs w:val="19"/>
          <w:u w:val="single" w:color="auto"/>
          <w:color w:val="auto"/>
        </w:rPr>
        <w:t>Conduct of Business and Maintenance of Existence.</w:t>
      </w:r>
      <w:r>
        <w:rPr>
          <w:rFonts w:ascii="Times New Roman" w:cs="Times New Roman" w:eastAsia="Times New Roman" w:hAnsi="Times New Roman"/>
          <w:sz w:val="19"/>
          <w:szCs w:val="19"/>
          <w:color w:val="auto"/>
        </w:rPr>
        <w:t xml:space="preserve"> The Borrower will continue, and will cause each Material Subsidiary to continue, to engage in business of the same general type as now conducted by the Borrower and such Material Subsidiary (except where such failure would not be reasonably expected to result in a Material Adverse Effect), and will preserve, renew and keep in full force and effect, and will cause each Material Subsidiary to preserve, renew and keep in full force and effect their respective organizational existence and their respective rights, licenses, permits, privileges, franchises, patents, copyrights, trademarks and trade names except (other than in the case of existence of the Borrower) where the failure to preserve, renew or keep in force any such right, license, permit, privilege, franchise, patent or</w:t>
      </w:r>
    </w:p>
    <w:p>
      <w:pPr>
        <w:sectPr>
          <w:pgSz w:w="11900" w:h="16840" w:orient="portrait"/>
          <w:cols w:equalWidth="0" w:num="1">
            <w:col w:w="10580"/>
          </w:cols>
          <w:pgMar w:left="660" w:top="556" w:right="660" w:bottom="1440" w:gutter="0" w:footer="0" w:header="0"/>
        </w:sectPr>
      </w:pPr>
    </w:p>
    <w:bookmarkStart w:id="86" w:name="page87"/>
    <w:bookmarkEnd w:id="86"/>
    <w:p>
      <w:pPr>
        <w:ind w:left="10380"/>
        <w:spacing w:after="0"/>
        <w:rPr>
          <w:sz w:val="20"/>
          <w:szCs w:val="20"/>
          <w:color w:val="auto"/>
        </w:rPr>
      </w:pPr>
      <w:r>
        <w:rPr>
          <w:rFonts w:ascii="Times New Roman" w:cs="Times New Roman" w:eastAsia="Times New Roman" w:hAnsi="Times New Roman"/>
          <w:sz w:val="19"/>
          <w:szCs w:val="19"/>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copyright would not be reasonably expected to result in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shall prohibit</w:t>
      </w:r>
    </w:p>
    <w:p>
      <w:pPr>
        <w:spacing w:after="0" w:line="5" w:lineRule="exact"/>
        <w:rPr>
          <w:sz w:val="20"/>
          <w:szCs w:val="20"/>
          <w:color w:val="auto"/>
        </w:rPr>
      </w:pPr>
    </w:p>
    <w:p>
      <w:pPr>
        <w:jc w:val="both"/>
        <w:ind w:firstLine="5"/>
        <w:spacing w:after="0" w:line="227" w:lineRule="auto"/>
        <w:tabs>
          <w:tab w:leader="none" w:pos="23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merger of any Material Subsidiary into the Borrower or the merger or consolidation of any Material Subsidiary with or into another Person, if the Person surviving such consolidation or merger is a Material Subsidiary and if, in each case, after giving effect thereto, no Default shall have occurred and be continuing, (ii) the termination of the organizational existence of any Material Subsidiary if the Borrower in good faith determines that such termination is in the best interest of the Borrower and is not materially disadvantageous to the Banks or (iii) any transaction with respect to the Borrower that is expressly permitted by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w:t>
      </w:r>
    </w:p>
    <w:p>
      <w:pPr>
        <w:spacing w:after="0" w:line="96" w:lineRule="exact"/>
        <w:rPr>
          <w:sz w:val="20"/>
          <w:szCs w:val="20"/>
          <w:color w:val="auto"/>
        </w:rPr>
      </w:pPr>
    </w:p>
    <w:p>
      <w:pPr>
        <w:jc w:val="both"/>
        <w:ind w:right="20" w:firstLine="1140"/>
        <w:spacing w:after="0" w:line="229" w:lineRule="auto"/>
        <w:rPr>
          <w:sz w:val="20"/>
          <w:szCs w:val="20"/>
          <w:color w:val="auto"/>
        </w:rPr>
      </w:pPr>
      <w:r>
        <w:rPr>
          <w:rFonts w:ascii="Times New Roman" w:cs="Times New Roman" w:eastAsia="Times New Roman" w:hAnsi="Times New Roman"/>
          <w:sz w:val="19"/>
          <w:szCs w:val="19"/>
          <w:color w:val="auto"/>
        </w:rPr>
        <w:t>SECTION 5.4.</w:t>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xml:space="preserve"> The Borrower will comply, and will cause each of its Material Subsidiaries to comply, with all applicable laws, ordinances, rules, regulations, and requirements of governmental authorities (including, without limitation, Environmental Laws and the rules and regulations thereunder and ERISA) except (i) where the necessity of compliance therewith is contested in good faith by appropriate proceedings or (ii) where the failure so to comply would not reasonably be expected to have a Material Adverse Effect. The Borrower will maintain in effect and enforce policies and procedures reasonably designed to promote and achieve compliance by the Borrower, its Subsidiaries and their respective directors, officers, employees and agents with Anti-Corruption Laws and applicable Sanctions.</w:t>
      </w:r>
    </w:p>
    <w:p>
      <w:pPr>
        <w:spacing w:after="0" w:line="96"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SECTION 5.5.</w:t>
      </w:r>
      <w:r>
        <w:rPr>
          <w:rFonts w:ascii="Times New Roman" w:cs="Times New Roman" w:eastAsia="Times New Roman" w:hAnsi="Times New Roman"/>
          <w:sz w:val="19"/>
          <w:szCs w:val="19"/>
          <w:u w:val="single" w:color="auto"/>
          <w:color w:val="auto"/>
        </w:rPr>
        <w:t>Payment of Taxes.</w:t>
      </w:r>
      <w:r>
        <w:rPr>
          <w:rFonts w:ascii="Times New Roman" w:cs="Times New Roman" w:eastAsia="Times New Roman" w:hAnsi="Times New Roman"/>
          <w:sz w:val="19"/>
          <w:szCs w:val="19"/>
          <w:color w:val="auto"/>
        </w:rPr>
        <w:t xml:space="preserve"> The Borrower will, and will cause each of its Subsidiaries to pay its Tax liabilities, that, if not paid, could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spacing w:after="0" w:line="98"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SECTION 5.6.</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xml:space="preserve"> The proceeds of the Loans will be used solely (a) to pay fees and expenses payable in connection with the transactions contemplated hereby, (b) to repay certain Indebtedness outstanding on the date hereof, and (c) for working capital and other general corporate purposes of the Borrower and its Subsidiaries. No part of the proceeds of any Loan will be used, whether directly or indirectly, for any purpose that entails a violation of any of the regulations of the Board, including Regulations G, U and X.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other manner that would result in the violation of any Sanctions applicable to any party hereto.</w:t>
      </w:r>
    </w:p>
    <w:p>
      <w:pPr>
        <w:spacing w:after="0" w:line="103" w:lineRule="exact"/>
        <w:rPr>
          <w:sz w:val="20"/>
          <w:szCs w:val="20"/>
          <w:color w:val="auto"/>
        </w:rPr>
      </w:pPr>
    </w:p>
    <w:p>
      <w:pPr>
        <w:jc w:val="both"/>
        <w:ind w:firstLine="1140"/>
        <w:spacing w:after="0" w:line="233" w:lineRule="auto"/>
        <w:rPr>
          <w:sz w:val="20"/>
          <w:szCs w:val="20"/>
          <w:color w:val="auto"/>
        </w:rPr>
      </w:pPr>
      <w:r>
        <w:rPr>
          <w:rFonts w:ascii="Times New Roman" w:cs="Times New Roman" w:eastAsia="Times New Roman" w:hAnsi="Times New Roman"/>
          <w:sz w:val="19"/>
          <w:szCs w:val="19"/>
          <w:color w:val="auto"/>
        </w:rPr>
        <w:t>SECTION 5.7.</w:t>
      </w:r>
      <w:r>
        <w:rPr>
          <w:rFonts w:ascii="Times New Roman" w:cs="Times New Roman" w:eastAsia="Times New Roman" w:hAnsi="Times New Roman"/>
          <w:sz w:val="19"/>
          <w:szCs w:val="19"/>
          <w:u w:val="single" w:color="auto"/>
          <w:color w:val="auto"/>
        </w:rPr>
        <w:t>Additional Guarantors.</w:t>
      </w:r>
      <w:r>
        <w:rPr>
          <w:rFonts w:ascii="Times New Roman" w:cs="Times New Roman" w:eastAsia="Times New Roman" w:hAnsi="Times New Roman"/>
          <w:sz w:val="19"/>
          <w:szCs w:val="19"/>
          <w:color w:val="auto"/>
        </w:rPr>
        <w:t xml:space="preserve"> If, as of a fiscal quarter- end, (a) a Domestic Subsidiary that is not a Guarantor (other than LPAC Corp. and other than a Domestic Subsidiary that is a FSHCO or a Subsidiary of a Foreign Subsidiary that is a CFC) has either</w:t>
      </w:r>
    </w:p>
    <w:p>
      <w:pPr>
        <w:spacing w:after="0" w:line="1" w:lineRule="exact"/>
        <w:rPr>
          <w:sz w:val="20"/>
          <w:szCs w:val="20"/>
          <w:color w:val="auto"/>
        </w:rPr>
      </w:pPr>
    </w:p>
    <w:p>
      <w:pPr>
        <w:ind w:right="20" w:firstLine="5"/>
        <w:spacing w:after="0" w:line="235" w:lineRule="auto"/>
        <w:tabs>
          <w:tab w:leader="none" w:pos="27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book value (as determined in accordance with GAAP) of total assets equaling or exceeding 10% of the book value (as determined in accordance with GAAP) of the Consolidated Total Assets of the Borrower</w:t>
      </w:r>
    </w:p>
    <w:p>
      <w:pPr>
        <w:sectPr>
          <w:pgSz w:w="11900" w:h="16840" w:orient="portrait"/>
          <w:cols w:equalWidth="0" w:num="1">
            <w:col w:w="10580"/>
          </w:cols>
          <w:pgMar w:left="660" w:top="556" w:right="660" w:bottom="1440" w:gutter="0" w:footer="0" w:header="0"/>
        </w:sectPr>
      </w:pPr>
    </w:p>
    <w:bookmarkStart w:id="87" w:name="page88"/>
    <w:bookmarkEnd w:id="87"/>
    <w:p>
      <w:pPr>
        <w:ind w:left="10380"/>
        <w:spacing w:after="0"/>
        <w:rPr>
          <w:sz w:val="20"/>
          <w:szCs w:val="20"/>
          <w:color w:val="auto"/>
        </w:rPr>
      </w:pPr>
      <w:r>
        <w:rPr>
          <w:rFonts w:ascii="Times New Roman" w:cs="Times New Roman" w:eastAsia="Times New Roman" w:hAnsi="Times New Roman"/>
          <w:sz w:val="19"/>
          <w:szCs w:val="19"/>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9"/>
          <w:szCs w:val="19"/>
          <w:color w:val="auto"/>
        </w:rPr>
        <w:t xml:space="preserve">and all of its Subsidiaries as determined as of the last day of the fiscal quarter of the Borrower most recently ended prior to such date of determination or (y) Consolidated EBITDA (determined on a standalone basis for such Subsidiary) equaling or exceeding 10% of Consolidated EBITDA of the Borrower and all of its Subsidiaries for any period of four consecutive fiscal quarters most recently ended prior to such date of determination or (b) the Borrower elects in a writing delivered to the Administrative Agent to join any Domestic Subsidiary that is not a Guarantor as a party to the Guaranty Agreement as guarantor of the Obligations, then within 45 days in the case of clause (a) after the end of such fiscal quarter or, in the case of clause (b), after the date of such election in the case of clause (a) (or such later or other date agreed to in writing by the Administrative Agent) the Borrower shall: (i) cause each such Subsidiary to execute and deliver a copy of the supplement to the Guaranty Agreement attached thereto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any other supplement thereto in form and substance reasonably satisfactory to the Administrative Agent) pursuant to Section 2.01(j) of the Guaranty Agreement; (ii) cause each such Subsidiary to execute and/or deliver such other documentation as the Administrative Agent may reasonably request to (A) evidence the authority of each such Subsidiary to execute, deliver and perform the Guaranty Agreement and to evidence the existence and good standing of each such Subsidiary and (B) comply with the applicable “know your customer” rules and regulations, including the Patriot Act; and (iii) to the extent requested by the Administrative Agent in its reasonable discretion, deliver a favorable written opinion (addressed to the Administrative Agent and the Banks) of counsel to each such Subsidiary covering substantially the same matters as the opinions originally delivered on the Effective Date and such other matters relating to each such Subsidiary and the Loan Documents as the Administrative Agent shall reasonably request.</w:t>
      </w:r>
    </w:p>
    <w:p>
      <w:pPr>
        <w:spacing w:after="0" w:line="109"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5.8.</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The Borrower will not permit any Subsidiary (other than a Guarantor) to, create, incur, assume or permit to exist any Indebtedness, except:</w:t>
      </w:r>
    </w:p>
    <w:p>
      <w:pPr>
        <w:spacing w:after="0" w:line="82" w:lineRule="exact"/>
        <w:rPr>
          <w:sz w:val="20"/>
          <w:szCs w:val="20"/>
          <w:color w:val="auto"/>
        </w:rPr>
      </w:pPr>
    </w:p>
    <w:p>
      <w:pPr>
        <w:ind w:left="1660" w:hanging="515"/>
        <w:spacing w:after="0"/>
        <w:tabs>
          <w:tab w:leader="none" w:pos="16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created under the Loan Documents and other Obligations;</w:t>
      </w:r>
    </w:p>
    <w:p>
      <w:pPr>
        <w:spacing w:after="0" w:line="125" w:lineRule="exact"/>
        <w:rPr>
          <w:rFonts w:ascii="Times New Roman" w:cs="Times New Roman" w:eastAsia="Times New Roman" w:hAnsi="Times New Roman"/>
          <w:sz w:val="19"/>
          <w:szCs w:val="19"/>
          <w:color w:val="auto"/>
        </w:rPr>
      </w:pPr>
    </w:p>
    <w:p>
      <w:pPr>
        <w:jc w:val="both"/>
        <w:ind w:firstLine="1145"/>
        <w:spacing w:after="0" w:line="234" w:lineRule="auto"/>
        <w:tabs>
          <w:tab w:leader="none" w:pos="1674"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existing on the date hereof and, to the extent in a principal amount exceeding US$5,000,000 on an individual basis, set forth in </w:t>
      </w:r>
      <w:r>
        <w:rPr>
          <w:rFonts w:ascii="Times New Roman" w:cs="Times New Roman" w:eastAsia="Times New Roman" w:hAnsi="Times New Roman"/>
          <w:sz w:val="19"/>
          <w:szCs w:val="19"/>
          <w:u w:val="single" w:color="auto"/>
          <w:color w:val="auto"/>
        </w:rPr>
        <w:t>Schedule 5.8</w:t>
      </w:r>
      <w:r>
        <w:rPr>
          <w:rFonts w:ascii="Times New Roman" w:cs="Times New Roman" w:eastAsia="Times New Roman" w:hAnsi="Times New Roman"/>
          <w:sz w:val="19"/>
          <w:szCs w:val="19"/>
          <w:color w:val="auto"/>
        </w:rPr>
        <w:t xml:space="preserve"> and extensions, renewals and replacements of any such Indebtedness that do not increase the outstanding principal amount thereof (except as grossed-up for the fees and expenses incurred in connection with such extension, renewal or replacement) or result in an earlier maturity date or decreased weighted average life thereof;</w:t>
      </w:r>
    </w:p>
    <w:p>
      <w:pPr>
        <w:spacing w:after="0" w:line="97"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Subsidiary to the Borrower or any other Subsidiary;</w:t>
      </w:r>
    </w:p>
    <w:p>
      <w:pPr>
        <w:spacing w:after="0" w:line="12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Guarantees by any Subsidiary of Indebtedness of any Subsidiary which is otherwise permitted by this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jc w:val="both"/>
        <w:ind w:firstLine="1145"/>
        <w:spacing w:after="0" w:line="232" w:lineRule="auto"/>
        <w:tabs>
          <w:tab w:leader="none" w:pos="166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of any Subsidiary secured by fixed or capital assets (including equipment) or other assets acquired with purchase money indebtedness, including Capital Lease Obligations and (ii) Indebtedness of any Subsidiary (including Foreign Subsidiaries) owed to an unrelated third Person (other than any Receivable Securitization Outstandings);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aggregate principal amount of Indebtedness permitted to be incurred by this clause (f) shall not exceed on the date such Indebtedness is incurred the greater of (A) US$200,000,000 and (B) 10% of Consolidated Total Assets as of the most recent audited consolidated financial statements</w:t>
      </w:r>
    </w:p>
    <w:p>
      <w:pPr>
        <w:sectPr>
          <w:pgSz w:w="11900" w:h="16840" w:orient="portrait"/>
          <w:cols w:equalWidth="0" w:num="1">
            <w:col w:w="10580"/>
          </w:cols>
          <w:pgMar w:left="660" w:top="556" w:right="660" w:bottom="1440" w:gutter="0" w:footer="0" w:header="0"/>
        </w:sectPr>
      </w:pPr>
    </w:p>
    <w:bookmarkStart w:id="88" w:name="page89"/>
    <w:bookmarkEnd w:id="88"/>
    <w:p>
      <w:pPr>
        <w:ind w:left="10380"/>
        <w:spacing w:after="0"/>
        <w:rPr>
          <w:sz w:val="20"/>
          <w:szCs w:val="20"/>
          <w:color w:val="auto"/>
        </w:rPr>
      </w:pPr>
      <w:r>
        <w:rPr>
          <w:rFonts w:ascii="Times New Roman" w:cs="Times New Roman" w:eastAsia="Times New Roman" w:hAnsi="Times New Roman"/>
          <w:sz w:val="19"/>
          <w:szCs w:val="19"/>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 xml:space="preserve">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and (y) the aggregate principal amount of Indebtedness permitted to be incurred by this clause (e), together with the aggregate outstanding principal amount of Indebtedness secured by Liens pursuant to </w:t>
      </w:r>
      <w:r>
        <w:rPr>
          <w:rFonts w:ascii="Times New Roman" w:cs="Times New Roman" w:eastAsia="Times New Roman" w:hAnsi="Times New Roman"/>
          <w:sz w:val="19"/>
          <w:szCs w:val="19"/>
          <w:u w:val="single" w:color="auto"/>
          <w:color w:val="auto"/>
        </w:rPr>
        <w:t>Section 5.9(i)</w:t>
      </w:r>
      <w:r>
        <w:rPr>
          <w:rFonts w:ascii="Times New Roman" w:cs="Times New Roman" w:eastAsia="Times New Roman" w:hAnsi="Times New Roman"/>
          <w:sz w:val="19"/>
          <w:szCs w:val="19"/>
          <w:color w:val="auto"/>
        </w:rPr>
        <w:t xml:space="preserve"> , shall not exceed on the date such Indebtedness is incurred the greater of (A) US $300,000,000 and (B) 15% of Consolidated Total Assets as of the most recent audited consolidated financial statements 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w:t>
      </w:r>
    </w:p>
    <w:p>
      <w:pPr>
        <w:spacing w:after="0" w:line="96" w:lineRule="exact"/>
        <w:rPr>
          <w:sz w:val="20"/>
          <w:szCs w:val="20"/>
          <w:color w:val="auto"/>
        </w:rPr>
      </w:pPr>
    </w:p>
    <w:p>
      <w:pPr>
        <w:ind w:left="1680" w:hanging="535"/>
        <w:spacing w:after="0"/>
        <w:tabs>
          <w:tab w:leader="none" w:pos="16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Indebtedness, deferred compensation payable to directors, officers or employees of 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Subsidiary;</w:t>
      </w:r>
    </w:p>
    <w:p>
      <w:pPr>
        <w:spacing w:after="0" w:line="104" w:lineRule="exact"/>
        <w:rPr>
          <w:sz w:val="20"/>
          <w:szCs w:val="20"/>
          <w:color w:val="auto"/>
        </w:rPr>
      </w:pPr>
    </w:p>
    <w:p>
      <w:pPr>
        <w:jc w:val="both"/>
        <w:ind w:firstLine="1145"/>
        <w:spacing w:after="0" w:line="239" w:lineRule="auto"/>
        <w:tabs>
          <w:tab w:leader="none" w:pos="167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management obligations and Indebtedness incurred by any Subsidiary in respect of netting services, overdraft protections and similar arrangements, in each case entered into in the ordinary course of business in connection with cash management and deposit accounts and not involving the borrowing of money;</w:t>
      </w:r>
    </w:p>
    <w:p>
      <w:pPr>
        <w:spacing w:after="0" w:line="9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Receivable Securitization Outstandings in an aggregate principal amount, when taken together with any Receivable</w:t>
      </w:r>
    </w:p>
    <w:p>
      <w:pPr>
        <w:spacing w:after="0" w:line="227" w:lineRule="auto"/>
        <w:rPr>
          <w:sz w:val="20"/>
          <w:szCs w:val="20"/>
          <w:color w:val="auto"/>
        </w:rPr>
      </w:pPr>
      <w:r>
        <w:rPr>
          <w:rFonts w:ascii="Times New Roman" w:cs="Times New Roman" w:eastAsia="Times New Roman" w:hAnsi="Times New Roman"/>
          <w:sz w:val="19"/>
          <w:szCs w:val="19"/>
          <w:color w:val="auto"/>
        </w:rPr>
        <w:t>Securitization  Outstanding  of  the  Borrower  and  the  other  Loan  Parties,  not  to  exceed  an  amount  equal  to  the  greater  of</w:t>
      </w:r>
    </w:p>
    <w:p>
      <w:pPr>
        <w:ind w:right="40" w:firstLine="5"/>
        <w:spacing w:after="0" w:line="235" w:lineRule="auto"/>
        <w:tabs>
          <w:tab w:leader="none" w:pos="27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US$450,000,000 and (y) 20% of Consolidated Total Assets as of the most recent audited consolidated financial statements delivered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on or before the date of incurrence;</w:t>
      </w:r>
    </w:p>
    <w:p>
      <w:pPr>
        <w:spacing w:after="0" w:line="96"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5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money Indebtedness of any Subsidiary to the extent such Indebtedness is incurred in the ordinary course of business on customary trade finance terms in connection with the acquisition of materials, supplies, components or equipment and related to projects of the Borrower and the Subsidiaries undertaken in the ordinary course of business; and</w:t>
      </w:r>
    </w:p>
    <w:p>
      <w:pPr>
        <w:spacing w:after="0" w:line="9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arising in connection with swap and other Hedging Agreements.</w:t>
      </w:r>
    </w:p>
    <w:p>
      <w:pPr>
        <w:spacing w:after="0" w:line="126"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5.9.</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xml:space="preserve"> The Borrower will not, and will not permit any Subsidiary to, create, incur, assume or permit to exist any Lien on any property or asset now owned or hereafter acquired by it, except:</w:t>
      </w:r>
    </w:p>
    <w:p>
      <w:pPr>
        <w:spacing w:after="0" w:line="82" w:lineRule="exact"/>
        <w:rPr>
          <w:sz w:val="20"/>
          <w:szCs w:val="20"/>
          <w:color w:val="auto"/>
        </w:rPr>
      </w:pPr>
    </w:p>
    <w:p>
      <w:pPr>
        <w:ind w:left="1660" w:hanging="515"/>
        <w:spacing w:after="0"/>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under the Loan Documents;</w:t>
      </w:r>
    </w:p>
    <w:p>
      <w:pPr>
        <w:spacing w:after="0" w:line="125"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Encumbrances;</w:t>
      </w:r>
    </w:p>
    <w:p>
      <w:pPr>
        <w:spacing w:after="0" w:line="125" w:lineRule="exact"/>
        <w:rPr>
          <w:rFonts w:ascii="Times New Roman" w:cs="Times New Roman" w:eastAsia="Times New Roman" w:hAnsi="Times New Roman"/>
          <w:sz w:val="19"/>
          <w:szCs w:val="19"/>
          <w:color w:val="auto"/>
        </w:rPr>
      </w:pPr>
    </w:p>
    <w:p>
      <w:pPr>
        <w:jc w:val="both"/>
        <w:ind w:firstLine="1145"/>
        <w:spacing w:after="0" w:line="232" w:lineRule="auto"/>
        <w:tabs>
          <w:tab w:leader="none" w:pos="168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asset of the Borrower or any Subsidiary existing on the date hereof and, to the extent securing Indebtedness in a principal amount exceeding US$5,000,000 on an individual basis, set forth in </w:t>
      </w:r>
      <w:r>
        <w:rPr>
          <w:rFonts w:ascii="Times New Roman" w:cs="Times New Roman" w:eastAsia="Times New Roman" w:hAnsi="Times New Roman"/>
          <w:sz w:val="19"/>
          <w:szCs w:val="19"/>
          <w:u w:val="single" w:color="auto"/>
          <w:color w:val="auto"/>
        </w:rPr>
        <w:t>Schedule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other asset of the Borrower or any Subsidiary and (ii) such Lien shall secure only those obligations which it secures on the date hereof and extensions, renewals and replacements thereof that do not increase the outstanding principal amount thereof (except as grossed-up for the fees and expenses incurred in connection with such extension, renewal or replacement);</w:t>
      </w:r>
    </w:p>
    <w:p>
      <w:pPr>
        <w:spacing w:after="0" w:line="95"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6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existing on any property or asset (including equipment) prior to the acquisition thereof by the Borrower or any Subsidiary or existing on any property or asset of any Person that becomes a Subsidiary after the date hereof prior to the time such Person becomes a</w:t>
      </w:r>
    </w:p>
    <w:p>
      <w:pPr>
        <w:sectPr>
          <w:pgSz w:w="11900" w:h="16840" w:orient="portrait"/>
          <w:cols w:equalWidth="0" w:num="1">
            <w:col w:w="10580"/>
          </w:cols>
          <w:pgMar w:left="660" w:top="556" w:right="660" w:bottom="1440" w:gutter="0" w:footer="0" w:header="0"/>
        </w:sectPr>
      </w:pPr>
    </w:p>
    <w:bookmarkStart w:id="89" w:name="page90"/>
    <w:bookmarkEnd w:id="89"/>
    <w:p>
      <w:pPr>
        <w:ind w:left="10380"/>
        <w:spacing w:after="0"/>
        <w:rPr>
          <w:sz w:val="20"/>
          <w:szCs w:val="20"/>
          <w:color w:val="auto"/>
        </w:rPr>
      </w:pPr>
      <w:r>
        <w:rPr>
          <w:rFonts w:ascii="Times New Roman" w:cs="Times New Roman" w:eastAsia="Times New Roman" w:hAnsi="Times New Roman"/>
          <w:sz w:val="19"/>
          <w:szCs w:val="19"/>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9"/>
          <w:szCs w:val="19"/>
          <w:color w:val="auto"/>
        </w:rPr>
        <w:t xml:space="preserve">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Subsidiary, as the case may be, (ii) such Lien shall not apply to any other assets of the Borrower or any Subsidiary (other than pursuant to after-acquired property clauses in effect with respect to such Lien at the time of acquisition on property of the type that would have been subject to such Lien notwithstanding the occurrence of such acquisition), (iii) such Lien shall secure only those obligations which it secures on the date of such acquisition or the date such Person becomes a Subsidiary, as the case may be and extensions, renewals and replacements thereof that do not increase the outstanding principal amount thereof, (iv) the aggregate principal amount of Indebtedness secured by Liens permitted by this clause (d), together with the aggregate outstanding principal amount of Indebtedness secured by Liens permitted pursuant to </w:t>
      </w:r>
      <w:r>
        <w:rPr>
          <w:rFonts w:ascii="Times New Roman" w:cs="Times New Roman" w:eastAsia="Times New Roman" w:hAnsi="Times New Roman"/>
          <w:sz w:val="19"/>
          <w:szCs w:val="19"/>
          <w:u w:val="single" w:color="auto"/>
          <w:color w:val="auto"/>
        </w:rPr>
        <w:t>Section 5.9(e)</w:t>
      </w:r>
      <w:r>
        <w:rPr>
          <w:rFonts w:ascii="Times New Roman" w:cs="Times New Roman" w:eastAsia="Times New Roman" w:hAnsi="Times New Roman"/>
          <w:sz w:val="19"/>
          <w:szCs w:val="19"/>
          <w:color w:val="auto"/>
        </w:rPr>
        <w:t xml:space="preserve">, shall not exceed on the date such Indebtedness is incurred the greater of (A) US $200,000,000 and (B) 10% of Consolidated Total Assets as of the most recent audited consolidated financial statements 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w:t>
      </w:r>
    </w:p>
    <w:p>
      <w:pPr>
        <w:spacing w:after="0" w:line="103" w:lineRule="exact"/>
        <w:rPr>
          <w:sz w:val="20"/>
          <w:szCs w:val="20"/>
          <w:color w:val="auto"/>
        </w:rPr>
      </w:pPr>
    </w:p>
    <w:p>
      <w:pPr>
        <w:jc w:val="both"/>
        <w:ind w:right="20" w:firstLine="1145"/>
        <w:spacing w:after="0" w:line="226" w:lineRule="auto"/>
        <w:tabs>
          <w:tab w:leader="none" w:pos="167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fixed or capital assets (including equipment), or other assets acquired with purchase money indebtedness, in each case acquired, constructed or improved by the Borrower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security interests secure Indebtedness permitted by subclause (i) of </w:t>
      </w:r>
      <w:r>
        <w:rPr>
          <w:rFonts w:ascii="Times New Roman" w:cs="Times New Roman" w:eastAsia="Times New Roman" w:hAnsi="Times New Roman"/>
          <w:sz w:val="19"/>
          <w:szCs w:val="19"/>
          <w:u w:val="single" w:color="auto"/>
          <w:color w:val="auto"/>
        </w:rPr>
        <w:t>Section 5.8(e)</w:t>
      </w:r>
      <w:r>
        <w:rPr>
          <w:rFonts w:ascii="Times New Roman" w:cs="Times New Roman" w:eastAsia="Times New Roman" w:hAnsi="Times New Roman"/>
          <w:sz w:val="19"/>
          <w:szCs w:val="19"/>
          <w:color w:val="auto"/>
        </w:rPr>
        <w:t xml:space="preserve">, including Capital Lease Obligations, or Indebtedness of the Borrower or any other Loan Party, (ii) such security interests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(iv) such security interests shall not apply to any other property or assets of the Borrower or any Subsidiary, (v) the aggregate principal amount of Indebtedness secured by Liens permitted by this clause (e), together with the aggregate outstanding principal amount of Indebtedness secured by Liens permitted pursuant to </w:t>
      </w:r>
      <w:r>
        <w:rPr>
          <w:rFonts w:ascii="Times New Roman" w:cs="Times New Roman" w:eastAsia="Times New Roman" w:hAnsi="Times New Roman"/>
          <w:sz w:val="19"/>
          <w:szCs w:val="19"/>
          <w:u w:val="single" w:color="auto"/>
          <w:color w:val="auto"/>
        </w:rPr>
        <w:t>Section 5.9(d)</w:t>
      </w:r>
      <w:r>
        <w:rPr>
          <w:rFonts w:ascii="Times New Roman" w:cs="Times New Roman" w:eastAsia="Times New Roman" w:hAnsi="Times New Roman"/>
          <w:sz w:val="19"/>
          <w:szCs w:val="19"/>
          <w:color w:val="auto"/>
        </w:rPr>
        <w:t xml:space="preserve">, shall not exceed on the date such Indebtedness is incurred the greater of (A) US$200,000,000 and (B) 10% of Consolidated Total Assets as of the most recent audited consolidated financial statements 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w:t>
      </w:r>
    </w:p>
    <w:p>
      <w:pPr>
        <w:spacing w:after="0" w:line="99" w:lineRule="exact"/>
        <w:rPr>
          <w:rFonts w:ascii="Times New Roman" w:cs="Times New Roman" w:eastAsia="Times New Roman" w:hAnsi="Times New Roman"/>
          <w:sz w:val="19"/>
          <w:szCs w:val="19"/>
          <w:color w:val="auto"/>
        </w:rPr>
      </w:pPr>
    </w:p>
    <w:p>
      <w:pPr>
        <w:jc w:val="both"/>
        <w:ind w:right="40" w:firstLine="1145"/>
        <w:spacing w:after="0" w:line="239" w:lineRule="auto"/>
        <w:tabs>
          <w:tab w:leader="none" w:pos="167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Liens on property of any Subsidiary securing Indebtedness of a Subsidiary owing to a Loan Party permitted by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 xml:space="preserve"> and (ii) Liens on property of any Subsidiary that is not a Material Subsidiary securing Indebtedness owing to the Borrower or any other Subsidiary permitted by </w:t>
      </w:r>
      <w:r>
        <w:rPr>
          <w:rFonts w:ascii="Times New Roman" w:cs="Times New Roman" w:eastAsia="Times New Roman" w:hAnsi="Times New Roman"/>
          <w:sz w:val="19"/>
          <w:szCs w:val="19"/>
          <w:u w:val="single" w:color="auto"/>
          <w:color w:val="auto"/>
        </w:rPr>
        <w:t>Section 5.8(c)</w:t>
      </w:r>
      <w:r>
        <w:rPr>
          <w:rFonts w:ascii="Times New Roman" w:cs="Times New Roman" w:eastAsia="Times New Roman" w:hAnsi="Times New Roman"/>
          <w:sz w:val="19"/>
          <w:szCs w:val="19"/>
          <w:color w:val="auto"/>
        </w:rPr>
        <w:t>;</w:t>
      </w:r>
    </w:p>
    <w:p>
      <w:pPr>
        <w:spacing w:after="0" w:line="95" w:lineRule="exact"/>
        <w:rPr>
          <w:rFonts w:ascii="Times New Roman" w:cs="Times New Roman" w:eastAsia="Times New Roman" w:hAnsi="Times New Roman"/>
          <w:sz w:val="19"/>
          <w:szCs w:val="19"/>
          <w:color w:val="auto"/>
        </w:rPr>
      </w:pPr>
    </w:p>
    <w:p>
      <w:pPr>
        <w:ind w:right="40" w:firstLine="1145"/>
        <w:spacing w:after="0" w:line="255" w:lineRule="auto"/>
        <w:tabs>
          <w:tab w:leader="none" w:pos="167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Indebtedness of non-Guarantor Subsidiaries permitted by subclause (ii) of </w:t>
      </w:r>
      <w:r>
        <w:rPr>
          <w:rFonts w:ascii="Times New Roman" w:cs="Times New Roman" w:eastAsia="Times New Roman" w:hAnsi="Times New Roman"/>
          <w:sz w:val="19"/>
          <w:szCs w:val="19"/>
          <w:u w:val="single" w:color="auto"/>
          <w:color w:val="auto"/>
        </w:rPr>
        <w:t>Section 5.8(e)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Liens encumber only assets of such Subsidiaries;</w:t>
      </w:r>
    </w:p>
    <w:p>
      <w:pPr>
        <w:spacing w:after="0" w:line="81" w:lineRule="exact"/>
        <w:rPr>
          <w:rFonts w:ascii="Times New Roman" w:cs="Times New Roman" w:eastAsia="Times New Roman" w:hAnsi="Times New Roman"/>
          <w:sz w:val="19"/>
          <w:szCs w:val="19"/>
          <w:color w:val="auto"/>
        </w:rPr>
      </w:pPr>
    </w:p>
    <w:p>
      <w:pPr>
        <w:jc w:val="both"/>
        <w:ind w:right="20" w:firstLine="1145"/>
        <w:spacing w:after="0" w:line="232" w:lineRule="auto"/>
        <w:tabs>
          <w:tab w:leader="none" w:pos="166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granted in connection with any Receivable Securitization Facility permitted hereunder on the receivables sold pursuant thereto (together with all collections and other proceeds thereof and any collateral securing the payment thereof), all right, title and interest in and to the lockboxes and other collection accounts in which proceeds of such receivables are deposited, the rights under the documents executed in connection with such Receivable Securitization Facility and in the Equity Interests issued by any special purpose entity organized to purchase the receivables thereunder;</w:t>
      </w:r>
    </w:p>
    <w:p>
      <w:pPr>
        <w:sectPr>
          <w:pgSz w:w="11900" w:h="16840" w:orient="portrait"/>
          <w:cols w:equalWidth="0" w:num="1">
            <w:col w:w="10600"/>
          </w:cols>
          <w:pgMar w:left="660" w:top="556" w:right="640" w:bottom="1440" w:gutter="0" w:footer="0" w:header="0"/>
        </w:sectPr>
      </w:pPr>
    </w:p>
    <w:bookmarkStart w:id="90" w:name="page91"/>
    <w:bookmarkEnd w:id="90"/>
    <w:p>
      <w:pPr>
        <w:ind w:left="10380"/>
        <w:spacing w:after="0"/>
        <w:rPr>
          <w:sz w:val="20"/>
          <w:szCs w:val="20"/>
          <w:color w:val="auto"/>
        </w:rPr>
      </w:pPr>
      <w:r>
        <w:rPr>
          <w:rFonts w:ascii="Times New Roman" w:cs="Times New Roman" w:eastAsia="Times New Roman" w:hAnsi="Times New Roman"/>
          <w:sz w:val="19"/>
          <w:szCs w:val="19"/>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145"/>
        <w:spacing w:after="0" w:line="233" w:lineRule="auto"/>
        <w:tabs>
          <w:tab w:leader="none" w:pos="168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Liens not otherwise permitted by this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aggregate principal amount of Indebtedness secured by Liens permitted by this clause (i) shall not exceed on the date such Indebtedness is incurred the greater of</w:t>
      </w:r>
    </w:p>
    <w:p>
      <w:pPr>
        <w:spacing w:after="0" w:line="1" w:lineRule="exact"/>
        <w:rPr>
          <w:rFonts w:ascii="Times New Roman" w:cs="Times New Roman" w:eastAsia="Times New Roman" w:hAnsi="Times New Roman"/>
          <w:sz w:val="19"/>
          <w:szCs w:val="19"/>
          <w:color w:val="auto"/>
        </w:rPr>
      </w:pPr>
    </w:p>
    <w:p>
      <w:pPr>
        <w:jc w:val="both"/>
        <w:ind w:firstLine="5"/>
        <w:spacing w:after="0" w:line="226" w:lineRule="auto"/>
        <w:tabs>
          <w:tab w:leader="none" w:pos="3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US$200,000,000 and (B) 10% of Consolidated Total Assets as of the most recent audited consolidated financial statements 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and (y) the aggregate principal amount of Indebtedness secured by Liens permitted by this clause (i), together with the aggregate outstanding principal amount of Indebtedness incurred pursuant to </w:t>
      </w:r>
      <w:r>
        <w:rPr>
          <w:rFonts w:ascii="Times New Roman" w:cs="Times New Roman" w:eastAsia="Times New Roman" w:hAnsi="Times New Roman"/>
          <w:sz w:val="19"/>
          <w:szCs w:val="19"/>
          <w:u w:val="single" w:color="auto"/>
          <w:color w:val="auto"/>
        </w:rPr>
        <w:t>Section 5.8(e)</w:t>
      </w:r>
      <w:r>
        <w:rPr>
          <w:rFonts w:ascii="Times New Roman" w:cs="Times New Roman" w:eastAsia="Times New Roman" w:hAnsi="Times New Roman"/>
          <w:sz w:val="19"/>
          <w:szCs w:val="19"/>
          <w:color w:val="auto"/>
        </w:rPr>
        <w:t xml:space="preserve">, shall not exceed on the date such Indebtedness is incurred the greater of (A) US$300,000,000 and (B) 15% of Consolidated Total Assets as of the most recent audited consolidated financial statements delivered on or prior to such date of incurrence in accordance with the terms of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w:t>
      </w:r>
    </w:p>
    <w:p>
      <w:pPr>
        <w:spacing w:after="0" w:line="96" w:lineRule="exact"/>
        <w:rPr>
          <w:rFonts w:ascii="Times New Roman" w:cs="Times New Roman" w:eastAsia="Times New Roman" w:hAnsi="Times New Roman"/>
          <w:sz w:val="19"/>
          <w:szCs w:val="19"/>
          <w:color w:val="auto"/>
        </w:rPr>
      </w:pPr>
    </w:p>
    <w:p>
      <w:pPr>
        <w:jc w:val="both"/>
        <w:ind w:right="20" w:firstLine="1145"/>
        <w:spacing w:after="0" w:line="232" w:lineRule="auto"/>
        <w:tabs>
          <w:tab w:leader="none" w:pos="165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materials, supplies, components or equipment acquired with purchase money indebtedness permitted to be incurred by clause (i) of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 so long as (i) such security interests and the Indebtedness secured thereby are incurred prior to or within 90 days after such acquisition, (ii) the Indebtedness secured thereby does not exceed 100% of the cost of acquiring such materials, supplies, components or equipment and (iii) such security interests shall not apply to any other property or assets of the Borrower or any Subsidiary;</w:t>
      </w:r>
    </w:p>
    <w:p>
      <w:pPr>
        <w:spacing w:after="0" w:line="95" w:lineRule="exact"/>
        <w:rPr>
          <w:rFonts w:ascii="Times New Roman" w:cs="Times New Roman" w:eastAsia="Times New Roman" w:hAnsi="Times New Roman"/>
          <w:sz w:val="19"/>
          <w:szCs w:val="19"/>
          <w:color w:val="auto"/>
        </w:rPr>
      </w:pPr>
    </w:p>
    <w:p>
      <w:pPr>
        <w:ind w:right="20" w:firstLine="1145"/>
        <w:spacing w:after="0" w:line="255" w:lineRule="auto"/>
        <w:tabs>
          <w:tab w:leader="none" w:pos="1662"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call, buy-sell or similar rights negotiated on an arm’s length basis and granted to third-party joint venture partners in respect of Equity Interests of the applicable joint venture;</w:t>
      </w:r>
    </w:p>
    <w:p>
      <w:pPr>
        <w:spacing w:after="0" w:line="81"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proceeds of any assets permitted to be subject to any Lien permitted by this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ind w:right="20" w:firstLine="1145"/>
        <w:spacing w:after="0" w:line="255" w:lineRule="auto"/>
        <w:tabs>
          <w:tab w:leader="none" w:pos="168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arising in connection with the defeasance, discharge, satisfaction and/or redemption of Indebtedness as contemplated by the definition of Indebtedness; and</w:t>
      </w:r>
    </w:p>
    <w:p>
      <w:pPr>
        <w:spacing w:after="0" w:line="81"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62"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any amounts held by a trustee or other escrow agent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95" w:lineRule="exact"/>
        <w:rPr>
          <w:sz w:val="20"/>
          <w:szCs w:val="20"/>
          <w:color w:val="auto"/>
        </w:rPr>
      </w:pPr>
    </w:p>
    <w:p>
      <w:pPr>
        <w:ind w:left="1140"/>
        <w:spacing w:after="0"/>
        <w:tabs>
          <w:tab w:leader="none" w:pos="2900" w:val="left"/>
        </w:tabs>
        <w:rPr>
          <w:sz w:val="20"/>
          <w:szCs w:val="20"/>
          <w:color w:val="auto"/>
        </w:rPr>
      </w:pPr>
      <w:r>
        <w:rPr>
          <w:rFonts w:ascii="Times New Roman" w:cs="Times New Roman" w:eastAsia="Times New Roman" w:hAnsi="Times New Roman"/>
          <w:sz w:val="19"/>
          <w:szCs w:val="19"/>
          <w:color w:val="auto"/>
        </w:rPr>
        <w:t>SECTION 5.10.</w:t>
      </w:r>
      <w:r>
        <w:rPr>
          <w:sz w:val="20"/>
          <w:szCs w:val="20"/>
          <w:color w:val="auto"/>
        </w:rPr>
        <w:tab/>
      </w:r>
      <w:r>
        <w:rPr>
          <w:rFonts w:ascii="Times New Roman" w:cs="Times New Roman" w:eastAsia="Times New Roman" w:hAnsi="Times New Roman"/>
          <w:sz w:val="19"/>
          <w:szCs w:val="19"/>
          <w:u w:val="single" w:color="auto"/>
          <w:color w:val="auto"/>
        </w:rPr>
        <w:t xml:space="preserve">Fundamental Changes. </w:t>
      </w:r>
      <w:r>
        <w:rPr>
          <w:rFonts w:ascii="Times New Roman" w:cs="Times New Roman" w:eastAsia="Times New Roman" w:hAnsi="Times New Roman"/>
          <w:sz w:val="19"/>
          <w:szCs w:val="19"/>
          <w:color w:val="auto"/>
        </w:rPr>
        <w:t>The Borrower will not, nor will it permit any other Loan Party to,</w:t>
      </w:r>
    </w:p>
    <w:p>
      <w:pPr>
        <w:spacing w:after="0" w:line="5" w:lineRule="exact"/>
        <w:rPr>
          <w:sz w:val="20"/>
          <w:szCs w:val="20"/>
          <w:color w:val="auto"/>
        </w:rPr>
      </w:pPr>
    </w:p>
    <w:p>
      <w:pPr>
        <w:jc w:val="both"/>
        <w:ind w:firstLine="5"/>
        <w:spacing w:after="0" w:line="221" w:lineRule="auto"/>
        <w:tabs>
          <w:tab w:leader="none" w:pos="259"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 amalgamate or merge with or into any other Person, unless (i) the company surviving such consolidation, amalgamation or merger is either the Borrower or, in the case of any consolidation, amalgamation or merger of a Loan Party, another Loan Party and</w:t>
      </w:r>
    </w:p>
    <w:p>
      <w:pPr>
        <w:spacing w:after="0" w:line="1" w:lineRule="exact"/>
        <w:rPr>
          <w:rFonts w:ascii="Times New Roman" w:cs="Times New Roman" w:eastAsia="Times New Roman" w:hAnsi="Times New Roman"/>
          <w:sz w:val="19"/>
          <w:szCs w:val="19"/>
          <w:color w:val="auto"/>
        </w:rPr>
      </w:pPr>
    </w:p>
    <w:p>
      <w:pPr>
        <w:ind w:left="300" w:hanging="295"/>
        <w:spacing w:after="0" w:line="221" w:lineRule="auto"/>
        <w:tabs>
          <w:tab w:leader="none" w:pos="3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consolidation, amalgamation or merger, no Default shall have occurred and be continuing or</w:t>
      </w:r>
    </w:p>
    <w:p>
      <w:pPr>
        <w:ind w:right="40" w:firstLine="5"/>
        <w:spacing w:after="0" w:line="235" w:lineRule="auto"/>
        <w:tabs>
          <w:tab w:leader="none" w:pos="27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lease or otherwise transfer, directly or indirectly, all or substantially all of the assets of the Borrower and its Subsidiaries, taken as a whole, to any Person other than a Loan Party.</w:t>
      </w:r>
    </w:p>
    <w:p>
      <w:pPr>
        <w:spacing w:after="0" w:line="96"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The Borrower will not, nor will it permit any Material Subsidiary to, declare or make, or agree to pay or make, directly or indirectly, any Restricted Payment, or incur any obligation (contingent or otherwise) to do so, except (a) Material Subsidiaries (i) may make Restricted Payments ratably with respect to their Equity Interests (or if</w:t>
      </w:r>
    </w:p>
    <w:p>
      <w:pPr>
        <w:sectPr>
          <w:pgSz w:w="11900" w:h="16840" w:orient="portrait"/>
          <w:cols w:equalWidth="0" w:num="1">
            <w:col w:w="10580"/>
          </w:cols>
          <w:pgMar w:left="660" w:top="556" w:right="660" w:bottom="1440" w:gutter="0" w:footer="0" w:header="0"/>
        </w:sectPr>
      </w:pPr>
    </w:p>
    <w:bookmarkStart w:id="91" w:name="page92"/>
    <w:bookmarkEnd w:id="91"/>
    <w:p>
      <w:pPr>
        <w:ind w:left="10380"/>
        <w:spacing w:after="0"/>
        <w:rPr>
          <w:sz w:val="20"/>
          <w:szCs w:val="20"/>
          <w:color w:val="auto"/>
        </w:rPr>
      </w:pPr>
      <w:r>
        <w:rPr>
          <w:rFonts w:ascii="Times New Roman" w:cs="Times New Roman" w:eastAsia="Times New Roman" w:hAnsi="Times New Roman"/>
          <w:sz w:val="19"/>
          <w:szCs w:val="19"/>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not ratably, on a basis more favorable to the Loan Parties), (ii) may make Restricted Payments to Loan Parties, and (iii) that are not Guarantors may make Restricted Payments to other Subsidiaries that are not Guarantors; and (b) the Borrower or any Material Subsidiary may make any Restricted Payment so long as no Default or Event of Default exists or would result from the making of such Restricted Payment and after giving effect to all transactions consummated in connection therewith.</w:t>
      </w:r>
    </w:p>
    <w:p>
      <w:pPr>
        <w:spacing w:after="0" w:line="98"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5.12. </w:t>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 xml:space="preserve"> As of the last day of each fiscal quarter of the Borrower (commencing with the first full fiscal quarter following the Effective Date), the Borrower shall not permit the Total Net Leverage Ratio to exceed 3.50 to 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following the completion of a Material Acquisition, on up to two occasions, the Borrower may elect to increase the maximum Total Net Leverage Ratio to 4.00 to 1.00, with such increase applicable for the fiscal quarter in which such Material Acquisition is consummated and for each of the following three consecutive fiscal quarters.</w:t>
      </w:r>
    </w:p>
    <w:p>
      <w:pPr>
        <w:spacing w:after="0" w:line="96" w:lineRule="exact"/>
        <w:rPr>
          <w:sz w:val="20"/>
          <w:szCs w:val="20"/>
          <w:color w:val="auto"/>
        </w:rPr>
      </w:pPr>
    </w:p>
    <w:p>
      <w:pPr>
        <w:jc w:val="both"/>
        <w:ind w:firstLine="1140"/>
        <w:spacing w:after="0" w:line="233" w:lineRule="auto"/>
        <w:rPr>
          <w:sz w:val="20"/>
          <w:szCs w:val="20"/>
          <w:color w:val="auto"/>
        </w:rPr>
      </w:pPr>
      <w:r>
        <w:rPr>
          <w:rFonts w:ascii="Times New Roman" w:cs="Times New Roman" w:eastAsia="Times New Roman" w:hAnsi="Times New Roman"/>
          <w:sz w:val="19"/>
          <w:szCs w:val="19"/>
          <w:color w:val="auto"/>
        </w:rPr>
        <w:t xml:space="preserve">SECTION 5.13. </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The Borrower will not, and will not permit any of its Subsidiaries to, (a) be or become a “covered foreign person”, as that term is defined in the Outbound Investment Rules, or (b) engage, directly or indirectly, in</w:t>
      </w:r>
    </w:p>
    <w:p>
      <w:pPr>
        <w:spacing w:after="0" w:line="1" w:lineRule="exact"/>
        <w:rPr>
          <w:sz w:val="20"/>
          <w:szCs w:val="20"/>
          <w:color w:val="auto"/>
        </w:rPr>
      </w:pPr>
    </w:p>
    <w:p>
      <w:pPr>
        <w:jc w:val="both"/>
        <w:ind w:firstLine="5"/>
        <w:spacing w:after="0" w:line="227" w:lineRule="auto"/>
        <w:tabs>
          <w:tab w:leader="none" w:pos="24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VI</w:t>
      </w:r>
    </w:p>
    <w:p>
      <w:pPr>
        <w:spacing w:after="0" w:line="18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DEFAULTS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6.1.</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xml:space="preserve"> If one or more of the following events (“</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shall have occurred and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continuing:</w:t>
      </w:r>
    </w:p>
    <w:p>
      <w:pPr>
        <w:spacing w:after="0" w:line="104" w:lineRule="exact"/>
        <w:rPr>
          <w:sz w:val="20"/>
          <w:szCs w:val="20"/>
          <w:color w:val="auto"/>
        </w:rPr>
      </w:pPr>
    </w:p>
    <w:p>
      <w:pPr>
        <w:ind w:firstLine="1145"/>
        <w:spacing w:after="0" w:line="255" w:lineRule="auto"/>
        <w:tabs>
          <w:tab w:leader="none" w:pos="166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when due principal of any Loan or shall fail to pay within five Business Days of the due date thereof any interest or other amount payable hereunder;</w:t>
      </w:r>
    </w:p>
    <w:p>
      <w:pPr>
        <w:spacing w:after="0" w:line="81" w:lineRule="exact"/>
        <w:rPr>
          <w:rFonts w:ascii="Times New Roman" w:cs="Times New Roman" w:eastAsia="Times New Roman" w:hAnsi="Times New Roman"/>
          <w:sz w:val="19"/>
          <w:szCs w:val="19"/>
          <w:color w:val="auto"/>
        </w:rPr>
      </w:pPr>
    </w:p>
    <w:p>
      <w:pPr>
        <w:jc w:val="both"/>
        <w:ind w:firstLine="1145"/>
        <w:spacing w:after="0" w:line="239" w:lineRule="auto"/>
        <w:tabs>
          <w:tab w:leader="none" w:pos="166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solely with respect to the failure to observe or perform the covenants contained in </w:t>
      </w:r>
      <w:r>
        <w:rPr>
          <w:rFonts w:ascii="Times New Roman" w:cs="Times New Roman" w:eastAsia="Times New Roman" w:hAnsi="Times New Roman"/>
          <w:sz w:val="19"/>
          <w:szCs w:val="19"/>
          <w:u w:val="single" w:color="auto"/>
          <w:color w:val="auto"/>
        </w:rPr>
        <w:t>Sections 5.8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5.9</w:t>
      </w:r>
      <w:r>
        <w:rPr>
          <w:rFonts w:ascii="Times New Roman" w:cs="Times New Roman" w:eastAsia="Times New Roman" w:hAnsi="Times New Roman"/>
          <w:sz w:val="19"/>
          <w:szCs w:val="19"/>
          <w:color w:val="auto"/>
        </w:rPr>
        <w:t xml:space="preserve">, any Subsidiary that becomes bound by such covenant in accordance with the terms thereof) shall fail to observe or perform any covenant contained in </w:t>
      </w:r>
      <w:r>
        <w:rPr>
          <w:rFonts w:ascii="Times New Roman" w:cs="Times New Roman" w:eastAsia="Times New Roman" w:hAnsi="Times New Roman"/>
          <w:sz w:val="19"/>
          <w:szCs w:val="19"/>
          <w:u w:val="single" w:color="auto"/>
          <w:color w:val="auto"/>
        </w:rPr>
        <w:t>Sections 5.1(d)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5.3</w:t>
      </w:r>
      <w:r>
        <w:rPr>
          <w:rFonts w:ascii="Times New Roman" w:cs="Times New Roman" w:eastAsia="Times New Roman" w:hAnsi="Times New Roman"/>
          <w:sz w:val="19"/>
          <w:szCs w:val="19"/>
          <w:color w:val="auto"/>
        </w:rPr>
        <w:t xml:space="preserve"> (with respect to the existence of the Borrower), </w:t>
      </w:r>
      <w:r>
        <w:rPr>
          <w:rFonts w:ascii="Times New Roman" w:cs="Times New Roman" w:eastAsia="Times New Roman" w:hAnsi="Times New Roman"/>
          <w:sz w:val="19"/>
          <w:szCs w:val="19"/>
          <w:u w:val="single" w:color="auto"/>
          <w:color w:val="auto"/>
        </w:rPr>
        <w:t>5.6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5.8</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19"/>
          <w:szCs w:val="19"/>
          <w:u w:val="single" w:color="auto"/>
          <w:color w:val="auto"/>
        </w:rPr>
        <w:t>5.12</w:t>
      </w:r>
      <w:r>
        <w:rPr>
          <w:rFonts w:ascii="Times New Roman" w:cs="Times New Roman" w:eastAsia="Times New Roman" w:hAnsi="Times New Roman"/>
          <w:sz w:val="19"/>
          <w:szCs w:val="19"/>
          <w:color w:val="auto"/>
        </w:rPr>
        <w:t>, inclusive;</w:t>
      </w:r>
    </w:p>
    <w:p>
      <w:pPr>
        <w:spacing w:after="0" w:line="95"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7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fail to observe or perform any covenant or agreement contained in this Agreement (other than those covered by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for 30 days after notice thereof has been given to the Borrower by the Administrative Agent at the request of any Bank;</w:t>
      </w:r>
    </w:p>
    <w:p>
      <w:pPr>
        <w:spacing w:after="0" w:line="95" w:lineRule="exact"/>
        <w:rPr>
          <w:rFonts w:ascii="Times New Roman" w:cs="Times New Roman" w:eastAsia="Times New Roman" w:hAnsi="Times New Roman"/>
          <w:sz w:val="19"/>
          <w:szCs w:val="19"/>
          <w:color w:val="auto"/>
        </w:rPr>
      </w:pPr>
    </w:p>
    <w:p>
      <w:pPr>
        <w:ind w:right="20" w:firstLine="1145"/>
        <w:spacing w:after="0" w:line="255" w:lineRule="auto"/>
        <w:tabs>
          <w:tab w:leader="none" w:pos="166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by or on behalf of the Borrower or any Subsidiary in this Agreement or in any certificate, financial statement or other document delivered</w:t>
      </w:r>
    </w:p>
    <w:p>
      <w:pPr>
        <w:sectPr>
          <w:pgSz w:w="11900" w:h="16840" w:orient="portrait"/>
          <w:cols w:equalWidth="0" w:num="1">
            <w:col w:w="10580"/>
          </w:cols>
          <w:pgMar w:left="660" w:top="556" w:right="660" w:bottom="1440" w:gutter="0" w:footer="0" w:header="0"/>
        </w:sectPr>
      </w:pPr>
    </w:p>
    <w:bookmarkStart w:id="92" w:name="page93"/>
    <w:bookmarkEnd w:id="92"/>
    <w:p>
      <w:pPr>
        <w:ind w:left="10380"/>
        <w:spacing w:after="0"/>
        <w:rPr>
          <w:sz w:val="20"/>
          <w:szCs w:val="20"/>
          <w:color w:val="auto"/>
        </w:rPr>
      </w:pPr>
      <w:r>
        <w:rPr>
          <w:rFonts w:ascii="Times New Roman" w:cs="Times New Roman" w:eastAsia="Times New Roman" w:hAnsi="Times New Roman"/>
          <w:sz w:val="19"/>
          <w:szCs w:val="19"/>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pursuant to this Agreement shall prove to have been incorrect in any material respect when made (or deemed made);</w:t>
      </w:r>
    </w:p>
    <w:p>
      <w:pPr>
        <w:spacing w:after="0" w:line="126" w:lineRule="exact"/>
        <w:rPr>
          <w:sz w:val="20"/>
          <w:szCs w:val="20"/>
          <w:color w:val="auto"/>
        </w:rPr>
      </w:pPr>
    </w:p>
    <w:p>
      <w:pPr>
        <w:jc w:val="both"/>
        <w:ind w:firstLine="1145"/>
        <w:spacing w:after="0" w:line="239" w:lineRule="auto"/>
        <w:tabs>
          <w:tab w:leader="none" w:pos="166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event or condition shall occur which results in the acceleration of the maturity of any Material Indebtedness, or the Borrower or any Subsidiary shall fail to make any principal or interest payment in respect of any Material Indebtedness, when and as the same shall become due and payable (subject to any applicable grace period);</w:t>
      </w:r>
    </w:p>
    <w:p>
      <w:pPr>
        <w:spacing w:after="0" w:line="95" w:lineRule="exact"/>
        <w:rPr>
          <w:rFonts w:ascii="Times New Roman" w:cs="Times New Roman" w:eastAsia="Times New Roman" w:hAnsi="Times New Roman"/>
          <w:sz w:val="19"/>
          <w:szCs w:val="19"/>
          <w:color w:val="auto"/>
        </w:rPr>
      </w:pPr>
    </w:p>
    <w:p>
      <w:pPr>
        <w:jc w:val="both"/>
        <w:ind w:firstLine="1145"/>
        <w:spacing w:after="0" w:line="230" w:lineRule="auto"/>
        <w:tabs>
          <w:tab w:leader="none" w:pos="168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any Guarantor or any Material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take any corporate action to authorize any of the foregoing;</w:t>
      </w:r>
    </w:p>
    <w:p>
      <w:pPr>
        <w:spacing w:after="0" w:line="97" w:lineRule="exact"/>
        <w:rPr>
          <w:rFonts w:ascii="Times New Roman" w:cs="Times New Roman" w:eastAsia="Times New Roman" w:hAnsi="Times New Roman"/>
          <w:sz w:val="19"/>
          <w:szCs w:val="19"/>
          <w:color w:val="auto"/>
        </w:rPr>
      </w:pPr>
    </w:p>
    <w:p>
      <w:pPr>
        <w:jc w:val="both"/>
        <w:ind w:firstLine="1145"/>
        <w:spacing w:after="0" w:line="232" w:lineRule="auto"/>
        <w:tabs>
          <w:tab w:leader="none" w:pos="167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case or other proceeding shall be commenced against the Borrower, any Guarantor or any Material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w:t>
      </w:r>
    </w:p>
    <w:p>
      <w:pPr>
        <w:spacing w:after="0" w:line="95" w:lineRule="exact"/>
        <w:rPr>
          <w:rFonts w:ascii="Times New Roman" w:cs="Times New Roman" w:eastAsia="Times New Roman" w:hAnsi="Times New Roman"/>
          <w:sz w:val="19"/>
          <w:szCs w:val="19"/>
          <w:color w:val="auto"/>
        </w:rPr>
      </w:pPr>
    </w:p>
    <w:p>
      <w:pPr>
        <w:ind w:right="40" w:firstLine="1145"/>
        <w:spacing w:after="0" w:line="255" w:lineRule="auto"/>
        <w:tabs>
          <w:tab w:leader="none" w:pos="168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when taken together with all other ERISA Events that have occurred, would reasonably be expected to result in a Material Adverse Effect;</w:t>
      </w:r>
    </w:p>
    <w:p>
      <w:pPr>
        <w:spacing w:after="0" w:line="81" w:lineRule="exact"/>
        <w:rPr>
          <w:rFonts w:ascii="Times New Roman" w:cs="Times New Roman" w:eastAsia="Times New Roman" w:hAnsi="Times New Roman"/>
          <w:sz w:val="19"/>
          <w:szCs w:val="19"/>
          <w:color w:val="auto"/>
        </w:rPr>
      </w:pPr>
    </w:p>
    <w:p>
      <w:pPr>
        <w:jc w:val="both"/>
        <w:ind w:firstLine="1145"/>
        <w:spacing w:after="0" w:line="234" w:lineRule="auto"/>
        <w:tabs>
          <w:tab w:leader="none" w:pos="166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final judgment or order for the payment of money in excess of US$75,000,000 (except to the extent covered by insurance) shall be rendered against the Borrower or any Subsidiary and such judgment or order shall continue unsatisfied and unstayed past due for a period of 30 days or for such longer period of time, not exceeding 90 days, during which, under applicable law, an appeal may be taken from such judgment or order without leave of the relevant court;</w:t>
      </w:r>
    </w:p>
    <w:p>
      <w:pPr>
        <w:spacing w:after="0" w:line="97"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Control shall occur;</w:t>
      </w:r>
    </w:p>
    <w:p>
      <w:pPr>
        <w:spacing w:after="0" w:line="125" w:lineRule="exact"/>
        <w:rPr>
          <w:rFonts w:ascii="Times New Roman" w:cs="Times New Roman" w:eastAsia="Times New Roman" w:hAnsi="Times New Roman"/>
          <w:sz w:val="19"/>
          <w:szCs w:val="19"/>
          <w:color w:val="auto"/>
        </w:rPr>
      </w:pPr>
    </w:p>
    <w:p>
      <w:pPr>
        <w:jc w:val="both"/>
        <w:ind w:firstLine="1145"/>
        <w:spacing w:after="0" w:line="234" w:lineRule="auto"/>
        <w:tabs>
          <w:tab w:leader="none" w:pos="166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provision of any Loan Document, at any time after its execution and delivery and for any reason other than as expressly permitted hereunder or thereunder or satisfaction in full of all Obligations under any Loan Document, ceases to be valid and enforceable against the Loan Parties party to such Loan Documents; or the Borrower or any of its Subsidiaries contests in writing the validity or enforceability of any provision of any Loan Document; or</w:t>
      </w:r>
    </w:p>
    <w:p>
      <w:pPr>
        <w:spacing w:after="0" w:line="97"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Guarantor shall fail generally to pay its debts as they become due;</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then, and in every such event, the Administrative Agent shall, if requested by the Required Banks, by notice to the Borrower declare the Loans hereunder (together with accrued interest thereon) to be, and the Loans shall thereupon become, immediately due and payable without presentment,</w:t>
      </w:r>
    </w:p>
    <w:p>
      <w:pPr>
        <w:sectPr>
          <w:pgSz w:w="11900" w:h="16840" w:orient="portrait"/>
          <w:cols w:equalWidth="0" w:num="1">
            <w:col w:w="10580"/>
          </w:cols>
          <w:pgMar w:left="660" w:top="556" w:right="660" w:bottom="1440" w:gutter="0" w:footer="0" w:header="0"/>
        </w:sectPr>
      </w:pPr>
    </w:p>
    <w:bookmarkStart w:id="93" w:name="page94"/>
    <w:bookmarkEnd w:id="93"/>
    <w:p>
      <w:pPr>
        <w:ind w:left="10380"/>
        <w:spacing w:after="0"/>
        <w:rPr>
          <w:sz w:val="20"/>
          <w:szCs w:val="20"/>
          <w:color w:val="auto"/>
        </w:rPr>
      </w:pPr>
      <w:r>
        <w:rPr>
          <w:rFonts w:ascii="Times New Roman" w:cs="Times New Roman" w:eastAsia="Times New Roman" w:hAnsi="Times New Roman"/>
          <w:sz w:val="19"/>
          <w:szCs w:val="19"/>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9"/>
          <w:szCs w:val="19"/>
          <w:color w:val="auto"/>
        </w:rPr>
        <w:t xml:space="preserve">demand, protest or other notice of any kind, all of which are hereby waived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of the Events of Default specified in clause (f) or (g) above, without any notice to the Borrower or any other act by the Administrative Agent or the Banks, the Loans (together with accrued interest thereon) shall become immediately due and payable without presentment, demand, protest or other notice of any kind, all of which are hereby waived by the Borrower.</w:t>
      </w:r>
    </w:p>
    <w:p>
      <w:pPr>
        <w:spacing w:after="0" w:line="134" w:lineRule="exact"/>
        <w:rPr>
          <w:sz w:val="20"/>
          <w:szCs w:val="20"/>
          <w:color w:val="auto"/>
        </w:rPr>
      </w:pPr>
    </w:p>
    <w:p>
      <w:pPr>
        <w:jc w:val="both"/>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6.2.</w:t>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 xml:space="preserve"> The Administrative Agent shall give notice to the Borrower under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promptly upon being requested to do so by any Bank and shall thereupon notify all the Banks thereof.</w:t>
      </w:r>
    </w:p>
    <w:p>
      <w:pPr>
        <w:spacing w:after="0" w:line="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ARTICLE VII</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126" w:lineRule="exact"/>
        <w:rPr>
          <w:sz w:val="20"/>
          <w:szCs w:val="20"/>
          <w:color w:val="auto"/>
        </w:rPr>
      </w:pPr>
    </w:p>
    <w:p>
      <w:pPr>
        <w:jc w:val="both"/>
        <w:ind w:firstLine="1140"/>
        <w:spacing w:after="0" w:line="229" w:lineRule="auto"/>
        <w:rPr>
          <w:sz w:val="20"/>
          <w:szCs w:val="20"/>
          <w:color w:val="auto"/>
        </w:rPr>
      </w:pPr>
      <w:r>
        <w:rPr>
          <w:rFonts w:ascii="Times New Roman" w:cs="Times New Roman" w:eastAsia="Times New Roman" w:hAnsi="Times New Roman"/>
          <w:sz w:val="19"/>
          <w:szCs w:val="19"/>
          <w:color w:val="auto"/>
        </w:rPr>
        <w:t>SECTION 7.1.</w:t>
      </w:r>
      <w:r>
        <w:rPr>
          <w:rFonts w:ascii="Times New Roman" w:cs="Times New Roman" w:eastAsia="Times New Roman" w:hAnsi="Times New Roman"/>
          <w:sz w:val="19"/>
          <w:szCs w:val="19"/>
          <w:u w:val="single" w:color="auto"/>
          <w:color w:val="auto"/>
        </w:rPr>
        <w:t>Appointment and Authorization.</w:t>
      </w:r>
      <w:r>
        <w:rPr>
          <w:rFonts w:ascii="Times New Roman" w:cs="Times New Roman" w:eastAsia="Times New Roman" w:hAnsi="Times New Roman"/>
          <w:sz w:val="19"/>
          <w:szCs w:val="19"/>
          <w:color w:val="auto"/>
        </w:rPr>
        <w:t xml:space="preserve"> Each Bank irrevocably appoints Wells Fargo and its successors to serve as administrative agent under the Loan Documents and authorizes the Administrative Agent to take such action as agent on its behalf and to exercise such powers under this Agreement and the Notes as are delegated to the Administrative Agent by the terms hereof or thereof, together with all such powers as are reasonably incidental thereto. In performing its functions and duties hereunder and under the other Loan Documents, the Administrative Agent is acting solely on behalf of the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w:t>
      </w:r>
    </w:p>
    <w:p>
      <w:pPr>
        <w:spacing w:after="0" w:line="96"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 xml:space="preserve">SECTION 7.2. </w:t>
      </w:r>
      <w:r>
        <w:rPr>
          <w:rFonts w:ascii="Times New Roman" w:cs="Times New Roman" w:eastAsia="Times New Roman" w:hAnsi="Times New Roman"/>
          <w:sz w:val="19"/>
          <w:szCs w:val="19"/>
          <w:u w:val="single" w:color="auto"/>
          <w:color w:val="auto"/>
        </w:rPr>
        <w:t>Administrative Agent and Affiliates.</w:t>
      </w:r>
      <w:r>
        <w:rPr>
          <w:rFonts w:ascii="Times New Roman" w:cs="Times New Roman" w:eastAsia="Times New Roman" w:hAnsi="Times New Roman"/>
          <w:sz w:val="19"/>
          <w:szCs w:val="19"/>
          <w:color w:val="auto"/>
        </w:rPr>
        <w:t xml:space="preserve"> Wells Fargo shall have the same rights and powers under this Agreement as any other Bank and may exercise or refrain from exercising the same as though it were not the Administrative Agent, and Wells Fargo and its Affiliates may accept deposits from, lend money to, own securities of, act as the financial advisor or in any other advisory capacity for and generally engage in any kind of banking, trust, financial advisory, underwriting, capital markets or other business with the Borrower or any Subsidiary or Affiliate of the Borrower as if it were not the Administrative Agent hereunder and without any duty to account therefor to the Banks or to provide notice to or consent of the Banks with respect thereto.</w:t>
      </w:r>
    </w:p>
    <w:p>
      <w:pPr>
        <w:spacing w:after="0" w:line="97"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SECTION 7.3.</w:t>
      </w:r>
      <w:r>
        <w:rPr>
          <w:rFonts w:ascii="Times New Roman" w:cs="Times New Roman" w:eastAsia="Times New Roman" w:hAnsi="Times New Roman"/>
          <w:sz w:val="19"/>
          <w:szCs w:val="19"/>
          <w:u w:val="single" w:color="auto"/>
          <w:color w:val="auto"/>
        </w:rPr>
        <w:t>Action by the Administrative Agent.</w:t>
      </w:r>
      <w:r>
        <w:rPr>
          <w:rFonts w:ascii="Times New Roman" w:cs="Times New Roman" w:eastAsia="Times New Roman" w:hAnsi="Times New Roman"/>
          <w:sz w:val="19"/>
          <w:szCs w:val="19"/>
          <w:color w:val="auto"/>
        </w:rPr>
        <w:t xml:space="preserve"> The obligations of the Administrative Agent hereunder are only those expressly set forth herein and its duties hereunder shall be administrative in nature. Without limiting the generality of the foregoing, the Administrative Agent, the Arranger and their respective Related Parties:</w:t>
      </w:r>
    </w:p>
    <w:p>
      <w:pPr>
        <w:spacing w:after="0" w:line="95" w:lineRule="exact"/>
        <w:rPr>
          <w:sz w:val="20"/>
          <w:szCs w:val="20"/>
          <w:color w:val="auto"/>
        </w:rPr>
      </w:pPr>
    </w:p>
    <w:p>
      <w:pPr>
        <w:ind w:left="580" w:firstLine="565"/>
        <w:spacing w:after="0" w:line="255" w:lineRule="auto"/>
        <w:tabs>
          <w:tab w:leader="none" w:pos="16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agency, trust, fiduciary or other implied duties, regardless of whether a Default or Event of Default has occurred and is continuing;</w:t>
      </w:r>
    </w:p>
    <w:p>
      <w:pPr>
        <w:spacing w:after="0" w:line="81" w:lineRule="exact"/>
        <w:rPr>
          <w:rFonts w:ascii="Times New Roman" w:cs="Times New Roman" w:eastAsia="Times New Roman" w:hAnsi="Times New Roman"/>
          <w:sz w:val="19"/>
          <w:szCs w:val="19"/>
          <w:color w:val="auto"/>
        </w:rPr>
      </w:pPr>
    </w:p>
    <w:p>
      <w:pPr>
        <w:ind w:left="580" w:right="20" w:firstLine="565"/>
        <w:spacing w:after="0" w:line="255" w:lineRule="auto"/>
        <w:tabs>
          <w:tab w:leader="none" w:pos="168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to take any discretionary action or exercise any discretionary powers, except discretionary rights and powers expressly contemplated hereby or by the other Loan Documents that the Administrative Agent is required to</w:t>
      </w:r>
    </w:p>
    <w:p>
      <w:pPr>
        <w:sectPr>
          <w:pgSz w:w="11900" w:h="16840" w:orient="portrait"/>
          <w:cols w:equalWidth="0" w:num="1">
            <w:col w:w="10580"/>
          </w:cols>
          <w:pgMar w:left="660" w:top="556" w:right="660" w:bottom="1440" w:gutter="0" w:footer="0" w:header="0"/>
        </w:sectPr>
      </w:pPr>
    </w:p>
    <w:bookmarkStart w:id="94" w:name="page95"/>
    <w:bookmarkEnd w:id="94"/>
    <w:p>
      <w:pPr>
        <w:ind w:left="10380"/>
        <w:spacing w:after="0"/>
        <w:rPr>
          <w:sz w:val="20"/>
          <w:szCs w:val="20"/>
          <w:color w:val="auto"/>
        </w:rPr>
      </w:pPr>
      <w:r>
        <w:rPr>
          <w:rFonts w:ascii="Times New Roman" w:cs="Times New Roman" w:eastAsia="Times New Roman" w:hAnsi="Times New Roman"/>
          <w:sz w:val="19"/>
          <w:szCs w:val="19"/>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580"/>
        <w:spacing w:after="0" w:line="230" w:lineRule="auto"/>
        <w:rPr>
          <w:sz w:val="20"/>
          <w:szCs w:val="20"/>
          <w:color w:val="auto"/>
        </w:rPr>
      </w:pPr>
      <w:r>
        <w:rPr>
          <w:rFonts w:ascii="Times New Roman" w:cs="Times New Roman" w:eastAsia="Times New Roman" w:hAnsi="Times New Roman"/>
          <w:sz w:val="19"/>
          <w:szCs w:val="19"/>
          <w:color w:val="auto"/>
        </w:rPr>
        <w:t>exercise as directed in writing by the Required Banks (or such other number or percentage of the Banks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w:t>
      </w:r>
    </w:p>
    <w:p>
      <w:pPr>
        <w:spacing w:after="0" w:line="97" w:lineRule="exact"/>
        <w:rPr>
          <w:sz w:val="20"/>
          <w:szCs w:val="20"/>
          <w:color w:val="auto"/>
        </w:rPr>
      </w:pPr>
    </w:p>
    <w:p>
      <w:pPr>
        <w:jc w:val="both"/>
        <w:ind w:left="580" w:firstLine="565"/>
        <w:spacing w:after="0" w:line="230" w:lineRule="auto"/>
        <w:tabs>
          <w:tab w:leader="none" w:pos="167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to disclose, and shall not be liable for the failure to disclose to any Bank or any other Person, any credit or other information relating to or concerning the business, prospects, operations, properties, assets, financial or other condition or creditworthiness of the Borrower or any of its Subsidiaries or Affiliates that is communicated to, obtained by or otherwise in the possession of the Person serving as the Administrative Agent, the Arranger or their respective Related Parties in any capacity, except for notices, reports and other documents that are required to be furnished by the Administrative Agent to the Banks pursuant to the express provisions of this Agreement; and</w:t>
      </w:r>
    </w:p>
    <w:p>
      <w:pPr>
        <w:spacing w:after="0" w:line="97"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required to account to any Bank for any sum or profit received by the Administrative Agent for its own</w:t>
      </w:r>
    </w:p>
    <w:p>
      <w:pPr>
        <w:spacing w:after="0" w:line="5"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account.</w:t>
      </w:r>
    </w:p>
    <w:p>
      <w:pPr>
        <w:spacing w:after="0" w:line="104"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SECTION 7.4.</w:t>
      </w:r>
      <w:r>
        <w:rPr>
          <w:rFonts w:ascii="Times New Roman" w:cs="Times New Roman" w:eastAsia="Times New Roman" w:hAnsi="Times New Roman"/>
          <w:sz w:val="19"/>
          <w:szCs w:val="19"/>
          <w:u w:val="single" w:color="auto"/>
          <w:color w:val="auto"/>
        </w:rPr>
        <w:t>Consultation with Experts.</w:t>
      </w:r>
      <w:r>
        <w:rPr>
          <w:rFonts w:ascii="Times New Roman" w:cs="Times New Roman" w:eastAsia="Times New Roman" w:hAnsi="Times New Roman"/>
          <w:sz w:val="19"/>
          <w:szCs w:val="19"/>
          <w:color w:val="auto"/>
        </w:rPr>
        <w:t xml:space="preserve"> The Administrative Agent may consult with legal counsel (who may be counsel for the Borrower or any of its Affiliates), independent public accountants and other experts selected by it and shall not be liable for any action taken or omitted to be taken by it in good faith in accordance with the advice of such counsel, accountants or experts.</w:t>
      </w:r>
    </w:p>
    <w:p>
      <w:pPr>
        <w:spacing w:after="0" w:line="95"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SECTION 7.5.</w:t>
      </w:r>
      <w:r>
        <w:rPr>
          <w:rFonts w:ascii="Times New Roman" w:cs="Times New Roman" w:eastAsia="Times New Roman" w:hAnsi="Times New Roman"/>
          <w:sz w:val="19"/>
          <w:szCs w:val="19"/>
          <w:u w:val="single" w:color="auto"/>
          <w:color w:val="auto"/>
        </w:rPr>
        <w:t>Liability of the Administrative Agent.</w:t>
      </w:r>
      <w:r>
        <w:rPr>
          <w:rFonts w:ascii="Times New Roman" w:cs="Times New Roman" w:eastAsia="Times New Roman" w:hAnsi="Times New Roman"/>
          <w:sz w:val="19"/>
          <w:szCs w:val="19"/>
          <w:color w:val="auto"/>
        </w:rPr>
        <w:t xml:space="preserve"> (a) Neither the Administrative Agent nor any of its directors, officers, agents or employees shall be liable for any action taken or not taken by it in connection herewith (i) with the consent or at the request of the Required Banks (or all the Banks, if applicable) or (ii) in the absence of its own gross negligence or willful misconduct. Neither the Administrative Agent nor any of its directors, officers, agents or employees shall be responsible for or have any duty to ascertain, inquire into or verify (1) any statement, warranty or representation made in connection with this Agreement or any borrowing hereunder; (2) the performance or observance of any of the covenants or agreements of the Borrower or its Affiliates; (3) the satisfaction of any condition specified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except receipt of items required to be delivered to it; or (4) the validity, effectiveness or genuineness of this Agreement, the Notes or any other instrument or writing furnished in connection herewith. The Administrative Agent shall not incur any liability by acting in reliance upon any notice, consent, certificate, statement or other writing (which may be a bank wire or similar writing) believed by it to be genuine or to be signed by the proper party or parties.</w:t>
      </w:r>
    </w:p>
    <w:p>
      <w:pPr>
        <w:spacing w:after="0" w:line="103" w:lineRule="exact"/>
        <w:rPr>
          <w:sz w:val="20"/>
          <w:szCs w:val="20"/>
          <w:color w:val="auto"/>
        </w:rPr>
      </w:pPr>
    </w:p>
    <w:p>
      <w:pPr>
        <w:jc w:val="both"/>
        <w:ind w:firstLine="1145"/>
        <w:spacing w:after="0" w:line="239" w:lineRule="auto"/>
        <w:tabs>
          <w:tab w:leader="none" w:pos="167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entitled to rely upon, shall be fully protected in relying and shall not incur any liability for relying or acting upon, any notice, request, certificate, consent, Communication, statement, instrument, document or other writing (including any electronic message, Internet or intranet website posting or other distribution) believed by it to be</w:t>
      </w:r>
    </w:p>
    <w:p>
      <w:pPr>
        <w:sectPr>
          <w:pgSz w:w="11900" w:h="16840" w:orient="portrait"/>
          <w:cols w:equalWidth="0" w:num="1">
            <w:col w:w="10580"/>
          </w:cols>
          <w:pgMar w:left="660" w:top="556" w:right="660" w:bottom="1440" w:gutter="0" w:footer="0" w:header="0"/>
        </w:sectPr>
      </w:pPr>
    </w:p>
    <w:bookmarkStart w:id="95" w:name="page96"/>
    <w:bookmarkEnd w:id="95"/>
    <w:p>
      <w:pPr>
        <w:ind w:left="10380"/>
        <w:spacing w:after="0"/>
        <w:rPr>
          <w:sz w:val="20"/>
          <w:szCs w:val="20"/>
          <w:color w:val="auto"/>
        </w:rPr>
      </w:pPr>
      <w:r>
        <w:rPr>
          <w:rFonts w:ascii="Times New Roman" w:cs="Times New Roman" w:eastAsia="Times New Roman" w:hAnsi="Times New Roman"/>
          <w:sz w:val="19"/>
          <w:szCs w:val="19"/>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9"/>
          <w:szCs w:val="19"/>
          <w:color w:val="auto"/>
        </w:rPr>
        <w:t xml:space="preserve">genuine and to have been signed, sent or otherwise authenticated by the proper Person, including any execution or transmission pursuant to </w:t>
      </w:r>
      <w:r>
        <w:rPr>
          <w:rFonts w:ascii="Times New Roman" w:cs="Times New Roman" w:eastAsia="Times New Roman" w:hAnsi="Times New Roman"/>
          <w:sz w:val="19"/>
          <w:szCs w:val="19"/>
          <w:u w:val="single" w:color="auto"/>
          <w:color w:val="auto"/>
        </w:rPr>
        <w:t>Sections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9.9</w:t>
      </w:r>
      <w:r>
        <w:rPr>
          <w:rFonts w:ascii="Times New Roman" w:cs="Times New Roman" w:eastAsia="Times New Roman" w:hAnsi="Times New Roman"/>
          <w:sz w:val="19"/>
          <w:szCs w:val="19"/>
          <w:color w:val="auto"/>
        </w:rPr>
        <w:t>. The Administrative Agent also may rely upon any statement made to it orally or by telephone and believed by it to have been made by the proper Person, and shall be fully protected in relying or acting upon such statement or Communication and shall not incur any liability for relying or acting thereon. In determining compliance with any condition hereunder to the making of a Loan that by its terms must be fulfilled to the satisfaction of a Bank, the Administrative Agent may presume that such condition is satisfactory to such Bank unless the Administrative Agent shall have received notice to the contrary from such Bank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Each Bank that has signed this Agreement or a signature page to an Assignment and Assumption or any other Loan Document pursuant to which it is to become a Bank hereunder shall be deemed to have consented to, approved and accepted and shall be deemed satisfied with each document or other matter required thereunder to be consented to, approved or accepted by such Bank or that is to be acceptable or satisfactory to such Bank.</w:t>
      </w:r>
    </w:p>
    <w:p>
      <w:pPr>
        <w:spacing w:after="0" w:line="95" w:lineRule="exact"/>
        <w:rPr>
          <w:sz w:val="20"/>
          <w:szCs w:val="20"/>
          <w:color w:val="auto"/>
        </w:rPr>
      </w:pPr>
    </w:p>
    <w:p>
      <w:pPr>
        <w:jc w:val="both"/>
        <w:ind w:right="20" w:firstLine="1140"/>
        <w:spacing w:after="0" w:line="227" w:lineRule="auto"/>
        <w:rPr>
          <w:sz w:val="20"/>
          <w:szCs w:val="20"/>
          <w:color w:val="auto"/>
        </w:rPr>
      </w:pPr>
      <w:r>
        <w:rPr>
          <w:rFonts w:ascii="Times New Roman" w:cs="Times New Roman" w:eastAsia="Times New Roman" w:hAnsi="Times New Roman"/>
          <w:sz w:val="19"/>
          <w:szCs w:val="19"/>
          <w:color w:val="auto"/>
        </w:rPr>
        <w:t>SECTION 7.6.</w:t>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 xml:space="preserve">. The Administrative Agent may perform any and all of its duties and exercise its rights and powers hereunder or under any other Loan Document by or through any one or more sub -agents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shall apply to any such sub-agent and to the Related Parties of the Administrative Agent and any such sub-agent, and shall apply to their respective activities in connection with the syndication of the term loan facility hereunder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sub-agents.</w:t>
      </w:r>
    </w:p>
    <w:p>
      <w:pPr>
        <w:spacing w:after="0" w:line="99"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SECTION 7.7.</w:t>
      </w:r>
      <w:r>
        <w:rPr>
          <w:rFonts w:ascii="Times New Roman" w:cs="Times New Roman" w:eastAsia="Times New Roman" w:hAnsi="Times New Roman"/>
          <w:sz w:val="19"/>
          <w:szCs w:val="19"/>
          <w:u w:val="single" w:color="auto"/>
          <w:color w:val="auto"/>
        </w:rPr>
        <w:t>Credit Decision.</w:t>
      </w:r>
      <w:r>
        <w:rPr>
          <w:rFonts w:ascii="Times New Roman" w:cs="Times New Roman" w:eastAsia="Times New Roman" w:hAnsi="Times New Roman"/>
          <w:sz w:val="19"/>
          <w:szCs w:val="19"/>
          <w:color w:val="auto"/>
        </w:rPr>
        <w:t xml:space="preserve"> Each Bank acknowledges that it has, independently and without reliance upon the Administrative Agent or any other Bank, and based on such documents and information as it has deemed appropriate, made its own credit analysis and decision to enter into this Agreement. Each Bank also acknowledges that it will, independently and without reliance upon the Administrative Agent or any other Bank, and based on such documents and information as it shall deem appropriate at the time, continue to make its own credit decisions in taking or not taking any action under this Agreement.</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7.8.</w:t>
      </w:r>
      <w:r>
        <w:rPr>
          <w:rFonts w:ascii="Times New Roman" w:cs="Times New Roman" w:eastAsia="Times New Roman" w:hAnsi="Times New Roman"/>
          <w:sz w:val="19"/>
          <w:szCs w:val="19"/>
          <w:u w:val="single" w:color="auto"/>
          <w:color w:val="auto"/>
        </w:rPr>
        <w:t>Successor Administrative Agent.</w:t>
      </w:r>
    </w:p>
    <w:p>
      <w:pPr>
        <w:spacing w:after="0" w:line="126" w:lineRule="exact"/>
        <w:rPr>
          <w:sz w:val="20"/>
          <w:szCs w:val="20"/>
          <w:color w:val="auto"/>
        </w:rPr>
      </w:pPr>
    </w:p>
    <w:p>
      <w:pPr>
        <w:jc w:val="both"/>
        <w:ind w:right="40" w:firstLine="1145"/>
        <w:spacing w:after="0" w:line="232" w:lineRule="auto"/>
        <w:tabs>
          <w:tab w:leader="none" w:pos="166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resign at any time by giving notice thereof to the Banks and the Borrower. Upon any such resignation, the Required Banks shall have the right to appoint a successor Administrative Agent reasonably satisfactory to the Borrower. If no such successor Administrative Agent shall have been so appointed by the Required Banks, and shall have accepted such appointment, within 30 days after the retiring Administrative Agent gives notice of resignation (or such earlier day as shall be agreed by the Required Banks) (the</w:t>
      </w:r>
    </w:p>
    <w:p>
      <w:pPr>
        <w:sectPr>
          <w:pgSz w:w="11900" w:h="16840" w:orient="portrait"/>
          <w:cols w:equalWidth="0" w:num="1">
            <w:col w:w="10600"/>
          </w:cols>
          <w:pgMar w:left="660" w:top="556" w:right="640" w:bottom="1440" w:gutter="0" w:footer="0" w:header="0"/>
        </w:sectPr>
      </w:pPr>
    </w:p>
    <w:bookmarkStart w:id="96" w:name="page97"/>
    <w:bookmarkEnd w:id="96"/>
    <w:p>
      <w:pPr>
        <w:ind w:left="10380"/>
        <w:spacing w:after="0"/>
        <w:rPr>
          <w:sz w:val="20"/>
          <w:szCs w:val="20"/>
          <w:color w:val="auto"/>
        </w:rPr>
      </w:pPr>
      <w:r>
        <w:rPr>
          <w:rFonts w:ascii="Times New Roman" w:cs="Times New Roman" w:eastAsia="Times New Roman" w:hAnsi="Times New Roman"/>
          <w:sz w:val="19"/>
          <w:szCs w:val="19"/>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 on behalf of the Banks, appoint a successor Administrative Agent, which shall be a commercial bank organized or licensed under the laws of the United States of America or of any State thereof and having a combined capital and surplus of at least US$ 1,000,000,000. Whether or not a successor has been appointed, such resignation shall become effective in accordance with such notice on the Resignation Effective Date.</w:t>
      </w:r>
    </w:p>
    <w:p>
      <w:pPr>
        <w:spacing w:after="0" w:line="98" w:lineRule="exact"/>
        <w:rPr>
          <w:sz w:val="20"/>
          <w:szCs w:val="20"/>
          <w:color w:val="auto"/>
        </w:rPr>
      </w:pPr>
    </w:p>
    <w:p>
      <w:pPr>
        <w:jc w:val="both"/>
        <w:ind w:firstLine="1145"/>
        <w:spacing w:after="0" w:line="225" w:lineRule="auto"/>
        <w:tabs>
          <w:tab w:leader="none" w:pos="167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(i) the retiring Administrative Agent shall be discharged from its duties and obligations hereunder and under the other Loan Documents and (ii) except for any indemnity payments or other amounts then owed to the retiring Administrative Agent, all payments, communications and determinations provided to be made by, to or through the Administrative Agent shall instead be made by or to each Bank directly, until such time, if any, as the Required Banks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or relating to its duties as Administrative Agent that are carried out following its retirement.</w:t>
      </w:r>
    </w:p>
    <w:p>
      <w:pPr>
        <w:spacing w:after="0" w:line="100"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SECTION 7.9.</w:t>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 Anything herein to the contrary notwithstanding, the Arranger shall not have any powers, duties or responsibilities under this Agreement or any of the other Loan Documents, except in its capacity, as applicable, as the Administrative Agent and a Bank hereunder, but each such Person shall have the benefit of the indemnities and exculpatory provisions hereof.</w:t>
      </w:r>
    </w:p>
    <w:p>
      <w:pPr>
        <w:spacing w:after="0" w:line="98" w:lineRule="exact"/>
        <w:rPr>
          <w:sz w:val="20"/>
          <w:szCs w:val="20"/>
          <w:color w:val="auto"/>
        </w:rPr>
      </w:pPr>
    </w:p>
    <w:p>
      <w:pPr>
        <w:jc w:val="both"/>
        <w:ind w:right="40" w:firstLine="1140"/>
        <w:spacing w:after="0" w:line="255" w:lineRule="auto"/>
        <w:rPr>
          <w:sz w:val="20"/>
          <w:szCs w:val="20"/>
          <w:color w:val="auto"/>
        </w:rPr>
      </w:pPr>
      <w:r>
        <w:rPr>
          <w:rFonts w:ascii="Times New Roman" w:cs="Times New Roman" w:eastAsia="Times New Roman" w:hAnsi="Times New Roman"/>
          <w:sz w:val="19"/>
          <w:szCs w:val="19"/>
          <w:color w:val="auto"/>
        </w:rPr>
        <w:t xml:space="preserve">SECTION 7.10. </w:t>
      </w:r>
      <w:r>
        <w:rPr>
          <w:rFonts w:ascii="Times New Roman" w:cs="Times New Roman" w:eastAsia="Times New Roman" w:hAnsi="Times New Roman"/>
          <w:sz w:val="19"/>
          <w:szCs w:val="19"/>
          <w:u w:val="single" w:color="auto"/>
          <w:color w:val="auto"/>
        </w:rPr>
        <w:t>Administrative Agent’s Fees.</w:t>
      </w:r>
      <w:r>
        <w:rPr>
          <w:rFonts w:ascii="Times New Roman" w:cs="Times New Roman" w:eastAsia="Times New Roman" w:hAnsi="Times New Roman"/>
          <w:sz w:val="19"/>
          <w:szCs w:val="19"/>
          <w:color w:val="auto"/>
        </w:rPr>
        <w:t xml:space="preserve"> The Borrower shall pay to the Administrative Agent, for their own account, fees in the amounts and at the times previously agreed upon between the Borrower and the Administrative Agent.</w:t>
      </w:r>
    </w:p>
    <w:p>
      <w:pPr>
        <w:spacing w:after="0" w:line="82"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7.11.</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126"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7.12.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 xml:space="preserve"> (a) Each Bank (x) represents and warrants, as of the date such Person became a Bank party hereto, and (y) covenants, from the date such Person became a Bank party hereto to the date such Person ceases being a Bank party hereto, for the benefit of the Administrative Agent and its Affiliates, and not, for the avoidance of doubt, to or for the benefit of the Borrower, that at least one of the following is and will be true:</w:t>
      </w:r>
    </w:p>
    <w:p>
      <w:pPr>
        <w:spacing w:after="0" w:line="98" w:lineRule="exact"/>
        <w:rPr>
          <w:sz w:val="20"/>
          <w:szCs w:val="20"/>
          <w:color w:val="auto"/>
        </w:rPr>
      </w:pPr>
    </w:p>
    <w:p>
      <w:pPr>
        <w:ind w:left="580" w:right="20" w:firstLine="565"/>
        <w:spacing w:after="0" w:line="255" w:lineRule="auto"/>
        <w:tabs>
          <w:tab w:leader="none" w:pos="167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Bank is not using “plan assets” (within the meaning of Section 3(42) of ERISA or otherwise for purposes of Title I of ERISA or Section 4975 of the Internal</w:t>
      </w:r>
    </w:p>
    <w:p>
      <w:pPr>
        <w:sectPr>
          <w:pgSz w:w="11900" w:h="16840" w:orient="portrait"/>
          <w:cols w:equalWidth="0" w:num="1">
            <w:col w:w="10580"/>
          </w:cols>
          <w:pgMar w:left="660" w:top="556" w:right="660" w:bottom="1440" w:gutter="0" w:footer="0" w:header="0"/>
        </w:sectPr>
      </w:pPr>
    </w:p>
    <w:bookmarkStart w:id="97" w:name="page98"/>
    <w:bookmarkEnd w:id="97"/>
    <w:p>
      <w:pPr>
        <w:ind w:left="10375"/>
        <w:spacing w:after="0"/>
        <w:rPr>
          <w:sz w:val="20"/>
          <w:szCs w:val="20"/>
          <w:color w:val="auto"/>
        </w:rPr>
      </w:pPr>
      <w:r>
        <w:rPr>
          <w:rFonts w:ascii="Times New Roman" w:cs="Times New Roman" w:eastAsia="Times New Roman" w:hAnsi="Times New Roman"/>
          <w:sz w:val="19"/>
          <w:szCs w:val="19"/>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5" w:right="20"/>
        <w:spacing w:after="0" w:line="255" w:lineRule="auto"/>
        <w:rPr>
          <w:sz w:val="20"/>
          <w:szCs w:val="20"/>
          <w:color w:val="auto"/>
        </w:rPr>
      </w:pPr>
      <w:r>
        <w:rPr>
          <w:rFonts w:ascii="Times New Roman" w:cs="Times New Roman" w:eastAsia="Times New Roman" w:hAnsi="Times New Roman"/>
          <w:sz w:val="19"/>
          <w:szCs w:val="19"/>
          <w:color w:val="auto"/>
        </w:rPr>
        <w:t>Revenue Code) of one or more Benefit Plans with respect to such Bank’s entrance into, participation in, administration of and performance of the Loans, the Term Loan Commitments or this Agreement,</w:t>
      </w:r>
    </w:p>
    <w:p>
      <w:pPr>
        <w:spacing w:after="0" w:line="82" w:lineRule="exact"/>
        <w:rPr>
          <w:sz w:val="20"/>
          <w:szCs w:val="20"/>
          <w:color w:val="auto"/>
        </w:rPr>
      </w:pPr>
    </w:p>
    <w:p>
      <w:pPr>
        <w:jc w:val="both"/>
        <w:ind w:left="575" w:firstLine="565"/>
        <w:spacing w:after="0" w:line="229" w:lineRule="auto"/>
        <w:tabs>
          <w:tab w:leader="none" w:pos="166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Internal Revenue Code such Bank’s entrance into, participation in, administration of and performance of the Loans, the Term Loan Commitments and this Agreement,</w:t>
      </w:r>
    </w:p>
    <w:p>
      <w:pPr>
        <w:spacing w:after="0" w:line="95" w:lineRule="exact"/>
        <w:rPr>
          <w:rFonts w:ascii="Times New Roman" w:cs="Times New Roman" w:eastAsia="Times New Roman" w:hAnsi="Times New Roman"/>
          <w:sz w:val="19"/>
          <w:szCs w:val="19"/>
          <w:color w:val="auto"/>
        </w:rPr>
      </w:pPr>
    </w:p>
    <w:p>
      <w:pPr>
        <w:jc w:val="both"/>
        <w:ind w:left="575" w:firstLine="565"/>
        <w:spacing w:after="0" w:line="229" w:lineRule="auto"/>
        <w:tabs>
          <w:tab w:leader="none" w:pos="1667"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Term Loan Commitments and this Agreement, (C) the entrance into, participation in, administration of and performance of the Loans, the Term Loan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Term Loan Commitments and this Agreement, or</w:t>
      </w:r>
    </w:p>
    <w:p>
      <w:pPr>
        <w:spacing w:after="0" w:line="95" w:lineRule="exact"/>
        <w:rPr>
          <w:rFonts w:ascii="Times New Roman" w:cs="Times New Roman" w:eastAsia="Times New Roman" w:hAnsi="Times New Roman"/>
          <w:sz w:val="19"/>
          <w:szCs w:val="19"/>
          <w:color w:val="auto"/>
        </w:rPr>
      </w:pPr>
    </w:p>
    <w:p>
      <w:pPr>
        <w:ind w:left="575" w:right="40" w:firstLine="565"/>
        <w:spacing w:after="0" w:line="255" w:lineRule="auto"/>
        <w:tabs>
          <w:tab w:leader="none" w:pos="1655"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reasonable discretion, and such Bank.</w:t>
      </w:r>
    </w:p>
    <w:p>
      <w:pPr>
        <w:spacing w:after="0" w:line="82" w:lineRule="exact"/>
        <w:rPr>
          <w:sz w:val="20"/>
          <w:szCs w:val="20"/>
          <w:color w:val="auto"/>
        </w:rPr>
      </w:pPr>
    </w:p>
    <w:p>
      <w:pPr>
        <w:ind w:left="1675" w:hanging="535"/>
        <w:spacing w:after="0"/>
        <w:tabs>
          <w:tab w:leader="none" w:pos="1675"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(i) clause (i) in the immediately preceding paragraph (a) is true with respect to a Bank or</w:t>
      </w:r>
    </w:p>
    <w:p>
      <w:pPr>
        <w:spacing w:after="0" w:line="5" w:lineRule="exact"/>
        <w:rPr>
          <w:rFonts w:ascii="Times New Roman" w:cs="Times New Roman" w:eastAsia="Times New Roman" w:hAnsi="Times New Roman"/>
          <w:sz w:val="19"/>
          <w:szCs w:val="19"/>
          <w:color w:val="auto"/>
        </w:rPr>
      </w:pPr>
    </w:p>
    <w:p>
      <w:pPr>
        <w:jc w:val="both"/>
        <w:ind w:left="-5" w:firstLine="5"/>
        <w:spacing w:after="0" w:line="225" w:lineRule="auto"/>
        <w:tabs>
          <w:tab w:leader="none" w:pos="307"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Bank has provided another representation, warranty and covenant in accordance with clause (iv) in the immediately preceding paragraph (a), such Bank further (x) represents and warrants, as of the date such Person became a Bank party hereto, and (y) covenants, from the date such Person became a Bank party hereto to the date such Person ceases being a Bank party hereto, for the benefit of, the Administrative Agent and not, for the avoidance of doubt, to or for the benefit of the Borrower or any other Loan Party, that the Administrative Agent is not a fiduciary with respect to the assets of such Bank involved in such Bank’s entrance into, participation in, administration of and performance of the Loans, the Term Loan Commitments and this Agreement (including in connection with the reservation or exercise of any rights by the Administrative Agent under this Agreement, any Loan Document or any documents related hereto or thereto).</w:t>
      </w:r>
    </w:p>
    <w:p>
      <w:pPr>
        <w:spacing w:after="0" w:line="96" w:lineRule="exact"/>
        <w:rPr>
          <w:sz w:val="20"/>
          <w:szCs w:val="20"/>
          <w:color w:val="auto"/>
        </w:rPr>
      </w:pPr>
    </w:p>
    <w:p>
      <w:pPr>
        <w:ind w:left="1135"/>
        <w:spacing w:after="0"/>
        <w:tabs>
          <w:tab w:leader="none" w:pos="2835" w:val="left"/>
        </w:tabs>
        <w:rPr>
          <w:sz w:val="20"/>
          <w:szCs w:val="20"/>
          <w:color w:val="auto"/>
        </w:rPr>
      </w:pPr>
      <w:r>
        <w:rPr>
          <w:rFonts w:ascii="Times New Roman" w:cs="Times New Roman" w:eastAsia="Times New Roman" w:hAnsi="Times New Roman"/>
          <w:sz w:val="19"/>
          <w:szCs w:val="19"/>
          <w:color w:val="auto"/>
        </w:rPr>
        <w:t>SECTION 7.13.</w:t>
      </w:r>
      <w:r>
        <w:rPr>
          <w:sz w:val="20"/>
          <w:szCs w:val="20"/>
          <w:color w:val="auto"/>
        </w:rPr>
        <w:tab/>
      </w:r>
      <w:r>
        <w:rPr>
          <w:rFonts w:ascii="Times New Roman" w:cs="Times New Roman" w:eastAsia="Times New Roman" w:hAnsi="Times New Roman"/>
          <w:sz w:val="18"/>
          <w:szCs w:val="18"/>
          <w:u w:val="single" w:color="auto"/>
          <w:color w:val="auto"/>
        </w:rPr>
        <w:t>Acknowledgments of Banks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5" w:right="40" w:firstLine="1145"/>
        <w:spacing w:after="0" w:line="239" w:lineRule="auto"/>
        <w:tabs>
          <w:tab w:leader="none" w:pos="166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Bank expressly acknowledges that none of the Administrative Agent, the Arranger or any of their respective Related Parties has made any representations or warranties to it and that no act taken or failure to act by the Administrative Agent, the Arranger or any of their</w:t>
      </w:r>
    </w:p>
    <w:p>
      <w:pPr>
        <w:sectPr>
          <w:pgSz w:w="11900" w:h="16840" w:orient="portrait"/>
          <w:cols w:equalWidth="0" w:num="1">
            <w:col w:w="10575"/>
          </w:cols>
          <w:pgMar w:left="665" w:top="556" w:right="660" w:bottom="1440" w:gutter="0" w:footer="0" w:header="0"/>
        </w:sectPr>
      </w:pPr>
    </w:p>
    <w:bookmarkStart w:id="98" w:name="page99"/>
    <w:bookmarkEnd w:id="98"/>
    <w:p>
      <w:pPr>
        <w:ind w:left="10380"/>
        <w:spacing w:after="0"/>
        <w:rPr>
          <w:sz w:val="20"/>
          <w:szCs w:val="20"/>
          <w:color w:val="auto"/>
        </w:rPr>
      </w:pPr>
      <w:r>
        <w:rPr>
          <w:rFonts w:ascii="Times New Roman" w:cs="Times New Roman" w:eastAsia="Times New Roman" w:hAnsi="Times New Roman"/>
          <w:sz w:val="19"/>
          <w:szCs w:val="19"/>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 xml:space="preserve">respective Related Parties, including any consent to, and acceptance of any assignment or review of the affairs of the Borrower and its Subsidiaries or Affiliates shall be deemed to constitute a representation or warranty of the Administrative Agent, the Arranger or any of their respective Related Parties to any Bank as to any matter, including whether the Administrative Agent, the Arranger or any of their respective Related Parties have disclosed material information in their (or their respective Related Parties’) possession. Each Bank expressly acknowledges, represents and warrants to the Administrative Agent and the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Bank for the purpose of making, acquiring, purchasing and/or holding the commercial loans set forth herein as may be applicable to it, and not for the purpose of investing in the general performance or operations of any Loan Party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Arranger, any other Bank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and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Bank also acknowledges and agrees that (i) it will, independently and without reliance upon the Administrative Agent, the Arranger or any other Bank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 Each party acknowledges and agrees that the Administrative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Administrative Agent notifies any party hereto at any time (including after the receipt of amounts indicated to be due and payable under the Loan Documents pursuant to such payment schedules, payoff statements, payoff letters, interest</w:t>
      </w:r>
    </w:p>
    <w:p>
      <w:pPr>
        <w:sectPr>
          <w:pgSz w:w="11900" w:h="16840" w:orient="portrait"/>
          <w:cols w:equalWidth="0" w:num="1">
            <w:col w:w="10580"/>
          </w:cols>
          <w:pgMar w:left="660" w:top="556" w:right="660" w:bottom="1440" w:gutter="0" w:footer="0" w:header="0"/>
        </w:sectPr>
      </w:pPr>
    </w:p>
    <w:bookmarkStart w:id="99" w:name="page100"/>
    <w:bookmarkEnd w:id="99"/>
    <w:p>
      <w:pPr>
        <w:ind w:left="10380"/>
        <w:spacing w:after="0"/>
        <w:rPr>
          <w:sz w:val="20"/>
          <w:szCs w:val="20"/>
          <w:color w:val="auto"/>
        </w:rPr>
      </w:pPr>
      <w:r>
        <w:rPr>
          <w:rFonts w:ascii="Times New Roman" w:cs="Times New Roman" w:eastAsia="Times New Roman" w:hAnsi="Times New Roman"/>
          <w:sz w:val="19"/>
          <w:szCs w:val="19"/>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Administrative Agent provides such party with documentation that evidences such excluded amount is due and payable hereunder.</w:t>
      </w:r>
    </w:p>
    <w:p>
      <w:pPr>
        <w:spacing w:after="0" w:line="98" w:lineRule="exact"/>
        <w:rPr>
          <w:sz w:val="20"/>
          <w:szCs w:val="20"/>
          <w:color w:val="auto"/>
        </w:rPr>
      </w:pPr>
    </w:p>
    <w:p>
      <w:pPr>
        <w:jc w:val="both"/>
        <w:ind w:firstLine="1145"/>
        <w:spacing w:after="0" w:line="234" w:lineRule="auto"/>
        <w:tabs>
          <w:tab w:leader="none" w:pos="166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Bank, by delivering its signature page to this Agreement on the Effective Date, or delivering its signature page to an Assignment and Assumption or any other Loan Document pursuant to which it shall become a Bank hereunder, shall be deemed to have acknowledged receipt of, and consented to and approved, each Loan Document and each other document required to be delivered to, or be approved by or satisfactory to, the Administrative Agent or the Banks on the Effective Date.</w:t>
      </w:r>
    </w:p>
    <w:p>
      <w:pPr>
        <w:spacing w:after="0" w:line="98"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7.14.</w:t>
      </w:r>
      <w:r>
        <w:rPr>
          <w:sz w:val="20"/>
          <w:szCs w:val="20"/>
          <w:color w:val="auto"/>
        </w:rPr>
        <w:tab/>
      </w:r>
      <w:r>
        <w:rPr>
          <w:rFonts w:ascii="Times New Roman" w:cs="Times New Roman" w:eastAsia="Times New Roman" w:hAnsi="Times New Roman"/>
          <w:sz w:val="18"/>
          <w:szCs w:val="18"/>
          <w:u w:val="single" w:color="auto"/>
          <w:color w:val="auto"/>
        </w:rPr>
        <w:t>Erroneous Payments.</w:t>
      </w:r>
    </w:p>
    <w:p>
      <w:pPr>
        <w:spacing w:after="0" w:line="126" w:lineRule="exact"/>
        <w:rPr>
          <w:sz w:val="20"/>
          <w:szCs w:val="20"/>
          <w:color w:val="auto"/>
        </w:rPr>
      </w:pPr>
    </w:p>
    <w:p>
      <w:pPr>
        <w:jc w:val="both"/>
        <w:ind w:firstLine="1145"/>
        <w:spacing w:after="0" w:line="224" w:lineRule="auto"/>
        <w:tabs>
          <w:tab w:leader="none" w:pos="1674"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Bank and any other party hereto hereby severally agrees that if (i) the Administrative Agent notifies (which such notice shall be conclusive absent manifest error) such Bank or any other Person that has received funds from the Administrative Agent or any of its Affiliates, either for its own account or on behalf of a Bank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9"/>
          <w:szCs w:val="19"/>
          <w:u w:val="single" w:color="auto"/>
          <w:color w:val="auto"/>
        </w:rPr>
        <w:t>Section 7.14(a),</w:t>
      </w:r>
      <w:r>
        <w:rPr>
          <w:rFonts w:ascii="Times New Roman" w:cs="Times New Roman" w:eastAsia="Times New Roman" w:hAnsi="Times New Roman"/>
          <w:sz w:val="19"/>
          <w:szCs w:val="19"/>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 7.14(a)</w:t>
      </w:r>
      <w:r>
        <w:rPr>
          <w:rFonts w:ascii="Times New Roman" w:cs="Times New Roman" w:eastAsia="Times New Roman" w:hAnsi="Times New Roman"/>
          <w:sz w:val="19"/>
          <w:szCs w:val="19"/>
          <w:color w:val="auto"/>
        </w:rPr>
        <w:t xml:space="preserve">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04"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w:t>
      </w:r>
    </w:p>
    <w:p>
      <w:pPr>
        <w:spacing w:after="0" w:line="5" w:lineRule="exact"/>
        <w:rPr>
          <w:rFonts w:ascii="Times New Roman" w:cs="Times New Roman" w:eastAsia="Times New Roman" w:hAnsi="Times New Roman"/>
          <w:sz w:val="19"/>
          <w:szCs w:val="19"/>
          <w:color w:val="auto"/>
        </w:rPr>
      </w:pPr>
    </w:p>
    <w:p>
      <w:pPr>
        <w:ind w:left="280" w:hanging="275"/>
        <w:spacing w:after="0"/>
        <w:tabs>
          <w:tab w:leader="none" w:pos="28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it shall promptly notify the Administrative Agent in writing of such occurrence.</w:t>
      </w:r>
    </w:p>
    <w:p>
      <w:pPr>
        <w:sectPr>
          <w:pgSz w:w="11900" w:h="16840" w:orient="portrait"/>
          <w:cols w:equalWidth="0" w:num="1">
            <w:col w:w="10580"/>
          </w:cols>
          <w:pgMar w:left="660" w:top="556" w:right="660" w:bottom="1440" w:gutter="0" w:footer="0" w:header="0"/>
        </w:sectPr>
      </w:pPr>
    </w:p>
    <w:bookmarkStart w:id="100" w:name="page101"/>
    <w:bookmarkEnd w:id="100"/>
    <w:p>
      <w:pPr>
        <w:ind w:left="9600"/>
        <w:spacing w:after="0"/>
        <w:rPr>
          <w:sz w:val="20"/>
          <w:szCs w:val="20"/>
          <w:color w:val="auto"/>
        </w:rPr>
      </w:pPr>
      <w:r>
        <w:rPr>
          <w:rFonts w:ascii="Times New Roman" w:cs="Times New Roman" w:eastAsia="Times New Roman" w:hAnsi="Times New Roman"/>
          <w:sz w:val="19"/>
          <w:szCs w:val="19"/>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780" w:firstLine="1145"/>
        <w:spacing w:after="0" w:line="227" w:lineRule="auto"/>
        <w:tabs>
          <w:tab w:leader="none" w:pos="88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98" w:lineRule="exact"/>
        <w:rPr>
          <w:rFonts w:ascii="Times New Roman" w:cs="Times New Roman" w:eastAsia="Times New Roman" w:hAnsi="Times New Roman"/>
          <w:sz w:val="19"/>
          <w:szCs w:val="19"/>
          <w:color w:val="auto"/>
        </w:rPr>
      </w:pPr>
    </w:p>
    <w:p>
      <w:pPr>
        <w:jc w:val="both"/>
        <w:ind w:left="-780" w:firstLine="1145"/>
        <w:spacing w:after="0" w:line="225" w:lineRule="auto"/>
        <w:tabs>
          <w:tab w:leader="none" w:pos="89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after demand therefor by the Administrative Agent in accordance with immediately preceding clause (c), from any Bank that is a Payment Recipient or an Affiliate of a Payment Recipient (such unrecovered amount as to such Bank, an “</w:t>
      </w:r>
      <w:r>
        <w:rPr>
          <w:rFonts w:ascii="Times New Roman" w:cs="Times New Roman" w:eastAsia="Times New Roman" w:hAnsi="Times New Roman"/>
          <w:sz w:val="19"/>
          <w:szCs w:val="19"/>
          <w:u w:val="single" w:color="auto"/>
          <w:color w:val="auto"/>
        </w:rPr>
        <w:t>Erroneous Payment Return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Deficiency</w:t>
      </w:r>
      <w:r>
        <w:rPr>
          <w:rFonts w:ascii="Times New Roman" w:cs="Times New Roman" w:eastAsia="Times New Roman" w:hAnsi="Times New Roman"/>
          <w:sz w:val="19"/>
          <w:szCs w:val="19"/>
          <w:color w:val="auto"/>
        </w:rPr>
        <w:t>”), then at the sole discretion of the Administrative Agent and upon the Administrative Agent’s written notice to such Bank (i) such Bank shall be deemed to have made a cashless assignment of the full face amount of the portion of its Loans (but not its Term Loan Commitments)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Term Loan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and (3) the Administrative Agent may reflect such assignments in the Register without further consent or action by any other Person.</w:t>
      </w:r>
    </w:p>
    <w:p>
      <w:pPr>
        <w:spacing w:after="0" w:line="97" w:lineRule="exact"/>
        <w:rPr>
          <w:rFonts w:ascii="Times New Roman" w:cs="Times New Roman" w:eastAsia="Times New Roman" w:hAnsi="Times New Roman"/>
          <w:sz w:val="19"/>
          <w:szCs w:val="19"/>
          <w:color w:val="auto"/>
        </w:rPr>
      </w:pPr>
    </w:p>
    <w:p>
      <w:pPr>
        <w:jc w:val="both"/>
        <w:ind w:left="-780" w:firstLine="1145"/>
        <w:spacing w:after="0" w:line="227" w:lineRule="auto"/>
        <w:tabs>
          <w:tab w:leader="none" w:pos="89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w:t>
      </w:r>
    </w:p>
    <w:p>
      <w:pPr>
        <w:sectPr>
          <w:pgSz w:w="11900" w:h="16840" w:orient="portrait"/>
          <w:cols w:equalWidth="0" w:num="1">
            <w:col w:w="9800"/>
          </w:cols>
          <w:pgMar w:left="1440" w:top="556" w:right="660" w:bottom="1440" w:gutter="0" w:footer="0" w:header="0"/>
        </w:sectPr>
      </w:pPr>
    </w:p>
    <w:bookmarkStart w:id="101" w:name="page102"/>
    <w:bookmarkEnd w:id="101"/>
    <w:p>
      <w:pPr>
        <w:ind w:left="10380"/>
        <w:spacing w:after="0"/>
        <w:rPr>
          <w:sz w:val="20"/>
          <w:szCs w:val="20"/>
          <w:color w:val="auto"/>
        </w:rPr>
      </w:pPr>
      <w:r>
        <w:rPr>
          <w:rFonts w:ascii="Times New Roman" w:cs="Times New Roman" w:eastAsia="Times New Roman" w:hAnsi="Times New Roman"/>
          <w:sz w:val="19"/>
          <w:szCs w:val="19"/>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98" w:lineRule="exact"/>
        <w:rPr>
          <w:sz w:val="20"/>
          <w:szCs w:val="20"/>
          <w:color w:val="auto"/>
        </w:rPr>
      </w:pPr>
    </w:p>
    <w:p>
      <w:pPr>
        <w:jc w:val="both"/>
        <w:ind w:right="20" w:firstLine="1145"/>
        <w:spacing w:after="0" w:line="239" w:lineRule="auto"/>
        <w:tabs>
          <w:tab w:leader="none" w:pos="167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shall survive the resignation or replacement of the Administrative Agent or any transfer of rights or obligations by, or the replacement of, a Bank, the termination of the Term Loan Commitments or the repayment, satisfaction or discharge of all Obligations (or any portion thereof) under any Loan Document.</w:t>
      </w:r>
    </w:p>
    <w:p>
      <w:pPr>
        <w:spacing w:after="0" w:line="95" w:lineRule="exact"/>
        <w:rPr>
          <w:rFonts w:ascii="Times New Roman" w:cs="Times New Roman" w:eastAsia="Times New Roman" w:hAnsi="Times New Roman"/>
          <w:sz w:val="19"/>
          <w:szCs w:val="19"/>
          <w:color w:val="auto"/>
        </w:rPr>
      </w:pPr>
    </w:p>
    <w:p>
      <w:pPr>
        <w:ind w:right="40" w:firstLine="1145"/>
        <w:spacing w:after="0" w:line="255" w:lineRule="auto"/>
        <w:tabs>
          <w:tab w:leader="none" w:pos="1662"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will constitute a waiver or release of any claim of the Administrative Agent hereunder arising from any Payment Recipient’s receipt of an Erroneous Payment.</w:t>
      </w:r>
    </w:p>
    <w:p>
      <w:pPr>
        <w:spacing w:after="0" w:line="8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ARTICLE VIII</w:t>
      </w:r>
    </w:p>
    <w:p>
      <w:pPr>
        <w:spacing w:after="0" w:line="1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CHANGE IN CIRCUMSTANCES</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8.1.</w:t>
      </w:r>
      <w:r>
        <w:rPr>
          <w:rFonts w:ascii="Times New Roman" w:cs="Times New Roman" w:eastAsia="Times New Roman" w:hAnsi="Times New Roman"/>
          <w:sz w:val="19"/>
          <w:szCs w:val="19"/>
          <w:u w:val="single" w:color="auto"/>
          <w:color w:val="auto"/>
        </w:rPr>
        <w:t>Changed Circumstances.</w:t>
      </w:r>
    </w:p>
    <w:p>
      <w:pPr>
        <w:spacing w:after="0" w:line="126" w:lineRule="exact"/>
        <w:rPr>
          <w:sz w:val="20"/>
          <w:szCs w:val="20"/>
          <w:color w:val="auto"/>
        </w:rPr>
      </w:pPr>
    </w:p>
    <w:p>
      <w:pPr>
        <w:jc w:val="both"/>
        <w:ind w:firstLine="575"/>
        <w:spacing w:after="0" w:line="224" w:lineRule="auto"/>
        <w:tabs>
          <w:tab w:leader="none" w:pos="11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Circumstances Affecting Benchmark Availability</w:t>
      </w:r>
      <w:r>
        <w:rPr>
          <w:rFonts w:ascii="Times New Roman" w:cs="Times New Roman" w:eastAsia="Times New Roman" w:hAnsi="Times New Roman"/>
          <w:sz w:val="19"/>
          <w:szCs w:val="19"/>
          <w:color w:val="auto"/>
        </w:rPr>
        <w:t xml:space="preserve"> . Subject to clause (c) below, in connection with any request for a Term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Term SOFR Loan on or prior to the first day of such Interest Period or (ii) the Required Banks shall determine (which determination shall be conclusive and binding absent manifest error) that Term SOFR does not adequately and fairly reflect the cost to such Banks of making or maintaining such Loans during such Interest Period and, in the case of clause (ii), the Required Banks have provided notice of such determination to the Administrative Agent, then, in each case, the Administrative Agent shall promptly give notice thereof to the Borrower. Upon notice thereof by the Administrative Agent to the Borrower, any obligation of the Banks to make Term SOFR Loans, and any right of the Borrower to convert any Loan to or continue any Loan as a Term SOFR Loan, shall be suspended (to the extent of the affected Term SOFR Loans or the affected Interest Periods) until the Administrative Agent (with respect to clause (ii), at the instruction of the Required Banks) revokes such notice. Upon receipt of such notice, (A) the Borrower may revoke any pending request for a borrowing of, conversion to or continuation of Term SOFR Loans (to the extent of the affected Term SOFR Loans or the affected Interest Periods) or, failing that, the Borrower will be deemed to have converted any such request into a request for a borrowing of or conversion to ABR Loans in the amount specified therein and (B) any outstanding affected Term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102" w:name="page103"/>
    <w:bookmarkEnd w:id="102"/>
    <w:p>
      <w:pPr>
        <w:ind w:left="9805"/>
        <w:spacing w:after="0"/>
        <w:rPr>
          <w:sz w:val="20"/>
          <w:szCs w:val="20"/>
          <w:color w:val="auto"/>
        </w:rPr>
      </w:pPr>
      <w:r>
        <w:rPr>
          <w:rFonts w:ascii="Times New Roman" w:cs="Times New Roman" w:eastAsia="Times New Roman" w:hAnsi="Times New Roman"/>
          <w:sz w:val="19"/>
          <w:szCs w:val="19"/>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5" w:firstLine="860"/>
        <w:spacing w:after="0" w:line="224" w:lineRule="auto"/>
        <w:tabs>
          <w:tab w:leader="none" w:pos="565"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Laws Affecting Term SOFR Availability</w:t>
      </w:r>
      <w:r>
        <w:rPr>
          <w:rFonts w:ascii="Times New Roman" w:cs="Times New Roman" w:eastAsia="Times New Roman" w:hAnsi="Times New Roman"/>
          <w:sz w:val="19"/>
          <w:szCs w:val="19"/>
          <w:color w:val="auto"/>
        </w:rPr>
        <w:t xml:space="preserve"> .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Banks (or any of their respective Lending Offices) with any request or directive (whether or not having the force of law) of any such Governmental Authority, central bank or comparable agency, shall make it unlawful or impossible for any of the Banks (or any of their respective Lending Offices) to honor its obligations hereunder to make or maintain any Term SOFR Loan, or to determine or charge interest based upon SOFR, the Term SOFR Reference Rate or Term SOFR, such Bank shall promptly give notice thereof to the Administrative Agent and the Administrative Agent shall promptly give notice to the Borrower and the other Banks (an “</w:t>
      </w:r>
      <w:r>
        <w:rPr>
          <w:rFonts w:ascii="Times New Roman" w:cs="Times New Roman" w:eastAsia="Times New Roman" w:hAnsi="Times New Roman"/>
          <w:sz w:val="19"/>
          <w:szCs w:val="19"/>
          <w:u w:val="single" w:color="auto"/>
          <w:color w:val="auto"/>
        </w:rPr>
        <w:t>Illegality Notice</w:t>
      </w:r>
      <w:r>
        <w:rPr>
          <w:rFonts w:ascii="Times New Roman" w:cs="Times New Roman" w:eastAsia="Times New Roman" w:hAnsi="Times New Roman"/>
          <w:sz w:val="19"/>
          <w:szCs w:val="19"/>
          <w:color w:val="auto"/>
        </w:rPr>
        <w:t xml:space="preserve">”). Thereafter, until each affected Bank notifies the Administrative Agent and the Administrative Agent notifies the Borrower that the circumstances giving rise to such determination no longer exist, (i) any obligation of the Banks to make Term SOFR Loans, and any right of the Borrower to convert any Loan to a Term SOFR Loan or continue any Loan as a Term SOFR Loan, shall be suspended and (ii) if necessary to avoid such illegality, the Administrative Agent shall compute the Alternate Base Rate without reference to clause (c) of the definition of “Alternate Base Rate”. Upon receipt of an Illegality Notice, the Borrower shall, if necessary to avoid such illegality, upon demand from any Bank (with a copy to the Administrative Agent), prepay or, if applicable, convert all Term SOFR Loans to ABR Loans (in each case, if necessary to avoid such illegality, the Administrative Agent shall compute the Alternate Base Rate without reference to clause (c) of the definition of “Alternate Base Rate”), on the last day of the Interest Period therefor, if all affected Banks may lawfully continue to maintain such Term SOFR Loans to such day, or immediately, if any Bank may not lawfully continue to maintain such Term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04" w:lineRule="exact"/>
        <w:rPr>
          <w:rFonts w:ascii="Times New Roman" w:cs="Times New Roman" w:eastAsia="Times New Roman" w:hAnsi="Times New Roman"/>
          <w:sz w:val="19"/>
          <w:szCs w:val="19"/>
          <w:color w:val="auto"/>
        </w:rPr>
      </w:pPr>
    </w:p>
    <w:p>
      <w:pPr>
        <w:ind w:left="565" w:hanging="565"/>
        <w:spacing w:after="0"/>
        <w:tabs>
          <w:tab w:leader="none" w:pos="565"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jc w:val="both"/>
        <w:ind w:left="5" w:right="20" w:firstLine="565"/>
        <w:spacing w:after="0" w:line="229" w:lineRule="auto"/>
        <w:tabs>
          <w:tab w:leader="none" w:pos="1133"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w:t>
      </w:r>
      <w:r>
        <w:rPr>
          <w:rFonts w:ascii="Times New Roman" w:cs="Times New Roman" w:eastAsia="Times New Roman" w:hAnsi="Times New Roman"/>
          <w:sz w:val="17"/>
          <w:szCs w:val="17"/>
          <w:color w:val="auto"/>
        </w:rPr>
        <w:t>(New York City time)</w:t>
      </w:r>
      <w:r>
        <w:rPr>
          <w:rFonts w:ascii="Times New Roman" w:cs="Times New Roman" w:eastAsia="Times New Roman" w:hAnsi="Times New Roman"/>
          <w:sz w:val="19"/>
          <w:szCs w:val="19"/>
          <w:color w:val="auto"/>
        </w:rPr>
        <w:t xml:space="preserve"> on the fifth Business Day after the Administrative Agent has posted such proposed amendment to all affected Banks and the Borrower so long as the Administrative Agent has not received, by such time, written notice of objection to such amendment from Banks comprising the Required Banks. No replacement of a Benchmark with a Benchmark Replacement pursuant to this </w:t>
      </w:r>
      <w:r>
        <w:rPr>
          <w:rFonts w:ascii="Times New Roman" w:cs="Times New Roman" w:eastAsia="Times New Roman" w:hAnsi="Times New Roman"/>
          <w:sz w:val="19"/>
          <w:szCs w:val="19"/>
          <w:u w:val="single" w:color="auto"/>
          <w:color w:val="auto"/>
        </w:rPr>
        <w:t>Section 8.1(c)(i)</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95" w:lineRule="exact"/>
        <w:rPr>
          <w:rFonts w:ascii="Times New Roman" w:cs="Times New Roman" w:eastAsia="Times New Roman" w:hAnsi="Times New Roman"/>
          <w:sz w:val="19"/>
          <w:szCs w:val="19"/>
          <w:color w:val="auto"/>
        </w:rPr>
      </w:pPr>
    </w:p>
    <w:p>
      <w:pPr>
        <w:jc w:val="both"/>
        <w:ind w:left="5" w:right="20" w:firstLine="565"/>
        <w:spacing w:after="0" w:line="232" w:lineRule="auto"/>
        <w:tabs>
          <w:tab w:leader="none" w:pos="1145"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ectPr>
          <w:pgSz w:w="11900" w:h="16840" w:orient="portrait"/>
          <w:cols w:equalWidth="0" w:num="1">
            <w:col w:w="10025"/>
          </w:cols>
          <w:pgMar w:left="1235" w:top="556" w:right="640" w:bottom="1440" w:gutter="0" w:footer="0" w:header="0"/>
        </w:sectPr>
      </w:pPr>
    </w:p>
    <w:bookmarkStart w:id="103" w:name="page104"/>
    <w:bookmarkEnd w:id="103"/>
    <w:p>
      <w:pPr>
        <w:ind w:left="9600"/>
        <w:spacing w:after="0"/>
        <w:rPr>
          <w:sz w:val="20"/>
          <w:szCs w:val="20"/>
          <w:color w:val="auto"/>
        </w:rPr>
      </w:pPr>
      <w:r>
        <w:rPr>
          <w:rFonts w:ascii="Times New Roman" w:cs="Times New Roman" w:eastAsia="Times New Roman" w:hAnsi="Times New Roman"/>
          <w:sz w:val="19"/>
          <w:szCs w:val="19"/>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200" w:firstLine="565"/>
        <w:spacing w:after="0" w:line="226" w:lineRule="auto"/>
        <w:tabs>
          <w:tab w:leader="none" w:pos="94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notify the Borrower and the Banks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9"/>
          <w:szCs w:val="19"/>
          <w:u w:val="single" w:color="auto"/>
          <w:color w:val="auto"/>
        </w:rPr>
        <w:t>Section 8.1(c)(iv)</w:t>
      </w:r>
      <w:r>
        <w:rPr>
          <w:rFonts w:ascii="Times New Roman" w:cs="Times New Roman" w:eastAsia="Times New Roman" w:hAnsi="Times New Roman"/>
          <w:sz w:val="19"/>
          <w:szCs w:val="19"/>
          <w:color w:val="auto"/>
        </w:rPr>
        <w:t xml:space="preserve"> and (y) the commencement of any Benchmark Unavailability Period. Any determination, decision or election that may be made by the Administrative Agent or, if applicable, any Bank (or group of Banks) pursuant to this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w:t>
      </w:r>
    </w:p>
    <w:p>
      <w:pPr>
        <w:spacing w:after="0" w:line="103" w:lineRule="exact"/>
        <w:rPr>
          <w:rFonts w:ascii="Times New Roman" w:cs="Times New Roman" w:eastAsia="Times New Roman" w:hAnsi="Times New Roman"/>
          <w:sz w:val="19"/>
          <w:szCs w:val="19"/>
          <w:color w:val="auto"/>
        </w:rPr>
      </w:pPr>
    </w:p>
    <w:p>
      <w:pPr>
        <w:jc w:val="both"/>
        <w:ind w:left="-200" w:right="20" w:firstLine="565"/>
        <w:spacing w:after="0" w:line="226" w:lineRule="auto"/>
        <w:tabs>
          <w:tab w:leader="none" w:pos="928"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95" w:lineRule="exact"/>
        <w:rPr>
          <w:rFonts w:ascii="Times New Roman" w:cs="Times New Roman" w:eastAsia="Times New Roman" w:hAnsi="Times New Roman"/>
          <w:sz w:val="19"/>
          <w:szCs w:val="19"/>
          <w:color w:val="auto"/>
        </w:rPr>
      </w:pPr>
    </w:p>
    <w:p>
      <w:pPr>
        <w:jc w:val="both"/>
        <w:ind w:left="-200" w:right="40" w:firstLine="565"/>
        <w:spacing w:after="0" w:line="216" w:lineRule="auto"/>
        <w:tabs>
          <w:tab w:leader="none" w:pos="94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(A) the Borrower may revoke any pending request for a borrowing of, conversion to or continuation of Term SOFR Loans to be made, converted or continued during any Benchmark Unavailability Period and, failing that, the Borrower will be deemed to have converted any such request into a request for a borrowing of or conversion to ABR Loans and (B) any outstanding affected Term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ectPr>
          <w:pgSz w:w="11900" w:h="16840" w:orient="portrait"/>
          <w:cols w:equalWidth="0" w:num="1">
            <w:col w:w="9820"/>
          </w:cols>
          <w:pgMar w:left="1440" w:top="556" w:right="640" w:bottom="1440" w:gutter="0" w:footer="0" w:header="0"/>
        </w:sectPr>
      </w:pPr>
    </w:p>
    <w:bookmarkStart w:id="104" w:name="page105"/>
    <w:bookmarkEnd w:id="104"/>
    <w:p>
      <w:pPr>
        <w:ind w:left="10380"/>
        <w:spacing w:after="0"/>
        <w:rPr>
          <w:sz w:val="20"/>
          <w:szCs w:val="20"/>
          <w:color w:val="auto"/>
        </w:rPr>
      </w:pPr>
      <w:r>
        <w:rPr>
          <w:rFonts w:ascii="Times New Roman" w:cs="Times New Roman" w:eastAsia="Times New Roman" w:hAnsi="Times New Roman"/>
          <w:sz w:val="19"/>
          <w:szCs w:val="19"/>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8.2. </w:t>
      </w:r>
      <w:r>
        <w:rPr>
          <w:rFonts w:ascii="Times New Roman" w:cs="Times New Roman" w:eastAsia="Times New Roman" w:hAnsi="Times New Roman"/>
          <w:sz w:val="19"/>
          <w:szCs w:val="19"/>
          <w:u w:val="single" w:color="auto"/>
          <w:color w:val="auto"/>
        </w:rPr>
        <w:t>Increased Cost and Reduced Return.</w:t>
      </w:r>
      <w:r>
        <w:rPr>
          <w:rFonts w:ascii="Times New Roman" w:cs="Times New Roman" w:eastAsia="Times New Roman" w:hAnsi="Times New Roman"/>
          <w:sz w:val="19"/>
          <w:szCs w:val="19"/>
          <w:color w:val="auto"/>
        </w:rPr>
        <w:t xml:space="preserve"> (a) If on or after the date hereof, in the case of any Loan or any obligation to make Loans,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Lending Office) with any request or directive (whether or not having the force of law) of any such authority, central bank or comparable agency shall:</w:t>
      </w:r>
    </w:p>
    <w:p>
      <w:pPr>
        <w:spacing w:after="0" w:line="96" w:lineRule="exact"/>
        <w:rPr>
          <w:sz w:val="20"/>
          <w:szCs w:val="20"/>
          <w:color w:val="auto"/>
        </w:rPr>
      </w:pPr>
    </w:p>
    <w:p>
      <w:pPr>
        <w:jc w:val="both"/>
        <w:ind w:left="580" w:right="20" w:firstLine="565"/>
        <w:spacing w:after="0" w:line="239" w:lineRule="auto"/>
        <w:tabs>
          <w:tab w:leader="none" w:pos="16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(including any such requirement imposed by the Board or any similar Governmental Authority), special deposit, insurance assessment or similar requirement against assets of, deposits with or for the account of, or credit extended by, any Bank (or its Lending Office);</w:t>
      </w:r>
    </w:p>
    <w:p>
      <w:pPr>
        <w:spacing w:after="0" w:line="95" w:lineRule="exact"/>
        <w:rPr>
          <w:rFonts w:ascii="Times New Roman" w:cs="Times New Roman" w:eastAsia="Times New Roman" w:hAnsi="Times New Roman"/>
          <w:sz w:val="19"/>
          <w:szCs w:val="19"/>
          <w:color w:val="auto"/>
        </w:rPr>
      </w:pPr>
    </w:p>
    <w:p>
      <w:pPr>
        <w:ind w:left="580" w:right="60" w:firstLine="565"/>
        <w:spacing w:after="0" w:line="255" w:lineRule="auto"/>
        <w:tabs>
          <w:tab w:leader="none" w:pos="1696"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Bank to any Taxes (other than (A) Indemnified Taxes and (B) Excluded Taxes) on its loans, loan principal, commitments or other obligations, or its deposits, reserves, other liabilities or capital attributable thereto; or</w:t>
      </w:r>
    </w:p>
    <w:p>
      <w:pPr>
        <w:spacing w:after="0" w:line="81"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Bank (or its Lending Office) any other condition affecting its Loans, its Note or its obligation to make</w:t>
      </w:r>
    </w:p>
    <w:p>
      <w:pPr>
        <w:spacing w:after="0" w:line="5"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w:t>
      </w:r>
    </w:p>
    <w:p>
      <w:pPr>
        <w:spacing w:after="0" w:line="10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9"/>
          <w:szCs w:val="19"/>
          <w:color w:val="auto"/>
        </w:rPr>
        <w:t xml:space="preserve">and the result of any of the foregoing is to increase the cost to such Bank (or its Lending Office) of making or maintaining any Loan, or to reduce the amount of any sum received or receivable by such Bank (or its Lending Office) under this Agreement or under its Note with respect thereto, by an amount deemed by such Bank to be material, then, within 30 days after demand by such Bank (with a copy to the Administrative Agent), the Borrower shall pay to such Bank such additional amount or amounts as will compensate such Bank for such increased cost or reduction;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obligated to compensate such Bank for any increased cost or reduction incurred more than 60 days prior to the receipt by the Borrower of the notice contemplated by subsection (c) below (except that, if the applicable event giving rise to such increased costs or reductions is retroactive, then the 60 -day period referred to above shall be extended to include the period of retroactive effect thereof). The Banks acknowledge and agree that the foregoing subsection (a) creates no right to demand payment of additional amounts in respect of laws, rules and regulations, as in effect and interpreted and administered on the date hereof. For purposes of clause (ii) of this </w:t>
      </w:r>
      <w:r>
        <w:rPr>
          <w:rFonts w:ascii="Times New Roman" w:cs="Times New Roman" w:eastAsia="Times New Roman" w:hAnsi="Times New Roman"/>
          <w:sz w:val="19"/>
          <w:szCs w:val="19"/>
          <w:u w:val="single" w:color="auto"/>
          <w:color w:val="auto"/>
        </w:rPr>
        <w:t>Section 8.2(a)</w:t>
      </w:r>
      <w:r>
        <w:rPr>
          <w:rFonts w:ascii="Times New Roman" w:cs="Times New Roman" w:eastAsia="Times New Roman" w:hAnsi="Times New Roman"/>
          <w:sz w:val="19"/>
          <w:szCs w:val="19"/>
          <w:color w:val="auto"/>
        </w:rPr>
        <w:t>, the term “Bank” includes the Administrative Agent.</w:t>
      </w:r>
    </w:p>
    <w:p>
      <w:pPr>
        <w:spacing w:after="0" w:line="103" w:lineRule="exact"/>
        <w:rPr>
          <w:sz w:val="20"/>
          <w:szCs w:val="20"/>
          <w:color w:val="auto"/>
        </w:rPr>
      </w:pPr>
    </w:p>
    <w:p>
      <w:pPr>
        <w:jc w:val="both"/>
        <w:ind w:right="40" w:firstLine="1145"/>
        <w:spacing w:after="0" w:line="228" w:lineRule="auto"/>
        <w:tabs>
          <w:tab w:leader="none" w:pos="166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Bank shall have determined that, after the date hereof, the adoption of any applicable law, rule or regulation regarding capital adequacy or liquidity,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its Parent) as a consequence of such Bank’s obligations hereunder to a level below that which such Bank (or its Parent) could have achieved but for such adoption, change, request or directive (taking into consideration its policies with respect to capital adequacy and liquidity) by an amount deemed by such Bank to be material, then from time to time, within 30 days after demand by such Bank (with</w:t>
      </w:r>
    </w:p>
    <w:p>
      <w:pPr>
        <w:sectPr>
          <w:pgSz w:w="11900" w:h="16840" w:orient="portrait"/>
          <w:cols w:equalWidth="0" w:num="1">
            <w:col w:w="10600"/>
          </w:cols>
          <w:pgMar w:left="660" w:top="556" w:right="640" w:bottom="1440" w:gutter="0" w:footer="0" w:header="0"/>
        </w:sectPr>
      </w:pPr>
    </w:p>
    <w:bookmarkStart w:id="105" w:name="page106"/>
    <w:bookmarkEnd w:id="105"/>
    <w:p>
      <w:pPr>
        <w:ind w:left="10380"/>
        <w:spacing w:after="0"/>
        <w:rPr>
          <w:sz w:val="20"/>
          <w:szCs w:val="20"/>
          <w:color w:val="auto"/>
        </w:rPr>
      </w:pPr>
      <w:r>
        <w:rPr>
          <w:rFonts w:ascii="Times New Roman" w:cs="Times New Roman" w:eastAsia="Times New Roman" w:hAnsi="Times New Roman"/>
          <w:sz w:val="19"/>
          <w:szCs w:val="19"/>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 xml:space="preserve">a copy to the Administrative Agent), the Borrower shall pay to such Bank such additional amount or amounts as will compensate such Bank (or its Parent) for such reduction;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obligated to compensate such Bank for any reduction incurred more than 60 days prior to the receipt by the Borrower from such Bank of the notice contemplated by subsection (c) below (except that, if the applicable event giving rise to such reductions is retroactive, then the 60 -day period referred to above shall be extended to include the period of retroactive effect thereof) . The Banks acknowledge and agree that the foregoing subsection (b) creates no right to demand payment of additional amounts in respect of laws, rules and regulations regarding capital adequacy as in effect and interpreted and administered on the date hereof.</w:t>
      </w:r>
    </w:p>
    <w:p>
      <w:pPr>
        <w:spacing w:after="0" w:line="96" w:lineRule="exact"/>
        <w:rPr>
          <w:sz w:val="20"/>
          <w:szCs w:val="20"/>
          <w:color w:val="auto"/>
        </w:rPr>
      </w:pPr>
    </w:p>
    <w:p>
      <w:pPr>
        <w:jc w:val="both"/>
        <w:ind w:firstLine="1145"/>
        <w:spacing w:after="0" w:line="228" w:lineRule="auto"/>
        <w:tabs>
          <w:tab w:leader="none" w:pos="1686"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Bank will notify the Borrower and the Administrative Agent within 90 days of any event of which it has knowledge, occurring after the date hereof, which will entitle such Bank to compensation pursuant to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and will designate a different Lending Office if such designation will avoid the need for, or reduce the amount of, such compensation and will not, in the judgment of such Bank, be otherwise disadvantageous to such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Bank shall not have so notified the Borrower within 90 days of such event, such Bank may not seek compensation for any period beginning prior to the date upon which the Borrower is notified of such event. A certificate of any Bank claiming compensation under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and setting forth the calculation of the additional amount or amounts to be paid to it hereunder shall be conclusive in the absence of manifest error. In determining such amount, such Bank may use any reasonable averaging and attribution methods.</w:t>
      </w:r>
    </w:p>
    <w:p>
      <w:pPr>
        <w:spacing w:after="0" w:line="96" w:lineRule="exact"/>
        <w:rPr>
          <w:rFonts w:ascii="Times New Roman" w:cs="Times New Roman" w:eastAsia="Times New Roman" w:hAnsi="Times New Roman"/>
          <w:sz w:val="19"/>
          <w:szCs w:val="19"/>
          <w:color w:val="auto"/>
        </w:rPr>
      </w:pPr>
    </w:p>
    <w:p>
      <w:pPr>
        <w:jc w:val="both"/>
        <w:ind w:firstLine="1145"/>
        <w:spacing w:after="0" w:line="228" w:lineRule="auto"/>
        <w:tabs>
          <w:tab w:leader="none" w:pos="1674"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for purposes of paragraphs (a) and (b)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III, shall be deemed to be a change in law, rule or regulation regardless of the date enacted, adopted, promulgated or issued;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 may be compensated under paragraph (a) or (b)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for any change in law, rule or regulation described in this paragraph (d) only if such Bank requests compensation for increased costs associated with any such change in law, rule or regulation from similarly-situated borrowers under comparable credit facilities.</w:t>
      </w:r>
    </w:p>
    <w:p>
      <w:pPr>
        <w:spacing w:after="0" w:line="96" w:lineRule="exact"/>
        <w:rPr>
          <w:sz w:val="20"/>
          <w:szCs w:val="20"/>
          <w:color w:val="auto"/>
        </w:rPr>
      </w:pPr>
    </w:p>
    <w:p>
      <w:pPr>
        <w:jc w:val="both"/>
        <w:ind w:firstLine="1140"/>
        <w:spacing w:after="0" w:line="228" w:lineRule="auto"/>
        <w:rPr>
          <w:sz w:val="20"/>
          <w:szCs w:val="20"/>
          <w:color w:val="auto"/>
        </w:rPr>
      </w:pPr>
      <w:r>
        <w:rPr>
          <w:rFonts w:ascii="Times New Roman" w:cs="Times New Roman" w:eastAsia="Times New Roman" w:hAnsi="Times New Roman"/>
          <w:sz w:val="19"/>
          <w:szCs w:val="19"/>
          <w:color w:val="auto"/>
        </w:rPr>
        <w:t>SECTION 8.3.</w:t>
      </w:r>
      <w:r>
        <w:rPr>
          <w:rFonts w:ascii="Times New Roman" w:cs="Times New Roman" w:eastAsia="Times New Roman" w:hAnsi="Times New Roman"/>
          <w:sz w:val="19"/>
          <w:szCs w:val="19"/>
          <w:u w:val="single" w:color="auto"/>
          <w:color w:val="auto"/>
        </w:rPr>
        <w:t>Substitution of Bank.</w:t>
      </w:r>
      <w:r>
        <w:rPr>
          <w:rFonts w:ascii="Times New Roman" w:cs="Times New Roman" w:eastAsia="Times New Roman" w:hAnsi="Times New Roman"/>
          <w:sz w:val="19"/>
          <w:szCs w:val="19"/>
          <w:color w:val="auto"/>
        </w:rPr>
        <w:t xml:space="preserve"> If (i) the obligation of any Bank to make Term SOFR Loans has been suspended pursuant to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(ii) any Bank has demanded compensation under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(iii) [reserved], (iv) the Borrower is obligated to pay an additional amount to any Bank or any Governmental Authority for the account of any Bank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(v) any Bank is a Defaulting Bank, in each case, the Borrower shall have the right, with the assistance of the Administrative Agent and at the sole expense of the Borrower (except, in the case of clause (v), at the sole expense of the applicable Defaulting Bank), to seek a substitute bank or banks (which may be one or more of the Banks), mutually satisfactory to the Borrower and the Administrative Agent, to purchase the Loans and Notes (as applicable) of such Bank. The Borrower shall give reasonable advance notice to the Bank to be so substituted;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rights of the Borrower pursuant to this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106" w:name="page107"/>
    <w:bookmarkEnd w:id="106"/>
    <w:p>
      <w:pPr>
        <w:ind w:left="10380"/>
        <w:spacing w:after="0"/>
        <w:rPr>
          <w:sz w:val="20"/>
          <w:szCs w:val="20"/>
          <w:color w:val="auto"/>
        </w:rPr>
      </w:pPr>
      <w:r>
        <w:rPr>
          <w:rFonts w:ascii="Times New Roman" w:cs="Times New Roman" w:eastAsia="Times New Roman" w:hAnsi="Times New Roman"/>
          <w:sz w:val="19"/>
          <w:szCs w:val="19"/>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IX</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MISCELLANEOUS</w:t>
      </w:r>
    </w:p>
    <w:p>
      <w:pPr>
        <w:spacing w:after="0" w:line="126" w:lineRule="exact"/>
        <w:rPr>
          <w:sz w:val="20"/>
          <w:szCs w:val="20"/>
          <w:color w:val="auto"/>
        </w:rPr>
      </w:pPr>
    </w:p>
    <w:p>
      <w:pPr>
        <w:ind w:right="20" w:firstLine="1140"/>
        <w:spacing w:after="0" w:line="255" w:lineRule="auto"/>
        <w:rPr>
          <w:sz w:val="20"/>
          <w:szCs w:val="20"/>
          <w:color w:val="auto"/>
        </w:rPr>
      </w:pPr>
      <w:r>
        <w:rPr>
          <w:rFonts w:ascii="Times New Roman" w:cs="Times New Roman" w:eastAsia="Times New Roman" w:hAnsi="Times New Roman"/>
          <w:sz w:val="19"/>
          <w:szCs w:val="19"/>
          <w:color w:val="auto"/>
        </w:rPr>
        <w:t>SECTION 9.1.</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xml:space="preserve"> (a) All notices, requests and other communications to any party hereunder shall be in writing (including bank wire, facsimile transmission, electronic transmission or similar writing) and shall be given to such party:</w:t>
      </w:r>
    </w:p>
    <w:p>
      <w:pPr>
        <w:spacing w:after="0" w:line="82" w:lineRule="exact"/>
        <w:rPr>
          <w:sz w:val="20"/>
          <w:szCs w:val="20"/>
          <w:color w:val="auto"/>
        </w:rPr>
      </w:pPr>
    </w:p>
    <w:p>
      <w:pPr>
        <w:ind w:left="580" w:right="40" w:firstLine="565"/>
        <w:spacing w:after="0" w:line="255" w:lineRule="auto"/>
        <w:tabs>
          <w:tab w:leader="none" w:pos="16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Loan Party, c/o Lennox International, 2140 Lake Park Blvd., Richardson, TX 75080, Attention: Theresa McCray, Vice President, Corporate Tax &amp; Treasurer, email address: Theresa.McCray@Lennox.com;</w:t>
      </w:r>
    </w:p>
    <w:p>
      <w:pPr>
        <w:spacing w:after="0" w:line="81"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Administrative Agent from any Loan Party, to the address or addresses separately provided to the</w:t>
      </w:r>
    </w:p>
    <w:p>
      <w:pPr>
        <w:spacing w:after="0" w:line="5"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w:t>
      </w:r>
    </w:p>
    <w:p>
      <w:pPr>
        <w:spacing w:after="0" w:line="103" w:lineRule="exact"/>
        <w:rPr>
          <w:rFonts w:ascii="Times New Roman" w:cs="Times New Roman" w:eastAsia="Times New Roman" w:hAnsi="Times New Roman"/>
          <w:sz w:val="19"/>
          <w:szCs w:val="19"/>
          <w:color w:val="auto"/>
        </w:rPr>
      </w:pPr>
    </w:p>
    <w:p>
      <w:pPr>
        <w:jc w:val="both"/>
        <w:ind w:left="580" w:right="60" w:firstLine="565"/>
        <w:spacing w:after="0" w:line="239" w:lineRule="auto"/>
        <w:tabs>
          <w:tab w:leader="none" w:pos="16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Administrative Agent from the Banks, at Wells Fargo Bank, National Association, MAC D1109-019, 1525 West W.T. Harris Blvd., Charlotte, NC 28262, attention of Syndication Agency Services, at (704) 590-2706 or at agencyservices.requests@wellsfargo.com (for all communications other than funds transfers);</w:t>
      </w:r>
    </w:p>
    <w:p>
      <w:pPr>
        <w:spacing w:after="0" w:line="95" w:lineRule="exact"/>
        <w:rPr>
          <w:rFonts w:ascii="Times New Roman" w:cs="Times New Roman" w:eastAsia="Times New Roman" w:hAnsi="Times New Roman"/>
          <w:sz w:val="19"/>
          <w:szCs w:val="19"/>
          <w:color w:val="auto"/>
        </w:rPr>
      </w:pPr>
    </w:p>
    <w:p>
      <w:pPr>
        <w:ind w:left="580" w:right="20" w:firstLine="565"/>
        <w:spacing w:after="0" w:line="255" w:lineRule="auto"/>
        <w:tabs>
          <w:tab w:leader="none" w:pos="16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Bank, at its address, electronic mail address or facsimile number set forth in its Administrative Questionnaire; or</w:t>
      </w:r>
    </w:p>
    <w:p>
      <w:pPr>
        <w:spacing w:after="0" w:line="81" w:lineRule="exact"/>
        <w:rPr>
          <w:rFonts w:ascii="Times New Roman" w:cs="Times New Roman" w:eastAsia="Times New Roman" w:hAnsi="Times New Roman"/>
          <w:sz w:val="19"/>
          <w:szCs w:val="19"/>
          <w:color w:val="auto"/>
        </w:rPr>
      </w:pPr>
    </w:p>
    <w:p>
      <w:pPr>
        <w:ind w:left="580" w:right="20" w:firstLine="565"/>
        <w:spacing w:after="0" w:line="255" w:lineRule="auto"/>
        <w:tabs>
          <w:tab w:leader="none" w:pos="167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party, such other address, electronic mail address or facsimile number as such party may hereafter specify for the purpose by notice to the Administrative Agent and the Borrower.</w:t>
      </w:r>
    </w:p>
    <w:p>
      <w:pPr>
        <w:spacing w:after="0" w:line="8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 xml:space="preserve">Each such notice, request or other communication shall be effective (i) if given by facsimile transmission, when transmitted to the facsimile number specified in this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and confirmation of receipt is received (except that, if not given during normal business hours for the recipient, shall be effective at the opening of business on the next Business Day for the recipient) and (ii) if given by any other means, when received. Notices, requests and other communications to be given to any Guarantor shall be deemed given if such notice, request or other communication has been given to the Borrower. Notices delivered through a Platform, to the extent provided in paragraph (b) below, shall be effective as provided in said paragraph (b).</w:t>
      </w:r>
    </w:p>
    <w:p>
      <w:pPr>
        <w:spacing w:after="0" w:line="97" w:lineRule="exact"/>
        <w:rPr>
          <w:sz w:val="20"/>
          <w:szCs w:val="20"/>
          <w:color w:val="auto"/>
        </w:rPr>
      </w:pPr>
    </w:p>
    <w:p>
      <w:pPr>
        <w:jc w:val="both"/>
        <w:ind w:firstLine="1145"/>
        <w:spacing w:after="0" w:line="230" w:lineRule="auto"/>
        <w:tabs>
          <w:tab w:leader="none" w:pos="123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 ) Notices and other communications to the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if such Bank has notified the Administrative Agent that is incapable of receiving notices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97" w:lineRule="exact"/>
        <w:rPr>
          <w:sz w:val="20"/>
          <w:szCs w:val="20"/>
          <w:color w:val="auto"/>
        </w:rPr>
      </w:pPr>
    </w:p>
    <w:p>
      <w:pPr>
        <w:ind w:right="40" w:firstLine="1145"/>
        <w:spacing w:after="0" w:line="255" w:lineRule="auto"/>
        <w:tabs>
          <w:tab w:leader="none" w:pos="167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Bank agrees that the Administrative Agent may, but shall not be obligated to, make the Borrower Materials available to the Banks by posting the Borrower Materials on the</w:t>
      </w:r>
    </w:p>
    <w:p>
      <w:pPr>
        <w:sectPr>
          <w:pgSz w:w="11900" w:h="16840" w:orient="portrait"/>
          <w:cols w:equalWidth="0" w:num="1">
            <w:col w:w="10580"/>
          </w:cols>
          <w:pgMar w:left="660" w:top="556" w:right="660" w:bottom="1440" w:gutter="0" w:footer="0" w:header="0"/>
        </w:sectPr>
      </w:pPr>
    </w:p>
    <w:bookmarkStart w:id="107" w:name="page108"/>
    <w:bookmarkEnd w:id="107"/>
    <w:p>
      <w:pPr>
        <w:ind w:left="10380"/>
        <w:spacing w:after="0"/>
        <w:rPr>
          <w:sz w:val="20"/>
          <w:szCs w:val="20"/>
          <w:color w:val="auto"/>
        </w:rPr>
      </w:pPr>
      <w:r>
        <w:rPr>
          <w:rFonts w:ascii="Times New Roman" w:cs="Times New Roman" w:eastAsia="Times New Roman" w:hAnsi="Times New Roman"/>
          <w:sz w:val="19"/>
          <w:szCs w:val="19"/>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9"/>
          <w:szCs w:val="19"/>
          <w:color w:val="auto"/>
        </w:rPr>
        <w:t xml:space="preserve">Platform. 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Banks and the Borrower acknowledges and agrees that distribution of information through an electronic means is not necessarily secure in all respects, the Administrative Agent, the Arranger and their respective Related Parties (collectively, the “ </w:t>
      </w:r>
      <w:r>
        <w:rPr>
          <w:rFonts w:ascii="Times New Roman" w:cs="Times New Roman" w:eastAsia="Times New Roman" w:hAnsi="Times New Roman"/>
          <w:sz w:val="19"/>
          <w:szCs w:val="19"/>
          <w:u w:val="single" w:color="auto"/>
          <w:color w:val="auto"/>
        </w:rPr>
        <w:t>Agent Parties</w:t>
      </w:r>
      <w:r>
        <w:rPr>
          <w:rFonts w:ascii="Times New Roman" w:cs="Times New Roman" w:eastAsia="Times New Roman" w:hAnsi="Times New Roman"/>
          <w:sz w:val="19"/>
          <w:szCs w:val="19"/>
          <w:color w:val="auto"/>
        </w:rPr>
        <w:t xml:space="preserve">”) are not responsible for approving or vetting the representatives, designees or contacts of any Bank that are provided access to the Platform and that there may be confidentiality and other risks associated with such form of distribution. Each of the Borrower, each Bank party hereto understands and accepts such risks. In no event shall the Agent Parties have any liability to any Loan Party, any Bank or any other Person or entity for losses, claims, damages, liabilities or expenses of any kind (whether in tort, contract or otherwise) arising out of any Loan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bad faith, gross negligence or willful misconduct of such Agent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Agent Party have any liability to any Loan Party, any Bank or any other Person for indirect, special, incidental, consequential or punitive damages, losses or expenses (as opposed to actual damages, losses or expenses).</w:t>
      </w:r>
    </w:p>
    <w:p>
      <w:pPr>
        <w:spacing w:after="0" w:line="107" w:lineRule="exact"/>
        <w:rPr>
          <w:sz w:val="20"/>
          <w:szCs w:val="20"/>
          <w:color w:val="auto"/>
        </w:rPr>
      </w:pPr>
    </w:p>
    <w:p>
      <w:pPr>
        <w:jc w:val="both"/>
        <w:ind w:right="20" w:firstLine="1145"/>
        <w:spacing w:after="0" w:line="228" w:lineRule="auto"/>
        <w:tabs>
          <w:tab w:leader="none" w:pos="1698"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96" w:lineRule="exact"/>
        <w:rPr>
          <w:rFonts w:ascii="Times New Roman" w:cs="Times New Roman" w:eastAsia="Times New Roman" w:hAnsi="Times New Roman"/>
          <w:sz w:val="19"/>
          <w:szCs w:val="19"/>
          <w:color w:val="auto"/>
        </w:rPr>
      </w:pPr>
    </w:p>
    <w:p>
      <w:pPr>
        <w:ind w:right="20" w:firstLine="1145"/>
        <w:spacing w:after="0" w:line="255" w:lineRule="auto"/>
        <w:tabs>
          <w:tab w:leader="none" w:pos="167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party hereto may change its address or telecopy number for notices and other communications hereunder by notice to the other parties hereto.</w:t>
      </w:r>
    </w:p>
    <w:p>
      <w:pPr>
        <w:spacing w:after="0" w:line="82"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SECTION 9.2.</w:t>
      </w:r>
      <w:r>
        <w:rPr>
          <w:rFonts w:ascii="Times New Roman" w:cs="Times New Roman" w:eastAsia="Times New Roman" w:hAnsi="Times New Roman"/>
          <w:sz w:val="19"/>
          <w:szCs w:val="19"/>
          <w:u w:val="single" w:color="auto"/>
          <w:color w:val="auto"/>
        </w:rPr>
        <w:t>No Waivers.</w:t>
      </w:r>
      <w:r>
        <w:rPr>
          <w:rFonts w:ascii="Times New Roman" w:cs="Times New Roman" w:eastAsia="Times New Roman" w:hAnsi="Times New Roman"/>
          <w:sz w:val="19"/>
          <w:szCs w:val="19"/>
          <w:color w:val="auto"/>
        </w:rPr>
        <w:t xml:space="preserve"> No failure or delay by the Administrative Agent or any Bank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8" w:lineRule="exact"/>
        <w:rPr>
          <w:sz w:val="20"/>
          <w:szCs w:val="20"/>
          <w:color w:val="auto"/>
        </w:rPr>
      </w:pPr>
    </w:p>
    <w:p>
      <w:pPr>
        <w:ind w:right="40" w:firstLine="1140"/>
        <w:spacing w:after="0" w:line="255" w:lineRule="auto"/>
        <w:rPr>
          <w:sz w:val="20"/>
          <w:szCs w:val="20"/>
          <w:color w:val="auto"/>
        </w:rPr>
      </w:pPr>
      <w:r>
        <w:rPr>
          <w:rFonts w:ascii="Times New Roman" w:cs="Times New Roman" w:eastAsia="Times New Roman" w:hAnsi="Times New Roman"/>
          <w:sz w:val="19"/>
          <w:szCs w:val="19"/>
          <w:color w:val="auto"/>
        </w:rPr>
        <w:t>SECTION 9.3.</w:t>
      </w:r>
      <w:r>
        <w:rPr>
          <w:rFonts w:ascii="Times New Roman" w:cs="Times New Roman" w:eastAsia="Times New Roman" w:hAnsi="Times New Roman"/>
          <w:sz w:val="19"/>
          <w:szCs w:val="19"/>
          <w:u w:val="single" w:color="auto"/>
          <w:color w:val="auto"/>
        </w:rPr>
        <w:t>Expenses; Indemnification; Limitation of Liabilities.</w:t>
      </w:r>
      <w:r>
        <w:rPr>
          <w:rFonts w:ascii="Times New Roman" w:cs="Times New Roman" w:eastAsia="Times New Roman" w:hAnsi="Times New Roman"/>
          <w:sz w:val="19"/>
          <w:szCs w:val="19"/>
          <w:color w:val="auto"/>
        </w:rPr>
        <w:t xml:space="preserve"> (a) The Borrower shall pay (i) all reasonable and documented out-of-pocket expenses of the</w:t>
      </w:r>
    </w:p>
    <w:p>
      <w:pPr>
        <w:sectPr>
          <w:pgSz w:w="11900" w:h="16840" w:orient="portrait"/>
          <w:cols w:equalWidth="0" w:num="1">
            <w:col w:w="10600"/>
          </w:cols>
          <w:pgMar w:left="660" w:top="556" w:right="640" w:bottom="1440" w:gutter="0" w:footer="0" w:header="0"/>
        </w:sectPr>
      </w:pPr>
    </w:p>
    <w:bookmarkStart w:id="108" w:name="page109"/>
    <w:bookmarkEnd w:id="108"/>
    <w:p>
      <w:pPr>
        <w:ind w:left="10380"/>
        <w:spacing w:after="0"/>
        <w:rPr>
          <w:sz w:val="20"/>
          <w:szCs w:val="20"/>
          <w:color w:val="auto"/>
        </w:rPr>
      </w:pPr>
      <w:r>
        <w:rPr>
          <w:rFonts w:ascii="Times New Roman" w:cs="Times New Roman" w:eastAsia="Times New Roman" w:hAnsi="Times New Roman"/>
          <w:sz w:val="19"/>
          <w:szCs w:val="19"/>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60"/>
        <w:spacing w:after="0" w:line="228" w:lineRule="auto"/>
        <w:rPr>
          <w:sz w:val="20"/>
          <w:szCs w:val="20"/>
          <w:color w:val="auto"/>
        </w:rPr>
      </w:pPr>
      <w:r>
        <w:rPr>
          <w:rFonts w:ascii="Times New Roman" w:cs="Times New Roman" w:eastAsia="Times New Roman" w:hAnsi="Times New Roman"/>
          <w:sz w:val="19"/>
          <w:szCs w:val="19"/>
          <w:color w:val="auto"/>
        </w:rPr>
        <w:t xml:space="preserve">Administrative Agent, including reasonable fees and disbursements of special counsel for the Administrative Agent, in connection with any waiver or consent hereunder or any amendment hereof, (ii) all fees, as described in the Fee Letter, in connection with the preparation of this Agreement and (iii) if an Event of Default occurs, all out-of-pocket expenses incurred by the Administrative Agent and each Bank, including reasonable fees and disbursements of counsel, in connection with such Event of Default and collection, bankruptcy, insolvency and other enforcement proceedings resulting therefrom. To the extent practicable, the Administrative Agent or the applicable Bank, as the case may be, shall give the Borrower prior notice of the incurrence of any expenses described in this subsection (a);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the failure to give such notice shall not affect the obligation of the Borrower to pay such Administrative Agent or such Bank the amount or amounts due pursuant to subsection (a) with respect to such expenses.</w:t>
      </w:r>
    </w:p>
    <w:p>
      <w:pPr>
        <w:spacing w:after="0" w:line="96" w:lineRule="exact"/>
        <w:rPr>
          <w:sz w:val="20"/>
          <w:szCs w:val="20"/>
          <w:color w:val="auto"/>
        </w:rPr>
      </w:pPr>
    </w:p>
    <w:p>
      <w:pPr>
        <w:jc w:val="both"/>
        <w:ind w:right="40" w:firstLine="1145"/>
        <w:spacing w:after="0" w:line="224" w:lineRule="auto"/>
        <w:tabs>
          <w:tab w:leader="none" w:pos="1686"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indemnify and hold harmless the Administrative Agent and each Bank and the officers, partners, members, directors, trustees, advisors, employees, agents, sub-agents and Affiliates of the Administrative Agent and each Bank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from and against any and all Liabilities, including the reasonable fees and disbursements of counsel, which may be incurred by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contemplated hereby, (iii) any action taken in connection with this Agreement, including, but not limited to, the payment of principal, interest and fees, (iv) any Loan or the use of the proceeds therefrom, (v) any actual or alleged presence or release of Hazardous Materials on or from any property owned or operated by the Borrower or any of its Subsidiaries, or any Environmental Liability related in any way to the Borrower or any of its Subsidiaries, or</w:t>
      </w:r>
    </w:p>
    <w:p>
      <w:pPr>
        <w:spacing w:after="0" w:line="3" w:lineRule="exact"/>
        <w:rPr>
          <w:rFonts w:ascii="Times New Roman" w:cs="Times New Roman" w:eastAsia="Times New Roman" w:hAnsi="Times New Roman"/>
          <w:sz w:val="19"/>
          <w:szCs w:val="19"/>
          <w:color w:val="auto"/>
        </w:rPr>
      </w:pPr>
    </w:p>
    <w:p>
      <w:pPr>
        <w:jc w:val="both"/>
        <w:ind w:right="60" w:firstLine="5"/>
        <w:spacing w:after="0" w:line="225" w:lineRule="auto"/>
        <w:tabs>
          <w:tab w:leader="none" w:pos="35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actual or prospective claim, litigation, investigation, arbitration or administrative, judicial or regulatory action or proceeding relating to any of the foregoing (whether or not such Indemnitee shall be designated a party thereto and whether or not such proceeding is brought by the Borrower or any third party) relating to or arising out of this Agreement or any actual or proposed use of proceeds of Loans hereunder, including, but not limited to, the payment of principal, interest and fees;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Indemnitee shall have the right to be indemnified hereunder for its own bad faith, gross negligence or willful misconduct, as determined in a final, non-appealable judgment by a court of competent jurisdiction. This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99" w:lineRule="exact"/>
        <w:rPr>
          <w:rFonts w:ascii="Times New Roman" w:cs="Times New Roman" w:eastAsia="Times New Roman" w:hAnsi="Times New Roman"/>
          <w:sz w:val="19"/>
          <w:szCs w:val="19"/>
          <w:color w:val="auto"/>
        </w:rPr>
      </w:pPr>
    </w:p>
    <w:p>
      <w:pPr>
        <w:jc w:val="both"/>
        <w:ind w:firstLine="1145"/>
        <w:spacing w:after="0" w:line="228" w:lineRule="auto"/>
        <w:tabs>
          <w:tab w:leader="none" w:pos="1674"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applicable law, (i) no Loan Party shall assert, and each Loan Party hereby waives, any claim against the Administrative Agent, the Arranger and any Bank, and any Related Party of any of the foregoing Persons for any Liabilities arising from the use by others of information or other materials (including any personal data) obtained through telecommunications, electronic or other information transmission systems (including the Internet and any Platform),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 9.3(c)</w:t>
      </w:r>
      <w:r>
        <w:rPr>
          <w:rFonts w:ascii="Times New Roman" w:cs="Times New Roman" w:eastAsia="Times New Roman" w:hAnsi="Times New Roman"/>
          <w:sz w:val="19"/>
          <w:szCs w:val="19"/>
          <w:color w:val="auto"/>
        </w:rPr>
        <w:t xml:space="preserve"> shall relieve any Loan Party of any obligation</w:t>
      </w:r>
    </w:p>
    <w:p>
      <w:pPr>
        <w:sectPr>
          <w:pgSz w:w="11900" w:h="16840" w:orient="portrait"/>
          <w:cols w:equalWidth="0" w:num="1">
            <w:col w:w="10620"/>
          </w:cols>
          <w:pgMar w:left="660" w:top="556" w:right="620" w:bottom="1440" w:gutter="0" w:footer="0" w:header="0"/>
        </w:sectPr>
      </w:pPr>
    </w:p>
    <w:bookmarkStart w:id="109" w:name="page110"/>
    <w:bookmarkEnd w:id="109"/>
    <w:p>
      <w:pPr>
        <w:ind w:left="10380"/>
        <w:spacing w:after="0"/>
        <w:rPr>
          <w:sz w:val="20"/>
          <w:szCs w:val="20"/>
          <w:color w:val="auto"/>
        </w:rPr>
      </w:pPr>
      <w:r>
        <w:rPr>
          <w:rFonts w:ascii="Times New Roman" w:cs="Times New Roman" w:eastAsia="Times New Roman" w:hAnsi="Times New Roman"/>
          <w:sz w:val="19"/>
          <w:szCs w:val="19"/>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 xml:space="preserve">it may have to indemnify an Indemnitee, as provided in </w:t>
      </w:r>
      <w:r>
        <w:rPr>
          <w:rFonts w:ascii="Times New Roman" w:cs="Times New Roman" w:eastAsia="Times New Roman" w:hAnsi="Times New Roman"/>
          <w:sz w:val="19"/>
          <w:szCs w:val="19"/>
          <w:u w:val="single" w:color="auto"/>
          <w:color w:val="auto"/>
        </w:rPr>
        <w:t>Section 9.3(b)</w:t>
      </w:r>
      <w:r>
        <w:rPr>
          <w:rFonts w:ascii="Times New Roman" w:cs="Times New Roman" w:eastAsia="Times New Roman" w:hAnsi="Times New Roman"/>
          <w:sz w:val="19"/>
          <w:szCs w:val="19"/>
          <w:color w:val="auto"/>
        </w:rPr>
        <w:t>, against any special, indirect, consequential or punitive damages asserted against such Indemnitee by a third party.</w:t>
      </w:r>
    </w:p>
    <w:p>
      <w:pPr>
        <w:spacing w:after="0" w:line="82" w:lineRule="exact"/>
        <w:rPr>
          <w:sz w:val="20"/>
          <w:szCs w:val="20"/>
          <w:color w:val="auto"/>
        </w:rPr>
      </w:pPr>
    </w:p>
    <w:p>
      <w:pPr>
        <w:jc w:val="both"/>
        <w:ind w:right="20" w:firstLine="1145"/>
        <w:spacing w:after="0" w:line="229" w:lineRule="auto"/>
        <w:tabs>
          <w:tab w:leader="none" w:pos="1662"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the Borrower fails to pay any amount required to be paid by it to the Administrative Agent under paragraph (a), (b) or (c) of this </w:t>
      </w:r>
      <w:r>
        <w:rPr>
          <w:rFonts w:ascii="Times New Roman" w:cs="Times New Roman" w:eastAsia="Times New Roman" w:hAnsi="Times New Roman"/>
          <w:sz w:val="19"/>
          <w:szCs w:val="19"/>
          <w:u w:val="single" w:color="auto"/>
          <w:color w:val="auto"/>
        </w:rPr>
        <w:t>Section 9.3</w:t>
      </w:r>
      <w:r>
        <w:rPr>
          <w:rFonts w:ascii="Times New Roman" w:cs="Times New Roman" w:eastAsia="Times New Roman" w:hAnsi="Times New Roman"/>
          <w:sz w:val="19"/>
          <w:szCs w:val="19"/>
          <w:color w:val="auto"/>
        </w:rPr>
        <w:t xml:space="preserve">, each Bank severally agrees to pay to the Administrative Agent such Bank’s pro rata share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For purposes hereof, a Bank’s “pro rata share” shall be determined based upon the sum of its share of Loans at such time (or if the Loans have been repaid in full, its share of the Loans most recently outstanding, giving effect to any assignments).</w:t>
      </w:r>
    </w:p>
    <w:p>
      <w:pPr>
        <w:spacing w:after="0" w:line="96" w:lineRule="exact"/>
        <w:rPr>
          <w:sz w:val="20"/>
          <w:szCs w:val="20"/>
          <w:color w:val="auto"/>
        </w:rPr>
      </w:pPr>
    </w:p>
    <w:p>
      <w:pPr>
        <w:jc w:val="both"/>
        <w:ind w:firstLine="1140"/>
        <w:spacing w:after="0" w:line="226" w:lineRule="auto"/>
        <w:rPr>
          <w:sz w:val="20"/>
          <w:szCs w:val="20"/>
          <w:color w:val="auto"/>
        </w:rPr>
      </w:pPr>
      <w:r>
        <w:rPr>
          <w:rFonts w:ascii="Times New Roman" w:cs="Times New Roman" w:eastAsia="Times New Roman" w:hAnsi="Times New Roman"/>
          <w:sz w:val="19"/>
          <w:szCs w:val="19"/>
          <w:color w:val="auto"/>
        </w:rPr>
        <w:t>SECTION 9.4.</w:t>
      </w:r>
      <w:r>
        <w:rPr>
          <w:rFonts w:ascii="Times New Roman" w:cs="Times New Roman" w:eastAsia="Times New Roman" w:hAnsi="Times New Roman"/>
          <w:sz w:val="19"/>
          <w:szCs w:val="19"/>
          <w:u w:val="single" w:color="auto"/>
          <w:color w:val="auto"/>
        </w:rPr>
        <w:t>Sharing of Set -Offs.</w:t>
      </w:r>
      <w:r>
        <w:rPr>
          <w:rFonts w:ascii="Times New Roman" w:cs="Times New Roman" w:eastAsia="Times New Roman" w:hAnsi="Times New Roman"/>
          <w:sz w:val="19"/>
          <w:szCs w:val="19"/>
          <w:color w:val="auto"/>
        </w:rPr>
        <w:t xml:space="preserve"> Each Bank agrees that if it shall, by exercising any right of set-off or counterclaim or otherwise, receive payment of a proportion of the aggregate amount of principal and interest due with respect to any Loan made by it which is greater than the proportion received by any other Bank in respect of the aggregate amount of principal and interest due with respect to any Loan made by such other Bank, the Bank receiving such proportionately greater payment shall purchase such participations in the Loans made by the other Banks, and such other adjustments shall be made, as may be required so that all such payments of principal and interest with respect to the Loans made by the Banks shall be shared by the Banks pro rata;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9.4</w:t>
      </w:r>
      <w:r>
        <w:rPr>
          <w:rFonts w:ascii="Times New Roman" w:cs="Times New Roman" w:eastAsia="Times New Roman" w:hAnsi="Times New Roman"/>
          <w:sz w:val="19"/>
          <w:szCs w:val="19"/>
          <w:color w:val="auto"/>
        </w:rPr>
        <w:t xml:space="preserve"> shall impair the right of any Bank to exercise any right of set-off or counterclaim it may have and to apply the amount subject to such exercise to the payment of indebtedness of the Borrower other than their indebtedness under the Loans. The Borrower agrees, to the fullest extent it may effectively do so under applicable law, that any Bank acquiring a participation in a Loan pursuant to the foregoing arrangements may exercise rights of set-off or counterclaim and other rights with respect to such participation as fully as if such holder of a participation were a direct creditor of the Borrower in the amount of such participation.</w:t>
      </w:r>
    </w:p>
    <w:p>
      <w:pPr>
        <w:spacing w:after="0" w:line="99" w:lineRule="exact"/>
        <w:rPr>
          <w:sz w:val="20"/>
          <w:szCs w:val="20"/>
          <w:color w:val="auto"/>
        </w:rPr>
      </w:pPr>
    </w:p>
    <w:p>
      <w:pPr>
        <w:jc w:val="both"/>
        <w:ind w:firstLine="1140"/>
        <w:spacing w:after="0" w:line="225" w:lineRule="auto"/>
        <w:rPr>
          <w:sz w:val="20"/>
          <w:szCs w:val="20"/>
          <w:color w:val="auto"/>
        </w:rPr>
      </w:pPr>
      <w:r>
        <w:rPr>
          <w:rFonts w:ascii="Times New Roman" w:cs="Times New Roman" w:eastAsia="Times New Roman" w:hAnsi="Times New Roman"/>
          <w:sz w:val="19"/>
          <w:szCs w:val="19"/>
          <w:color w:val="auto"/>
        </w:rPr>
        <w:t xml:space="preserve">SECTION 9.5. </w:t>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 xml:space="preserve"> Any provision of this Agreement or any other Loan Document may be amended or waived if, but only if, such amendment or waiver is in writing and is signed by the Borrower and the Required Banks (and, if the rights or duties of the Administrative Agent are affected thereby,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amendment or waiver shall, unless signed by each of the Banks directly affected thereby, (a) increase the Term Loan Commitment of any Bank or subject any Bank to any additional obligation, including an extension of the Maturity Date, (b) reduce the principal of or rate of interest on any Loan or any fees hereunder, (c) postpone the date fixed for any payment of principal of or interest on any Loan or any fees hereunder or for any reduction or termination of any Term Loan Commitment, (d) change the percentage of the aggregate unpaid principal amount of the Loans, or the number of Banks, which shall be required for the Banks or any of them to take any action under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or any other provision of this Agreement, (e) change </w:t>
      </w:r>
      <w:r>
        <w:rPr>
          <w:rFonts w:ascii="Times New Roman" w:cs="Times New Roman" w:eastAsia="Times New Roman" w:hAnsi="Times New Roman"/>
          <w:sz w:val="19"/>
          <w:szCs w:val="19"/>
          <w:u w:val="single" w:color="auto"/>
          <w:color w:val="auto"/>
        </w:rPr>
        <w:t>Sections 2.11</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9.4</w:t>
      </w:r>
      <w:r>
        <w:rPr>
          <w:rFonts w:ascii="Times New Roman" w:cs="Times New Roman" w:eastAsia="Times New Roman" w:hAnsi="Times New Roman"/>
          <w:sz w:val="19"/>
          <w:szCs w:val="19"/>
          <w:color w:val="auto"/>
        </w:rPr>
        <w:t xml:space="preserve"> in a manner that would alter the pro rata sharing of payments or reduction of Term Loan Commitments required thereby, without the written consent of each Bank, (f) change any of the provisions of this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or the definition of “Required Banks” or any other provision hereof specifying the number or percentage of Banks required to waive, amend or modify any rights hereunder or make any determination or grant any consent hereunder, without the written consent of each Bank, (g) change Section 2.01(h) of the Guaranty Agreement, (h) release any</w:t>
      </w:r>
    </w:p>
    <w:p>
      <w:pPr>
        <w:sectPr>
          <w:pgSz w:w="11900" w:h="16840" w:orient="portrait"/>
          <w:cols w:equalWidth="0" w:num="1">
            <w:col w:w="10600"/>
          </w:cols>
          <w:pgMar w:left="660" w:top="556" w:right="640" w:bottom="1440" w:gutter="0" w:footer="0" w:header="0"/>
        </w:sectPr>
      </w:pPr>
    </w:p>
    <w:bookmarkStart w:id="110" w:name="page111"/>
    <w:bookmarkEnd w:id="110"/>
    <w:p>
      <w:pPr>
        <w:ind w:left="10380"/>
        <w:spacing w:after="0"/>
        <w:rPr>
          <w:sz w:val="20"/>
          <w:szCs w:val="20"/>
          <w:color w:val="auto"/>
        </w:rPr>
      </w:pPr>
      <w:r>
        <w:rPr>
          <w:rFonts w:ascii="Times New Roman" w:cs="Times New Roman" w:eastAsia="Times New Roman" w:hAnsi="Times New Roman"/>
          <w:sz w:val="19"/>
          <w:szCs w:val="19"/>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9"/>
          <w:szCs w:val="19"/>
          <w:color w:val="auto"/>
        </w:rPr>
        <w:t>Guarantor under the Guaranty Agreement, subject to the exceptions set forth in Section 2.01(h) of the Guaranty Agreement, (i) [reserved] or (j) subordinate the Obligations in right of payment to any other Indebtedness. Notwithstanding the foregoing, if the Administrative Agent and the Borrower acting together identify any ambiguity, omission, mistake, typographical error or other defect in any provision of this Agreement,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so long as, in each case, the Banks shall have received at least five Business Days’ prior written notice thereof and the Administrative Agent shall not have received, within five Business Days of the date of such notice to the Banks, a written notice from the Required Banks stating that the Required Banks object to such amendment.</w:t>
      </w:r>
    </w:p>
    <w:p>
      <w:pPr>
        <w:spacing w:after="0" w:line="96"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9.6.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(a) The provisions of this Agreement shall be binding upon and inure to the benefit of the parties hereto and their respective successors and assigns, except that the Borrower may not assign or otherwise transfer any of its rights under this Agreement without the prior written consent of all Banks, and any such assignment or transfer without such consent shall be null and void.</w:t>
      </w:r>
    </w:p>
    <w:p>
      <w:pPr>
        <w:spacing w:after="0" w:line="98" w:lineRule="exact"/>
        <w:rPr>
          <w:sz w:val="20"/>
          <w:szCs w:val="20"/>
          <w:color w:val="auto"/>
        </w:rPr>
      </w:pPr>
    </w:p>
    <w:p>
      <w:pPr>
        <w:jc w:val="both"/>
        <w:ind w:firstLine="1145"/>
        <w:spacing w:after="0" w:line="224" w:lineRule="auto"/>
        <w:tabs>
          <w:tab w:leader="none" w:pos="1698"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 may at any time grant to one or more banks or other financial institutions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participating interests in any or all of its Loans. In the event of any such grant by a Bank of a participating interest to a Participant, whether or not upon notice to the Borrower and the Administrative Agent, such Bank shall remain responsible for the performance of its obligations hereunder, and the Borrower and the Administrative Agent shall continue to deal solely and directly with such Bank in connection with such Bank’s rights and obligations under this Agreement. For the avoidance of doubt, each Bank shall be responsible for the indemnity under </w:t>
      </w:r>
      <w:r>
        <w:rPr>
          <w:rFonts w:ascii="Times New Roman" w:cs="Times New Roman" w:eastAsia="Times New Roman" w:hAnsi="Times New Roman"/>
          <w:sz w:val="19"/>
          <w:szCs w:val="19"/>
          <w:u w:val="single" w:color="auto"/>
          <w:color w:val="auto"/>
        </w:rPr>
        <w:t>Section 2.15(d)</w:t>
      </w:r>
      <w:r>
        <w:rPr>
          <w:rFonts w:ascii="Times New Roman" w:cs="Times New Roman" w:eastAsia="Times New Roman" w:hAnsi="Times New Roman"/>
          <w:sz w:val="19"/>
          <w:szCs w:val="19"/>
          <w:color w:val="auto"/>
        </w:rPr>
        <w:t xml:space="preserve"> with respect to any payments made by such Bank to its Participants. Any agreement pursuant to which any Bank may grant such a participating interest shall provide that such Bank shall retain the sole right and responsibility to enforce the obligations of the Borrower hereunder, including the right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participation agreement may provide that such Bank will not agree to any modification, amendment or waiver of this Agreement described in clause (a), (b) or (c) of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without the consent of the Participant. Subject to </w:t>
      </w:r>
      <w:r>
        <w:rPr>
          <w:rFonts w:ascii="Times New Roman" w:cs="Times New Roman" w:eastAsia="Times New Roman" w:hAnsi="Times New Roman"/>
          <w:sz w:val="19"/>
          <w:szCs w:val="19"/>
          <w:u w:val="single" w:color="auto"/>
          <w:color w:val="auto"/>
        </w:rPr>
        <w:t>Section 9.6(f)</w:t>
      </w:r>
      <w:r>
        <w:rPr>
          <w:rFonts w:ascii="Times New Roman" w:cs="Times New Roman" w:eastAsia="Times New Roman" w:hAnsi="Times New Roman"/>
          <w:sz w:val="19"/>
          <w:szCs w:val="19"/>
          <w:color w:val="auto"/>
        </w:rPr>
        <w:t xml:space="preserve">, the Borrower agrees that each Participant shall, to the extent provided in its participation agreement, be entitled to the benefits of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with respect to its participating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Participant shall be entitled to the benefit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unless such Participant complies with </w:t>
      </w:r>
      <w:r>
        <w:rPr>
          <w:rFonts w:ascii="Times New Roman" w:cs="Times New Roman" w:eastAsia="Times New Roman" w:hAnsi="Times New Roman"/>
          <w:sz w:val="19"/>
          <w:szCs w:val="19"/>
          <w:u w:val="single" w:color="auto"/>
          <w:color w:val="auto"/>
        </w:rPr>
        <w:t>Section 2.15(f)</w:t>
      </w:r>
      <w:r>
        <w:rPr>
          <w:rFonts w:ascii="Times New Roman" w:cs="Times New Roman" w:eastAsia="Times New Roman" w:hAnsi="Times New Roman"/>
          <w:sz w:val="19"/>
          <w:szCs w:val="19"/>
          <w:color w:val="auto"/>
        </w:rPr>
        <w:t xml:space="preserve"> as if it were a Bank. An assignment or other transfer which is not permitted by subsection (c) or (d) below shall be given effect for purposes of this Agreement only to the extent of a participating interest granted in accordance with this subsection (b). Each Bank that sells a participation shall, acting solely for this purpose as a non-fiduciary agent of the applicable Borrower, maintain a register on which it enters the name and address of each Participant and the principal amounts (and stated interest) of each Participant’s interest in the Loans or other obligations under this Agreement (the “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Bank shall have any obligation to disclose all or any portion of the Participant Register to the Borrower or any other Person (including the identity of any Participant or any information relating to a Participant’s interest in the Loans or other obligations under this Agreement) except to the extent that such disclosure is necessary to establish that the Loans are in</w:t>
      </w:r>
    </w:p>
    <w:p>
      <w:pPr>
        <w:sectPr>
          <w:pgSz w:w="11900" w:h="16840" w:orient="portrait"/>
          <w:cols w:equalWidth="0" w:num="1">
            <w:col w:w="10580"/>
          </w:cols>
          <w:pgMar w:left="660" w:top="556" w:right="660" w:bottom="1440" w:gutter="0" w:footer="0" w:header="0"/>
        </w:sectPr>
      </w:pPr>
    </w:p>
    <w:bookmarkStart w:id="111" w:name="page112"/>
    <w:bookmarkEnd w:id="111"/>
    <w:p>
      <w:pPr>
        <w:ind w:left="10380"/>
        <w:spacing w:after="0"/>
        <w:rPr>
          <w:sz w:val="20"/>
          <w:szCs w:val="20"/>
          <w:color w:val="auto"/>
        </w:rPr>
      </w:pPr>
      <w:r>
        <w:rPr>
          <w:rFonts w:ascii="Times New Roman" w:cs="Times New Roman" w:eastAsia="Times New Roman" w:hAnsi="Times New Roman"/>
          <w:sz w:val="19"/>
          <w:szCs w:val="19"/>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98" w:lineRule="exact"/>
        <w:rPr>
          <w:sz w:val="20"/>
          <w:szCs w:val="20"/>
          <w:color w:val="auto"/>
        </w:rPr>
      </w:pPr>
    </w:p>
    <w:p>
      <w:pPr>
        <w:ind w:firstLine="1145"/>
        <w:spacing w:after="0" w:line="223" w:lineRule="auto"/>
        <w:tabs>
          <w:tab w:leader="none" w:pos="166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 may at any time assign to one or more banks or other financial institutions (other than any natural person, the Borrower or any Affiliate of the Borrower) (each an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all, or a proportionate part of all, of its rights and obligations under this Agreement and the Notes, and such Assignee shall assume such rights and obligations, pursuant to an Assignment and Assumption in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executed by such Assignee and such transferor Bank, with (and subject to) the subscribed consent of the Borrower and the Administrative Agent, which consent, in each case, shall not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consent of the Borrower and the Administrative Agent shall not be required if an Assignee is another Bank or an Affiliate of such transferor Bank or an Approved Fund and such Assignee delivers any forms, confirmations and certifications referenced in the last sentence of this </w:t>
      </w:r>
      <w:r>
        <w:rPr>
          <w:rFonts w:ascii="Times New Roman" w:cs="Times New Roman" w:eastAsia="Times New Roman" w:hAnsi="Times New Roman"/>
          <w:sz w:val="19"/>
          <w:szCs w:val="19"/>
          <w:u w:val="single" w:color="auto"/>
          <w:color w:val="auto"/>
        </w:rPr>
        <w:t>Section 9.6(c)</w:t>
      </w:r>
      <w:r>
        <w:rPr>
          <w:rFonts w:ascii="Times New Roman" w:cs="Times New Roman" w:eastAsia="Times New Roman" w:hAnsi="Times New Roman"/>
          <w:sz w:val="19"/>
          <w:szCs w:val="19"/>
          <w:color w:val="auto"/>
        </w:rPr>
        <w:t xml:space="preserve">, (ii) [reserved], (iii) [reserved] and (iv) the consent of the Borrower shall not be required if an assignment is made during the existence of any Event of Default under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10 Business Days. Upon execution and delivery of such instrument and payment by such Assignee to such transferor Bank of an amount equal to the purchase price agreed between such transferor Bank and such Assignee, such Assignee shall be a Bank party to this Agreement and shall have all the rights and obligations of a Bank with a Loan as set forth in such instrument of assumption, and the transferor Bank shall be released from its obligations hereunder to a corresponding extent (but shall continue to be entitled to the benefits of </w:t>
      </w:r>
      <w:r>
        <w:rPr>
          <w:rFonts w:ascii="Times New Roman" w:cs="Times New Roman" w:eastAsia="Times New Roman" w:hAnsi="Times New Roman"/>
          <w:sz w:val="19"/>
          <w:szCs w:val="19"/>
          <w:u w:val="single" w:color="auto"/>
          <w:color w:val="auto"/>
        </w:rPr>
        <w:t>Sections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9.3</w:t>
      </w:r>
      <w:r>
        <w:rPr>
          <w:rFonts w:ascii="Times New Roman" w:cs="Times New Roman" w:eastAsia="Times New Roman" w:hAnsi="Times New Roman"/>
          <w:sz w:val="19"/>
          <w:szCs w:val="19"/>
          <w:color w:val="auto"/>
        </w:rPr>
        <w:t xml:space="preserve">), and no further consent or action by any party shall be required. Upon the consummation of any assignment pursuant to this subsection (c), the transferor Bank, the Administrative Agent and the Borrower shall make appropriate arrangements so that, if required, a new Note is issued to the Assignee. In connection with any such assignment, the transferor Bank shall pay to the Administrative Agent an administrative fee for processing such assignment in the amount of US$3,500. The Assignee shall, prior to the first date on which interest or fees are payable hereunder for its account, deliver to the Borrower and the Administrative Agent certification as to exemption from deduction or withholding of any taxes in accordance with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In addition, the Borrower is entitled to withhold consent to such assignment if the Assignee is unable to deliver any forms or confirmations required by </w:t>
      </w:r>
      <w:r>
        <w:rPr>
          <w:rFonts w:ascii="Times New Roman" w:cs="Times New Roman" w:eastAsia="Times New Roman" w:hAnsi="Times New Roman"/>
          <w:sz w:val="19"/>
          <w:szCs w:val="19"/>
          <w:u w:val="single" w:color="auto"/>
          <w:color w:val="auto"/>
        </w:rPr>
        <w:t>Section 2.15(f)</w:t>
      </w:r>
      <w:r>
        <w:rPr>
          <w:rFonts w:ascii="Times New Roman" w:cs="Times New Roman" w:eastAsia="Times New Roman" w:hAnsi="Times New Roman"/>
          <w:sz w:val="19"/>
          <w:szCs w:val="19"/>
          <w:color w:val="auto"/>
        </w:rPr>
        <w:t>, including, without limiting the generality of the foregoing, two duly completed copies of IRS Form W-9, W-8BEN, W-8BEN-E, W-8ECI or W-8IMY (or a successor form), as applicable, certifying that if payments under this Agreement and the Notes were paid to such Assignee by the Borrower, such Assignee would be entitled to receive payments under this Agreement and the Notes without deduction or withholding of any United States tax.</w:t>
      </w:r>
    </w:p>
    <w:p>
      <w:pPr>
        <w:spacing w:after="0" w:line="112"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8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Assignments shall be subject to the following additional conditions: (i) except in the case of an assignment to a Bank, an Affiliate of a Bank or an Approved Fund or any assignment of the entire remaining amount of the assigning Bank’s Loans, the amount of the Loans of the assigning Bank subject to each such assignment (determined as of the date the Assignment</w:t>
      </w:r>
    </w:p>
    <w:p>
      <w:pPr>
        <w:sectPr>
          <w:pgSz w:w="11900" w:h="16840" w:orient="portrait"/>
          <w:cols w:equalWidth="0" w:num="1">
            <w:col w:w="10580"/>
          </w:cols>
          <w:pgMar w:left="660" w:top="556" w:right="660" w:bottom="1440" w:gutter="0" w:footer="0" w:header="0"/>
        </w:sectPr>
      </w:pPr>
    </w:p>
    <w:bookmarkStart w:id="112" w:name="page113"/>
    <w:bookmarkEnd w:id="112"/>
    <w:p>
      <w:pPr>
        <w:ind w:left="10380"/>
        <w:spacing w:after="0"/>
        <w:rPr>
          <w:sz w:val="20"/>
          <w:szCs w:val="20"/>
          <w:color w:val="auto"/>
        </w:rPr>
      </w:pPr>
      <w:r>
        <w:rPr>
          <w:rFonts w:ascii="Times New Roman" w:cs="Times New Roman" w:eastAsia="Times New Roman" w:hAnsi="Times New Roman"/>
          <w:sz w:val="19"/>
          <w:szCs w:val="19"/>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and Assumption with respect to such assignment is delivered to the Administrative Agent) shall not be less than US$5,000,000, unless the Borrower and the Administrative Agent otherwise consent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under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has occurred and is continuing and (ii) each partial assignment shall be made as an assignment of a proportionate part of all the assigning Bank’s rights and obligations under this Agreement.</w:t>
      </w:r>
    </w:p>
    <w:p>
      <w:pPr>
        <w:spacing w:after="0" w:line="98" w:lineRule="exact"/>
        <w:rPr>
          <w:sz w:val="20"/>
          <w:szCs w:val="20"/>
          <w:color w:val="auto"/>
        </w:rPr>
      </w:pPr>
    </w:p>
    <w:p>
      <w:pPr>
        <w:jc w:val="both"/>
        <w:ind w:right="20" w:firstLine="1145"/>
        <w:spacing w:after="0" w:line="239" w:lineRule="auto"/>
        <w:tabs>
          <w:tab w:leader="none" w:pos="169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 may at any time assign all or any portion of its rights under this Agreement and its Loans and, if applicable, Note to a Federal Reserve Bank (or similar Governmental Authority having jurisdiction over such Bank). No such assignment shall release the transferor Bank from its obligations hereunder.</w:t>
      </w:r>
    </w:p>
    <w:p>
      <w:pPr>
        <w:spacing w:after="0" w:line="95" w:lineRule="exact"/>
        <w:rPr>
          <w:rFonts w:ascii="Times New Roman" w:cs="Times New Roman" w:eastAsia="Times New Roman" w:hAnsi="Times New Roman"/>
          <w:sz w:val="19"/>
          <w:szCs w:val="19"/>
          <w:color w:val="auto"/>
        </w:rPr>
      </w:pPr>
    </w:p>
    <w:p>
      <w:pPr>
        <w:jc w:val="both"/>
        <w:ind w:firstLine="1145"/>
        <w:spacing w:after="0" w:line="229" w:lineRule="auto"/>
        <w:tabs>
          <w:tab w:leader="none" w:pos="1662"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Assignee of any Bank’s rights shall be entitled to receive any greater payment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than such Bank would have been entitled to receive with respect to the rights transferred, unless such transfer is made with the prior written consent of the Borrower or by reason of the provisions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requiring such Bank to designate a different Lending Office under certain circumstances or at a time when the circumstances giving rise to such greater payment did not exist. No Participant shall be entitled to receive any greater payment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any other provision hereof than such Bank would have been entitled to receive with respect to such participation sold to such Participant, unless the sale of such participation to such Participant is made with the prior written consent of the Borrower.</w:t>
      </w:r>
    </w:p>
    <w:p>
      <w:pPr>
        <w:spacing w:after="0" w:line="95" w:lineRule="exact"/>
        <w:rPr>
          <w:rFonts w:ascii="Times New Roman" w:cs="Times New Roman" w:eastAsia="Times New Roman" w:hAnsi="Times New Roman"/>
          <w:sz w:val="19"/>
          <w:szCs w:val="19"/>
          <w:color w:val="auto"/>
        </w:rPr>
      </w:pPr>
    </w:p>
    <w:p>
      <w:pPr>
        <w:jc w:val="both"/>
        <w:ind w:firstLine="1145"/>
        <w:spacing w:after="0" w:line="226" w:lineRule="auto"/>
        <w:tabs>
          <w:tab w:leader="none" w:pos="167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acting for this purpose as a non-fiduciary agent of the Borrower, shall maintain at the Administrative Agent’s Lending Office a copy of each Assignment and Assumption delivered to it and a register (the “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for the recordation of the names and addresses of the Banks and the principal amount of the Loan owing to each Bank from time to time. The entries in the Register shall be conclusive, in the absence of manifest error, and the Borrower, the Administrative Agent and the Banks may (and, in the case of any Loan or other obligation hereunder not evidenced by a Note, shall) treat each Person whose name is recorded in the Register as the owner of a Loan or other obligation hereunder as the owner thereof for all purposes of this Agreement, notwithstanding any notice to the contrary. Any assignment of any Loan or other obligation hereunder not evidenced by a Note shall be effective only upon appropriate entries with respect thereto being made in the Register. The Register shall be available for inspection by the Borrower or any Bank (with respect to any entry relating to such Bank’s Loans) at any reasonable time and from time to time upon reasonable prior notice.</w:t>
      </w:r>
    </w:p>
    <w:p>
      <w:pPr>
        <w:spacing w:after="0" w:line="103" w:lineRule="exact"/>
        <w:rPr>
          <w:rFonts w:ascii="Times New Roman" w:cs="Times New Roman" w:eastAsia="Times New Roman" w:hAnsi="Times New Roman"/>
          <w:sz w:val="19"/>
          <w:szCs w:val="19"/>
          <w:color w:val="auto"/>
        </w:rPr>
      </w:pPr>
    </w:p>
    <w:p>
      <w:pPr>
        <w:jc w:val="both"/>
        <w:ind w:right="20" w:firstLine="1145"/>
        <w:spacing w:after="0" w:line="239" w:lineRule="auto"/>
        <w:tabs>
          <w:tab w:leader="none" w:pos="167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no assignment under this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xml:space="preserve"> shall be made to a Defaulting Bank, natural person (or a holding company, investment vehicle or trust for, or owned and operated by or for the primary benefit of a natural person), the Borrower or any of the Borrower’s Affiliates.</w:t>
      </w:r>
    </w:p>
    <w:p>
      <w:pPr>
        <w:spacing w:after="0" w:line="95" w:lineRule="exact"/>
        <w:rPr>
          <w:rFonts w:ascii="Times New Roman" w:cs="Times New Roman" w:eastAsia="Times New Roman" w:hAnsi="Times New Roman"/>
          <w:sz w:val="19"/>
          <w:szCs w:val="19"/>
          <w:color w:val="auto"/>
        </w:rPr>
      </w:pPr>
    </w:p>
    <w:p>
      <w:pPr>
        <w:jc w:val="both"/>
        <w:ind w:firstLine="1145"/>
        <w:spacing w:after="0" w:line="234" w:lineRule="auto"/>
        <w:tabs>
          <w:tab w:leader="none" w:pos="165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9.6</w:t>
      </w:r>
      <w:r>
        <w:rPr>
          <w:rFonts w:ascii="Times New Roman" w:cs="Times New Roman" w:eastAsia="Times New Roman" w:hAnsi="Times New Roman"/>
          <w:sz w:val="19"/>
          <w:szCs w:val="19"/>
          <w:color w:val="auto"/>
        </w:rPr>
        <w:t xml:space="preserve">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Bank from any of its obligations hereunder or substitute any such pledgee or assignee for such Bank as a party hereto.</w:t>
      </w:r>
    </w:p>
    <w:p>
      <w:pPr>
        <w:sectPr>
          <w:pgSz w:w="11900" w:h="16840" w:orient="portrait"/>
          <w:cols w:equalWidth="0" w:num="1">
            <w:col w:w="10580"/>
          </w:cols>
          <w:pgMar w:left="660" w:top="556" w:right="660" w:bottom="1440" w:gutter="0" w:footer="0" w:header="0"/>
        </w:sectPr>
      </w:pPr>
    </w:p>
    <w:bookmarkStart w:id="113" w:name="page114"/>
    <w:bookmarkEnd w:id="113"/>
    <w:p>
      <w:pPr>
        <w:ind w:left="10380"/>
        <w:spacing w:after="0"/>
        <w:rPr>
          <w:sz w:val="20"/>
          <w:szCs w:val="20"/>
          <w:color w:val="auto"/>
        </w:rPr>
      </w:pPr>
      <w:r>
        <w:rPr>
          <w:rFonts w:ascii="Times New Roman" w:cs="Times New Roman" w:eastAsia="Times New Roman" w:hAnsi="Times New Roman"/>
          <w:sz w:val="19"/>
          <w:szCs w:val="19"/>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SECTION 9.7.</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xml:space="preserve"> Each of the Banks represents to the Administrative Agent and the other Banks that it in good faith is not relying upon any “margin stock” (as defined in Regulation U) as collateral in the extension or maintenance of the credit provided for in this Agreement.</w:t>
      </w:r>
    </w:p>
    <w:p>
      <w:pPr>
        <w:spacing w:after="0" w:line="95"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 xml:space="preserve">SECTION 9.8. </w:t>
      </w:r>
      <w:r>
        <w:rPr>
          <w:rFonts w:ascii="Times New Roman" w:cs="Times New Roman" w:eastAsia="Times New Roman" w:hAnsi="Times New Roman"/>
          <w:sz w:val="19"/>
          <w:szCs w:val="19"/>
          <w:u w:val="single" w:color="auto"/>
          <w:color w:val="auto"/>
        </w:rPr>
        <w:t>Governing Law; Submission to Jurisdiction.</w:t>
      </w:r>
      <w:r>
        <w:rPr>
          <w:rFonts w:ascii="Times New Roman" w:cs="Times New Roman" w:eastAsia="Times New Roman" w:hAnsi="Times New Roman"/>
          <w:sz w:val="19"/>
          <w:szCs w:val="19"/>
          <w:color w:val="auto"/>
        </w:rPr>
        <w:t xml:space="preserve"> This Agreement and each Note shall be governed by and construed in accordance with the laws of the State of New York. Each Loan Party hereby submits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for purposes of all legal proceedings arising out of or relating to this Agreement or the transactions contemplated hereby, including any claims brought against the Administrative Agent or any of its Related Parties.</w:t>
      </w:r>
    </w:p>
    <w:p>
      <w:pPr>
        <w:spacing w:after="0" w:line="97"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Each Loan Party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95"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Nothing in this Agreement or in any other Loan Document shall (i) affect any right that the Administrative Agent or any Bank may otherwise have to bring any action or proceeding relating to this Agreement against the Borrower, any other Loan Party or its properties in the courts of any jurisdiction or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and 4-A-105(1)(b).</w:t>
      </w:r>
    </w:p>
    <w:p>
      <w:pPr>
        <w:spacing w:after="0" w:line="96"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9.9. </w:t>
      </w:r>
      <w:r>
        <w:rPr>
          <w:rFonts w:ascii="Times New Roman" w:cs="Times New Roman" w:eastAsia="Times New Roman" w:hAnsi="Times New Roman"/>
          <w:sz w:val="19"/>
          <w:szCs w:val="19"/>
          <w:u w:val="single" w:color="auto"/>
          <w:color w:val="auto"/>
        </w:rPr>
        <w:t>Counterparts; Integration; Execution.</w:t>
      </w:r>
      <w:r>
        <w:rPr>
          <w:rFonts w:ascii="Times New Roman" w:cs="Times New Roman" w:eastAsia="Times New Roman" w:hAnsi="Times New Roman"/>
          <w:sz w:val="19"/>
          <w:szCs w:val="19"/>
          <w:color w:val="auto"/>
        </w:rPr>
        <w:t xml:space="preserve"> (a)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spacing w:after="0" w:line="98" w:lineRule="exact"/>
        <w:rPr>
          <w:sz w:val="20"/>
          <w:szCs w:val="20"/>
          <w:color w:val="auto"/>
        </w:rPr>
      </w:pPr>
    </w:p>
    <w:p>
      <w:pPr>
        <w:ind w:left="1660" w:hanging="515"/>
        <w:spacing w:after="0"/>
        <w:tabs>
          <w:tab w:leader="none" w:pos="166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an executed counterpart of a signature page of (x) this Agreement, (y) any other Loan Document and/or</w:t>
      </w:r>
    </w:p>
    <w:p>
      <w:pPr>
        <w:spacing w:after="0" w:line="5" w:lineRule="exact"/>
        <w:rPr>
          <w:rFonts w:ascii="Times New Roman" w:cs="Times New Roman" w:eastAsia="Times New Roman" w:hAnsi="Times New Roman"/>
          <w:sz w:val="19"/>
          <w:szCs w:val="19"/>
          <w:color w:val="auto"/>
        </w:rPr>
      </w:pPr>
    </w:p>
    <w:p>
      <w:pPr>
        <w:jc w:val="both"/>
        <w:ind w:firstLine="5"/>
        <w:spacing w:after="0" w:line="224" w:lineRule="auto"/>
        <w:tabs>
          <w:tab w:leader="none" w:pos="259"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document, amendment, approval, consent, information, notice (including, for the avoidance of doubt, any notice delivered pursuant to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w:t>
      </w:r>
    </w:p>
    <w:p>
      <w:pPr>
        <w:sectPr>
          <w:pgSz w:w="11900" w:h="16840" w:orient="portrait"/>
          <w:cols w:equalWidth="0" w:num="1">
            <w:col w:w="10580"/>
          </w:cols>
          <w:pgMar w:left="660" w:top="556" w:right="660" w:bottom="1440" w:gutter="0" w:footer="0" w:header="0"/>
        </w:sectPr>
      </w:pPr>
    </w:p>
    <w:bookmarkStart w:id="114" w:name="page115"/>
    <w:bookmarkEnd w:id="114"/>
    <w:p>
      <w:pPr>
        <w:ind w:left="10380"/>
        <w:spacing w:after="0"/>
        <w:rPr>
          <w:sz w:val="20"/>
          <w:szCs w:val="20"/>
          <w:color w:val="auto"/>
        </w:rPr>
      </w:pPr>
      <w:r>
        <w:rPr>
          <w:rFonts w:ascii="Times New Roman" w:cs="Times New Roman" w:eastAsia="Times New Roman" w:hAnsi="Times New Roman"/>
          <w:sz w:val="19"/>
          <w:szCs w:val="19"/>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9"/>
          <w:szCs w:val="19"/>
          <w:color w:val="auto"/>
        </w:rPr>
        <w:t xml:space="preserve">manually executed signature, physical delivery thereof or the use of a paper-based recordkeeping system,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without limiting the foregoing, (i) to the extent the Administrative Agent has agreed to accept any Electronic Signature, the Administrative Agent and each of the Banks shall be entitled to rely on such Electronic Signature purportedly given by or on behalf of any Loan Party without further verification thereof and without any obligation to review the appearance or form of any such Electronic Signature and (ii) upon the request of the Administrative Agent or any Bank, any Electronic Signature shall be promptly followed by a manually executed counterpart. Without limiting the generality of the foregoing, each Loan Party hereby (i) agrees that, for all purposes, including in connection with any workout, restructuring, enforcement of remedies, bankruptcy proceedings or litigation among the Administrative Agent, the Banks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w:t>
      </w:r>
    </w:p>
    <w:p>
      <w:pPr>
        <w:jc w:val="both"/>
        <w:ind w:firstLine="5"/>
        <w:spacing w:after="0" w:line="228" w:lineRule="auto"/>
        <w:tabs>
          <w:tab w:leader="none" w:pos="323"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any claim against any Indemnitee for any Liabilities arising solely from the Administrative Agent’s and/or any Bank’s reliance on or use of Electronic Signatures and/or transmissions by telecopy,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spacing w:after="0" w:line="97" w:lineRule="exact"/>
        <w:rPr>
          <w:sz w:val="20"/>
          <w:szCs w:val="20"/>
          <w:color w:val="auto"/>
        </w:rPr>
      </w:pPr>
    </w:p>
    <w:p>
      <w:pPr>
        <w:jc w:val="both"/>
        <w:ind w:firstLine="1140"/>
        <w:spacing w:after="0" w:line="227" w:lineRule="auto"/>
        <w:rPr>
          <w:sz w:val="20"/>
          <w:szCs w:val="20"/>
          <w:color w:val="auto"/>
        </w:rPr>
      </w:pPr>
      <w:r>
        <w:rPr>
          <w:rFonts w:ascii="Times New Roman" w:cs="Times New Roman" w:eastAsia="Times New Roman" w:hAnsi="Times New Roman"/>
          <w:sz w:val="19"/>
          <w:szCs w:val="19"/>
          <w:color w:val="auto"/>
        </w:rPr>
        <w:t xml:space="preserve">SECTION 9.10.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of the Administrative Agent and the Banks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w:t>
      </w:r>
    </w:p>
    <w:p>
      <w:pPr>
        <w:spacing w:after="0" w:line="3" w:lineRule="exact"/>
        <w:rPr>
          <w:sz w:val="20"/>
          <w:szCs w:val="20"/>
          <w:color w:val="auto"/>
        </w:rPr>
      </w:pPr>
    </w:p>
    <w:p>
      <w:pPr>
        <w:jc w:val="both"/>
        <w:ind w:firstLine="5"/>
        <w:spacing w:after="0" w:line="225" w:lineRule="auto"/>
        <w:tabs>
          <w:tab w:leader="none" w:pos="28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to (i) any assignee of or Participant in, or any prospective assignee of or Participant in, any of its rights or obligations under this Agreement or (ii) any actual or prospective counterparty (or its advisors) to any swap, derivative or insurance transaction relating to the</w:t>
      </w:r>
    </w:p>
    <w:p>
      <w:pPr>
        <w:sectPr>
          <w:pgSz w:w="11900" w:h="16840" w:orient="portrait"/>
          <w:cols w:equalWidth="0" w:num="1">
            <w:col w:w="10580"/>
          </w:cols>
          <w:pgMar w:left="660" w:top="556" w:right="660" w:bottom="1440" w:gutter="0" w:footer="0" w:header="0"/>
        </w:sectPr>
      </w:pPr>
    </w:p>
    <w:bookmarkStart w:id="115" w:name="page116"/>
    <w:bookmarkEnd w:id="115"/>
    <w:p>
      <w:pPr>
        <w:ind w:left="10380"/>
        <w:spacing w:after="0"/>
        <w:rPr>
          <w:sz w:val="20"/>
          <w:szCs w:val="20"/>
          <w:color w:val="auto"/>
        </w:rPr>
      </w:pPr>
      <w:r>
        <w:rPr>
          <w:rFonts w:ascii="Times New Roman" w:cs="Times New Roman" w:eastAsia="Times New Roman" w:hAnsi="Times New Roman"/>
          <w:sz w:val="19"/>
          <w:szCs w:val="19"/>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9"/>
          <w:szCs w:val="19"/>
          <w:color w:val="auto"/>
        </w:rPr>
        <w:t xml:space="preserve">Borrower and its obligations, (g) on a confidential basis to (x) any rating agency in connection with rating the Borrower or its subsidiaries or the credit facilities provided for herein or (y) the CUSIP Service Bureau or any similar agency in connection with the issuance and monitoring of identification numbers with respect to the credit facilities provided for herein, (h) with the consent of the Borrower or (i) to the extent such Information (x) becomes publicly available other than as a result of a breach of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or (y) becomes available to the Administrative Agent or any Bank on a non- confidential basis from a source other than the Borrower. For the purposes of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any Loan Party relating to any Loan Party, other than any such information that is available to the Administrative Agent or any Bank on a non -confidential basis prior to disclosure by the applicable Loan Party. Any Person required to maintain the confidentiality of Information as provided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Banks may disclose the existence of this Agreement and information about this Agreement to market data collectors, similar service providers to the lending industry and service providers, including league table providers, to the Administrative Agent and the Bank in connection with the administration of this Agreement, the other Loan Documents and the Term Loan Commitments.</w:t>
      </w:r>
    </w:p>
    <w:p>
      <w:pPr>
        <w:spacing w:after="0" w:line="103" w:lineRule="exact"/>
        <w:rPr>
          <w:sz w:val="20"/>
          <w:szCs w:val="20"/>
          <w:color w:val="auto"/>
        </w:rPr>
      </w:pPr>
    </w:p>
    <w:p>
      <w:pPr>
        <w:jc w:val="both"/>
        <w:ind w:firstLine="1140"/>
        <w:spacing w:after="0" w:line="234" w:lineRule="auto"/>
        <w:rPr>
          <w:sz w:val="20"/>
          <w:szCs w:val="20"/>
          <w:color w:val="auto"/>
        </w:rPr>
      </w:pPr>
      <w:r>
        <w:rPr>
          <w:rFonts w:ascii="Times New Roman" w:cs="Times New Roman" w:eastAsia="Times New Roman" w:hAnsi="Times New Roman"/>
          <w:sz w:val="19"/>
          <w:szCs w:val="19"/>
          <w:color w:val="auto"/>
        </w:rPr>
        <w:t xml:space="preserve">For the avoidance of doubt, nothing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9"/>
          <w:szCs w:val="19"/>
          <w:u w:val="single" w:color="auto"/>
          <w:color w:val="auto"/>
        </w:rPr>
        <w:t>Regulatory Authority</w:t>
      </w:r>
      <w:r>
        <w:rPr>
          <w:rFonts w:ascii="Times New Roman" w:cs="Times New Roman" w:eastAsia="Times New Roman" w:hAnsi="Times New Roman"/>
          <w:sz w:val="19"/>
          <w:szCs w:val="19"/>
          <w:color w:val="auto"/>
        </w:rPr>
        <w:t xml:space="preserve">”) to the extent that any such prohibition on disclosure set forth in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shall be prohibited by the laws or regulations applicable to such Regulatory Authority.</w:t>
      </w:r>
    </w:p>
    <w:p>
      <w:pPr>
        <w:spacing w:after="0" w:line="98" w:lineRule="exact"/>
        <w:rPr>
          <w:sz w:val="20"/>
          <w:szCs w:val="20"/>
          <w:color w:val="auto"/>
        </w:rPr>
      </w:pPr>
    </w:p>
    <w:p>
      <w:pPr>
        <w:ind w:right="20" w:firstLine="1140"/>
        <w:spacing w:after="0" w:line="230" w:lineRule="auto"/>
        <w:rPr>
          <w:sz w:val="20"/>
          <w:szCs w:val="20"/>
          <w:color w:val="auto"/>
        </w:rPr>
      </w:pPr>
      <w:r>
        <w:rPr>
          <w:rFonts w:ascii="Times New Roman" w:cs="Times New Roman" w:eastAsia="Times New Roman" w:hAnsi="Times New Roman"/>
          <w:sz w:val="19"/>
          <w:szCs w:val="19"/>
          <w:color w:val="auto"/>
        </w:rPr>
        <w:t xml:space="preserve">EACH BANK ACKNOWLEDGES THAT INFORMATION AS DEFINED IN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 PUBLIC INFORMATION IN ACCORDANCE WITH THOSE PROCEDURES AND APPLICABLE LAW, INCLUDING FEDERAL AND STATE SECURITIES LAWS.</w:t>
      </w:r>
    </w:p>
    <w:p>
      <w:pPr>
        <w:spacing w:after="0" w:line="97" w:lineRule="exact"/>
        <w:rPr>
          <w:sz w:val="20"/>
          <w:szCs w:val="20"/>
          <w:color w:val="auto"/>
        </w:rPr>
      </w:pPr>
    </w:p>
    <w:p>
      <w:pPr>
        <w:ind w:right="100" w:firstLine="1140"/>
        <w:spacing w:after="0" w:line="228" w:lineRule="auto"/>
        <w:rPr>
          <w:sz w:val="20"/>
          <w:szCs w:val="20"/>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AFFILIATES, THE LOAN PARTIES AND THEIR RELATED PARTIES OR THEIR RESPECTIVE SECURITIES. ACCORDINGLY, EACH BANK REPRESENTS TO THE BORROWER AND THE ADMINISTRATIVE AGENT THAT IT HAS IDENTIFIED IN ITS ADMINISTRATIVE QUESTIONNAIRE A CREDIT CONTACT WHO MAY RECEIVE INFORMATION THAT MAY CONTAIN MATERIAL NON- PUBLIC INFORMATION IN ACCORDANCE WITH ITS COMPLIANCE PROCEDURES AND APPLICABLE LAW.</w:t>
      </w:r>
    </w:p>
    <w:p>
      <w:pPr>
        <w:sectPr>
          <w:pgSz w:w="11900" w:h="16840" w:orient="portrait"/>
          <w:cols w:equalWidth="0" w:num="1">
            <w:col w:w="10600"/>
          </w:cols>
          <w:pgMar w:left="660" w:top="556" w:right="640" w:bottom="1440" w:gutter="0" w:footer="0" w:header="0"/>
        </w:sectPr>
      </w:pPr>
    </w:p>
    <w:bookmarkStart w:id="116" w:name="page117"/>
    <w:bookmarkEnd w:id="116"/>
    <w:p>
      <w:pPr>
        <w:ind w:left="10380"/>
        <w:spacing w:after="0"/>
        <w:rPr>
          <w:sz w:val="20"/>
          <w:szCs w:val="20"/>
          <w:color w:val="auto"/>
        </w:rPr>
      </w:pPr>
      <w:r>
        <w:rPr>
          <w:rFonts w:ascii="Times New Roman" w:cs="Times New Roman" w:eastAsia="Times New Roman" w:hAnsi="Times New Roman"/>
          <w:sz w:val="19"/>
          <w:szCs w:val="19"/>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1140"/>
        <w:spacing w:after="0" w:line="224" w:lineRule="auto"/>
        <w:rPr>
          <w:sz w:val="20"/>
          <w:szCs w:val="20"/>
          <w:color w:val="auto"/>
        </w:rPr>
      </w:pPr>
      <w:r>
        <w:rPr>
          <w:rFonts w:ascii="Times New Roman" w:cs="Times New Roman" w:eastAsia="Times New Roman" w:hAnsi="Times New Roman"/>
          <w:sz w:val="19"/>
          <w:szCs w:val="19"/>
          <w:color w:val="auto"/>
        </w:rPr>
        <w:t xml:space="preserve">SECTION 9.11. </w:t>
      </w:r>
      <w:r>
        <w:rPr>
          <w:rFonts w:ascii="Times New Roman" w:cs="Times New Roman" w:eastAsia="Times New Roman" w:hAnsi="Times New Roman"/>
          <w:sz w:val="19"/>
          <w:szCs w:val="19"/>
          <w:u w:val="single" w:color="auto"/>
          <w:color w:val="auto"/>
        </w:rPr>
        <w:t>No Fiduciary Duty.</w:t>
      </w:r>
      <w:r>
        <w:rPr>
          <w:rFonts w:ascii="Times New Roman" w:cs="Times New Roman" w:eastAsia="Times New Roman" w:hAnsi="Times New Roman"/>
          <w:sz w:val="19"/>
          <w:szCs w:val="19"/>
          <w:color w:val="auto"/>
        </w:rPr>
        <w:t xml:space="preserve"> The Administrative Agent, each Bank and their Affiliates (collectively, solely for purposes of this paragraph, the “</w:t>
      </w:r>
      <w:r>
        <w:rPr>
          <w:rFonts w:ascii="Times New Roman" w:cs="Times New Roman" w:eastAsia="Times New Roman" w:hAnsi="Times New Roman"/>
          <w:sz w:val="19"/>
          <w:szCs w:val="19"/>
          <w:u w:val="single" w:color="auto"/>
          <w:color w:val="auto"/>
        </w:rPr>
        <w:t>Banks</w:t>
      </w:r>
      <w:r>
        <w:rPr>
          <w:rFonts w:ascii="Times New Roman" w:cs="Times New Roman" w:eastAsia="Times New Roman" w:hAnsi="Times New Roman"/>
          <w:sz w:val="19"/>
          <w:szCs w:val="19"/>
          <w:color w:val="auto"/>
        </w:rPr>
        <w:t>”), may have economic interests that conflict with those of the Loan Parties. Each Loan Party agrees that neither the Loan Documents nor any transactions contemplated by the Loan Documents will be deemed to create an advisory, fiduciary or agency relationship or fiduciary or other implied duty between the Banks and the Loan Parties, their stockholders or their Affiliates. Each Loan Party acknowledges and agrees that (i) the transactions contemplated by the Loan Documents are arm’s-length commercial transactions between the Banks, on the one hand, and the Loan Parties, on the other, (ii) in connection with any transactions contemplated by the Loan Documents and with the process leading to such transaction, each of the Banks is acting solely as a principal and not the agent or fiduciary of any Loan Party or its management, stockholders, creditors or any other Person, (iii) no Bank has assumed an advisory or fiduciary responsibility in favor of any Loan Party with respect to any transactions contemplated by the Loan Documents or the process leading thereto (irrespective of whether any Bank or any of its Affiliates has advised or is currently advising such Loan Party on other matters) or any other obligation to any Loan Party except the obligations expressly set forth in the Loan Documents and (iv) each Loan Party has consulted its own legal and financial advisors to the extent such Loan Party deemed appropriate. Each Loan Party further acknowledges and agrees that it is responsible for making its own independent judgments with respect to any transactions contemplated by the Loan Documents and the process leading thereto. Each Loan Party agrees that it will not claim that any Bank has rendered advisory services of any nature or respect, or owes a fiduciary or similar duty to such Loan Party, in connection with any transactions contemplated by the Loan Documents or the process leading thereto.</w:t>
      </w:r>
    </w:p>
    <w:p>
      <w:pPr>
        <w:spacing w:after="0" w:line="109"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Conversion of Currencies.</w:t>
      </w:r>
      <w:r>
        <w:rPr>
          <w:rFonts w:ascii="Times New Roman" w:cs="Times New Roman" w:eastAsia="Times New Roman" w:hAnsi="Times New Roman"/>
          <w:sz w:val="19"/>
          <w:szCs w:val="19"/>
          <w:color w:val="auto"/>
        </w:rPr>
        <w:t xml:space="preserve"> (a) If, for the purpose of obtaining judgment in any court, it is necessary to convert a sum owing hereunder in one currency into another currency, each party hereto (including the Borrower) agrees, to the fullest extent that it may effectively do so, that the rate of exchange used shall be determined in accordance with normal banking procedures in the relevant jurisdiction of the first currency and shall be calculated at approximately 10:00 A.M. (New York City time) or as close to such time as is reasonably practicable on the Business Day immediately preceding the day on which final judgment is given.</w:t>
      </w:r>
    </w:p>
    <w:p>
      <w:pPr>
        <w:spacing w:after="0" w:line="96" w:lineRule="exact"/>
        <w:rPr>
          <w:sz w:val="20"/>
          <w:szCs w:val="20"/>
          <w:color w:val="auto"/>
        </w:rPr>
      </w:pPr>
    </w:p>
    <w:p>
      <w:pPr>
        <w:jc w:val="both"/>
        <w:ind w:firstLine="1145"/>
        <w:spacing w:after="0" w:line="226" w:lineRule="auto"/>
        <w:tabs>
          <w:tab w:leader="none" w:pos="167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Loan Party in respect of any sum due to any party hereto or any holder of the obligations owing hereunder (the “</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the currency in which such sum is stated to be due hereunder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each Loan Party agrees, as applicable, as a separate obligation and notwithstanding any such judgment, to indemnify the Applicable Creditor against such loss. The obligations of each Loan Party contained in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shall survive the termination of this Agreement and the payment of all other amounts owing hereunder. Furthermore, if the amount of the Agreement Currency purchased as described above is more than the sum originally due to the Applicable Creditor in the Agreement Currency, then such Applicable Creditor shall remit such excess to the applicable Loan Party.</w:t>
      </w:r>
    </w:p>
    <w:p>
      <w:pPr>
        <w:sectPr>
          <w:pgSz w:w="11900" w:h="16840" w:orient="portrait"/>
          <w:cols w:equalWidth="0" w:num="1">
            <w:col w:w="10580"/>
          </w:cols>
          <w:pgMar w:left="660" w:top="556" w:right="660" w:bottom="1440" w:gutter="0" w:footer="0" w:header="0"/>
        </w:sectPr>
      </w:pPr>
    </w:p>
    <w:bookmarkStart w:id="117" w:name="page118"/>
    <w:bookmarkEnd w:id="117"/>
    <w:p>
      <w:pPr>
        <w:ind w:left="10380"/>
        <w:spacing w:after="0"/>
        <w:rPr>
          <w:sz w:val="20"/>
          <w:szCs w:val="20"/>
          <w:color w:val="auto"/>
        </w:rPr>
      </w:pPr>
      <w:r>
        <w:rPr>
          <w:rFonts w:ascii="Times New Roman" w:cs="Times New Roman" w:eastAsia="Times New Roman" w:hAnsi="Times New Roman"/>
          <w:sz w:val="19"/>
          <w:szCs w:val="19"/>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9.13.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xml:space="preserve"> EACH LOAN PARTY, EACH AGENT AND EACH BANK HEREBY IRREVOCABLY WAIVES ANY AND ALL RIGHT TO TRIAL BY JURY IN ANY LEGAL PROCEEDING ARISING OUT OF OR RELATING TO THIS AGREEMENT OR THE TRANSACTIONS CONTEMPLATED HEREBY.</w:t>
      </w:r>
    </w:p>
    <w:p>
      <w:pPr>
        <w:spacing w:after="0" w:line="95" w:lineRule="exact"/>
        <w:rPr>
          <w:sz w:val="20"/>
          <w:szCs w:val="20"/>
          <w:color w:val="auto"/>
        </w:rPr>
      </w:pPr>
    </w:p>
    <w:p>
      <w:pPr>
        <w:jc w:val="both"/>
        <w:ind w:right="20" w:firstLine="1140"/>
        <w:spacing w:after="0" w:line="234" w:lineRule="auto"/>
        <w:rPr>
          <w:sz w:val="20"/>
          <w:szCs w:val="20"/>
          <w:color w:val="auto"/>
        </w:rPr>
      </w:pPr>
      <w:r>
        <w:rPr>
          <w:rFonts w:ascii="Times New Roman" w:cs="Times New Roman" w:eastAsia="Times New Roman" w:hAnsi="Times New Roman"/>
          <w:sz w:val="19"/>
          <w:szCs w:val="19"/>
          <w:color w:val="auto"/>
        </w:rPr>
        <w:t xml:space="preserve">SECTION 9.14.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98" w:lineRule="exact"/>
        <w:rPr>
          <w:sz w:val="20"/>
          <w:szCs w:val="20"/>
          <w:color w:val="auto"/>
        </w:rPr>
      </w:pPr>
    </w:p>
    <w:p>
      <w:pPr>
        <w:jc w:val="both"/>
        <w:ind w:right="20"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9.15.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95"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9.16.</w:t>
      </w:r>
      <w:r>
        <w:rPr>
          <w:sz w:val="20"/>
          <w:szCs w:val="20"/>
          <w:color w:val="auto"/>
        </w:rPr>
        <w:tab/>
      </w:r>
      <w:r>
        <w:rPr>
          <w:rFonts w:ascii="Times New Roman" w:cs="Times New Roman" w:eastAsia="Times New Roman" w:hAnsi="Times New Roman"/>
          <w:sz w:val="18"/>
          <w:szCs w:val="18"/>
          <w:u w:val="single" w:color="auto"/>
          <w:color w:val="auto"/>
        </w:rPr>
        <w:t>[Reserved].</w:t>
      </w:r>
    </w:p>
    <w:p>
      <w:pPr>
        <w:spacing w:after="0" w:line="126" w:lineRule="exact"/>
        <w:rPr>
          <w:sz w:val="20"/>
          <w:szCs w:val="20"/>
          <w:color w:val="auto"/>
        </w:rPr>
      </w:pPr>
    </w:p>
    <w:p>
      <w:pPr>
        <w:jc w:val="both"/>
        <w:ind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9.17. </w:t>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 xml:space="preserve"> Each Bank hereby notifies each Loan Party that, pursuant to the requirements of bank regulatory authorities under applicable “know-your- customer” and anti-money laundering rules and regulations, including the USA PATRIOT Act (Title III of Pub. L. 107-56 (signed into law October 26, 2001), the “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it is required to obtain, verify and record information that identifies each Loan Party, which information includes the names and addresses of each Loan Party and other information that will allow such Bank to identify each Loan Party in accordance with the Patriot Act.</w:t>
      </w:r>
    </w:p>
    <w:p>
      <w:pPr>
        <w:spacing w:after="0" w:line="96" w:lineRule="exact"/>
        <w:rPr>
          <w:sz w:val="20"/>
          <w:szCs w:val="20"/>
          <w:color w:val="auto"/>
        </w:rPr>
      </w:pPr>
    </w:p>
    <w:p>
      <w:pPr>
        <w:jc w:val="both"/>
        <w:ind w:firstLine="1140"/>
        <w:spacing w:after="0" w:line="239" w:lineRule="auto"/>
        <w:rPr>
          <w:sz w:val="20"/>
          <w:szCs w:val="20"/>
          <w:color w:val="auto"/>
        </w:rPr>
      </w:pPr>
      <w:r>
        <w:rPr>
          <w:rFonts w:ascii="Times New Roman" w:cs="Times New Roman" w:eastAsia="Times New Roman" w:hAnsi="Times New Roman"/>
          <w:sz w:val="19"/>
          <w:szCs w:val="19"/>
          <w:color w:val="auto"/>
        </w:rPr>
        <w:t xml:space="preserve">SECTION 9.18.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The provisions of </w:t>
      </w:r>
      <w:r>
        <w:rPr>
          <w:rFonts w:ascii="Times New Roman" w:cs="Times New Roman" w:eastAsia="Times New Roman" w:hAnsi="Times New Roman"/>
          <w:sz w:val="19"/>
          <w:szCs w:val="19"/>
          <w:u w:val="single" w:color="auto"/>
          <w:color w:val="auto"/>
        </w:rPr>
        <w:t>Sections 2. 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2.21(b)</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xml:space="preserve"> ) shall survive and remain in full force and effect regardless of the repayment of the Loans, the expiration or termination of the Term Loan Commitments, the termination of this Agreement or any provision hereof or whether extensions of credit are made hereunder.</w:t>
      </w:r>
    </w:p>
    <w:p>
      <w:pPr>
        <w:spacing w:after="0" w:line="95" w:lineRule="exact"/>
        <w:rPr>
          <w:sz w:val="20"/>
          <w:szCs w:val="20"/>
          <w:color w:val="auto"/>
        </w:rPr>
      </w:pPr>
    </w:p>
    <w:p>
      <w:pPr>
        <w:jc w:val="both"/>
        <w:ind w:right="20" w:firstLine="1140"/>
        <w:spacing w:after="0" w:line="232" w:lineRule="auto"/>
        <w:rPr>
          <w:sz w:val="20"/>
          <w:szCs w:val="20"/>
          <w:color w:val="auto"/>
        </w:rPr>
      </w:pPr>
      <w:r>
        <w:rPr>
          <w:rFonts w:ascii="Times New Roman" w:cs="Times New Roman" w:eastAsia="Times New Roman" w:hAnsi="Times New Roman"/>
          <w:sz w:val="19"/>
          <w:szCs w:val="19"/>
          <w:color w:val="auto"/>
        </w:rPr>
        <w:t xml:space="preserve">SECTION 9.19. </w:t>
      </w:r>
      <w:r>
        <w:rPr>
          <w:rFonts w:ascii="Times New Roman" w:cs="Times New Roman" w:eastAsia="Times New Roman" w:hAnsi="Times New Roman"/>
          <w:sz w:val="19"/>
          <w:szCs w:val="19"/>
          <w:u w:val="single" w:color="auto"/>
          <w:color w:val="auto"/>
        </w:rPr>
        <w:t>Acknowledgment and Consent to Bail-In of Affected Financial Institutions.</w:t>
      </w:r>
      <w:r>
        <w:rPr>
          <w:rFonts w:ascii="Times New Roman" w:cs="Times New Roman" w:eastAsia="Times New Roman" w:hAnsi="Times New Roman"/>
          <w:sz w:val="19"/>
          <w:szCs w:val="19"/>
          <w:color w:val="auto"/>
        </w:rPr>
        <w:t xml:space="preserve"> Notwithstanding anything to the contrary in any Loan Document or in any other agreement, arrangement or understanding among the parties to any such Loan Document,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96" w:lineRule="exact"/>
        <w:rPr>
          <w:sz w:val="20"/>
          <w:szCs w:val="20"/>
          <w:color w:val="auto"/>
        </w:rPr>
      </w:pPr>
    </w:p>
    <w:p>
      <w:pPr>
        <w:ind w:right="40" w:firstLine="1145"/>
        <w:spacing w:after="0" w:line="255" w:lineRule="auto"/>
        <w:tabs>
          <w:tab w:leader="none" w:pos="1686"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81" w:lineRule="exact"/>
        <w:rPr>
          <w:rFonts w:ascii="Times New Roman" w:cs="Times New Roman" w:eastAsia="Times New Roman" w:hAnsi="Times New Roman"/>
          <w:sz w:val="19"/>
          <w:szCs w:val="19"/>
          <w:color w:val="auto"/>
        </w:rPr>
      </w:pPr>
    </w:p>
    <w:p>
      <w:pPr>
        <w:ind w:left="1660" w:hanging="515"/>
        <w:spacing w:after="0"/>
        <w:tabs>
          <w:tab w:leader="none" w:pos="166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126" w:lineRule="exact"/>
        <w:rPr>
          <w:sz w:val="20"/>
          <w:szCs w:val="20"/>
          <w:color w:val="auto"/>
        </w:rPr>
      </w:pPr>
    </w:p>
    <w:p>
      <w:pPr>
        <w:ind w:left="1660" w:hanging="515"/>
        <w:spacing w:after="0"/>
        <w:tabs>
          <w:tab w:leader="none" w:pos="166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ectPr>
          <w:pgSz w:w="11900" w:h="16840" w:orient="portrait"/>
          <w:cols w:equalWidth="0" w:num="1">
            <w:col w:w="10580"/>
          </w:cols>
          <w:pgMar w:left="660" w:top="556" w:right="660" w:bottom="1440" w:gutter="0" w:footer="0" w:header="0"/>
        </w:sectPr>
      </w:pPr>
    </w:p>
    <w:bookmarkStart w:id="118" w:name="page119"/>
    <w:bookmarkEnd w:id="118"/>
    <w:p>
      <w:pPr>
        <w:ind w:left="10380"/>
        <w:spacing w:after="0"/>
        <w:rPr>
          <w:sz w:val="20"/>
          <w:szCs w:val="20"/>
          <w:color w:val="auto"/>
        </w:rPr>
      </w:pPr>
      <w:r>
        <w:rPr>
          <w:rFonts w:ascii="Times New Roman" w:cs="Times New Roman" w:eastAsia="Times New Roman" w:hAnsi="Times New Roman"/>
          <w:sz w:val="19"/>
          <w:szCs w:val="19"/>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580" w:firstLine="565"/>
        <w:spacing w:after="0" w:line="234" w:lineRule="auto"/>
        <w:tabs>
          <w:tab w:leader="none" w:pos="168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7" w:lineRule="exact"/>
        <w:rPr>
          <w:rFonts w:ascii="Times New Roman" w:cs="Times New Roman" w:eastAsia="Times New Roman" w:hAnsi="Times New Roman"/>
          <w:sz w:val="19"/>
          <w:szCs w:val="19"/>
          <w:color w:val="auto"/>
        </w:rPr>
      </w:pPr>
    </w:p>
    <w:p>
      <w:pPr>
        <w:ind w:left="580" w:right="20" w:firstLine="565"/>
        <w:spacing w:after="0" w:line="255" w:lineRule="auto"/>
        <w:tabs>
          <w:tab w:leader="none" w:pos="167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82" w:lineRule="exact"/>
        <w:rPr>
          <w:sz w:val="20"/>
          <w:szCs w:val="20"/>
          <w:color w:val="auto"/>
        </w:rPr>
      </w:pPr>
    </w:p>
    <w:p>
      <w:pPr>
        <w:jc w:val="both"/>
        <w:ind w:right="20" w:firstLine="1140"/>
        <w:spacing w:after="0" w:line="228" w:lineRule="auto"/>
        <w:rPr>
          <w:sz w:val="20"/>
          <w:szCs w:val="20"/>
          <w:color w:val="auto"/>
        </w:rPr>
      </w:pPr>
      <w:r>
        <w:rPr>
          <w:rFonts w:ascii="Times New Roman" w:cs="Times New Roman" w:eastAsia="Times New Roman" w:hAnsi="Times New Roman"/>
          <w:sz w:val="19"/>
          <w:szCs w:val="19"/>
          <w:color w:val="auto"/>
        </w:rPr>
        <w:t xml:space="preserve">SECTION 9.20. </w:t>
      </w:r>
      <w:r>
        <w:rPr>
          <w:rFonts w:ascii="Times New Roman" w:cs="Times New Roman" w:eastAsia="Times New Roman" w:hAnsi="Times New Roman"/>
          <w:sz w:val="19"/>
          <w:szCs w:val="19"/>
          <w:u w:val="single" w:color="auto"/>
          <w:color w:val="auto"/>
        </w:rPr>
        <w:t>Acknowledgment Regarding Any Supported QFCs.</w:t>
      </w:r>
      <w:r>
        <w:rPr>
          <w:rFonts w:ascii="Times New Roman" w:cs="Times New Roman" w:eastAsia="Times New Roman" w:hAnsi="Times New Roman"/>
          <w:sz w:val="19"/>
          <w:szCs w:val="19"/>
          <w:color w:val="auto"/>
        </w:rPr>
        <w:t xml:space="preserve"> (a)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xml:space="preserve"> ”),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Times New Roman" w:cs="Times New Roman" w:eastAsia="Times New Roman" w:hAnsi="Times New Roman"/>
          <w:sz w:val="19"/>
          <w:szCs w:val="19"/>
          <w:u w:val="single" w:color="auto"/>
          <w:color w:val="auto"/>
        </w:rPr>
        <w:t>U.S. Special Resolution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96" w:lineRule="exact"/>
        <w:rPr>
          <w:sz w:val="20"/>
          <w:szCs w:val="20"/>
          <w:color w:val="auto"/>
        </w:rPr>
      </w:pPr>
    </w:p>
    <w:p>
      <w:pPr>
        <w:jc w:val="both"/>
        <w:ind w:firstLine="1145"/>
        <w:spacing w:after="0" w:line="226" w:lineRule="auto"/>
        <w:tabs>
          <w:tab w:leader="none" w:pos="1686"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556" w:right="660" w:bottom="1440" w:gutter="0" w:footer="0" w:header="0"/>
        </w:sectPr>
      </w:pPr>
    </w:p>
    <w:bookmarkStart w:id="119" w:name="page120"/>
    <w:bookmarkEnd w:id="119"/>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LENNOX INTERNATIONAL INC.</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Theresa McCray</w:t>
      </w:r>
      <w:r>
        <w:rPr>
          <w:rFonts w:ascii="Times New Roman" w:cs="Times New Roman" w:eastAsia="Times New Roman" w:hAnsi="Times New Roman"/>
          <w:sz w:val="19"/>
          <w:szCs w:val="19"/>
          <w:color w:val="auto"/>
        </w:rPr>
        <w:t>_____________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Theresa McCray</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Vice President, Corporate Tax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0" w:name="page121"/>
    <w:bookmarkEnd w:id="120"/>
    <w:p>
      <w:pPr>
        <w:spacing w:after="0" w:line="256" w:lineRule="exact"/>
        <w:rPr>
          <w:sz w:val="20"/>
          <w:szCs w:val="20"/>
          <w:color w:val="auto"/>
        </w:rPr>
      </w:pPr>
    </w:p>
    <w:p>
      <w:pPr>
        <w:ind w:left="3220"/>
        <w:spacing w:after="0" w:line="281" w:lineRule="auto"/>
        <w:rPr>
          <w:sz w:val="20"/>
          <w:szCs w:val="20"/>
          <w:color w:val="auto"/>
        </w:rPr>
      </w:pPr>
      <w:r>
        <w:rPr>
          <w:rFonts w:ascii="Times New Roman" w:cs="Times New Roman" w:eastAsia="Times New Roman" w:hAnsi="Times New Roman"/>
          <w:sz w:val="19"/>
          <w:szCs w:val="19"/>
          <w:color w:val="auto"/>
        </w:rPr>
        <w:t>WELLS FARGO BANK, NATIONAL ASSOCIATION, as Administrative Agent and as a Bank:</w:t>
      </w:r>
    </w:p>
    <w:p>
      <w:pPr>
        <w:spacing w:after="0" w:line="391" w:lineRule="exact"/>
        <w:rPr>
          <w:sz w:val="20"/>
          <w:szCs w:val="20"/>
          <w:color w:val="auto"/>
        </w:rPr>
      </w:pPr>
    </w:p>
    <w:p>
      <w:pPr>
        <w:ind w:left="3220"/>
        <w:spacing w:after="0"/>
        <w:tabs>
          <w:tab w:leader="none" w:pos="4960" w:val="left"/>
        </w:tabs>
        <w:rPr>
          <w:sz w:val="20"/>
          <w:szCs w:val="20"/>
          <w:color w:val="auto"/>
        </w:rPr>
      </w:pPr>
      <w:r>
        <w:rPr>
          <w:rFonts w:ascii="Times New Roman" w:cs="Times New Roman" w:eastAsia="Times New Roman" w:hAnsi="Times New Roman"/>
          <w:sz w:val="19"/>
          <w:szCs w:val="19"/>
          <w:color w:val="auto"/>
        </w:rPr>
        <w:t>By: /s/ Jason Ford</w:t>
      </w:r>
      <w:r>
        <w:rPr>
          <w:sz w:val="20"/>
          <w:szCs w:val="20"/>
          <w:color w:val="auto"/>
        </w:rPr>
        <w:tab/>
      </w:r>
      <w:r>
        <w:rPr>
          <w:rFonts w:ascii="Times New Roman" w:cs="Times New Roman" w:eastAsia="Times New Roman" w:hAnsi="Times New Roman"/>
          <w:sz w:val="18"/>
          <w:szCs w:val="1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-8890</wp:posOffset>
            </wp:positionV>
            <wp:extent cx="91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911860" cy="7620"/>
                    </a:xfrm>
                    <a:prstGeom prst="rect">
                      <a:avLst/>
                    </a:prstGeom>
                    <a:noFill/>
                  </pic:spPr>
                </pic:pic>
              </a:graphicData>
            </a:graphic>
          </wp:anchor>
        </w:drawing>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Jason Ford</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[Signature Page to the Term Credit Agreement of Lennox International Inc.]</w:t>
      </w:r>
    </w:p>
    <w:p>
      <w:pPr>
        <w:sectPr>
          <w:pgSz w:w="11900" w:h="16840" w:orient="portrait"/>
          <w:cols w:equalWidth="0" w:num="1">
            <w:col w:w="9780"/>
          </w:cols>
          <w:pgMar w:left="1440" w:top="1440" w:right="680" w:bottom="1440" w:gutter="0" w:footer="0" w:header="0"/>
        </w:sectPr>
      </w:pPr>
    </w:p>
    <w:bookmarkStart w:id="121" w:name="page122"/>
    <w:bookmarkEnd w:id="121"/>
    <w:p>
      <w:pPr>
        <w:spacing w:after="0" w:line="25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Jackie Castillo</w:t>
      </w:r>
      <w:r>
        <w:rPr>
          <w:rFonts w:ascii="Times New Roman" w:cs="Times New Roman" w:eastAsia="Times New Roman" w:hAnsi="Times New Roman"/>
          <w:sz w:val="19"/>
          <w:szCs w:val="19"/>
          <w:color w:val="auto"/>
        </w:rPr>
        <w:t>_________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Jackie Castillo</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2" w:name="page123"/>
    <w:bookmarkEnd w:id="122"/>
    <w:p>
      <w:pPr>
        <w:spacing w:after="0" w:line="25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Alexander Jodry</w:t>
      </w:r>
      <w:r>
        <w:rPr>
          <w:rFonts w:ascii="Times New Roman" w:cs="Times New Roman" w:eastAsia="Times New Roman" w:hAnsi="Times New Roman"/>
          <w:sz w:val="19"/>
          <w:szCs w:val="19"/>
          <w:color w:val="auto"/>
        </w:rPr>
        <w:t>_____________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Alexander Jodry</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3" w:name="page124"/>
    <w:bookmarkEnd w:id="123"/>
    <w:p>
      <w:pPr>
        <w:spacing w:after="0" w:line="25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TRUIST BANK</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Vicount P. Cornwall</w:t>
      </w:r>
      <w:r>
        <w:rPr>
          <w:rFonts w:ascii="Times New Roman" w:cs="Times New Roman" w:eastAsia="Times New Roman" w:hAnsi="Times New Roman"/>
          <w:sz w:val="19"/>
          <w:szCs w:val="19"/>
          <w:color w:val="auto"/>
        </w:rPr>
        <w:t>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Vicount P. Cornwall</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4" w:name="page125"/>
    <w:bookmarkEnd w:id="124"/>
    <w:p>
      <w:pPr>
        <w:spacing w:after="0" w:line="25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Oshin Vartanian</w:t>
      </w:r>
      <w:r>
        <w:rPr>
          <w:rFonts w:ascii="Times New Roman" w:cs="Times New Roman" w:eastAsia="Times New Roman" w:hAnsi="Times New Roman"/>
          <w:sz w:val="19"/>
          <w:szCs w:val="19"/>
          <w:color w:val="auto"/>
        </w:rPr>
        <w:t>____________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Oshin Vartanian</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5" w:name="page126"/>
    <w:bookmarkEnd w:id="125"/>
    <w:p>
      <w:pPr>
        <w:spacing w:after="0" w:line="25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Regions Bank</w:t>
      </w:r>
    </w:p>
    <w:p>
      <w:pPr>
        <w:spacing w:after="0" w:line="200" w:lineRule="exact"/>
        <w:rPr>
          <w:sz w:val="20"/>
          <w:szCs w:val="20"/>
          <w:color w:val="auto"/>
        </w:rPr>
      </w:pPr>
    </w:p>
    <w:p>
      <w:pPr>
        <w:spacing w:after="0" w:line="25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Ryan Garrey</w:t>
      </w:r>
      <w:r>
        <w:rPr>
          <w:rFonts w:ascii="Times New Roman" w:cs="Times New Roman" w:eastAsia="Times New Roman" w:hAnsi="Times New Roman"/>
          <w:sz w:val="19"/>
          <w:szCs w:val="19"/>
          <w:color w:val="auto"/>
        </w:rPr>
        <w:t>_________</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Name: Ryan Garrey</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the Term Credit Agreement of Lennox International Inc.]</w:t>
      </w:r>
    </w:p>
    <w:p>
      <w:pPr>
        <w:sectPr>
          <w:pgSz w:w="11900" w:h="16840" w:orient="portrait"/>
          <w:cols w:equalWidth="0" w:num="1">
            <w:col w:w="9020"/>
          </w:cols>
          <w:pgMar w:left="1440" w:top="1440" w:right="1440" w:bottom="1440" w:gutter="0" w:footer="0" w:header="0"/>
        </w:sectPr>
      </w:pPr>
    </w:p>
    <w:bookmarkStart w:id="126" w:name="page127"/>
    <w:bookmarkEnd w:id="126"/>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1.1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TERM LOAN COMMITMENTS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27" w:name="page128"/>
    <w:bookmarkEnd w:id="127"/>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5.8</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EXISTING INDEBTEDNESS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28" w:name="page129"/>
    <w:bookmarkEnd w:id="128"/>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5.9</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EXISTING LIENS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29" w:name="page130"/>
    <w:bookmarkEnd w:id="129"/>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Note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30" w:name="page131"/>
    <w:bookmarkEnd w:id="130"/>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Assignment and Assumption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31" w:name="page132"/>
    <w:bookmarkEnd w:id="131"/>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Form of Notice of Borrowing</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32" w:name="page133"/>
    <w:bookmarkEnd w:id="132"/>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Form of Notice of Prepayment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33" w:name="page134"/>
    <w:bookmarkEnd w:id="133"/>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C-3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Notice of Conversion/Continuation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020"/>
          </w:cols>
          <w:pgMar w:left="1440" w:top="1440" w:right="1440" w:bottom="1440" w:gutter="0" w:footer="0" w:header="0"/>
        </w:sectPr>
      </w:pPr>
    </w:p>
    <w:bookmarkStart w:id="134" w:name="page135"/>
    <w:bookmarkEnd w:id="134"/>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D-1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U.S. Tax Compliance Certificate (For Foreign Banks That Are Not Partnerships For U.S. Federal Income Tax Purposes)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800"/>
          </w:cols>
          <w:pgMar w:left="1060" w:top="1440" w:right="1040" w:bottom="1440" w:gutter="0" w:footer="0" w:header="0"/>
        </w:sectPr>
      </w:pPr>
    </w:p>
    <w:bookmarkStart w:id="135" w:name="page136"/>
    <w:bookmarkEnd w:id="135"/>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D-2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U.S. Tax Compliance Certificate (For Foreign Participants That Are Not Partnerships For U.S. Federal Income Tax Purposes)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10220"/>
          </w:cols>
          <w:pgMar w:left="840" w:top="1440" w:right="840" w:bottom="1440" w:gutter="0" w:footer="0" w:header="0"/>
        </w:sectPr>
      </w:pPr>
    </w:p>
    <w:bookmarkStart w:id="136" w:name="page137"/>
    <w:bookmarkEnd w:id="136"/>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D-3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U.S. Tax Compliance Certificate (For Foreign Participants That Are Partnerships For U.S. Federal Income Tax Purposes)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900"/>
          </w:cols>
          <w:pgMar w:left="1000" w:top="1440" w:right="1000" w:bottom="1440" w:gutter="0" w:footer="0" w:header="0"/>
        </w:sectPr>
      </w:pPr>
    </w:p>
    <w:bookmarkStart w:id="137" w:name="page138"/>
    <w:bookmarkEnd w:id="137"/>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D-4</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U.S. Tax Compliance Certificate (For Foreign Banks That Are Partnerships For U.S. Federal Income Tax Purposes)</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[Omitted]</w:t>
      </w:r>
    </w:p>
    <w:p>
      <w:pPr>
        <w:sectPr>
          <w:pgSz w:w="11900" w:h="16840" w:orient="portrait"/>
          <w:cols w:equalWidth="0" w:num="1">
            <w:col w:w="9480"/>
          </w:cols>
          <w:pgMar w:left="1220" w:top="1440" w:right="120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color w:val="auto"/>
        </w:rPr>
        <w:t>GUARANTY AGREEMENT</w:t>
      </w:r>
    </w:p>
    <w:p>
      <w:pPr>
        <w:spacing w:after="0" w:line="19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dated as of</w:t>
      </w:r>
    </w:p>
    <w:p>
      <w:pPr>
        <w:spacing w:after="0" w:line="1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color w:val="auto"/>
        </w:rPr>
        <w:t>October 16, 2025</w:t>
      </w:r>
    </w:p>
    <w:p>
      <w:pPr>
        <w:spacing w:after="0" w:line="19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among</w:t>
      </w:r>
    </w:p>
    <w:p>
      <w:pPr>
        <w:spacing w:after="0" w:line="19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THE GUARANTORS PARTY HERETO</w:t>
      </w:r>
    </w:p>
    <w:p>
      <w:pPr>
        <w:spacing w:after="0" w:line="1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and</w:t>
      </w:r>
    </w:p>
    <w:p>
      <w:pPr>
        <w:spacing w:after="0" w:line="19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as the Administrative Agent</w:t>
      </w:r>
    </w:p>
    <w:p>
      <w:pPr>
        <w:sectPr>
          <w:pgSz w:w="11900" w:h="16840" w:orient="portrait"/>
          <w:cols w:equalWidth="0" w:num="1">
            <w:col w:w="9800"/>
          </w:cols>
          <w:pgMar w:left="1440" w:top="556" w:right="660" w:bottom="1440" w:gutter="0" w:footer="0" w:header="0"/>
        </w:sectPr>
      </w:pPr>
    </w:p>
    <w:bookmarkStart w:id="139" w:name="page140"/>
    <w:bookmarkEnd w:id="139"/>
    <w:p>
      <w:pPr>
        <w:spacing w:after="0" w:line="25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u w:val="single" w:color="auto"/>
          <w:color w:val="auto"/>
        </w:rPr>
        <w:t>Page</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ARTICLE I</w:t>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Definitions</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color w:val="auto"/>
        </w:rPr>
        <w:t>Credit Agreement</w:t>
      </w:r>
      <w:r>
        <w:rPr>
          <w:sz w:val="20"/>
          <w:szCs w:val="20"/>
          <w:color w:val="auto"/>
        </w:rPr>
        <w:tab/>
      </w:r>
      <w:r>
        <w:rPr>
          <w:rFonts w:ascii="Times New Roman" w:cs="Times New Roman" w:eastAsia="Times New Roman" w:hAnsi="Times New Roman"/>
          <w:sz w:val="19"/>
          <w:szCs w:val="19"/>
          <w:color w:val="auto"/>
        </w:rPr>
        <w:t>1</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color w:val="auto"/>
        </w:rPr>
        <w:t>Other Defined Terms</w:t>
      </w:r>
      <w:r>
        <w:rPr>
          <w:sz w:val="20"/>
          <w:szCs w:val="20"/>
          <w:color w:val="auto"/>
        </w:rPr>
        <w:tab/>
      </w:r>
      <w:r>
        <w:rPr>
          <w:rFonts w:ascii="Times New Roman" w:cs="Times New Roman" w:eastAsia="Times New Roman" w:hAnsi="Times New Roman"/>
          <w:sz w:val="19"/>
          <w:szCs w:val="19"/>
          <w:color w:val="auto"/>
        </w:rPr>
        <w:t>1</w:t>
      </w: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ARTICLE II</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The Guarantees</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2.01</w:t>
      </w:r>
      <w:r>
        <w:rPr>
          <w:sz w:val="20"/>
          <w:szCs w:val="20"/>
          <w:color w:val="auto"/>
        </w:rPr>
        <w:tab/>
      </w:r>
      <w:r>
        <w:rPr>
          <w:rFonts w:ascii="Times New Roman" w:cs="Times New Roman" w:eastAsia="Times New Roman" w:hAnsi="Times New Roman"/>
          <w:sz w:val="19"/>
          <w:szCs w:val="19"/>
          <w:color w:val="auto"/>
        </w:rPr>
        <w:t>Guarantee</w:t>
      </w:r>
      <w:r>
        <w:rPr>
          <w:sz w:val="20"/>
          <w:szCs w:val="20"/>
          <w:color w:val="auto"/>
        </w:rPr>
        <w:tab/>
      </w:r>
      <w:r>
        <w:rPr>
          <w:rFonts w:ascii="Times New Roman" w:cs="Times New Roman" w:eastAsia="Times New Roman" w:hAnsi="Times New Roman"/>
          <w:sz w:val="19"/>
          <w:szCs w:val="19"/>
          <w:color w:val="auto"/>
        </w:rPr>
        <w:t>2</w:t>
      </w: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III</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ARTICLE IV</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Miscellaneous</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9"/>
          <w:szCs w:val="19"/>
          <w:color w:val="auto"/>
        </w:rPr>
        <w:t>Notices</w:t>
      </w:r>
      <w:r>
        <w:rPr>
          <w:sz w:val="20"/>
          <w:szCs w:val="20"/>
          <w:color w:val="auto"/>
        </w:rPr>
        <w:tab/>
      </w:r>
      <w:r>
        <w:rPr>
          <w:rFonts w:ascii="Times New Roman" w:cs="Times New Roman" w:eastAsia="Times New Roman" w:hAnsi="Times New Roman"/>
          <w:sz w:val="19"/>
          <w:szCs w:val="19"/>
          <w:color w:val="auto"/>
        </w:rPr>
        <w:t>4</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4.02</w:t>
      </w:r>
      <w:r>
        <w:rPr>
          <w:sz w:val="20"/>
          <w:szCs w:val="20"/>
          <w:color w:val="auto"/>
        </w:rPr>
        <w:tab/>
      </w:r>
      <w:r>
        <w:rPr>
          <w:rFonts w:ascii="Times New Roman" w:cs="Times New Roman" w:eastAsia="Times New Roman" w:hAnsi="Times New Roman"/>
          <w:sz w:val="19"/>
          <w:szCs w:val="19"/>
          <w:color w:val="auto"/>
        </w:rPr>
        <w:t>Waivers; Amendment</w:t>
      </w:r>
      <w:r>
        <w:rPr>
          <w:sz w:val="20"/>
          <w:szCs w:val="20"/>
          <w:color w:val="auto"/>
        </w:rPr>
        <w:tab/>
      </w:r>
      <w:r>
        <w:rPr>
          <w:rFonts w:ascii="Times New Roman" w:cs="Times New Roman" w:eastAsia="Times New Roman" w:hAnsi="Times New Roman"/>
          <w:sz w:val="19"/>
          <w:szCs w:val="19"/>
          <w:color w:val="auto"/>
        </w:rPr>
        <w:t>4</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4.03</w:t>
      </w:r>
      <w:r>
        <w:rPr>
          <w:sz w:val="20"/>
          <w:szCs w:val="20"/>
          <w:color w:val="auto"/>
        </w:rPr>
        <w:tab/>
      </w:r>
      <w:r>
        <w:rPr>
          <w:rFonts w:ascii="Times New Roman" w:cs="Times New Roman" w:eastAsia="Times New Roman" w:hAnsi="Times New Roman"/>
          <w:sz w:val="19"/>
          <w:szCs w:val="19"/>
          <w:color w:val="auto"/>
        </w:rPr>
        <w:t>Expenses; Indemnity; Damage Waiver</w:t>
      </w:r>
      <w:r>
        <w:rPr>
          <w:sz w:val="20"/>
          <w:szCs w:val="20"/>
          <w:color w:val="auto"/>
        </w:rPr>
        <w:tab/>
      </w:r>
      <w:r>
        <w:rPr>
          <w:rFonts w:ascii="Times New Roman" w:cs="Times New Roman" w:eastAsia="Times New Roman" w:hAnsi="Times New Roman"/>
          <w:sz w:val="19"/>
          <w:szCs w:val="19"/>
          <w:color w:val="auto"/>
        </w:rPr>
        <w:t>5</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4.04</w:t>
      </w:r>
      <w:r>
        <w:rPr>
          <w:sz w:val="20"/>
          <w:szCs w:val="20"/>
          <w:color w:val="auto"/>
        </w:rPr>
        <w:tab/>
      </w:r>
      <w:r>
        <w:rPr>
          <w:rFonts w:ascii="Times New Roman" w:cs="Times New Roman" w:eastAsia="Times New Roman" w:hAnsi="Times New Roman"/>
          <w:sz w:val="19"/>
          <w:szCs w:val="19"/>
          <w:color w:val="auto"/>
        </w:rPr>
        <w:t>Successors and Assigns</w:t>
      </w:r>
      <w:r>
        <w:rPr>
          <w:sz w:val="20"/>
          <w:szCs w:val="20"/>
          <w:color w:val="auto"/>
        </w:rPr>
        <w:tab/>
      </w:r>
      <w:r>
        <w:rPr>
          <w:rFonts w:ascii="Times New Roman" w:cs="Times New Roman" w:eastAsia="Times New Roman" w:hAnsi="Times New Roman"/>
          <w:sz w:val="19"/>
          <w:szCs w:val="19"/>
          <w:color w:val="auto"/>
        </w:rPr>
        <w:t>6</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4.05</w:t>
      </w:r>
      <w:r>
        <w:rPr>
          <w:sz w:val="20"/>
          <w:szCs w:val="20"/>
          <w:color w:val="auto"/>
        </w:rPr>
        <w:tab/>
      </w:r>
      <w:r>
        <w:rPr>
          <w:rFonts w:ascii="Times New Roman" w:cs="Times New Roman" w:eastAsia="Times New Roman" w:hAnsi="Times New Roman"/>
          <w:sz w:val="19"/>
          <w:szCs w:val="19"/>
          <w:color w:val="auto"/>
        </w:rPr>
        <w:t>Survival of Agreement</w:t>
      </w:r>
      <w:r>
        <w:rPr>
          <w:sz w:val="20"/>
          <w:szCs w:val="20"/>
          <w:color w:val="auto"/>
        </w:rPr>
        <w:tab/>
      </w:r>
      <w:r>
        <w:rPr>
          <w:rFonts w:ascii="Times New Roman" w:cs="Times New Roman" w:eastAsia="Times New Roman" w:hAnsi="Times New Roman"/>
          <w:sz w:val="19"/>
          <w:szCs w:val="19"/>
          <w:color w:val="auto"/>
        </w:rPr>
        <w:t>6</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4.06</w:t>
      </w:r>
      <w:r>
        <w:rPr>
          <w:sz w:val="20"/>
          <w:szCs w:val="20"/>
          <w:color w:val="auto"/>
        </w:rPr>
        <w:tab/>
      </w:r>
      <w:r>
        <w:rPr>
          <w:rFonts w:ascii="Times New Roman" w:cs="Times New Roman" w:eastAsia="Times New Roman" w:hAnsi="Times New Roman"/>
          <w:sz w:val="19"/>
          <w:szCs w:val="19"/>
          <w:color w:val="auto"/>
        </w:rPr>
        <w:t>Counterparts; Effectiveness</w:t>
      </w:r>
      <w:r>
        <w:rPr>
          <w:sz w:val="20"/>
          <w:szCs w:val="20"/>
          <w:color w:val="auto"/>
        </w:rPr>
        <w:tab/>
      </w:r>
      <w:r>
        <w:rPr>
          <w:rFonts w:ascii="Times New Roman" w:cs="Times New Roman" w:eastAsia="Times New Roman" w:hAnsi="Times New Roman"/>
          <w:sz w:val="19"/>
          <w:szCs w:val="19"/>
          <w:color w:val="auto"/>
        </w:rPr>
        <w:t>7</w:t>
      </w:r>
    </w:p>
    <w:p>
      <w:pPr>
        <w:spacing w:after="0" w:line="19" w:lineRule="exact"/>
        <w:rPr>
          <w:sz w:val="20"/>
          <w:szCs w:val="20"/>
          <w:color w:val="auto"/>
        </w:rPr>
      </w:pPr>
    </w:p>
    <w:p>
      <w:pPr>
        <w:ind w:left="20"/>
        <w:spacing w:after="0"/>
        <w:tabs>
          <w:tab w:leader="none" w:pos="1680" w:val="left"/>
          <w:tab w:leader="none" w:pos="10440" w:val="left"/>
        </w:tabs>
        <w:rPr>
          <w:sz w:val="20"/>
          <w:szCs w:val="20"/>
          <w:color w:val="auto"/>
        </w:rPr>
      </w:pPr>
      <w:r>
        <w:rPr>
          <w:rFonts w:ascii="Times New Roman" w:cs="Times New Roman" w:eastAsia="Times New Roman" w:hAnsi="Times New Roman"/>
          <w:sz w:val="19"/>
          <w:szCs w:val="19"/>
          <w:color w:val="auto"/>
        </w:rPr>
        <w:t>SECTION 4.07</w:t>
      </w:r>
      <w:r>
        <w:rPr>
          <w:sz w:val="20"/>
          <w:szCs w:val="20"/>
          <w:color w:val="auto"/>
        </w:rPr>
        <w:tab/>
      </w:r>
      <w:r>
        <w:rPr>
          <w:rFonts w:ascii="Times New Roman" w:cs="Times New Roman" w:eastAsia="Times New Roman" w:hAnsi="Times New Roman"/>
          <w:sz w:val="19"/>
          <w:szCs w:val="19"/>
          <w:color w:val="auto"/>
        </w:rPr>
        <w:t>Severability........................................................................................…</w:t>
      </w:r>
      <w:r>
        <w:rPr>
          <w:sz w:val="20"/>
          <w:szCs w:val="20"/>
          <w:color w:val="auto"/>
        </w:rPr>
        <w:tab/>
      </w:r>
      <w:r>
        <w:rPr>
          <w:rFonts w:ascii="Times New Roman" w:cs="Times New Roman" w:eastAsia="Times New Roman" w:hAnsi="Times New Roman"/>
          <w:sz w:val="19"/>
          <w:szCs w:val="19"/>
          <w:color w:val="auto"/>
        </w:rPr>
        <w:t>7</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4.08</w:t>
      </w:r>
      <w:r>
        <w:rPr>
          <w:sz w:val="20"/>
          <w:szCs w:val="20"/>
          <w:color w:val="auto"/>
        </w:rPr>
        <w:tab/>
      </w:r>
      <w:r>
        <w:rPr>
          <w:rFonts w:ascii="Times New Roman" w:cs="Times New Roman" w:eastAsia="Times New Roman" w:hAnsi="Times New Roman"/>
          <w:sz w:val="19"/>
          <w:szCs w:val="19"/>
          <w:color w:val="auto"/>
        </w:rPr>
        <w:t>Governing Law; Jurisdiction; Consent to Service of Process</w:t>
      </w:r>
      <w:r>
        <w:rPr>
          <w:sz w:val="20"/>
          <w:szCs w:val="20"/>
          <w:color w:val="auto"/>
        </w:rPr>
        <w:tab/>
      </w:r>
      <w:r>
        <w:rPr>
          <w:rFonts w:ascii="Times New Roman" w:cs="Times New Roman" w:eastAsia="Times New Roman" w:hAnsi="Times New Roman"/>
          <w:sz w:val="19"/>
          <w:szCs w:val="19"/>
          <w:color w:val="auto"/>
        </w:rPr>
        <w:t>7</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4.09</w:t>
      </w:r>
      <w:r>
        <w:rPr>
          <w:sz w:val="20"/>
          <w:szCs w:val="20"/>
          <w:color w:val="auto"/>
        </w:rPr>
        <w:tab/>
      </w:r>
      <w:r>
        <w:rPr>
          <w:rFonts w:ascii="Times New Roman" w:cs="Times New Roman" w:eastAsia="Times New Roman" w:hAnsi="Times New Roman"/>
          <w:sz w:val="19"/>
          <w:szCs w:val="19"/>
          <w:color w:val="auto"/>
        </w:rPr>
        <w:t>WAIVER OF JURY TRIAL</w:t>
      </w:r>
      <w:r>
        <w:rPr>
          <w:sz w:val="20"/>
          <w:szCs w:val="20"/>
          <w:color w:val="auto"/>
        </w:rPr>
        <w:tab/>
      </w:r>
      <w:r>
        <w:rPr>
          <w:rFonts w:ascii="Times New Roman" w:cs="Times New Roman" w:eastAsia="Times New Roman" w:hAnsi="Times New Roman"/>
          <w:sz w:val="19"/>
          <w:szCs w:val="19"/>
          <w:color w:val="auto"/>
        </w:rPr>
        <w:t>8</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4.10</w:t>
      </w:r>
      <w:r>
        <w:rPr>
          <w:sz w:val="20"/>
          <w:szCs w:val="20"/>
          <w:color w:val="auto"/>
        </w:rPr>
        <w:tab/>
      </w:r>
      <w:r>
        <w:rPr>
          <w:rFonts w:ascii="Times New Roman" w:cs="Times New Roman" w:eastAsia="Times New Roman" w:hAnsi="Times New Roman"/>
          <w:sz w:val="19"/>
          <w:szCs w:val="19"/>
          <w:color w:val="auto"/>
        </w:rPr>
        <w:t>Headings</w:t>
      </w:r>
      <w:r>
        <w:rPr>
          <w:sz w:val="20"/>
          <w:szCs w:val="20"/>
          <w:color w:val="auto"/>
        </w:rPr>
        <w:tab/>
      </w:r>
      <w:r>
        <w:rPr>
          <w:rFonts w:ascii="Times New Roman" w:cs="Times New Roman" w:eastAsia="Times New Roman" w:hAnsi="Times New Roman"/>
          <w:sz w:val="19"/>
          <w:szCs w:val="19"/>
          <w:color w:val="auto"/>
        </w:rPr>
        <w:t>8</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4.11</w:t>
      </w:r>
      <w:r>
        <w:rPr>
          <w:sz w:val="20"/>
          <w:szCs w:val="20"/>
          <w:color w:val="auto"/>
        </w:rPr>
        <w:tab/>
      </w:r>
      <w:r>
        <w:rPr>
          <w:rFonts w:ascii="Times New Roman" w:cs="Times New Roman" w:eastAsia="Times New Roman" w:hAnsi="Times New Roman"/>
          <w:sz w:val="19"/>
          <w:szCs w:val="19"/>
          <w:color w:val="auto"/>
        </w:rPr>
        <w:t>Termination or Release</w:t>
      </w:r>
      <w:r>
        <w:rPr>
          <w:sz w:val="20"/>
          <w:szCs w:val="20"/>
          <w:color w:val="auto"/>
        </w:rPr>
        <w:tab/>
      </w:r>
      <w:r>
        <w:rPr>
          <w:rFonts w:ascii="Times New Roman" w:cs="Times New Roman" w:eastAsia="Times New Roman" w:hAnsi="Times New Roman"/>
          <w:sz w:val="19"/>
          <w:szCs w:val="19"/>
          <w:color w:val="auto"/>
        </w:rPr>
        <w:t>8</w:t>
      </w:r>
    </w:p>
    <w:p>
      <w:pPr>
        <w:spacing w:after="0" w:line="19" w:lineRule="exact"/>
        <w:rPr>
          <w:sz w:val="20"/>
          <w:szCs w:val="20"/>
          <w:color w:val="auto"/>
        </w:rPr>
      </w:pPr>
    </w:p>
    <w:p>
      <w:pPr>
        <w:ind w:left="20"/>
        <w:spacing w:after="0"/>
        <w:tabs>
          <w:tab w:leader="none" w:pos="1680" w:val="left"/>
          <w:tab w:leader="dot" w:pos="10440" w:val="left"/>
        </w:tabs>
        <w:rPr>
          <w:sz w:val="20"/>
          <w:szCs w:val="20"/>
          <w:color w:val="auto"/>
        </w:rPr>
      </w:pPr>
      <w:r>
        <w:rPr>
          <w:rFonts w:ascii="Times New Roman" w:cs="Times New Roman" w:eastAsia="Times New Roman" w:hAnsi="Times New Roman"/>
          <w:sz w:val="19"/>
          <w:szCs w:val="19"/>
          <w:color w:val="auto"/>
        </w:rPr>
        <w:t>SECTION 4.12</w:t>
      </w:r>
      <w:r>
        <w:rPr>
          <w:sz w:val="20"/>
          <w:szCs w:val="20"/>
          <w:color w:val="auto"/>
        </w:rPr>
        <w:tab/>
      </w:r>
      <w:r>
        <w:rPr>
          <w:rFonts w:ascii="Times New Roman" w:cs="Times New Roman" w:eastAsia="Times New Roman" w:hAnsi="Times New Roman"/>
          <w:sz w:val="19"/>
          <w:szCs w:val="19"/>
          <w:color w:val="auto"/>
        </w:rPr>
        <w:t>Conversion of Currencies</w:t>
      </w:r>
      <w:r>
        <w:rPr>
          <w:sz w:val="20"/>
          <w:szCs w:val="20"/>
          <w:color w:val="auto"/>
        </w:rPr>
        <w:tab/>
      </w:r>
      <w:r>
        <w:rPr>
          <w:rFonts w:ascii="Times New Roman" w:cs="Times New Roman" w:eastAsia="Times New Roman" w:hAnsi="Times New Roman"/>
          <w:sz w:val="19"/>
          <w:szCs w:val="19"/>
          <w:color w:val="auto"/>
        </w:rPr>
        <w:t>8</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Schedules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I – Initial Guarantors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Exhibits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Supplement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w:t>
      </w:r>
    </w:p>
    <w:p>
      <w:pPr>
        <w:sectPr>
          <w:pgSz w:w="11900" w:h="16840" w:orient="portrait"/>
          <w:cols w:equalWidth="0" w:num="1">
            <w:col w:w="10560"/>
          </w:cols>
          <w:pgMar w:left="660" w:top="1440" w:right="680" w:bottom="1440" w:gutter="0" w:footer="0" w:header="0"/>
        </w:sectPr>
      </w:pPr>
    </w:p>
    <w:bookmarkStart w:id="140" w:name="page141"/>
    <w:bookmarkEnd w:id="140"/>
    <w:p>
      <w:pPr>
        <w:spacing w:after="0" w:line="256" w:lineRule="exact"/>
        <w:rPr>
          <w:sz w:val="20"/>
          <w:szCs w:val="20"/>
          <w:color w:val="auto"/>
        </w:rPr>
      </w:pPr>
    </w:p>
    <w:p>
      <w:pPr>
        <w:jc w:val="both"/>
        <w:ind w:right="20" w:firstLine="1140"/>
        <w:spacing w:after="0" w:line="259" w:lineRule="auto"/>
        <w:rPr>
          <w:sz w:val="20"/>
          <w:szCs w:val="20"/>
          <w:color w:val="auto"/>
        </w:rPr>
      </w:pPr>
      <w:r>
        <w:rPr>
          <w:rFonts w:ascii="Times New Roman" w:cs="Times New Roman" w:eastAsia="Times New Roman" w:hAnsi="Times New Roman"/>
          <w:sz w:val="19"/>
          <w:szCs w:val="19"/>
          <w:color w:val="auto"/>
        </w:rPr>
        <w:t>GUARANTY AGREEMENT dated as of October 16, 2025 (as amended, restated, supplemented or otherwise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the Initial Guarantors (defined below) and each New Guarantor that has delivered a Supplement (defined below) pursuant to Section 2.01(j), in each case, from time to time party hereto, and WELLS FARGO BANK, NATIONAL ASSOCIATION, as the Administrative Agent.</w:t>
      </w:r>
    </w:p>
    <w:p>
      <w:pPr>
        <w:spacing w:after="0" w:line="149" w:lineRule="exact"/>
        <w:rPr>
          <w:sz w:val="20"/>
          <w:szCs w:val="20"/>
          <w:color w:val="auto"/>
        </w:rPr>
      </w:pPr>
    </w:p>
    <w:p>
      <w:pPr>
        <w:jc w:val="both"/>
        <w:ind w:firstLine="1140"/>
        <w:spacing w:after="0" w:line="254" w:lineRule="auto"/>
        <w:rPr>
          <w:sz w:val="20"/>
          <w:szCs w:val="20"/>
          <w:color w:val="auto"/>
        </w:rPr>
      </w:pPr>
      <w:r>
        <w:rPr>
          <w:rFonts w:ascii="Times New Roman" w:cs="Times New Roman" w:eastAsia="Times New Roman" w:hAnsi="Times New Roman"/>
          <w:sz w:val="19"/>
          <w:szCs w:val="19"/>
          <w:color w:val="auto"/>
        </w:rPr>
        <w:t>Reference is made to the Term Credit Agreement dated as of October 16, 2025 (as it may be amended,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Lennox International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Banks party thereto from time to time and the Administrative Agent. The Banks have agreed to extend credit to the Borrower subject to the terms and conditions set forth in the Credit Agreement. The Guarantors are Subsidiaries of the Borrower, will derive substantial benefits from the extension of credit to the Borrower pursuant to the Credit Agreement and are willing to execute and deliver this Agreement in order to induce the Banks to extend such credit. Accordingly, the parties hereto agree as follows:</w:t>
      </w:r>
    </w:p>
    <w:p>
      <w:pPr>
        <w:spacing w:after="0" w:line="1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w:t>
      </w:r>
    </w:p>
    <w:p>
      <w:pPr>
        <w:spacing w:after="0" w:line="1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161" w:lineRule="exact"/>
        <w:rPr>
          <w:sz w:val="20"/>
          <w:szCs w:val="20"/>
          <w:color w:val="auto"/>
        </w:rPr>
      </w:pPr>
    </w:p>
    <w:p>
      <w:pPr>
        <w:jc w:val="both"/>
        <w:ind w:right="20" w:firstLine="1140"/>
        <w:spacing w:after="0" w:line="242"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 Capitalized terms used in this Agreement (including in the introductory paragraph hereto) and not otherwise defined herein have the meanings specified in the Credit Agreement.</w:t>
      </w:r>
    </w:p>
    <w:p>
      <w:pPr>
        <w:spacing w:after="0" w:line="123" w:lineRule="exact"/>
        <w:rPr>
          <w:sz w:val="20"/>
          <w:szCs w:val="20"/>
          <w:color w:val="auto"/>
        </w:rPr>
      </w:pPr>
    </w:p>
    <w:p>
      <w:pPr>
        <w:ind w:left="1140"/>
        <w:spacing w:after="0"/>
        <w:tabs>
          <w:tab w:leader="none" w:pos="170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9"/>
          <w:szCs w:val="19"/>
          <w:color w:val="auto"/>
        </w:rPr>
        <w:t xml:space="preserve">The rules of construction specified in Section 1.4 of the Credit Agreement also apply to this Agreement, </w:t>
      </w:r>
      <w:r>
        <w:rPr>
          <w:rFonts w:ascii="Times New Roman" w:cs="Times New Roman" w:eastAsia="Times New Roman" w:hAnsi="Times New Roman"/>
          <w:sz w:val="19"/>
          <w:szCs w:val="19"/>
          <w:u w:val="single" w:color="auto"/>
          <w:color w:val="auto"/>
        </w:rPr>
        <w:t>mutatis</w:t>
      </w:r>
    </w:p>
    <w:p>
      <w:pPr>
        <w:spacing w:after="0"/>
        <w:rPr>
          <w:sz w:val="20"/>
          <w:szCs w:val="20"/>
          <w:color w:val="auto"/>
        </w:rPr>
      </w:pPr>
      <w:r>
        <w:rPr>
          <w:rFonts w:ascii="Times New Roman" w:cs="Times New Roman" w:eastAsia="Times New Roman" w:hAnsi="Times New Roman"/>
          <w:sz w:val="19"/>
          <w:szCs w:val="19"/>
          <w:u w:val="single" w:color="auto"/>
          <w:color w:val="auto"/>
        </w:rPr>
        <w:t>mutandis</w:t>
      </w:r>
      <w:r>
        <w:rPr>
          <w:rFonts w:ascii="Times New Roman" w:cs="Times New Roman" w:eastAsia="Times New Roman" w:hAnsi="Times New Roman"/>
          <w:sz w:val="19"/>
          <w:szCs w:val="19"/>
          <w:color w:val="auto"/>
        </w:rPr>
        <w:t>.</w:t>
      </w:r>
    </w:p>
    <w:p>
      <w:pPr>
        <w:spacing w:after="0" w:line="133"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u w:val="single" w:color="auto"/>
          <w:color w:val="auto"/>
        </w:rPr>
        <w:t>Other Defined Terms</w:t>
      </w:r>
      <w:r>
        <w:rPr>
          <w:rFonts w:ascii="Times New Roman" w:cs="Times New Roman" w:eastAsia="Times New Roman" w:hAnsi="Times New Roman"/>
          <w:sz w:val="19"/>
          <w:szCs w:val="19"/>
          <w:color w:val="auto"/>
        </w:rPr>
        <w:t>. As used in this Agreement, the following terms have the meanings specified</w:t>
      </w:r>
    </w:p>
    <w:p>
      <w:pPr>
        <w:spacing w:after="0"/>
        <w:rPr>
          <w:sz w:val="20"/>
          <w:szCs w:val="20"/>
          <w:color w:val="auto"/>
        </w:rPr>
      </w:pPr>
      <w:r>
        <w:rPr>
          <w:rFonts w:ascii="Times New Roman" w:cs="Times New Roman" w:eastAsia="Times New Roman" w:hAnsi="Times New Roman"/>
          <w:sz w:val="19"/>
          <w:szCs w:val="19"/>
          <w:color w:val="auto"/>
        </w:rPr>
        <w:t>below:</w:t>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has the meaning set forth in the preamble hereto.</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has the meaning set forth in Section 4.12(b).</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has the meaning set forth in Section 4.12(b).</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has the meaning set forth in the preamble hereto.</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has the meaning set forth in the introductory paragraph to this Agreement.</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means, collectively, the Initial Guarantors and each New Guarantor.</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has the meaning set forth in Section 4.03(b).</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Guarantors</w:t>
      </w:r>
      <w:r>
        <w:rPr>
          <w:rFonts w:ascii="Times New Roman" w:cs="Times New Roman" w:eastAsia="Times New Roman" w:hAnsi="Times New Roman"/>
          <w:sz w:val="19"/>
          <w:szCs w:val="19"/>
          <w:color w:val="auto"/>
        </w:rPr>
        <w:t xml:space="preserve">” means each of the Subsidiaries of the Borrower listed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w:t>
      </w:r>
    </w:p>
    <w:p>
      <w:pPr>
        <w:sectPr>
          <w:pgSz w:w="11900" w:h="16840" w:orient="portrait"/>
          <w:cols w:equalWidth="0" w:num="1">
            <w:col w:w="10580"/>
          </w:cols>
          <w:pgMar w:left="660" w:top="1440" w:right="660" w:bottom="1440" w:gutter="0" w:footer="0" w:header="0"/>
        </w:sectPr>
      </w:pPr>
    </w:p>
    <w:bookmarkStart w:id="141" w:name="page142"/>
    <w:bookmarkEnd w:id="141"/>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has the meaning set forth in Section 4.12(b).</w:t>
      </w:r>
    </w:p>
    <w:p>
      <w:pPr>
        <w:spacing w:after="0" w:line="1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New Guarantors</w:t>
      </w:r>
      <w:r>
        <w:rPr>
          <w:rFonts w:ascii="Times New Roman" w:cs="Times New Roman" w:eastAsia="Times New Roman" w:hAnsi="Times New Roman"/>
          <w:sz w:val="19"/>
          <w:szCs w:val="19"/>
          <w:color w:val="auto"/>
        </w:rPr>
        <w:t>” has the meaning set forth in each Supplement executed and delivered pursuant to Section 2.01(j).</w:t>
      </w:r>
    </w:p>
    <w:p>
      <w:pPr>
        <w:spacing w:after="0" w:line="197" w:lineRule="exact"/>
        <w:rPr>
          <w:sz w:val="20"/>
          <w:szCs w:val="20"/>
          <w:color w:val="auto"/>
        </w:rPr>
      </w:pPr>
    </w:p>
    <w:p>
      <w:pPr>
        <w:ind w:right="240" w:firstLine="1140"/>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Indebtedness</w:t>
      </w:r>
      <w:r>
        <w:rPr>
          <w:rFonts w:ascii="Times New Roman" w:cs="Times New Roman" w:eastAsia="Times New Roman" w:hAnsi="Times New Roman"/>
          <w:sz w:val="19"/>
          <w:szCs w:val="19"/>
          <w:color w:val="auto"/>
        </w:rPr>
        <w:t>” means any publicly traded notes, bonds, debentures or similar indebtedness set forth in (a) the Borrower’s Form 10-K for the most recently ended fiscal year or (b) any filings by the Borrower on Form 10-Q or Form 8-K made after the end of the most recently ended fiscal year.</w:t>
      </w:r>
    </w:p>
    <w:p>
      <w:pPr>
        <w:spacing w:after="0" w:line="146" w:lineRule="exact"/>
        <w:rPr>
          <w:sz w:val="20"/>
          <w:szCs w:val="20"/>
          <w:color w:val="auto"/>
        </w:rPr>
      </w:pPr>
    </w:p>
    <w:p>
      <w:pPr>
        <w:ind w:right="40" w:firstLine="1140"/>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Supplement</w:t>
      </w:r>
      <w:r>
        <w:rPr>
          <w:rFonts w:ascii="Times New Roman" w:cs="Times New Roman" w:eastAsia="Times New Roman" w:hAnsi="Times New Roman"/>
          <w:sz w:val="19"/>
          <w:szCs w:val="19"/>
          <w:color w:val="auto"/>
        </w:rPr>
        <w:t>” means an instrument substantially in the form of Exhibit A hereto or any other form approved by the Administrative Agent.</w:t>
      </w:r>
    </w:p>
    <w:p>
      <w:pPr>
        <w:spacing w:after="0" w:line="1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II</w:t>
      </w:r>
    </w:p>
    <w:p>
      <w:pPr>
        <w:spacing w:after="0" w:line="1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u w:val="single" w:color="auto"/>
          <w:color w:val="auto"/>
        </w:rPr>
        <w:t>The Guarantees</w:t>
      </w:r>
    </w:p>
    <w:p>
      <w:pPr>
        <w:spacing w:after="0" w:line="161" w:lineRule="exact"/>
        <w:rPr>
          <w:sz w:val="20"/>
          <w:szCs w:val="20"/>
          <w:color w:val="auto"/>
        </w:rPr>
      </w:pPr>
    </w:p>
    <w:p>
      <w:pPr>
        <w:jc w:val="both"/>
        <w:ind w:right="20" w:firstLine="1140"/>
        <w:spacing w:after="0" w:line="221" w:lineRule="auto"/>
        <w:rPr>
          <w:sz w:val="20"/>
          <w:szCs w:val="20"/>
          <w:color w:val="auto"/>
        </w:rPr>
      </w:pPr>
      <w:r>
        <w:rPr>
          <w:rFonts w:ascii="Times New Roman" w:cs="Times New Roman" w:eastAsia="Times New Roman" w:hAnsi="Times New Roman"/>
          <w:sz w:val="19"/>
          <w:szCs w:val="19"/>
          <w:color w:val="auto"/>
        </w:rPr>
        <w:t xml:space="preserve">SECTION 2.01.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(a) In order to induce the Banks to extend credit to the Borrower subject to the terms and conditions set forth in the Credit Agreement, each Guarantor hereby irrevocably and unconditionally guarantees, as a primary obligor and not merely as a surety, the Obligations. The Guarantors further agree that the due and punctual payment of the Obligations may be extended or renewed, in whole or in part, without notice to or further assent from them, and that they will remain bound upon their guarantees hereunder notwithstanding any such extension or renewal of any Obligation.</w:t>
      </w:r>
    </w:p>
    <w:p>
      <w:pPr>
        <w:spacing w:after="0" w:line="134" w:lineRule="exact"/>
        <w:rPr>
          <w:sz w:val="20"/>
          <w:szCs w:val="20"/>
          <w:color w:val="auto"/>
        </w:rPr>
      </w:pPr>
    </w:p>
    <w:p>
      <w:pPr>
        <w:jc w:val="both"/>
        <w:ind w:firstLine="1145"/>
        <w:spacing w:after="0" w:line="215" w:lineRule="auto"/>
        <w:tabs>
          <w:tab w:leader="none" w:pos="1709"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Guarantors waive presentment to, demand of payment from and protest to the Borrower or any other Guarantor, as applicable, of any of the Obligations, and also waive notice of acceptance of their obligations and notice of protest for nonpayment. The Obligations of the Guarantors hereunder shall not be affected by (i) the failure of any Bank to assert any claim or demand or to enforce any right or remedy against the Borrower under the provisions of this Agreement, any Note or otherwise; (ii) any extension or renewal of any of the Obligations; (iii) any rescission, waiver, amendment or modification of, or release from, any of the terms or provisions of this Agreement, any Note or any other agreement; (iv) the failure or delay of any Bank to exercise any right or remedy against any other guarantor of the Obligations; (v) the failure of any Bank to assert any claim or demand or to enforce any remedy under this Agreement, any Note or any other agreement or instrument; (vi) any default, failure or delay, willful or otherwise, in the performance of the Obligations; or (vii) any other act, omission or delay to do any other act which may or might otherwise operate as a discharge of any Guarantor as a matter of law or equity or which would impair or eliminate any right of any Guarantor to subrogation.</w:t>
      </w:r>
    </w:p>
    <w:p>
      <w:pPr>
        <w:spacing w:after="0" w:line="132" w:lineRule="exact"/>
        <w:rPr>
          <w:rFonts w:ascii="Times New Roman" w:cs="Times New Roman" w:eastAsia="Times New Roman" w:hAnsi="Times New Roman"/>
          <w:sz w:val="19"/>
          <w:szCs w:val="19"/>
          <w:color w:val="auto"/>
        </w:rPr>
      </w:pPr>
    </w:p>
    <w:p>
      <w:pPr>
        <w:jc w:val="both"/>
        <w:ind w:firstLine="1145"/>
        <w:spacing w:after="0" w:line="224" w:lineRule="auto"/>
        <w:tabs>
          <w:tab w:leader="none" w:pos="1709"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Guarantors further agree that their guarantees hereunder constitute promises of payment when due (whether or not any bankruptcy or similar proceeding shall have stayed the accrual or collection of any of the Obligations or operated as a discharge thereof) and not merely of collection, and waive any right to require that any resort be had by any Bank to any balance of any deposit account or credit on the books of any Bank in favor of the Borrower or other Subsidiary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45" w:lineRule="exact"/>
        <w:rPr>
          <w:sz w:val="20"/>
          <w:szCs w:val="20"/>
          <w:color w:val="auto"/>
        </w:rPr>
      </w:pPr>
    </w:p>
    <w:p>
      <w:pPr>
        <w:jc w:val="both"/>
        <w:ind w:right="40" w:firstLine="1145"/>
        <w:spacing w:after="0" w:line="224" w:lineRule="auto"/>
        <w:tabs>
          <w:tab w:leader="none" w:pos="17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Guarantors hereunder shall not be subject to any reduction, limitation, impairment or termination for any reason, and shall not be subject to any defense or set-off, counterclaim, recoupment or termination whatsoever, by reason of the invalidity, illegality or unenforceability of the Obligations, any impossibility in the performance of the Obligations or otherwise.</w:t>
      </w:r>
    </w:p>
    <w:p>
      <w:pPr>
        <w:spacing w:after="0" w:line="134" w:lineRule="exact"/>
        <w:rPr>
          <w:rFonts w:ascii="Times New Roman" w:cs="Times New Roman" w:eastAsia="Times New Roman" w:hAnsi="Times New Roman"/>
          <w:sz w:val="19"/>
          <w:szCs w:val="19"/>
          <w:color w:val="auto"/>
        </w:rPr>
      </w:pPr>
    </w:p>
    <w:p>
      <w:pPr>
        <w:jc w:val="both"/>
        <w:ind w:right="20" w:firstLine="1145"/>
        <w:spacing w:after="0" w:line="230" w:lineRule="auto"/>
        <w:tabs>
          <w:tab w:leader="none" w:pos="17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Guarantors further agree that their respective Obligations hereunder shall continue to be effective or be reinstated, as the case may be, if at any time payment, or any part thereof, of any Obligation is rescinded or must otherwise be restored by any Bank upon the bankruptcy or reorganization of the Borrower or otherwise.</w:t>
      </w:r>
    </w:p>
    <w:p>
      <w:pPr>
        <w:spacing w:after="0" w:line="131" w:lineRule="exact"/>
        <w:rPr>
          <w:rFonts w:ascii="Times New Roman" w:cs="Times New Roman" w:eastAsia="Times New Roman" w:hAnsi="Times New Roman"/>
          <w:sz w:val="19"/>
          <w:szCs w:val="19"/>
          <w:color w:val="auto"/>
        </w:rPr>
      </w:pPr>
    </w:p>
    <w:p>
      <w:pPr>
        <w:jc w:val="both"/>
        <w:ind w:right="20" w:firstLine="1145"/>
        <w:spacing w:after="0" w:line="221" w:lineRule="auto"/>
        <w:tabs>
          <w:tab w:leader="none" w:pos="17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foregoing and not in limitation of any other right which any Bank may have at law or in equity against any Guarantor by virtue hereof, upon the failure of the Borrower to pay any Obligation when and as the same shall become due, whether at maturity, by acceleration, after notice of prepayment or otherwise, the relevant Guarantor hereby promises to and shall, upon receipt of written demand by the Administrative Agent, forthwith pay, or cause to be paid, to the Administrative Agent for distribution to the applicable Banks in cash an amount equal to the unpaid principal amount of such Obligation.</w:t>
      </w:r>
    </w:p>
    <w:p>
      <w:pPr>
        <w:spacing w:after="0" w:line="133" w:lineRule="exact"/>
        <w:rPr>
          <w:rFonts w:ascii="Times New Roman" w:cs="Times New Roman" w:eastAsia="Times New Roman" w:hAnsi="Times New Roman"/>
          <w:sz w:val="19"/>
          <w:szCs w:val="19"/>
          <w:color w:val="auto"/>
        </w:rPr>
      </w:pPr>
    </w:p>
    <w:p>
      <w:pPr>
        <w:jc w:val="both"/>
        <w:ind w:right="20" w:firstLine="1145"/>
        <w:spacing w:after="0" w:line="215" w:lineRule="auto"/>
        <w:tabs>
          <w:tab w:leader="none" w:pos="17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payment by a Guarantor of any Obligations, each Bank shall, in a reasonable manner, assign to such Guarantor the amount of such Obligations owed to such Bank and so paid, such assignment to be pro tanto to the extent to which the Obligations in question were discharged by such Guarantor, or make such disposition thereof as such Guarantor shall direct (all without recourse to any Bank and without any representation or warranty by any Bank). Upon payment by a Guarantor of any sums owed by the Borrower or any other Guarantor as provided above, all rights of such Guarantor against the Borrower arising as a result thereof by way of right of subrogation, through the assignment described herein or otherwise shall in all respects be subordinated and junior in right of payment to the prior indefeasible payment in full of all the Obligations owed to the Bank (it being understood that, after the discharge of all the Obligations due and payable, such rights may be exercised by such Guarantor notwithstanding that the Borrower or any other Guarantor may remain contingently liable for indemnity or other Obligations).</w:t>
      </w:r>
    </w:p>
    <w:p>
      <w:pPr>
        <w:spacing w:after="0" w:line="137" w:lineRule="exact"/>
        <w:rPr>
          <w:rFonts w:ascii="Times New Roman" w:cs="Times New Roman" w:eastAsia="Times New Roman" w:hAnsi="Times New Roman"/>
          <w:sz w:val="19"/>
          <w:szCs w:val="19"/>
          <w:color w:val="auto"/>
        </w:rPr>
      </w:pPr>
    </w:p>
    <w:p>
      <w:pPr>
        <w:jc w:val="both"/>
        <w:ind w:firstLine="1145"/>
        <w:spacing w:after="0" w:line="211" w:lineRule="auto"/>
        <w:tabs>
          <w:tab w:leader="none" w:pos="17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Banks agree that each Guarantor under this Agreement shall be automatically released from its obligations under this Agreement (and shall no longer guarantee or be deemed to guarantee any of the Obligations) (i) upon payment in full in cash of all Obligations, (ii) if the Borrower requests the release of such Guarantor and such release is approved, authorized or ratified in writing by the Required Banks;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such request for the release of any Guarantor is made, such Guarantor will remain a guarantor under any Public Indebtedness after its release from its obligations under this Agreement, such release of such Guarantor from its obligations hereunder must be approved, authorized or ratified in writing by each Bank (unless such Guarantor is being released from its guarantee of such Public Indebtedness at substantially the same time) or (iii) if the Borrower requests the release of such Guarantor (A) to the extent such Guarantor would not then be required to guarantee the Obligations pursuant to Section 5.7(a) of the Credit Agreement or</w:t>
      </w:r>
    </w:p>
    <w:p>
      <w:pPr>
        <w:spacing w:after="0" w:line="4"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 transaction permitted by Section 5.3 of the Credit Agreement pursuant to which such Guarantor is not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10600"/>
          </w:cols>
          <w:pgMar w:left="660" w:top="1440" w:right="640" w:bottom="1440" w:gutter="0" w:footer="0" w:header="0"/>
        </w:sectPr>
      </w:pPr>
    </w:p>
    <w:bookmarkStart w:id="143" w:name="page144"/>
    <w:bookmarkEnd w:id="143"/>
    <w:p>
      <w:pPr>
        <w:spacing w:after="0" w:line="24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9"/>
          <w:szCs w:val="19"/>
          <w:color w:val="auto"/>
        </w:rPr>
        <w:t xml:space="preserve">surviving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surviving entity assumes such Guarantor’s guarantee hereunder (unless such surviving entity is the Borrower or another Guarantor).</w:t>
      </w:r>
    </w:p>
    <w:p>
      <w:pPr>
        <w:spacing w:after="0" w:line="165" w:lineRule="exact"/>
        <w:rPr>
          <w:sz w:val="20"/>
          <w:szCs w:val="20"/>
          <w:color w:val="auto"/>
        </w:rPr>
      </w:pPr>
    </w:p>
    <w:p>
      <w:pPr>
        <w:jc w:val="both"/>
        <w:ind w:right="60" w:firstLine="1145"/>
        <w:spacing w:after="0" w:line="230" w:lineRule="auto"/>
        <w:tabs>
          <w:tab w:leader="none" w:pos="16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each case as specified in this Agreement, the Administrative Agent shall promptly (and each Bank irrevocably authorizes the Administrative Agent to), at the Borrower’s expense, execute and deliver to the Borrower and the relevant Guarantor such documents as the Borrower may reasonably request to evidence the release of such Guarantor from its obligations under this Agreement.</w:t>
      </w:r>
    </w:p>
    <w:p>
      <w:pPr>
        <w:spacing w:after="0" w:line="131" w:lineRule="exact"/>
        <w:rPr>
          <w:rFonts w:ascii="Times New Roman" w:cs="Times New Roman" w:eastAsia="Times New Roman" w:hAnsi="Times New Roman"/>
          <w:sz w:val="19"/>
          <w:szCs w:val="19"/>
          <w:color w:val="auto"/>
        </w:rPr>
      </w:pPr>
    </w:p>
    <w:p>
      <w:pPr>
        <w:jc w:val="both"/>
        <w:ind w:right="20" w:firstLine="1145"/>
        <w:spacing w:after="0" w:line="221" w:lineRule="auto"/>
        <w:tabs>
          <w:tab w:leader="none" w:pos="16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that is required to become a Guarantor pursuant to Section 5.7 of the Credit Agreement shall execute and deliver a copy of a Supplement and thereupon such Person shall become a Guarantor hereunder with the same force and effect as if such Person had executed this Agreement as a Guarantor on the Effective Date. The execution and delivery of any such instrument shall not require the consent of any other Loan Party or Bank party hereto. The rights and obligations of each Loan Party hereunder shall remain in full force and effect notwithstanding the addition of any New Guarantor as a party to this Agreement.</w:t>
      </w:r>
    </w:p>
    <w:p>
      <w:pPr>
        <w:spacing w:after="0" w:line="35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III</w:t>
      </w:r>
    </w:p>
    <w:p>
      <w:pPr>
        <w:spacing w:after="0" w:line="16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u w:val="single" w:color="auto"/>
          <w:color w:val="auto"/>
        </w:rPr>
        <w:t>Representations and Warranties</w:t>
      </w:r>
    </w:p>
    <w:p>
      <w:pPr>
        <w:spacing w:after="0" w:line="173" w:lineRule="exact"/>
        <w:rPr>
          <w:sz w:val="20"/>
          <w:szCs w:val="20"/>
          <w:color w:val="auto"/>
        </w:rPr>
      </w:pPr>
    </w:p>
    <w:p>
      <w:pPr>
        <w:jc w:val="both"/>
        <w:ind w:right="20" w:firstLine="1140"/>
        <w:spacing w:after="0" w:line="254" w:lineRule="auto"/>
        <w:rPr>
          <w:sz w:val="20"/>
          <w:szCs w:val="20"/>
          <w:color w:val="auto"/>
        </w:rPr>
      </w:pPr>
      <w:r>
        <w:rPr>
          <w:rFonts w:ascii="Times New Roman" w:cs="Times New Roman" w:eastAsia="Times New Roman" w:hAnsi="Times New Roman"/>
          <w:sz w:val="19"/>
          <w:szCs w:val="19"/>
          <w:color w:val="auto"/>
        </w:rPr>
        <w:t>Each Guarantor represents and warrants to the Administrative Agent that the execution, delivery and performance by such Guarantor of this Agreement have been duly authorized by all necessary corporate or other organizational action, and that this Agreement has been duly executed and delivered by such Guarantor and constitutes its legal, valid and binding obligation, enforceable against it in accordance with its terms, except as such enforceability may be limited by applicable bankruptcy, insolvency, reorganization, moratorium, winding -up or other laws affecting the enforceability of creditors’ rights generally and subject to general principles of equity (regardless of whether considered in a proceeding in equity or at law).</w:t>
      </w:r>
    </w:p>
    <w:p>
      <w:pPr>
        <w:spacing w:after="0" w:line="1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ARTICLE IV</w:t>
      </w:r>
    </w:p>
    <w:p>
      <w:pPr>
        <w:spacing w:after="0" w:line="1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161" w:lineRule="exact"/>
        <w:rPr>
          <w:sz w:val="20"/>
          <w:szCs w:val="20"/>
          <w:color w:val="auto"/>
        </w:rPr>
      </w:pPr>
    </w:p>
    <w:p>
      <w:pPr>
        <w:jc w:val="both"/>
        <w:ind w:firstLine="1140"/>
        <w:spacing w:after="0" w:line="230"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and other communications hereunder shall (except as otherwise expressly permitted herein) be in writing and given as provided in Section 9.1 of the Credit Agreement. All communications and notices hereunder to any Guarantor shall be given to it in care of the Borrower as provided in Section 9.1 of the Credit Agreement.</w:t>
      </w:r>
    </w:p>
    <w:p>
      <w:pPr>
        <w:spacing w:after="0" w:line="132" w:lineRule="exact"/>
        <w:rPr>
          <w:sz w:val="20"/>
          <w:szCs w:val="20"/>
          <w:color w:val="auto"/>
        </w:rPr>
      </w:pPr>
    </w:p>
    <w:p>
      <w:pPr>
        <w:jc w:val="both"/>
        <w:ind w:right="20" w:firstLine="1140"/>
        <w:spacing w:after="0" w:line="221" w:lineRule="auto"/>
        <w:rPr>
          <w:sz w:val="20"/>
          <w:szCs w:val="20"/>
          <w:color w:val="auto"/>
        </w:rPr>
      </w:pPr>
      <w:r>
        <w:rPr>
          <w:rFonts w:ascii="Times New Roman" w:cs="Times New Roman" w:eastAsia="Times New Roman" w:hAnsi="Times New Roman"/>
          <w:sz w:val="19"/>
          <w:szCs w:val="19"/>
          <w:color w:val="auto"/>
        </w:rPr>
        <w:t xml:space="preserve">SECTION 4.02. </w:t>
      </w:r>
      <w:r>
        <w:rPr>
          <w:rFonts w:ascii="Times New Roman" w:cs="Times New Roman" w:eastAsia="Times New Roman" w:hAnsi="Times New Roman"/>
          <w:sz w:val="19"/>
          <w:szCs w:val="19"/>
          <w:u w:val="single" w:color="auto"/>
          <w:color w:val="auto"/>
        </w:rPr>
        <w:t>Waivers; Amendment</w:t>
      </w:r>
      <w:r>
        <w:rPr>
          <w:rFonts w:ascii="Times New Roman" w:cs="Times New Roman" w:eastAsia="Times New Roman" w:hAnsi="Times New Roman"/>
          <w:sz w:val="19"/>
          <w:szCs w:val="19"/>
          <w:color w:val="auto"/>
        </w:rPr>
        <w:t>. (a) No failure or delay by the Administrative Agent or any Bank in exercising any right or power hereunder or under any other Loan Document shall operate as a waiver thereof, nor shall any single or partial exercise thereof, preclude any other or further exercise thereof or the exercise of any other right or power. The rights and remedies of the Administrative Agent and the Banks hereunder and under the other Loan Documents are cumulative and are not exclusive of any rights or remedies that they would otherwise have. No waiver of any provision of this Agreement or consent to any departure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w:t>
      </w:r>
    </w:p>
    <w:p>
      <w:pPr>
        <w:sectPr>
          <w:pgSz w:w="11900" w:h="16840" w:orient="portrait"/>
          <w:cols w:equalWidth="0" w:num="1">
            <w:col w:w="10600"/>
          </w:cols>
          <w:pgMar w:left="660" w:top="1440" w:right="640" w:bottom="1440" w:gutter="0" w:footer="0" w:header="0"/>
        </w:sectPr>
      </w:pPr>
    </w:p>
    <w:bookmarkStart w:id="144" w:name="page145"/>
    <w:bookmarkEnd w:id="144"/>
    <w:p>
      <w:pPr>
        <w:spacing w:after="0" w:line="24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Guarantor herefrom shall in any event be effective unless the same shall be permitted by paragraph (b) of this Section 4.02, and then such waiver or consent shall be effective only in the specific instance and for the specific purpose for which given. Without limiting the generality of the foregoing, the execution and delivery of this Agreement and the making of a Loan shall not be construed as a waiver of any Default, regardless of whether the Administrative Agent, any Bank or any Affiliate of any of the foregoing may have had notice or knowledge of such Default at the time. No notice or demand on any Guarantor in any case shall entitle any Guarantor to any other or further notice or demand in similar or other circumstances.</w:t>
      </w:r>
    </w:p>
    <w:p>
      <w:pPr>
        <w:spacing w:after="0" w:line="169" w:lineRule="exact"/>
        <w:rPr>
          <w:sz w:val="20"/>
          <w:szCs w:val="20"/>
          <w:color w:val="auto"/>
        </w:rPr>
      </w:pPr>
    </w:p>
    <w:p>
      <w:pPr>
        <w:jc w:val="both"/>
        <w:ind w:right="20" w:firstLine="1145"/>
        <w:spacing w:after="0" w:line="224" w:lineRule="auto"/>
        <w:tabs>
          <w:tab w:leader="none" w:pos="170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Section 2.01(j), neither this Agreement nor any provision hereof may be waived, amended or modified except pursuant to an agreement or agreements in writing entered into by the Administrative Agent and the Guarantor or Guarantors with respect to which such waiver, amendment or modification is to apply, subject to any consent required in accordance with Section 9.5 of the Credit Agreement.</w:t>
      </w:r>
    </w:p>
    <w:p>
      <w:pPr>
        <w:spacing w:after="0" w:line="134" w:lineRule="exact"/>
        <w:rPr>
          <w:rFonts w:ascii="Times New Roman" w:cs="Times New Roman" w:eastAsia="Times New Roman" w:hAnsi="Times New Roman"/>
          <w:sz w:val="19"/>
          <w:szCs w:val="19"/>
          <w:color w:val="auto"/>
        </w:rPr>
      </w:pPr>
    </w:p>
    <w:p>
      <w:pPr>
        <w:jc w:val="both"/>
        <w:ind w:right="20" w:firstLine="1145"/>
        <w:spacing w:after="0" w:line="230" w:lineRule="auto"/>
        <w:tabs>
          <w:tab w:leader="none" w:pos="170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132" w:lineRule="exact"/>
        <w:rPr>
          <w:sz w:val="20"/>
          <w:szCs w:val="20"/>
          <w:color w:val="auto"/>
        </w:rPr>
      </w:pPr>
    </w:p>
    <w:p>
      <w:pPr>
        <w:jc w:val="both"/>
        <w:ind w:firstLine="1140"/>
        <w:spacing w:after="0" w:line="215" w:lineRule="auto"/>
        <w:rPr>
          <w:sz w:val="20"/>
          <w:szCs w:val="20"/>
          <w:color w:val="auto"/>
        </w:rPr>
      </w:pPr>
      <w:r>
        <w:rPr>
          <w:rFonts w:ascii="Times New Roman" w:cs="Times New Roman" w:eastAsia="Times New Roman" w:hAnsi="Times New Roman"/>
          <w:sz w:val="19"/>
          <w:szCs w:val="19"/>
          <w:color w:val="auto"/>
        </w:rPr>
        <w:t xml:space="preserve">SECTION 4.03.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 xml:space="preserve">. (a) Each Guarantor agrees, jointly and severally, to pay (i) all reasonable out- of-pocket expenses of the Administrative Agent, including reasonable fees and disbursements of special counsel for the Administrative Agent, in connection with any waiver or consent hereunder or any amendment hereof and (ii) if an Event of Default occurs, all out-of-pocket expenses incurred by the Administrative Agent and each Bank, including reasonable fees and disbursements of counsel, in connection with such Event of Default and collection, bankruptcy, insolvency and other enforcement proceedings resulting therefrom. To the extent practicable, the Administrative Agent or the applicable Bank, as the case may be, shall give each Guarantor prior notice of the incurrence of any expenses described in this subsection (a);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failure to give such notice shall not affect the obligation of each Guarantor to pay such Administrative Agent or such Bank the amount or amounts due pursuant to subsection (a) with respect to such expenses.</w:t>
      </w:r>
    </w:p>
    <w:p>
      <w:pPr>
        <w:spacing w:after="0" w:line="138" w:lineRule="exact"/>
        <w:rPr>
          <w:sz w:val="20"/>
          <w:szCs w:val="20"/>
          <w:color w:val="auto"/>
        </w:rPr>
      </w:pPr>
    </w:p>
    <w:p>
      <w:pPr>
        <w:jc w:val="both"/>
        <w:ind w:firstLine="1145"/>
        <w:spacing w:after="0" w:line="215" w:lineRule="auto"/>
        <w:tabs>
          <w:tab w:leader="none" w:pos="170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jointly and severally, agrees to indemnify and hold harmless the Administrative Agent and each Bank and the officers, partners, members, directors, trustees, advisors, employees, agents, sub-agents and Affiliates of the Administrative Agent and each Bank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from and against any and all Liabilities, including the reasonable fees and disbursements of counsel, which may be incurred by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contemplated hereby, (iii) any action taken in connection with this Agreement, including, but not limited to, the payment of principal, interest and fees, (iv) any Loan or the use of the proceeds therefrom, (v) any actual or alleged presence or release of Hazardous Materials on or from any property owned or operated by the Borrower or any of its Subsidiaries, or any Environmental Liability related in any way to the Borrower or any of its Subsidiaries, or (vi) any actual or prospective claim, litigation, investigation, arbitration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ectPr>
          <w:pgSz w:w="11900" w:h="16840" w:orient="portrait"/>
          <w:cols w:equalWidth="0" w:num="1">
            <w:col w:w="10580"/>
          </w:cols>
          <w:pgMar w:left="660" w:top="1440" w:right="660" w:bottom="1440" w:gutter="0" w:footer="0" w:header="0"/>
        </w:sectPr>
      </w:pPr>
    </w:p>
    <w:bookmarkStart w:id="145" w:name="page146"/>
    <w:bookmarkEnd w:id="145"/>
    <w:p>
      <w:pPr>
        <w:spacing w:after="0" w:line="24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9"/>
          <w:szCs w:val="19"/>
          <w:color w:val="auto"/>
        </w:rPr>
        <w:t>administrative, judicial or regulatory action or proceeding relating to any of the foregoing (whether or not such Indemnitee shall be designated a party thereto and whether or not such proceeding is brought by the Borrower or any third party) relating to or arising out of this Agreement or any actual or proposed use of proceeds of Loans hereunder, including, but not limited to, the payment of principal, interest and fees; provided that no Indemnitee shall have the right to be indemnified hereunder for its own bad faith, gross negligence or willful misconduct or for its material breach of its obligations under this Agreement, as determined in a final, non-appealable judgment by a court of competent jurisdiction. This Section 4.03 shall not apply with respect to Taxes other than any Taxes that represent losses, claims, damages, etc. arising from any non-Tax claim.</w:t>
      </w:r>
    </w:p>
    <w:p>
      <w:pPr>
        <w:spacing w:after="0" w:line="172" w:lineRule="exact"/>
        <w:rPr>
          <w:sz w:val="20"/>
          <w:szCs w:val="20"/>
          <w:color w:val="auto"/>
        </w:rPr>
      </w:pPr>
    </w:p>
    <w:p>
      <w:pPr>
        <w:jc w:val="both"/>
        <w:ind w:firstLine="1145"/>
        <w:spacing w:after="0" w:line="215" w:lineRule="auto"/>
        <w:tabs>
          <w:tab w:leader="none" w:pos="1709"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applicable law, (i) no Guarantor shall assert, and each Guarantor hereby waives, any claim against the Administrative Agent, the Arranger and any Bank, and any Related Party of any of the foregoing Persons for any Liabilities arising from the use by others of information or other materials (including any personal data) obtained through telecommunications, electronic or other information transmission systems (including the Internet), and (ii) each of the Administrative Agent, the Arranger and the Banks shall not assert, and hereby waives, any Liabilities against any Guarantor,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4.03(c) shall relieve any Guarantor of any obligation it may have to indemnify an Indemnitee, as provided in Section 4.03(b), against any special, indirect, consequential or punitive damages asserted against such Indemnitee by a third party.</w:t>
      </w:r>
    </w:p>
    <w:p>
      <w:pPr>
        <w:spacing w:after="0" w:line="132" w:lineRule="exact"/>
        <w:rPr>
          <w:rFonts w:ascii="Times New Roman" w:cs="Times New Roman" w:eastAsia="Times New Roman" w:hAnsi="Times New Roman"/>
          <w:sz w:val="19"/>
          <w:szCs w:val="19"/>
          <w:color w:val="auto"/>
        </w:rPr>
      </w:pPr>
    </w:p>
    <w:p>
      <w:pPr>
        <w:ind w:left="1720" w:hanging="575"/>
        <w:spacing w:after="0"/>
        <w:tabs>
          <w:tab w:leader="none" w:pos="172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due under this Section 4.03 shall be payable promptly after written demand therefor.</w:t>
      </w:r>
    </w:p>
    <w:p>
      <w:pPr>
        <w:spacing w:after="0" w:line="161" w:lineRule="exact"/>
        <w:rPr>
          <w:rFonts w:ascii="Times New Roman" w:cs="Times New Roman" w:eastAsia="Times New Roman" w:hAnsi="Times New Roman"/>
          <w:sz w:val="19"/>
          <w:szCs w:val="19"/>
          <w:color w:val="auto"/>
        </w:rPr>
      </w:pPr>
    </w:p>
    <w:p>
      <w:pPr>
        <w:jc w:val="both"/>
        <w:ind w:right="60" w:firstLine="1145"/>
        <w:spacing w:after="0" w:line="224" w:lineRule="auto"/>
        <w:tabs>
          <w:tab w:leader="none" w:pos="1709"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ACCEPTING THE BENEFITS OF THIS AGREEMENT AND THE GUARANTEES CREATED HEREBY, EACH OF THE ADMINISTRATIVE AGENT, THE ARRANGER AND THE BANKS SHALL BE DEEMED TO HAVE ACKNOWLEDGED THE PROVISIONS OF ARTICLE VII OF THE CREDIT AGREEMENT AND AGREED TO BE BOUND BY SUCH PROVISIONS AS FULLY AS IF THEY WERE SET FORTH HEREIN.</w:t>
      </w:r>
    </w:p>
    <w:p>
      <w:pPr>
        <w:spacing w:after="0" w:line="134" w:lineRule="exact"/>
        <w:rPr>
          <w:sz w:val="20"/>
          <w:szCs w:val="20"/>
          <w:color w:val="auto"/>
        </w:rPr>
      </w:pPr>
    </w:p>
    <w:p>
      <w:pPr>
        <w:jc w:val="both"/>
        <w:ind w:right="20" w:firstLine="1140"/>
        <w:spacing w:after="0" w:line="242" w:lineRule="auto"/>
        <w:rPr>
          <w:sz w:val="20"/>
          <w:szCs w:val="20"/>
          <w:color w:val="auto"/>
        </w:rPr>
      </w:pPr>
      <w:r>
        <w:rPr>
          <w:rFonts w:ascii="Times New Roman" w:cs="Times New Roman" w:eastAsia="Times New Roman" w:hAnsi="Times New Roman"/>
          <w:sz w:val="19"/>
          <w:szCs w:val="19"/>
          <w:color w:val="auto"/>
        </w:rPr>
        <w:t xml:space="preserve">SECTION 4.04.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Whenever in this Agreement any of the parties hereto is referred to, such reference shall be deemed to include the permitted successors and assigns of such party.</w:t>
      </w:r>
    </w:p>
    <w:p>
      <w:pPr>
        <w:spacing w:after="0" w:line="129" w:lineRule="exact"/>
        <w:rPr>
          <w:sz w:val="20"/>
          <w:szCs w:val="20"/>
          <w:color w:val="auto"/>
        </w:rPr>
      </w:pPr>
    </w:p>
    <w:p>
      <w:pPr>
        <w:jc w:val="both"/>
        <w:ind w:right="20" w:firstLine="1140"/>
        <w:spacing w:after="0"/>
        <w:rPr>
          <w:sz w:val="20"/>
          <w:szCs w:val="20"/>
          <w:color w:val="auto"/>
        </w:rPr>
      </w:pPr>
      <w:r>
        <w:rPr>
          <w:rFonts w:ascii="Times New Roman" w:cs="Times New Roman" w:eastAsia="Times New Roman" w:hAnsi="Times New Roman"/>
          <w:sz w:val="19"/>
          <w:szCs w:val="19"/>
          <w:color w:val="auto"/>
        </w:rPr>
        <w:t xml:space="preserve">SECTION 4.05. </w:t>
      </w:r>
      <w:r>
        <w:rPr>
          <w:rFonts w:ascii="Times New Roman" w:cs="Times New Roman" w:eastAsia="Times New Roman" w:hAnsi="Times New Roman"/>
          <w:sz w:val="19"/>
          <w:szCs w:val="19"/>
          <w:u w:val="single" w:color="auto"/>
          <w:color w:val="auto"/>
        </w:rPr>
        <w:t>Survival of Agreement</w:t>
      </w:r>
      <w:r>
        <w:rPr>
          <w:rFonts w:ascii="Times New Roman" w:cs="Times New Roman" w:eastAsia="Times New Roman" w:hAnsi="Times New Roman"/>
          <w:sz w:val="19"/>
          <w:szCs w:val="19"/>
          <w:color w:val="auto"/>
        </w:rPr>
        <w:t>. All covenants, agreements, representations and warranties made by the Guarantors in this Agreement or any other Loan Document and in the certificates or other instruments delivered in connection with or pursuant to this Agreement or any other Loan Document shall be considered to have been relied upon by the Administrative Agent, the Arranger and the Banks and shall survive the execution and delivery of this Agreement and the other Loan Documents and the making of any Loans, regardless of any investigation made by or on behalf of the Administrative Agent, the Arranger or any Bank and notwithstanding that the Administrative Agent, the Arranger or any Bank or any Affiliate of the foregoing may have had notice or knowledge of any Default or incorrect representation or warranty at the time any Loan Document is executed and delivered or any credit is extended under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ectPr>
          <w:pgSz w:w="11900" w:h="16840" w:orient="portrait"/>
          <w:cols w:equalWidth="0" w:num="1">
            <w:col w:w="10580"/>
          </w:cols>
          <w:pgMar w:left="660" w:top="1440" w:right="660" w:bottom="1440" w:gutter="0" w:footer="0" w:header="0"/>
        </w:sectPr>
      </w:pPr>
    </w:p>
    <w:bookmarkStart w:id="146" w:name="page147"/>
    <w:bookmarkEnd w:id="146"/>
    <w:p>
      <w:pPr>
        <w:spacing w:after="0" w:line="24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Agreement, and shall continue in full force and effect as long as the principal of or any accrued interest on any Loan or any fee or any other amount payable under the Credit Agreement is outstanding and unpaid.</w:t>
      </w:r>
    </w:p>
    <w:p>
      <w:pPr>
        <w:spacing w:after="0" w:line="165" w:lineRule="exact"/>
        <w:rPr>
          <w:sz w:val="20"/>
          <w:szCs w:val="20"/>
          <w:color w:val="auto"/>
        </w:rPr>
      </w:pPr>
    </w:p>
    <w:p>
      <w:pPr>
        <w:ind w:left="1140"/>
        <w:spacing w:after="0"/>
        <w:tabs>
          <w:tab w:leader="none" w:pos="2840" w:val="left"/>
        </w:tabs>
        <w:rPr>
          <w:sz w:val="20"/>
          <w:szCs w:val="20"/>
          <w:color w:val="auto"/>
        </w:rPr>
      </w:pPr>
      <w:r>
        <w:rPr>
          <w:rFonts w:ascii="Times New Roman" w:cs="Times New Roman" w:eastAsia="Times New Roman" w:hAnsi="Times New Roman"/>
          <w:sz w:val="19"/>
          <w:szCs w:val="19"/>
          <w:color w:val="auto"/>
        </w:rPr>
        <w:t>SECTION 4.06.</w:t>
      </w:r>
      <w:r>
        <w:rPr>
          <w:sz w:val="20"/>
          <w:szCs w:val="20"/>
          <w:color w:val="auto"/>
        </w:rPr>
        <w:tab/>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ind w:firstLine="1145"/>
        <w:spacing w:after="0" w:line="216" w:lineRule="auto"/>
        <w:tabs>
          <w:tab w:leader="none" w:pos="170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shall become effective as to any Guarantor when a counterpart hereof executed on behalf of such Guarantor shall have been delivered to the Administrative Agent and a counterpart hereof shall have been executed on behalf of the Administrative Agent, and thereafter shall be binding upon such Guarantor and the Administrative Agent and their respective permitted successors and assigns, and shall inure to the benefit of such Guarantor, the Administrative Agent, the Arranger, the Banks and their respective successors and assigns, except that no Guarantor shall have the right to assign or transfer its rights or obligations hereunder or any interest herein (and any attempted assignment or transfer by any Guarantor shall be null and void), except as expressly provided in this Agreement and the Credit Agreement.</w:t>
      </w:r>
    </w:p>
    <w:p>
      <w:pPr>
        <w:spacing w:after="0" w:line="136" w:lineRule="exact"/>
        <w:rPr>
          <w:rFonts w:ascii="Times New Roman" w:cs="Times New Roman" w:eastAsia="Times New Roman" w:hAnsi="Times New Roman"/>
          <w:sz w:val="19"/>
          <w:szCs w:val="19"/>
          <w:color w:val="auto"/>
        </w:rPr>
      </w:pPr>
    </w:p>
    <w:p>
      <w:pPr>
        <w:ind w:right="20" w:firstLine="1145"/>
        <w:spacing w:after="0" w:line="242" w:lineRule="auto"/>
        <w:tabs>
          <w:tab w:leader="none" w:pos="170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Section 9.9(b) of the Credit Agreement are hereby incorporated by reference herein as if set forth in full force herein,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jc w:val="both"/>
        <w:ind w:right="20" w:firstLine="1140"/>
        <w:spacing w:after="0" w:line="224" w:lineRule="auto"/>
        <w:rPr>
          <w:sz w:val="20"/>
          <w:szCs w:val="20"/>
          <w:color w:val="auto"/>
        </w:rPr>
      </w:pPr>
      <w:r>
        <w:rPr>
          <w:rFonts w:ascii="Times New Roman" w:cs="Times New Roman" w:eastAsia="Times New Roman" w:hAnsi="Times New Roman"/>
          <w:sz w:val="19"/>
          <w:szCs w:val="19"/>
          <w:color w:val="auto"/>
        </w:rPr>
        <w:t xml:space="preserve">SECTION 4.07.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34" w:lineRule="exact"/>
        <w:rPr>
          <w:sz w:val="20"/>
          <w:szCs w:val="20"/>
          <w:color w:val="auto"/>
        </w:rPr>
      </w:pPr>
    </w:p>
    <w:p>
      <w:pPr>
        <w:ind w:firstLine="1140"/>
        <w:spacing w:after="0" w:line="242" w:lineRule="auto"/>
        <w:rPr>
          <w:sz w:val="20"/>
          <w:szCs w:val="20"/>
          <w:color w:val="auto"/>
        </w:rPr>
      </w:pPr>
      <w:r>
        <w:rPr>
          <w:rFonts w:ascii="Times New Roman" w:cs="Times New Roman" w:eastAsia="Times New Roman" w:hAnsi="Times New Roman"/>
          <w:sz w:val="19"/>
          <w:szCs w:val="19"/>
          <w:color w:val="auto"/>
        </w:rPr>
        <w:t xml:space="preserve">SECTION 4.08. </w:t>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 (a) This Agreement shall be construed in accordance with and governed by the law of the State of New York.</w:t>
      </w:r>
    </w:p>
    <w:p>
      <w:pPr>
        <w:spacing w:after="0" w:line="129" w:lineRule="exact"/>
        <w:rPr>
          <w:sz w:val="20"/>
          <w:szCs w:val="20"/>
          <w:color w:val="auto"/>
        </w:rPr>
      </w:pPr>
    </w:p>
    <w:p>
      <w:pPr>
        <w:jc w:val="both"/>
        <w:ind w:firstLine="1145"/>
        <w:spacing w:after="0" w:line="224" w:lineRule="auto"/>
        <w:tabs>
          <w:tab w:leader="none" w:pos="170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hereby submits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for purposes of all legal proceedings arising out of or relating to this Agreement or the transactions contemplated hereby.</w:t>
      </w:r>
    </w:p>
    <w:p>
      <w:pPr>
        <w:spacing w:after="0" w:line="134" w:lineRule="exact"/>
        <w:rPr>
          <w:rFonts w:ascii="Times New Roman" w:cs="Times New Roman" w:eastAsia="Times New Roman" w:hAnsi="Times New Roman"/>
          <w:sz w:val="19"/>
          <w:szCs w:val="19"/>
          <w:color w:val="auto"/>
        </w:rPr>
      </w:pPr>
    </w:p>
    <w:p>
      <w:pPr>
        <w:jc w:val="both"/>
        <w:ind w:firstLine="1145"/>
        <w:spacing w:after="0" w:line="230" w:lineRule="auto"/>
        <w:tabs>
          <w:tab w:leader="none" w:pos="170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hereby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31" w:lineRule="exact"/>
        <w:rPr>
          <w:rFonts w:ascii="Times New Roman" w:cs="Times New Roman" w:eastAsia="Times New Roman" w:hAnsi="Times New Roman"/>
          <w:sz w:val="19"/>
          <w:szCs w:val="19"/>
          <w:color w:val="auto"/>
        </w:rPr>
      </w:pPr>
    </w:p>
    <w:p>
      <w:pPr>
        <w:jc w:val="both"/>
        <w:ind w:firstLine="1145"/>
        <w:spacing w:after="0" w:line="230" w:lineRule="auto"/>
        <w:tabs>
          <w:tab w:leader="none" w:pos="170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hereby irrevocably consents to service of process in the manner provided for notices in Section 4.01. Nothing in this Agreement or any other Loan Document will affect the right of any party to this Agreement or any other Loan Document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ectPr>
          <w:pgSz w:w="11900" w:h="16840" w:orient="portrait"/>
          <w:cols w:equalWidth="0" w:num="1">
            <w:col w:w="10580"/>
          </w:cols>
          <w:pgMar w:left="660" w:top="1440" w:right="660" w:bottom="1440" w:gutter="0" w:footer="0" w:header="0"/>
        </w:sectPr>
      </w:pPr>
    </w:p>
    <w:bookmarkStart w:id="147" w:name="page148"/>
    <w:bookmarkEnd w:id="147"/>
    <w:p>
      <w:pPr>
        <w:spacing w:after="0" w:line="245" w:lineRule="exact"/>
        <w:rPr>
          <w:sz w:val="20"/>
          <w:szCs w:val="20"/>
          <w:color w:val="auto"/>
        </w:rPr>
      </w:pPr>
    </w:p>
    <w:p>
      <w:pPr>
        <w:jc w:val="both"/>
        <w:ind w:right="140" w:firstLine="1140"/>
        <w:spacing w:after="0" w:line="230" w:lineRule="auto"/>
        <w:rPr>
          <w:sz w:val="20"/>
          <w:szCs w:val="20"/>
          <w:color w:val="auto"/>
        </w:rPr>
      </w:pPr>
      <w:r>
        <w:rPr>
          <w:rFonts w:ascii="Times New Roman" w:cs="Times New Roman" w:eastAsia="Times New Roman" w:hAnsi="Times New Roman"/>
          <w:sz w:val="19"/>
          <w:szCs w:val="19"/>
          <w:color w:val="auto"/>
        </w:rPr>
        <w:t xml:space="preserve">SECTION 4.09.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ANY AND ALL RIGHT TO TRIAL BY JURY IN ANY LEGAL PROCEEDING ARISING OUT OF OR RELATING TO THIS AGREEMENT OR THE TRANSACTIONS CONTEMPLATED HEREBY.</w:t>
      </w:r>
    </w:p>
    <w:p>
      <w:pPr>
        <w:spacing w:after="0" w:line="132" w:lineRule="exact"/>
        <w:rPr>
          <w:sz w:val="20"/>
          <w:szCs w:val="20"/>
          <w:color w:val="auto"/>
        </w:rPr>
      </w:pPr>
    </w:p>
    <w:p>
      <w:pPr>
        <w:jc w:val="both"/>
        <w:ind w:right="20" w:firstLine="1140"/>
        <w:spacing w:after="0" w:line="230" w:lineRule="auto"/>
        <w:rPr>
          <w:sz w:val="20"/>
          <w:szCs w:val="20"/>
          <w:color w:val="auto"/>
        </w:rPr>
      </w:pPr>
      <w:r>
        <w:rPr>
          <w:rFonts w:ascii="Times New Roman" w:cs="Times New Roman" w:eastAsia="Times New Roman" w:hAnsi="Times New Roman"/>
          <w:sz w:val="19"/>
          <w:szCs w:val="19"/>
          <w:color w:val="auto"/>
        </w:rPr>
        <w:t xml:space="preserve">SECTION 4.10.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32" w:lineRule="exact"/>
        <w:rPr>
          <w:sz w:val="20"/>
          <w:szCs w:val="20"/>
          <w:color w:val="auto"/>
        </w:rPr>
      </w:pPr>
    </w:p>
    <w:p>
      <w:pPr>
        <w:jc w:val="both"/>
        <w:ind w:firstLine="1140"/>
        <w:spacing w:after="0" w:line="224" w:lineRule="auto"/>
        <w:rPr>
          <w:sz w:val="20"/>
          <w:szCs w:val="20"/>
          <w:color w:val="auto"/>
        </w:rPr>
      </w:pPr>
      <w:r>
        <w:rPr>
          <w:rFonts w:ascii="Times New Roman" w:cs="Times New Roman" w:eastAsia="Times New Roman" w:hAnsi="Times New Roman"/>
          <w:sz w:val="19"/>
          <w:szCs w:val="19"/>
          <w:color w:val="auto"/>
        </w:rPr>
        <w:t xml:space="preserve">SECTION 4.11. </w:t>
      </w:r>
      <w:r>
        <w:rPr>
          <w:rFonts w:ascii="Times New Roman" w:cs="Times New Roman" w:eastAsia="Times New Roman" w:hAnsi="Times New Roman"/>
          <w:sz w:val="19"/>
          <w:szCs w:val="19"/>
          <w:u w:val="single" w:color="auto"/>
          <w:color w:val="auto"/>
        </w:rPr>
        <w:t>Termination or Release</w:t>
      </w:r>
      <w:r>
        <w:rPr>
          <w:rFonts w:ascii="Times New Roman" w:cs="Times New Roman" w:eastAsia="Times New Roman" w:hAnsi="Times New Roman"/>
          <w:sz w:val="19"/>
          <w:szCs w:val="19"/>
          <w:color w:val="auto"/>
        </w:rPr>
        <w:t>. (a) Subject to Section 2.01(e) and Section 2.01(h), this Agreement and the Guarantees made herein shall automatically terminate and be released when all the Obligations (other than contingent obligations for indemnification, expense reimbursement or tax or yield protection as to which no claim has been made) have been paid in full in cash and the Banks have no further commitment to lend under the Credit Agreement.</w:t>
      </w:r>
    </w:p>
    <w:p>
      <w:pPr>
        <w:spacing w:after="0" w:line="134" w:lineRule="exact"/>
        <w:rPr>
          <w:sz w:val="20"/>
          <w:szCs w:val="20"/>
          <w:color w:val="auto"/>
        </w:rPr>
      </w:pPr>
    </w:p>
    <w:p>
      <w:pPr>
        <w:jc w:val="both"/>
        <w:ind w:right="20" w:firstLine="1145"/>
        <w:spacing w:after="0" w:line="224" w:lineRule="auto"/>
        <w:tabs>
          <w:tab w:leader="none" w:pos="170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termination or release pursuant to paragraph (a) of this Section 4.11, the Administrative Agent shall execute and deliver to any Guarantor, at such Guarantor’s expense, all documents that such Guarantor shall reasonably request to evidence such termination or release. Any execution and delivery of documents by the Administrative Agent pursuant to this Section 4.11 shall be without recourse to or warranty by the Administrative Agent.</w:t>
      </w:r>
    </w:p>
    <w:p>
      <w:pPr>
        <w:spacing w:after="0" w:line="134" w:lineRule="exact"/>
        <w:rPr>
          <w:sz w:val="20"/>
          <w:szCs w:val="20"/>
          <w:color w:val="auto"/>
        </w:rPr>
      </w:pPr>
    </w:p>
    <w:p>
      <w:pPr>
        <w:jc w:val="both"/>
        <w:ind w:firstLine="1140"/>
        <w:spacing w:after="0" w:line="221" w:lineRule="auto"/>
        <w:rPr>
          <w:sz w:val="20"/>
          <w:szCs w:val="20"/>
          <w:color w:val="auto"/>
        </w:rPr>
      </w:pPr>
      <w:r>
        <w:rPr>
          <w:rFonts w:ascii="Times New Roman" w:cs="Times New Roman" w:eastAsia="Times New Roman" w:hAnsi="Times New Roman"/>
          <w:sz w:val="19"/>
          <w:szCs w:val="19"/>
          <w:color w:val="auto"/>
        </w:rPr>
        <w:t xml:space="preserve">SECTION 4.12. </w:t>
      </w:r>
      <w:r>
        <w:rPr>
          <w:rFonts w:ascii="Times New Roman" w:cs="Times New Roman" w:eastAsia="Times New Roman" w:hAnsi="Times New Roman"/>
          <w:sz w:val="19"/>
          <w:szCs w:val="19"/>
          <w:u w:val="single" w:color="auto"/>
          <w:color w:val="auto"/>
        </w:rPr>
        <w:t>Conversion of Currencies</w:t>
      </w:r>
      <w:r>
        <w:rPr>
          <w:rFonts w:ascii="Times New Roman" w:cs="Times New Roman" w:eastAsia="Times New Roman" w:hAnsi="Times New Roman"/>
          <w:sz w:val="19"/>
          <w:szCs w:val="19"/>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determined in accordance with normal banking procedures in the relevant jurisdiction of the first currency and shall be calculated at approximately 10:00 A.M. (New York City time) or as close to such time as is reasonably practicable on the Business Day immediately preceding the day on which final judgment is given.</w:t>
      </w:r>
    </w:p>
    <w:p>
      <w:pPr>
        <w:spacing w:after="0" w:line="134" w:lineRule="exact"/>
        <w:rPr>
          <w:sz w:val="20"/>
          <w:szCs w:val="20"/>
          <w:color w:val="auto"/>
        </w:rPr>
      </w:pPr>
    </w:p>
    <w:p>
      <w:pPr>
        <w:jc w:val="both"/>
        <w:ind w:firstLine="1145"/>
        <w:spacing w:after="0" w:line="214" w:lineRule="auto"/>
        <w:tabs>
          <w:tab w:leader="none" w:pos="1709"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the currency in which such sum is stated to be due hereunder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such party agrees, as a separate obligation and notwithstanding any such judgment, to indemnify the Applicable Creditor against such loss. The obligations of each party hereto contained in this Section 4.12(b) shall survive the termination of this Agreement and the payment of all other amounts owing hereunder. Furthermore, if the amount of the Agreement Currency purchased as described above is more than the sum originally due to the Applicable Creditor in the Agreement Currency, then such Applicable Creditor shall remit such excess to the applicable party.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ectPr>
          <w:pgSz w:w="11900" w:h="16840" w:orient="portrait"/>
          <w:cols w:equalWidth="0" w:num="1">
            <w:col w:w="10580"/>
          </w:cols>
          <w:pgMar w:left="660" w:top="1440" w:right="660" w:bottom="1440" w:gutter="0" w:footer="0" w:header="0"/>
        </w:sectPr>
      </w:pPr>
    </w:p>
    <w:bookmarkStart w:id="148" w:name="page149"/>
    <w:bookmarkEnd w:id="148"/>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day and year first above written.</w:t>
      </w:r>
    </w:p>
    <w:p>
      <w:pPr>
        <w:sectPr>
          <w:pgSz w:w="11900" w:h="16840" w:orient="portrait"/>
          <w:cols w:equalWidth="0" w:num="1">
            <w:col w:w="9720"/>
          </w:cols>
          <w:pgMar w:left="1440" w:top="1440" w:right="7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ADVANCED DISTRIBUTOR PRODUCTS LLC</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ALLIED AIR ENTERPRISES LLC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HEATCRAFT INC.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HEATCRAFT REFRIGERATION PRODUCTS LLC</w:t>
      </w:r>
    </w:p>
    <w:p>
      <w:pPr>
        <w:spacing w:after="0" w:line="1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HEATCRAFT TECHNOLOGIES INC.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LENNOX GLOBAL LLC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LENNOX INDUSTRIES INC.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LENNOX NATIONAL ACCOUNT SERVICES INC.</w:t>
      </w:r>
    </w:p>
    <w:p>
      <w:pPr>
        <w:spacing w:after="0" w:line="1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LENNOX NATIONAL ACCOUNT SERVICES LLC</w:t>
      </w:r>
    </w:p>
    <w:p>
      <w:pPr>
        <w:spacing w:after="0" w:line="1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LENNOX PROCUREMENT COMPANY INC.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LENNOX SERVICES LLC</w:t>
      </w:r>
    </w:p>
    <w:p>
      <w:pPr>
        <w:spacing w:after="0" w:line="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color w:val="auto"/>
        </w:rPr>
        <w:t>LGL EUROPE HOLDING CO.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20"/>
        <w:spacing w:after="0"/>
        <w:tabs>
          <w:tab w:leader="none" w:pos="2960" w:val="left"/>
        </w:tabs>
        <w:rPr>
          <w:sz w:val="20"/>
          <w:szCs w:val="20"/>
          <w:color w:val="auto"/>
        </w:rPr>
      </w:pPr>
      <w:r>
        <w:rPr>
          <w:rFonts w:ascii="Times New Roman" w:cs="Times New Roman" w:eastAsia="Times New Roman" w:hAnsi="Times New Roman"/>
          <w:sz w:val="19"/>
          <w:szCs w:val="19"/>
          <w:color w:val="auto"/>
        </w:rPr>
        <w:t>By:</w:t>
        <w:tab/>
        <w:t>/s/ Theresa McCray</w:t>
      </w:r>
    </w:p>
    <w:p>
      <w:pPr>
        <w:spacing w:after="0" w:line="31" w:lineRule="exact"/>
        <w:rPr>
          <w:sz w:val="20"/>
          <w:szCs w:val="20"/>
          <w:color w:val="auto"/>
        </w:rPr>
      </w:pPr>
    </w:p>
    <w:p>
      <w:pPr>
        <w:ind w:left="2920"/>
        <w:spacing w:after="0"/>
        <w:tabs>
          <w:tab w:leader="none" w:pos="3660" w:val="left"/>
        </w:tabs>
        <w:rPr>
          <w:sz w:val="20"/>
          <w:szCs w:val="20"/>
          <w:color w:val="auto"/>
        </w:rPr>
      </w:pPr>
      <w:r>
        <w:rPr>
          <w:rFonts w:ascii="Times New Roman" w:cs="Times New Roman" w:eastAsia="Times New Roman" w:hAnsi="Times New Roman"/>
          <w:sz w:val="19"/>
          <w:szCs w:val="19"/>
          <w:color w:val="auto"/>
        </w:rPr>
        <w:t>Name:</w:t>
        <w:tab/>
        <w:t>Theresa McCray</w:t>
      </w:r>
    </w:p>
    <w:p>
      <w:pPr>
        <w:spacing w:after="0" w:line="19" w:lineRule="exact"/>
        <w:rPr>
          <w:sz w:val="20"/>
          <w:szCs w:val="20"/>
          <w:color w:val="auto"/>
        </w:rPr>
      </w:pPr>
    </w:p>
    <w:p>
      <w:pPr>
        <w:ind w:left="2880"/>
        <w:spacing w:after="0"/>
        <w:tabs>
          <w:tab w:leader="none" w:pos="3500" w:val="left"/>
        </w:tabs>
        <w:rPr>
          <w:sz w:val="20"/>
          <w:szCs w:val="20"/>
          <w:color w:val="auto"/>
        </w:rPr>
      </w:pPr>
      <w:r>
        <w:rPr>
          <w:rFonts w:ascii="Times New Roman" w:cs="Times New Roman" w:eastAsia="Times New Roman" w:hAnsi="Times New Roman"/>
          <w:sz w:val="19"/>
          <w:szCs w:val="19"/>
          <w:color w:val="auto"/>
        </w:rPr>
        <w:t>Title:</w:t>
        <w:tab/>
        <w:t>Vice President, Corporate Tax</w:t>
      </w:r>
    </w:p>
    <w:p>
      <w:pPr>
        <w:spacing w:after="0" w:line="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color w:val="auto"/>
        </w:rPr>
        <w:t>Signature Page to Guaranty Agreement</w:t>
      </w:r>
    </w:p>
    <w:p>
      <w:pPr>
        <w:sectPr>
          <w:pgSz w:w="11900" w:h="16840" w:orient="portrait"/>
          <w:cols w:equalWidth="0" w:num="1">
            <w:col w:w="9720"/>
          </w:cols>
          <w:pgMar w:left="1440" w:top="1440" w:right="740" w:bottom="1440" w:gutter="0" w:footer="0" w:header="0"/>
          <w:type w:val="continuous"/>
        </w:sectPr>
      </w:pPr>
    </w:p>
    <w:bookmarkStart w:id="149" w:name="page150"/>
    <w:bookmarkEnd w:id="149"/>
    <w:p>
      <w:pPr>
        <w:spacing w:after="0" w:line="200" w:lineRule="exact"/>
        <w:rPr>
          <w:sz w:val="20"/>
          <w:szCs w:val="20"/>
          <w:color w:val="auto"/>
        </w:rPr>
      </w:pPr>
    </w:p>
    <w:p>
      <w:pPr>
        <w:spacing w:after="0" w:line="31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color w:val="auto"/>
        </w:rPr>
        <w:t>WELLS FARGO BANK, NATIONAL</w:t>
      </w:r>
    </w:p>
    <w:p>
      <w:pPr>
        <w:ind w:left="2580"/>
        <w:spacing w:after="0"/>
        <w:rPr>
          <w:sz w:val="20"/>
          <w:szCs w:val="20"/>
          <w:color w:val="auto"/>
        </w:rPr>
      </w:pPr>
      <w:r>
        <w:rPr>
          <w:rFonts w:ascii="Times New Roman" w:cs="Times New Roman" w:eastAsia="Times New Roman" w:hAnsi="Times New Roman"/>
          <w:sz w:val="18"/>
          <w:szCs w:val="18"/>
          <w:color w:val="auto"/>
        </w:rPr>
        <w:t>ASSOCIATION, as the Administrative Agent,</w:t>
      </w:r>
    </w:p>
    <w:p>
      <w:pPr>
        <w:spacing w:after="0" w:line="2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9"/>
          <w:szCs w:val="19"/>
          <w:color w:val="auto"/>
        </w:rPr>
        <w:t>By:</w:t>
      </w:r>
    </w:p>
    <w:p>
      <w:pPr>
        <w:spacing w:after="0" w:line="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/s/ Jason Ford</w:t>
      </w:r>
    </w:p>
    <w:p>
      <w:pPr>
        <w:spacing w:after="0" w:line="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Name: Jason Ford</w:t>
      </w:r>
    </w:p>
    <w:p>
      <w:pPr>
        <w:spacing w:after="0" w:line="1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Guaranty Agreement</w:t>
      </w:r>
    </w:p>
    <w:p>
      <w:pPr>
        <w:sectPr>
          <w:pgSz w:w="11900" w:h="16840" w:orient="portrait"/>
          <w:cols w:equalWidth="0" w:num="1">
            <w:col w:w="9020"/>
          </w:cols>
          <w:pgMar w:left="1440" w:top="1440"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color w:val="auto"/>
        </w:rPr>
        <w:t>Schedule I to</w:t>
      </w:r>
    </w:p>
    <w:p>
      <w:pPr>
        <w:spacing w:after="0" w:line="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the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540" w:type="dxa"/>
            <w:vAlign w:val="bottom"/>
          </w:tcPr>
          <w:p>
            <w:pPr>
              <w:spacing w:after="0"/>
              <w:rPr>
                <w:sz w:val="21"/>
                <w:szCs w:val="21"/>
                <w:color w:val="auto"/>
              </w:rPr>
            </w:pPr>
          </w:p>
        </w:tc>
        <w:tc>
          <w:tcPr>
            <w:tcW w:w="466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INITIAL GUARANTORS</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9"/>
              </w:rPr>
              <w:t>Jurisdiction of Formation</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Advanced Distributor Products LLC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Allied Air Enterprises LLC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Heatcraft Inc.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Heatcraft Refrigeration Products LLC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Heatcraft Technologies Inc.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Global LLC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Industries Inc.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National Account Services Inc.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California</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National Account Services, LLC</w:t>
            </w:r>
          </w:p>
        </w:tc>
        <w:tc>
          <w:tcPr>
            <w:tcW w:w="4660" w:type="dxa"/>
            <w:vAlign w:val="bottom"/>
          </w:tcPr>
          <w:p>
            <w:pPr>
              <w:jc w:val="center"/>
              <w:ind w:left="2665"/>
              <w:spacing w:after="0"/>
              <w:rPr>
                <w:sz w:val="20"/>
                <w:szCs w:val="20"/>
                <w:color w:val="auto"/>
              </w:rPr>
            </w:pPr>
            <w:r>
              <w:rPr>
                <w:rFonts w:ascii="Times New Roman" w:cs="Times New Roman" w:eastAsia="Times New Roman" w:hAnsi="Times New Roman"/>
                <w:sz w:val="19"/>
                <w:szCs w:val="19"/>
                <w:color w:val="auto"/>
                <w:w w:val="98"/>
              </w:rPr>
              <w:t>Florida</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Procurement Company Inc.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Lennox Services, LLC</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r>
        <w:trPr>
          <w:trHeight w:val="249"/>
        </w:trPr>
        <w:tc>
          <w:tcPr>
            <w:tcW w:w="35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LGL Europe Holding Co.</w:t>
            </w:r>
          </w:p>
        </w:tc>
        <w:tc>
          <w:tcPr>
            <w:tcW w:w="4660" w:type="dxa"/>
            <w:vAlign w:val="bottom"/>
          </w:tcPr>
          <w:p>
            <w:pPr>
              <w:jc w:val="center"/>
              <w:ind w:left="2645"/>
              <w:spacing w:after="0"/>
              <w:rPr>
                <w:sz w:val="20"/>
                <w:szCs w:val="20"/>
                <w:color w:val="auto"/>
              </w:rPr>
            </w:pPr>
            <w:r>
              <w:rPr>
                <w:rFonts w:ascii="Times New Roman" w:cs="Times New Roman" w:eastAsia="Times New Roman" w:hAnsi="Times New Roman"/>
                <w:sz w:val="19"/>
                <w:szCs w:val="19"/>
                <w:color w:val="auto"/>
                <w:w w:val="98"/>
              </w:rPr>
              <w:t>Delaware</w:t>
            </w:r>
          </w:p>
        </w:tc>
      </w:tr>
    </w:tbl>
    <w:p>
      <w:pPr>
        <w:sectPr>
          <w:pgSz w:w="11900" w:h="16840" w:orient="portrait"/>
          <w:cols w:equalWidth="0" w:num="1">
            <w:col w:w="10280"/>
          </w:cols>
          <w:pgMar w:left="960" w:top="556" w:right="66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color w:val="auto"/>
        </w:rPr>
        <w:t>Exhibit A to</w:t>
      </w:r>
    </w:p>
    <w:p>
      <w:pPr>
        <w:spacing w:after="0" w:line="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the Guaranty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20" w:firstLine="1140"/>
        <w:spacing w:after="0" w:line="264" w:lineRule="auto"/>
        <w:rPr>
          <w:sz w:val="20"/>
          <w:szCs w:val="20"/>
          <w:color w:val="auto"/>
        </w:rPr>
      </w:pPr>
      <w:r>
        <w:rPr>
          <w:rFonts w:ascii="Times New Roman" w:cs="Times New Roman" w:eastAsia="Times New Roman" w:hAnsi="Times New Roman"/>
          <w:sz w:val="19"/>
          <w:szCs w:val="19"/>
          <w:color w:val="auto"/>
        </w:rPr>
        <w:t>SUPPLEMENT NO. __ dated as of [ ] (this “</w:t>
      </w:r>
      <w:r>
        <w:rPr>
          <w:rFonts w:ascii="Times New Roman" w:cs="Times New Roman" w:eastAsia="Times New Roman" w:hAnsi="Times New Roman"/>
          <w:sz w:val="19"/>
          <w:szCs w:val="19"/>
          <w:u w:val="single" w:color="auto"/>
          <w:color w:val="auto"/>
        </w:rPr>
        <w:t>Supplement</w:t>
      </w:r>
      <w:r>
        <w:rPr>
          <w:rFonts w:ascii="Times New Roman" w:cs="Times New Roman" w:eastAsia="Times New Roman" w:hAnsi="Times New Roman"/>
          <w:sz w:val="19"/>
          <w:szCs w:val="19"/>
          <w:color w:val="auto"/>
        </w:rPr>
        <w:t>”) to the Guaranty Agreement dated as of October 16, 2025 (the “</w:t>
      </w:r>
      <w:r>
        <w:rPr>
          <w:rFonts w:ascii="Times New Roman" w:cs="Times New Roman" w:eastAsia="Times New Roman" w:hAnsi="Times New Roman"/>
          <w:sz w:val="19"/>
          <w:szCs w:val="19"/>
          <w:u w:val="single" w:color="auto"/>
          <w:color w:val="auto"/>
        </w:rPr>
        <w:t>Guaranty Agreement</w:t>
      </w:r>
      <w:r>
        <w:rPr>
          <w:rFonts w:ascii="Times New Roman" w:cs="Times New Roman" w:eastAsia="Times New Roman" w:hAnsi="Times New Roman"/>
          <w:sz w:val="19"/>
          <w:szCs w:val="19"/>
          <w:color w:val="auto"/>
        </w:rPr>
        <w:t>”), among the GUARANTORS party thereto and WELLS FARGO BANK, NATIONAL ASSOCIATION, as the Administrative Agent.</w:t>
      </w:r>
    </w:p>
    <w:p>
      <w:pPr>
        <w:spacing w:after="0" w:line="3" w:lineRule="exact"/>
        <w:rPr>
          <w:sz w:val="20"/>
          <w:szCs w:val="20"/>
          <w:color w:val="auto"/>
        </w:rPr>
      </w:pPr>
    </w:p>
    <w:p>
      <w:pPr>
        <w:jc w:val="both"/>
        <w:ind w:firstLine="1140"/>
        <w:spacing w:after="0" w:line="259" w:lineRule="auto"/>
        <w:rPr>
          <w:sz w:val="20"/>
          <w:szCs w:val="20"/>
          <w:color w:val="auto"/>
        </w:rPr>
      </w:pPr>
      <w:r>
        <w:rPr>
          <w:rFonts w:ascii="Times New Roman" w:cs="Times New Roman" w:eastAsia="Times New Roman" w:hAnsi="Times New Roman"/>
          <w:sz w:val="19"/>
          <w:szCs w:val="19"/>
          <w:color w:val="auto"/>
        </w:rPr>
        <w:t>Reference is made to (a) the Term Credit Agreement dated as of October 16, 2025 (as it may be amended,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Lennox International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Banks listed on the signature pages thereof and Wells Fargo Bank, National Association, as Administrative Agent and (b) the Guaranty Agreement.</w:t>
      </w:r>
    </w:p>
    <w:p>
      <w:pPr>
        <w:spacing w:after="0" w:line="7" w:lineRule="exact"/>
        <w:rPr>
          <w:sz w:val="20"/>
          <w:szCs w:val="20"/>
          <w:color w:val="auto"/>
        </w:rPr>
      </w:pPr>
    </w:p>
    <w:p>
      <w:pPr>
        <w:jc w:val="both"/>
        <w:ind w:right="20" w:firstLine="1140"/>
        <w:spacing w:after="0" w:line="273" w:lineRule="auto"/>
        <w:rPr>
          <w:sz w:val="20"/>
          <w:szCs w:val="20"/>
          <w:color w:val="auto"/>
        </w:rPr>
      </w:pPr>
      <w:r>
        <w:rPr>
          <w:rFonts w:ascii="Times New Roman" w:cs="Times New Roman" w:eastAsia="Times New Roman" w:hAnsi="Times New Roman"/>
          <w:sz w:val="19"/>
          <w:szCs w:val="19"/>
          <w:color w:val="auto"/>
        </w:rPr>
        <w:t>Capitalized terms used herein and not otherwise defined herein shall have the meanings assigned to such terms in the Credit Agreement and the Guaranty Agreement, as applicable.</w:t>
      </w:r>
    </w:p>
    <w:p>
      <w:pPr>
        <w:spacing w:after="0" w:line="2" w:lineRule="exact"/>
        <w:rPr>
          <w:sz w:val="20"/>
          <w:szCs w:val="20"/>
          <w:color w:val="auto"/>
        </w:rPr>
      </w:pPr>
    </w:p>
    <w:p>
      <w:pPr>
        <w:jc w:val="both"/>
        <w:ind w:firstLine="1140"/>
        <w:spacing w:after="0" w:line="254" w:lineRule="auto"/>
        <w:rPr>
          <w:sz w:val="20"/>
          <w:szCs w:val="20"/>
          <w:color w:val="auto"/>
        </w:rPr>
      </w:pPr>
      <w:r>
        <w:rPr>
          <w:rFonts w:ascii="Times New Roman" w:cs="Times New Roman" w:eastAsia="Times New Roman" w:hAnsi="Times New Roman"/>
          <w:sz w:val="19"/>
          <w:szCs w:val="19"/>
          <w:color w:val="auto"/>
        </w:rPr>
        <w:t>The Guarantors have entered into the Guaranty Agreement in order to induce the Banks to extend credit to the Borrower and as consideration for extensions of the credit previously made continuing to be outstanding. Section 2.01(j) of the Guaranty Agreement provides that additional Subsidiaries may become Guarantors under the Guaranty Agreement by execution and delivery of an instrument in the form of this Supplement. The undersigned Subsidiary (the “</w:t>
      </w:r>
      <w:r>
        <w:rPr>
          <w:rFonts w:ascii="Times New Roman" w:cs="Times New Roman" w:eastAsia="Times New Roman" w:hAnsi="Times New Roman"/>
          <w:sz w:val="19"/>
          <w:szCs w:val="19"/>
          <w:u w:val="single" w:color="auto"/>
          <w:color w:val="auto"/>
        </w:rPr>
        <w:t>New Guarantor</w:t>
      </w:r>
      <w:r>
        <w:rPr>
          <w:rFonts w:ascii="Times New Roman" w:cs="Times New Roman" w:eastAsia="Times New Roman" w:hAnsi="Times New Roman"/>
          <w:sz w:val="19"/>
          <w:szCs w:val="19"/>
          <w:color w:val="auto"/>
        </w:rPr>
        <w:t xml:space="preserve"> ”) is executing this Supplement to become a Guarantor under the Guaranty Agreement in order to induce the Banks to make additional extensions of credit under the Credit Agreement and as consideration for extensions of the credit previously made continuing to be outstanding.</w:t>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Accordingly, the Administrative Agent and the New Guarantor agree as follows:</w:t>
      </w:r>
    </w:p>
    <w:p>
      <w:pPr>
        <w:spacing w:after="0" w:line="55" w:lineRule="exact"/>
        <w:rPr>
          <w:sz w:val="20"/>
          <w:szCs w:val="20"/>
          <w:color w:val="auto"/>
        </w:rPr>
      </w:pPr>
    </w:p>
    <w:p>
      <w:pPr>
        <w:jc w:val="both"/>
        <w:ind w:right="20" w:firstLine="1140"/>
        <w:spacing w:after="0" w:line="256" w:lineRule="auto"/>
        <w:rPr>
          <w:sz w:val="20"/>
          <w:szCs w:val="20"/>
          <w:color w:val="auto"/>
        </w:rPr>
      </w:pPr>
      <w:r>
        <w:rPr>
          <w:rFonts w:ascii="Times New Roman" w:cs="Times New Roman" w:eastAsia="Times New Roman" w:hAnsi="Times New Roman"/>
          <w:sz w:val="19"/>
          <w:szCs w:val="19"/>
          <w:color w:val="auto"/>
        </w:rPr>
        <w:t>SECTION 1. In accordance with Section 2.01(j) of the Guaranty Agreement, the New Guarantor by its signature below becomes a Guarantor under the Guaranty Agreement with the same force and effect as if originally named therein as a Guarantor, and the New Guarantor hereby agrees to all the terms and provisions of the Guaranty Agreement applicable to it as a Guarantor thereunder. Each reference to a “Guarantor” in the Guaranty Agreement shall be deemed to include the New Guarantor. The Guaranty Agreement is hereby incorporated herein by reference.</w:t>
      </w:r>
    </w:p>
    <w:p>
      <w:pPr>
        <w:spacing w:after="0" w:line="10" w:lineRule="exact"/>
        <w:rPr>
          <w:sz w:val="20"/>
          <w:szCs w:val="20"/>
          <w:color w:val="auto"/>
        </w:rPr>
      </w:pPr>
    </w:p>
    <w:p>
      <w:pPr>
        <w:jc w:val="both"/>
        <w:ind w:firstLine="1140"/>
        <w:spacing w:after="0" w:line="253" w:lineRule="auto"/>
        <w:rPr>
          <w:sz w:val="20"/>
          <w:szCs w:val="20"/>
          <w:color w:val="auto"/>
        </w:rPr>
      </w:pPr>
      <w:r>
        <w:rPr>
          <w:rFonts w:ascii="Times New Roman" w:cs="Times New Roman" w:eastAsia="Times New Roman" w:hAnsi="Times New Roman"/>
          <w:sz w:val="19"/>
          <w:szCs w:val="19"/>
          <w:color w:val="auto"/>
        </w:rPr>
        <w:t>SECTION 2. The New Guarantor represents and warrants to the Administrative Agent, the Arranger and the Banks that (a) the execution and delivery by the New Guarantor of this Supplement, and the performance by the New Guarantor of this Supplement and the Guaranty Agreement, have been duly authorized by all necessary corporate or other organizational action, (b) this Supplement has been duly executed and delivered by the New Guarantor and (c) each of this Supplement and the Guaranty Agreement constitutes its legal, valid and binding obligation, enforceable against it in accordance with its terms, except as such enforceability may be limited by applicable bankruptcy, insolvency, reorganization, moratorium, winding-up or other laws affecting the enforceability of creditors’ rights generally and subject to general principles of equity (regardless of whether considered in a proceeding in equity or at law).</w:t>
      </w:r>
    </w:p>
    <w:p>
      <w:pPr>
        <w:spacing w:after="0" w:line="14" w:lineRule="exact"/>
        <w:rPr>
          <w:sz w:val="20"/>
          <w:szCs w:val="20"/>
          <w:color w:val="auto"/>
        </w:rPr>
      </w:pPr>
    </w:p>
    <w:p>
      <w:pPr>
        <w:jc w:val="both"/>
        <w:ind w:firstLine="1140"/>
        <w:spacing w:after="0" w:line="281" w:lineRule="auto"/>
        <w:rPr>
          <w:sz w:val="20"/>
          <w:szCs w:val="20"/>
          <w:color w:val="auto"/>
        </w:rPr>
      </w:pPr>
      <w:r>
        <w:rPr>
          <w:rFonts w:ascii="Times New Roman" w:cs="Times New Roman" w:eastAsia="Times New Roman" w:hAnsi="Times New Roman"/>
          <w:sz w:val="19"/>
          <w:szCs w:val="19"/>
          <w:color w:val="auto"/>
        </w:rPr>
        <w:t>SECTION 3. This Supplement may be executed in counterparts (and by different parties hereto on different counterparts), each of which shall constitute an original, but all of which</w:t>
      </w:r>
    </w:p>
    <w:p>
      <w:pPr>
        <w:sectPr>
          <w:pgSz w:w="11900" w:h="16840" w:orient="portrait"/>
          <w:cols w:equalWidth="0" w:num="1">
            <w:col w:w="10580"/>
          </w:cols>
          <w:pgMar w:left="660" w:top="556" w:right="660" w:bottom="1440" w:gutter="0" w:footer="0" w:header="0"/>
        </w:sectPr>
      </w:pPr>
    </w:p>
    <w:bookmarkStart w:id="152" w:name="page153"/>
    <w:bookmarkEnd w:id="152"/>
    <w:p>
      <w:pPr>
        <w:spacing w:after="0" w:line="34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9"/>
          <w:szCs w:val="19"/>
          <w:color w:val="auto"/>
        </w:rPr>
        <w:t>when taken together shall constitute a single contract. This Supplement shall become effective when a counterpart hereof executed on behalf of the New Guarantor shall have been delivered to the Administrative Agent and a counterpart hereof shall have been executed on behalf of the Administrative Agent, and thereafter shall be binding upon the New Guarantor and the Administrative Agent and their respective permitted successors and assigns, and shall inure to the benefit of the New Guarantor, the Administrative Agent, the Arranger and the Banks and their respective successors and assigns, except that the New Guarantor shall not have the right to assign or transfer its rights or obligations hereunder or any interest herein (and any attempted assignment or transfer by the New Guarantor shall be null and void) except as expressly provided in this Supplement, the Guaranty Agreement and the Credit Agreement.</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SECTION 4. Except as expressly supplemented hereby, the Guaranty Agreement shall remain in full force and effect.</w:t>
      </w:r>
    </w:p>
    <w:p>
      <w:pPr>
        <w:spacing w:after="0" w:line="53" w:lineRule="exact"/>
        <w:rPr>
          <w:sz w:val="20"/>
          <w:szCs w:val="20"/>
          <w:color w:val="auto"/>
        </w:rPr>
      </w:pPr>
    </w:p>
    <w:p>
      <w:pPr>
        <w:ind w:right="40" w:firstLine="1140"/>
        <w:spacing w:after="0" w:line="274" w:lineRule="auto"/>
        <w:rPr>
          <w:sz w:val="20"/>
          <w:szCs w:val="20"/>
          <w:color w:val="auto"/>
        </w:rPr>
      </w:pPr>
      <w:r>
        <w:rPr>
          <w:rFonts w:ascii="Times New Roman" w:cs="Times New Roman" w:eastAsia="Times New Roman" w:hAnsi="Times New Roman"/>
          <w:sz w:val="19"/>
          <w:szCs w:val="19"/>
          <w:b w:val="1"/>
          <w:bCs w:val="1"/>
          <w:color w:val="auto"/>
        </w:rPr>
        <w:t>SECTION 5. THIS SUPPLEMENT SHALL BE CONSTRUED IN ACCORDANCE WITH AND GOVERNED BY THE LAW OF THE STATE OF NEW YORK.</w:t>
      </w:r>
    </w:p>
    <w:p>
      <w:pPr>
        <w:spacing w:after="0" w:line="2" w:lineRule="exact"/>
        <w:rPr>
          <w:sz w:val="20"/>
          <w:szCs w:val="20"/>
          <w:color w:val="auto"/>
        </w:rPr>
      </w:pPr>
    </w:p>
    <w:p>
      <w:pPr>
        <w:jc w:val="both"/>
        <w:ind w:firstLine="1140"/>
        <w:spacing w:after="0" w:line="259" w:lineRule="auto"/>
        <w:rPr>
          <w:sz w:val="20"/>
          <w:szCs w:val="20"/>
          <w:color w:val="auto"/>
        </w:rPr>
      </w:pPr>
      <w:r>
        <w:rPr>
          <w:rFonts w:ascii="Times New Roman" w:cs="Times New Roman" w:eastAsia="Times New Roman" w:hAnsi="Times New Roman"/>
          <w:sz w:val="19"/>
          <w:szCs w:val="19"/>
          <w:color w:val="auto"/>
        </w:rPr>
        <w:t>SECTION 6. Any provision of this Supplement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7" w:lineRule="exact"/>
        <w:rPr>
          <w:sz w:val="20"/>
          <w:szCs w:val="20"/>
          <w:color w:val="auto"/>
        </w:rPr>
      </w:pPr>
    </w:p>
    <w:p>
      <w:pPr>
        <w:jc w:val="both"/>
        <w:ind w:firstLine="1140"/>
        <w:spacing w:after="0" w:line="273" w:lineRule="auto"/>
        <w:rPr>
          <w:sz w:val="20"/>
          <w:szCs w:val="20"/>
          <w:color w:val="auto"/>
        </w:rPr>
      </w:pPr>
      <w:r>
        <w:rPr>
          <w:rFonts w:ascii="Times New Roman" w:cs="Times New Roman" w:eastAsia="Times New Roman" w:hAnsi="Times New Roman"/>
          <w:sz w:val="19"/>
          <w:szCs w:val="19"/>
          <w:color w:val="auto"/>
        </w:rPr>
        <w:t>SECTION 7. All communications and notices hereunder shall be in writing and given as provided in Section 4.01 of the Guaranty Agreement.</w:t>
      </w:r>
    </w:p>
    <w:p>
      <w:pPr>
        <w:spacing w:after="0" w:line="2" w:lineRule="exact"/>
        <w:rPr>
          <w:sz w:val="20"/>
          <w:szCs w:val="20"/>
          <w:color w:val="auto"/>
        </w:rPr>
      </w:pPr>
    </w:p>
    <w:p>
      <w:pPr>
        <w:ind w:right="20" w:firstLine="1140"/>
        <w:spacing w:after="0" w:line="281" w:lineRule="auto"/>
        <w:rPr>
          <w:sz w:val="20"/>
          <w:szCs w:val="20"/>
          <w:color w:val="auto"/>
        </w:rPr>
      </w:pPr>
      <w:r>
        <w:rPr>
          <w:rFonts w:ascii="Times New Roman" w:cs="Times New Roman" w:eastAsia="Times New Roman" w:hAnsi="Times New Roman"/>
          <w:sz w:val="19"/>
          <w:szCs w:val="19"/>
          <w:color w:val="auto"/>
        </w:rPr>
        <w:t xml:space="preserve">SECTION 8. The provisions of Sections 4.02, 4.04, 4.05, 4.06, 4.08 and 4.09 of the Guaranty Agreement are hereby incorporated by reference herein as if set forth in full force herein, </w:t>
      </w:r>
      <w:r>
        <w:rPr>
          <w:rFonts w:ascii="Times New Roman" w:cs="Times New Roman" w:eastAsia="Times New Roman" w:hAnsi="Times New Roman"/>
          <w:sz w:val="19"/>
          <w:szCs w:val="19"/>
          <w:u w:val="single" w:color="auto"/>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1900" w:h="16840" w:orient="portrait"/>
          <w:cols w:equalWidth="0" w:num="1">
            <w:col w:w="10580"/>
          </w:cols>
          <w:pgMar w:left="660" w:top="1440" w:right="660" w:bottom="1440" w:gutter="0" w:footer="0" w:header="0"/>
        </w:sectPr>
      </w:pPr>
    </w:p>
    <w:bookmarkStart w:id="153" w:name="page154"/>
    <w:bookmarkEnd w:id="153"/>
    <w:p>
      <w:pPr>
        <w:spacing w:after="0" w:line="256" w:lineRule="exact"/>
        <w:rPr>
          <w:sz w:val="20"/>
          <w:szCs w:val="20"/>
          <w:color w:val="auto"/>
        </w:rPr>
      </w:pPr>
    </w:p>
    <w:p>
      <w:pPr>
        <w:ind w:firstLine="1140"/>
        <w:spacing w:after="0" w:line="281" w:lineRule="auto"/>
        <w:rPr>
          <w:sz w:val="20"/>
          <w:szCs w:val="20"/>
          <w:color w:val="auto"/>
        </w:rPr>
      </w:pPr>
      <w:r>
        <w:rPr>
          <w:rFonts w:ascii="Times New Roman" w:cs="Times New Roman" w:eastAsia="Times New Roman" w:hAnsi="Times New Roman"/>
          <w:sz w:val="19"/>
          <w:szCs w:val="19"/>
          <w:color w:val="auto"/>
        </w:rPr>
        <w:t>IN WITNESS WHEREOF, the New Guarantor and the Administrative Agent have duly executed this Supplement to the Guaranty Agreement as of the day and year first above written.</w:t>
      </w:r>
    </w:p>
    <w:p>
      <w:pPr>
        <w:spacing w:after="0" w:line="200" w:lineRule="exact"/>
        <w:rPr>
          <w:sz w:val="20"/>
          <w:szCs w:val="20"/>
          <w:color w:val="auto"/>
        </w:rPr>
      </w:pPr>
    </w:p>
    <w:p>
      <w:pPr>
        <w:spacing w:after="0" w:line="3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[NAME OF NEW GUARANTOR]</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By:</w:t>
      </w:r>
    </w:p>
    <w:p>
      <w:pPr>
        <w:spacing w:after="0" w:line="2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3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WELLS FARGO BANK, NATIONAL</w:t>
      </w:r>
    </w:p>
    <w:p>
      <w:pPr>
        <w:ind w:left="3480"/>
        <w:spacing w:after="0" w:line="208" w:lineRule="auto"/>
        <w:rPr>
          <w:sz w:val="20"/>
          <w:szCs w:val="20"/>
          <w:color w:val="auto"/>
        </w:rPr>
      </w:pPr>
      <w:r>
        <w:rPr>
          <w:rFonts w:ascii="Times New Roman" w:cs="Times New Roman" w:eastAsia="Times New Roman" w:hAnsi="Times New Roman"/>
          <w:sz w:val="19"/>
          <w:szCs w:val="19"/>
          <w:color w:val="auto"/>
        </w:rPr>
        <w:t>ASSOCIATION, as the Administrative</w:t>
      </w:r>
    </w:p>
    <w:p>
      <w:pPr>
        <w:spacing w:after="0" w:line="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Agent,</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By:</w:t>
      </w:r>
    </w:p>
    <w:p>
      <w:pPr>
        <w:spacing w:after="0" w:line="24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Signature Page to Supplement to the Guaranty Agreement</w:t>
      </w:r>
    </w:p>
    <w:p>
      <w:pPr>
        <w:sectPr>
          <w:pgSz w:w="11900" w:h="16840" w:orient="portrait"/>
          <w:cols w:equalWidth="0" w:num="1">
            <w:col w:w="10540"/>
          </w:cols>
          <w:pgMar w:left="660" w:top="1440" w:right="700" w:bottom="1440" w:gutter="0" w:footer="0" w:header="0"/>
        </w:sectPr>
      </w:pPr>
    </w:p>
    <w:bookmarkStart w:id="154" w:name="page155"/>
    <w:bookmarkEnd w:id="154"/>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Exhibit 22.1</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List of Guarantor Subsidiaries</w:t>
      </w:r>
    </w:p>
    <w:p>
      <w:pPr>
        <w:spacing w:after="0" w:line="23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9"/>
          <w:szCs w:val="19"/>
          <w:color w:val="auto"/>
        </w:rPr>
        <w:t>The following subsidiaries of Lennox International Inc. (the “Company”) are guarantors with respect to the Company’s (1) 1.70% Notes due 2027 and (2) 5.50% Notes due 2028:</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560" w:type="dxa"/>
            <w:vAlign w:val="bottom"/>
            <w:tcBorders>
              <w:top w:val="single" w:sz="8" w:color="00000A"/>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500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 or Other Jurisdiction of Formation</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Advanced Distributor Products LLC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Allied Air Enterprises LLC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Heatcraft Inc.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Heatcraft Refrigeration Products LLC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Heatcraft Technologies Inc.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Lennox Global LLC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Lennox Industries Inc.</w:t>
            </w:r>
          </w:p>
        </w:tc>
        <w:tc>
          <w:tcPr>
            <w:tcW w:w="5000" w:type="dxa"/>
            <w:vAlign w:val="bottom"/>
            <w:tcBorders>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Lennox National Account Services Inc.</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17"/>
        </w:trPr>
        <w:tc>
          <w:tcPr>
            <w:tcW w:w="5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Lennox National Account Services, LLC</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Lennox Procurement Company Inc.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Lennox Services, LLC</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17"/>
        </w:trPr>
        <w:tc>
          <w:tcPr>
            <w:tcW w:w="5560" w:type="dxa"/>
            <w:vAlign w:val="bottom"/>
            <w:tcBorders>
              <w:left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LGL Europe Holding Co.</w:t>
            </w:r>
          </w:p>
        </w:tc>
        <w:tc>
          <w:tcPr>
            <w:tcW w:w="500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40" w:orient="portrait"/>
          <w:cols w:equalWidth="0" w:num="1">
            <w:col w:w="10580"/>
          </w:cols>
          <w:pgMar w:left="660" w:top="1440" w:right="66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5"/>
          <w:szCs w:val="15"/>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Alok Maskara, certify that:</w:t>
      </w:r>
    </w:p>
    <w:p>
      <w:pPr>
        <w:spacing w:after="0" w:line="101" w:lineRule="exact"/>
        <w:rPr>
          <w:sz w:val="20"/>
          <w:szCs w:val="20"/>
          <w:color w:val="auto"/>
        </w:rPr>
      </w:pPr>
    </w:p>
    <w:p>
      <w:pPr>
        <w:ind w:left="580" w:hanging="575"/>
        <w:spacing w:after="0"/>
        <w:tabs>
          <w:tab w:leader="none" w:pos="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Lennox International Inc.;</w:t>
      </w:r>
    </w:p>
    <w:p>
      <w:pPr>
        <w:spacing w:after="0" w:line="100" w:lineRule="exact"/>
        <w:rPr>
          <w:rFonts w:ascii="Times New Roman" w:cs="Times New Roman" w:eastAsia="Times New Roman" w:hAnsi="Times New Roman"/>
          <w:sz w:val="15"/>
          <w:szCs w:val="15"/>
          <w:color w:val="auto"/>
        </w:rPr>
      </w:pPr>
    </w:p>
    <w:p>
      <w:pPr>
        <w:ind w:left="580" w:right="340" w:hanging="575"/>
        <w:spacing w:after="0" w:line="285" w:lineRule="auto"/>
        <w:tabs>
          <w:tab w:leader="none" w:pos="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5"/>
          <w:szCs w:val="15"/>
          <w:color w:val="auto"/>
        </w:rPr>
      </w:pPr>
    </w:p>
    <w:p>
      <w:pPr>
        <w:ind w:left="580" w:right="420" w:hanging="575"/>
        <w:spacing w:after="0" w:line="285" w:lineRule="auto"/>
        <w:tabs>
          <w:tab w:leader="none" w:pos="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5"/>
          <w:szCs w:val="15"/>
          <w:color w:val="auto"/>
        </w:rPr>
      </w:pPr>
    </w:p>
    <w:p>
      <w:pPr>
        <w:ind w:left="580" w:right="120" w:hanging="575"/>
        <w:spacing w:after="0" w:line="275" w:lineRule="auto"/>
        <w:tabs>
          <w:tab w:leader="none" w:pos="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Times New Roman" w:cs="Times New Roman" w:eastAsia="Times New Roman" w:hAnsi="Times New Roman"/>
          <w:sz w:val="15"/>
          <w:szCs w:val="15"/>
          <w:color w:val="auto"/>
        </w:rPr>
      </w:pPr>
    </w:p>
    <w:p>
      <w:pPr>
        <w:ind w:left="860" w:right="40" w:hanging="285"/>
        <w:spacing w:after="0" w:line="266" w:lineRule="auto"/>
        <w:tabs>
          <w:tab w:leader="none" w:pos="848"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5"/>
          <w:szCs w:val="15"/>
          <w:color w:val="auto"/>
        </w:rPr>
      </w:pPr>
    </w:p>
    <w:p>
      <w:pPr>
        <w:ind w:left="860" w:right="180" w:hanging="285"/>
        <w:spacing w:after="0" w:line="266" w:lineRule="auto"/>
        <w:tabs>
          <w:tab w:leader="none" w:pos="860"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5"/>
          <w:szCs w:val="15"/>
          <w:color w:val="auto"/>
        </w:rPr>
      </w:pPr>
    </w:p>
    <w:p>
      <w:pPr>
        <w:ind w:left="860" w:right="160" w:hanging="285"/>
        <w:spacing w:after="0" w:line="285" w:lineRule="auto"/>
        <w:tabs>
          <w:tab w:leader="none" w:pos="848"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5"/>
          <w:szCs w:val="15"/>
          <w:color w:val="auto"/>
        </w:rPr>
      </w:pPr>
    </w:p>
    <w:p>
      <w:pPr>
        <w:ind w:left="860" w:right="100" w:hanging="285"/>
        <w:spacing w:after="0" w:line="266" w:lineRule="auto"/>
        <w:tabs>
          <w:tab w:leader="none" w:pos="860"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580" w:right="20" w:hanging="575"/>
        <w:spacing w:after="0" w:line="285" w:lineRule="auto"/>
        <w:tabs>
          <w:tab w:leader="none" w:pos="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5"/>
          <w:szCs w:val="15"/>
          <w:color w:val="auto"/>
        </w:rPr>
      </w:pPr>
    </w:p>
    <w:p>
      <w:pPr>
        <w:ind w:left="860" w:right="340" w:hanging="285"/>
        <w:spacing w:after="0" w:line="285" w:lineRule="auto"/>
        <w:tabs>
          <w:tab w:leader="none" w:pos="848"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5"/>
          <w:szCs w:val="15"/>
          <w:color w:val="auto"/>
        </w:rPr>
      </w:pPr>
    </w:p>
    <w:p>
      <w:pPr>
        <w:ind w:left="860" w:right="520" w:hanging="285"/>
        <w:spacing w:after="0" w:line="285" w:lineRule="auto"/>
        <w:tabs>
          <w:tab w:leader="none" w:pos="860"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October 22, 2025</w:t>
      </w:r>
    </w:p>
    <w:p>
      <w:pPr>
        <w:spacing w:after="0" w:line="18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17780</wp:posOffset>
            </wp:positionV>
            <wp:extent cx="27438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743835" cy="7620"/>
                    </a:xfrm>
                    <a:prstGeom prst="rect">
                      <a:avLst/>
                    </a:prstGeom>
                    <a:noFill/>
                  </pic:spPr>
                </pic:pic>
              </a:graphicData>
            </a:graphic>
          </wp:anchor>
        </w:drawing>
      </w:r>
    </w:p>
    <w:p>
      <w:pPr>
        <w:spacing w:after="0" w:line="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color w:val="auto"/>
        </w:rPr>
        <w:t>Alok Maskara</w:t>
      </w:r>
    </w:p>
    <w:p>
      <w:pPr>
        <w:spacing w:after="0" w:line="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color w:val="auto"/>
        </w:rPr>
        <w:t>Chief Executive Officer</w:t>
      </w:r>
    </w:p>
    <w:p>
      <w:pPr>
        <w:sectPr>
          <w:pgSz w:w="11900" w:h="16840" w:orient="portrait"/>
          <w:cols w:equalWidth="0" w:num="1">
            <w:col w:w="10580"/>
          </w:cols>
          <w:pgMar w:left="660" w:top="1235" w:right="66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5"/>
          <w:szCs w:val="15"/>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Michael P. Quenzer, certify that:</w:t>
      </w:r>
    </w:p>
    <w:p>
      <w:pPr>
        <w:spacing w:after="0" w:line="101" w:lineRule="exact"/>
        <w:rPr>
          <w:sz w:val="20"/>
          <w:szCs w:val="20"/>
          <w:color w:val="auto"/>
        </w:rPr>
      </w:pPr>
    </w:p>
    <w:p>
      <w:pPr>
        <w:ind w:left="580" w:hanging="575"/>
        <w:spacing w:after="0"/>
        <w:tabs>
          <w:tab w:leader="none" w:pos="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Lennox International Inc.;</w:t>
      </w:r>
    </w:p>
    <w:p>
      <w:pPr>
        <w:spacing w:after="0" w:line="100" w:lineRule="exact"/>
        <w:rPr>
          <w:rFonts w:ascii="Times New Roman" w:cs="Times New Roman" w:eastAsia="Times New Roman" w:hAnsi="Times New Roman"/>
          <w:sz w:val="15"/>
          <w:szCs w:val="15"/>
          <w:color w:val="auto"/>
        </w:rPr>
      </w:pPr>
    </w:p>
    <w:p>
      <w:pPr>
        <w:ind w:left="580" w:right="340" w:hanging="575"/>
        <w:spacing w:after="0" w:line="285" w:lineRule="auto"/>
        <w:tabs>
          <w:tab w:leader="none" w:pos="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5"/>
          <w:szCs w:val="15"/>
          <w:color w:val="auto"/>
        </w:rPr>
      </w:pPr>
    </w:p>
    <w:p>
      <w:pPr>
        <w:ind w:left="580" w:right="420" w:hanging="575"/>
        <w:spacing w:after="0" w:line="285" w:lineRule="auto"/>
        <w:tabs>
          <w:tab w:leader="none" w:pos="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5"/>
          <w:szCs w:val="15"/>
          <w:color w:val="auto"/>
        </w:rPr>
      </w:pPr>
    </w:p>
    <w:p>
      <w:pPr>
        <w:ind w:left="580" w:right="120" w:hanging="575"/>
        <w:spacing w:after="0" w:line="275" w:lineRule="auto"/>
        <w:tabs>
          <w:tab w:leader="none" w:pos="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3" w:lineRule="exact"/>
        <w:rPr>
          <w:rFonts w:ascii="Times New Roman" w:cs="Times New Roman" w:eastAsia="Times New Roman" w:hAnsi="Times New Roman"/>
          <w:sz w:val="15"/>
          <w:szCs w:val="15"/>
          <w:color w:val="auto"/>
        </w:rPr>
      </w:pPr>
    </w:p>
    <w:p>
      <w:pPr>
        <w:ind w:left="1140" w:right="260" w:hanging="565"/>
        <w:spacing w:after="0" w:line="266" w:lineRule="auto"/>
        <w:tabs>
          <w:tab w:leader="none" w:pos="1128"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5"/>
          <w:szCs w:val="15"/>
          <w:color w:val="auto"/>
        </w:rPr>
      </w:pPr>
    </w:p>
    <w:p>
      <w:pPr>
        <w:ind w:left="1140" w:right="80" w:hanging="565"/>
        <w:spacing w:after="0" w:line="266" w:lineRule="auto"/>
        <w:tabs>
          <w:tab w:leader="none" w:pos="1140"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5"/>
          <w:szCs w:val="15"/>
          <w:color w:val="auto"/>
        </w:rPr>
      </w:pPr>
    </w:p>
    <w:p>
      <w:pPr>
        <w:ind w:left="1140" w:right="120" w:hanging="565"/>
        <w:spacing w:after="0" w:line="285" w:lineRule="auto"/>
        <w:tabs>
          <w:tab w:leader="none" w:pos="1128"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5"/>
          <w:szCs w:val="15"/>
          <w:color w:val="auto"/>
        </w:rPr>
      </w:pPr>
    </w:p>
    <w:p>
      <w:pPr>
        <w:ind w:left="1140" w:right="140" w:hanging="565"/>
        <w:spacing w:after="0" w:line="266" w:lineRule="auto"/>
        <w:tabs>
          <w:tab w:leader="none" w:pos="1140"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5"/>
          <w:szCs w:val="15"/>
          <w:color w:val="auto"/>
        </w:rPr>
      </w:pPr>
    </w:p>
    <w:p>
      <w:pPr>
        <w:ind w:left="580" w:right="20" w:hanging="575"/>
        <w:spacing w:after="0" w:line="285" w:lineRule="auto"/>
        <w:tabs>
          <w:tab w:leader="none" w:pos="58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5"/>
          <w:szCs w:val="15"/>
          <w:color w:val="auto"/>
        </w:rPr>
      </w:pPr>
    </w:p>
    <w:p>
      <w:pPr>
        <w:ind w:left="1140" w:right="60" w:hanging="565"/>
        <w:spacing w:after="0" w:line="285" w:lineRule="auto"/>
        <w:tabs>
          <w:tab w:leader="none" w:pos="1128"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5"/>
          <w:szCs w:val="15"/>
          <w:color w:val="auto"/>
        </w:rPr>
      </w:pPr>
    </w:p>
    <w:p>
      <w:pPr>
        <w:ind w:left="1140" w:right="240" w:hanging="565"/>
        <w:spacing w:after="0" w:line="285" w:lineRule="auto"/>
        <w:tabs>
          <w:tab w:leader="none" w:pos="1140"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October 22, 2025</w:t>
      </w:r>
    </w:p>
    <w:p>
      <w:pPr>
        <w:spacing w:after="0" w:line="1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5"/>
          <w:szCs w:val="15"/>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17780</wp:posOffset>
            </wp:positionV>
            <wp:extent cx="27285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728595" cy="7620"/>
                    </a:xfrm>
                    <a:prstGeom prst="rect">
                      <a:avLst/>
                    </a:prstGeom>
                    <a:noFill/>
                  </pic:spPr>
                </pic:pic>
              </a:graphicData>
            </a:graphic>
          </wp:anchor>
        </w:drawing>
      </w:r>
    </w:p>
    <w:p>
      <w:pPr>
        <w:spacing w:after="0" w:line="2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5"/>
          <w:szCs w:val="15"/>
          <w:color w:val="auto"/>
        </w:rPr>
        <w:t>Michael P. Quenzer</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40" w:orient="portrait"/>
          <w:cols w:equalWidth="0" w:num="1">
            <w:col w:w="10580"/>
          </w:cols>
          <w:pgMar w:left="660" w:top="1235" w:right="66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5"/>
          <w:szCs w:val="15"/>
          <w:color w:val="auto"/>
        </w:rPr>
        <w:t>Exhibit 32.1</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32" w:lineRule="exact"/>
        <w:rPr>
          <w:sz w:val="20"/>
          <w:szCs w:val="20"/>
          <w:color w:val="auto"/>
        </w:rPr>
      </w:pPr>
    </w:p>
    <w:p>
      <w:pPr>
        <w:ind w:right="60" w:firstLine="392"/>
        <w:spacing w:after="0" w:line="260" w:lineRule="auto"/>
        <w:rPr>
          <w:sz w:val="20"/>
          <w:szCs w:val="20"/>
          <w:color w:val="auto"/>
        </w:rPr>
      </w:pPr>
      <w:r>
        <w:rPr>
          <w:rFonts w:ascii="Times New Roman" w:cs="Times New Roman" w:eastAsia="Times New Roman" w:hAnsi="Times New Roman"/>
          <w:sz w:val="15"/>
          <w:szCs w:val="15"/>
          <w:color w:val="auto"/>
        </w:rPr>
        <w:t>In connection with the Quarterly Report of Lennox International Inc. (the “Company”) on Form 10-Q for the quarter ended September 30, 2025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07" w:lineRule="exact"/>
        <w:rPr>
          <w:sz w:val="20"/>
          <w:szCs w:val="20"/>
          <w:color w:val="auto"/>
        </w:rPr>
      </w:pPr>
    </w:p>
    <w:p>
      <w:pPr>
        <w:ind w:left="560" w:hanging="270"/>
        <w:spacing w:after="0"/>
        <w:tabs>
          <w:tab w:leader="none" w:pos="5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48" w:lineRule="exact"/>
        <w:rPr>
          <w:rFonts w:ascii="Times New Roman" w:cs="Times New Roman" w:eastAsia="Times New Roman" w:hAnsi="Times New Roman"/>
          <w:sz w:val="15"/>
          <w:szCs w:val="15"/>
          <w:color w:val="auto"/>
        </w:rPr>
      </w:pPr>
    </w:p>
    <w:p>
      <w:pPr>
        <w:ind w:left="560" w:hanging="270"/>
        <w:spacing w:after="0"/>
        <w:tabs>
          <w:tab w:leader="none" w:pos="5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73621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736215" cy="76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Alok Maskara</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22, 2025</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7209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720975" cy="76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Michael P. Quenzer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22, 2025</w:t>
      </w:r>
    </w:p>
    <w:p>
      <w:pPr>
        <w:spacing w:after="0" w:line="148" w:lineRule="exact"/>
        <w:rPr>
          <w:sz w:val="20"/>
          <w:szCs w:val="20"/>
          <w:color w:val="auto"/>
        </w:rPr>
      </w:pPr>
    </w:p>
    <w:p>
      <w:pPr>
        <w:ind w:right="260" w:firstLine="392"/>
        <w:spacing w:after="0" w:line="285" w:lineRule="auto"/>
        <w:rPr>
          <w:sz w:val="20"/>
          <w:szCs w:val="20"/>
          <w:color w:val="auto"/>
        </w:rPr>
      </w:pPr>
      <w:r>
        <w:rPr>
          <w:rFonts w:ascii="Times New Roman" w:cs="Times New Roman" w:eastAsia="Times New Roman" w:hAnsi="Times New Roman"/>
          <w:sz w:val="15"/>
          <w:szCs w:val="15"/>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p>
      <w:pPr>
        <w:sectPr>
          <w:pgSz w:w="11900" w:h="16840" w:orient="portrait"/>
          <w:cols w:equalWidth="0" w:num="1">
            <w:col w:w="10580"/>
          </w:cols>
          <w:pgMar w:left="660" w:top="1235" w:right="660" w:bottom="1440" w:gutter="0" w:footer="0" w:header="0"/>
        </w:sectPr>
      </w:pPr>
    </w:p>
    <w:bookmarkStart w:id="158" w:name="page159"/>
    <w:bookmarkEnd w:id="15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decimal"/>
      <w:start w:val="972"/>
    </w:lvl>
  </w:abstractNum>
  <w:abstractNum w:abstractNumId="3">
    <w:nsid w:val="4AD084E9"/>
    <w:multiLevelType w:val="hybridMultilevel"/>
    <w:lvl w:ilvl="0">
      <w:lvlJc w:val="left"/>
      <w:lvlText w:val="(%1)"/>
      <w:numFmt w:val="decimal"/>
      <w:start w:val="1"/>
    </w:lvl>
  </w:abstractNum>
  <w:abstractNum w:abstractNumId="4">
    <w:nsid w:val="1F48EAA1"/>
    <w:multiLevelType w:val="hybridMultilevel"/>
    <w:lvl w:ilvl="0">
      <w:lvlJc w:val="left"/>
      <w:lvlText w:val="(%1)"/>
      <w:numFmt w:val="decimal"/>
      <w:start w:val="1"/>
    </w:lvl>
    <w:lvl w:ilvl="1">
      <w:lvlJc w:val="left"/>
      <w:lvlText w:val="•"/>
      <w:numFmt w:val="bullet"/>
      <w:start w:val="1"/>
    </w:lvl>
  </w:abstractNum>
  <w:abstractNum w:abstractNumId="5">
    <w:nsid w:val="1381823A"/>
    <w:multiLevelType w:val="hybridMultilevel"/>
    <w:lvl w:ilvl="0">
      <w:lvlJc w:val="left"/>
      <w:lvlText w:val="(%1)"/>
      <w:numFmt w:val="decimal"/>
      <w:start w:val="1"/>
    </w:lvl>
    <w:lvl w:ilvl="1">
      <w:lvlJc w:val="left"/>
      <w:lvlText w:val="•"/>
      <w:numFmt w:val="bullet"/>
      <w:start w:val="1"/>
    </w:lvl>
  </w:abstractNum>
  <w:abstractNum w:abstractNumId="6">
    <w:nsid w:val="5DB70AE5"/>
    <w:multiLevelType w:val="hybridMultilevel"/>
    <w:lvl w:ilvl="0">
      <w:lvlJc w:val="left"/>
      <w:lvlText w:val="%1."/>
      <w:numFmt w:val="decimal"/>
      <w:start w:val="7"/>
    </w:lvl>
  </w:abstractNum>
  <w:abstractNum w:abstractNumId="7">
    <w:nsid w:val="100F8FCA"/>
    <w:multiLevelType w:val="hybridMultilevel"/>
    <w:lvl w:ilvl="0">
      <w:lvlJc w:val="left"/>
      <w:lvlText w:val="(%1)"/>
      <w:numFmt w:val="decimal"/>
      <w:start w:val="1"/>
    </w:lvl>
  </w:abstractNum>
  <w:abstractNum w:abstractNumId="8">
    <w:nsid w:val="6590700B"/>
    <w:multiLevelType w:val="hybridMultilevel"/>
    <w:lvl w:ilvl="0">
      <w:lvlJc w:val="left"/>
      <w:lvlText w:val="%1."/>
      <w:numFmt w:val="decimal"/>
      <w:start w:val="10"/>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1."/>
      <w:numFmt w:val="decimal"/>
      <w:start w:val="1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1)"/>
      <w:numFmt w:val="decimal"/>
      <w:start w:val="1"/>
    </w:lvl>
  </w:abstractNum>
  <w:abstractNum w:abstractNumId="13">
    <w:nsid w:val="6B94764"/>
    <w:multiLevelType w:val="hybridMultilevel"/>
    <w:lvl w:ilvl="0">
      <w:lvlJc w:val="left"/>
      <w:lvlText w:val="(%1)"/>
      <w:numFmt w:val="decimal"/>
      <w:start w:val="1"/>
    </w:lvl>
  </w:abstractNum>
  <w:abstractNum w:abstractNumId="14">
    <w:nsid w:val="42C296BD"/>
    <w:multiLevelType w:val="hybridMultilevel"/>
    <w:lvl w:ilvl="0">
      <w:lvlJc w:val="left"/>
      <w:lvlText w:val="%1"/>
      <w:numFmt w:val="decimal"/>
      <w:start w:val="104"/>
    </w:lvl>
  </w:abstractNum>
  <w:abstractNum w:abstractNumId="15">
    <w:nsid w:val="168E121F"/>
    <w:multiLevelType w:val="hybridMultilevel"/>
    <w:lvl w:ilvl="0">
      <w:lvlJc w:val="left"/>
      <w:lvlText w:val="(%1)"/>
      <w:numFmt w:val="lowerRoman"/>
      <w:start w:val="2"/>
    </w:lvl>
  </w:abstractNum>
  <w:abstractNum w:abstractNumId="16">
    <w:nsid w:val="1EBA5D23"/>
    <w:multiLevelType w:val="hybridMultilevel"/>
    <w:lvl w:ilvl="0">
      <w:lvlJc w:val="left"/>
      <w:lvlText w:val="(%1)"/>
      <w:numFmt w:val="lowerRoman"/>
      <w:start w:val="1"/>
    </w:lvl>
  </w:abstractNum>
  <w:abstractNum w:abstractNumId="17">
    <w:nsid w:val="661E3F1E"/>
    <w:multiLevelType w:val="hybridMultilevel"/>
    <w:lvl w:ilvl="0">
      <w:lvlJc w:val="left"/>
      <w:lvlText w:val="(%1)"/>
      <w:numFmt w:val="decimal"/>
      <w:start w:val="1"/>
    </w:lvl>
  </w:abstractNum>
  <w:abstractNum w:abstractNumId="18">
    <w:nsid w:val="5DC79EA8"/>
    <w:multiLevelType w:val="hybridMultilevel"/>
    <w:lvl w:ilvl="0">
      <w:lvlJc w:val="left"/>
      <w:lvlText w:val="(%1)"/>
      <w:numFmt w:val="decimal"/>
      <w:start w:val="1"/>
    </w:lvl>
  </w:abstractNum>
  <w:abstractNum w:abstractNumId="19">
    <w:nsid w:val="540A471C"/>
    <w:multiLevelType w:val="hybridMultilevel"/>
    <w:lvl w:ilvl="0">
      <w:lvlJc w:val="left"/>
      <w:lvlText w:val="(%1)"/>
      <w:numFmt w:val="decimal"/>
      <w:start w:val="3"/>
    </w:lvl>
  </w:abstractNum>
  <w:abstractNum w:abstractNumId="20">
    <w:nsid w:val="7BD3EE7B"/>
    <w:multiLevelType w:val="hybridMultilevel"/>
    <w:lvl w:ilvl="0">
      <w:lvlJc w:val="left"/>
      <w:lvlText w:val="(%1)"/>
      <w:numFmt w:val="lowerLetter"/>
      <w:start w:val="1"/>
    </w:lvl>
  </w:abstractNum>
  <w:abstractNum w:abstractNumId="21">
    <w:nsid w:val="51D9C564"/>
    <w:multiLevelType w:val="hybridMultilevel"/>
    <w:lvl w:ilvl="0">
      <w:lvlJc w:val="left"/>
      <w:lvlText w:val="(%1)"/>
      <w:numFmt w:val="lowerRoman"/>
      <w:start w:val="8"/>
    </w:lvl>
  </w:abstractNum>
  <w:abstractNum w:abstractNumId="22">
    <w:nsid w:val="613EFDC5"/>
    <w:multiLevelType w:val="hybridMultilevel"/>
    <w:lvl w:ilvl="0">
      <w:lvlJc w:val="left"/>
      <w:lvlText w:val="(%1)"/>
      <w:numFmt w:val="lowerLetter"/>
      <w:start w:val="1"/>
    </w:lvl>
  </w:abstractNum>
  <w:abstractNum w:abstractNumId="23">
    <w:nsid w:val="BF72B14"/>
    <w:multiLevelType w:val="hybridMultilevel"/>
    <w:lvl w:ilvl="0">
      <w:lvlJc w:val="left"/>
      <w:lvlText w:val="(%1)"/>
      <w:numFmt w:val="lowerLetter"/>
      <w:start w:val="1"/>
    </w:lvl>
  </w:abstractNum>
  <w:abstractNum w:abstractNumId="24">
    <w:nsid w:val="11447B73"/>
    <w:multiLevelType w:val="hybridMultilevel"/>
    <w:lvl w:ilvl="0">
      <w:lvlJc w:val="left"/>
      <w:lvlText w:val="(%1)"/>
      <w:numFmt w:val="lowerLetter"/>
      <w:start w:val="4"/>
    </w:lvl>
  </w:abstractNum>
  <w:abstractNum w:abstractNumId="25">
    <w:nsid w:val="42963E5A"/>
    <w:multiLevelType w:val="hybridMultilevel"/>
    <w:lvl w:ilvl="0">
      <w:lvlJc w:val="left"/>
      <w:lvlText w:val="(%1)"/>
      <w:numFmt w:val="lowerLetter"/>
      <w:start w:val="1"/>
    </w:lvl>
  </w:abstractNum>
  <w:abstractNum w:abstractNumId="26">
    <w:nsid w:val="A0382C5"/>
    <w:multiLevelType w:val="hybridMultilevel"/>
    <w:lvl w:ilvl="0">
      <w:lvlJc w:val="left"/>
      <w:lvlText w:val="(%1)"/>
      <w:numFmt w:val="lowerLetter"/>
      <w:start w:val="1"/>
    </w:lvl>
  </w:abstractNum>
  <w:abstractNum w:abstractNumId="27">
    <w:nsid w:val="8F2B15E"/>
    <w:multiLevelType w:val="hybridMultilevel"/>
    <w:lvl w:ilvl="0">
      <w:lvlJc w:val="left"/>
      <w:lvlText w:val="(%1)"/>
      <w:numFmt w:val="lowerLetter"/>
      <w:start w:val="24"/>
    </w:lvl>
  </w:abstractNum>
  <w:abstractNum w:abstractNumId="28">
    <w:nsid w:val="1A32234B"/>
    <w:multiLevelType w:val="hybridMultilevel"/>
    <w:lvl w:ilvl="0">
      <w:lvlJc w:val="left"/>
      <w:lvlText w:val="(%1)"/>
      <w:numFmt w:val="lowerLetter"/>
      <w:start w:val="2"/>
    </w:lvl>
  </w:abstractNum>
  <w:abstractNum w:abstractNumId="29">
    <w:nsid w:val="3B0FD379"/>
    <w:multiLevelType w:val="hybridMultilevel"/>
    <w:lvl w:ilvl="0">
      <w:lvlJc w:val="left"/>
      <w:lvlText w:val="(%1)"/>
      <w:numFmt w:val="lowerLetter"/>
      <w:start w:val="2"/>
    </w:lvl>
  </w:abstractNum>
  <w:abstractNum w:abstractNumId="30">
    <w:nsid w:val="68EB2F63"/>
    <w:multiLevelType w:val="hybridMultilevel"/>
    <w:lvl w:ilvl="0">
      <w:lvlJc w:val="left"/>
      <w:lvlText w:val="(%1)"/>
      <w:numFmt w:val="lowerLetter"/>
      <w:start w:val="4"/>
    </w:lvl>
  </w:abstractNum>
  <w:abstractNum w:abstractNumId="31">
    <w:nsid w:val="4962813B"/>
    <w:multiLevelType w:val="hybridMultilevel"/>
    <w:lvl w:ilvl="0">
      <w:lvlJc w:val="left"/>
      <w:lvlText w:val="(%1)"/>
      <w:numFmt w:val="lowerLetter"/>
      <w:start w:val="2"/>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1)"/>
      <w:numFmt w:val="lowerLetter"/>
      <w:start w:val="2"/>
    </w:lvl>
  </w:abstractNum>
  <w:abstractNum w:abstractNumId="34">
    <w:nsid w:val="14330624"/>
    <w:multiLevelType w:val="hybridMultilevel"/>
    <w:lvl w:ilvl="0">
      <w:lvlJc w:val="left"/>
      <w:lvlText w:val="%1"/>
      <w:numFmt w:val="lowerLetter"/>
      <w:start w:val="1"/>
    </w:lvl>
    <w:lvl w:ilvl="1">
      <w:lvlJc w:val="left"/>
      <w:lvlText w:val="(%2)"/>
      <w:numFmt w:val="lowerLetter"/>
      <w:start w:val="2"/>
    </w:lvl>
  </w:abstractNum>
  <w:abstractNum w:abstractNumId="35">
    <w:nsid w:val="7FFFCA11"/>
    <w:multiLevelType w:val="hybridMultilevel"/>
    <w:lvl w:ilvl="0">
      <w:lvlJc w:val="left"/>
      <w:lvlText w:val="(%1)"/>
      <w:numFmt w:val="lowerLetter"/>
      <w:start w:val="9"/>
    </w:lvl>
    <w:lvl w:ilvl="1">
      <w:lvlJc w:val="left"/>
      <w:lvlText w:val="%2"/>
      <w:numFmt w:val="lowerLetter"/>
      <w:start w:val="1"/>
    </w:lvl>
  </w:abstractNum>
  <w:abstractNum w:abstractNumId="36">
    <w:nsid w:val="1A27709E"/>
    <w:multiLevelType w:val="hybridMultilevel"/>
    <w:lvl w:ilvl="0">
      <w:lvlJc w:val="left"/>
      <w:lvlText w:val="(%1)"/>
      <w:numFmt w:val="lowerLetter"/>
      <w:start w:val="5"/>
    </w:lvl>
  </w:abstractNum>
  <w:abstractNum w:abstractNumId="37">
    <w:nsid w:val="71EA1109"/>
    <w:multiLevelType w:val="hybridMultilevel"/>
    <w:lvl w:ilvl="0">
      <w:lvlJc w:val="left"/>
      <w:lvlText w:val="(%1)"/>
      <w:numFmt w:val="lowerRoman"/>
      <w:start w:val="1"/>
    </w:lvl>
  </w:abstractNum>
  <w:abstractNum w:abstractNumId="38">
    <w:nsid w:val="100F59DC"/>
    <w:multiLevelType w:val="hybridMultilevel"/>
    <w:lvl w:ilvl="0">
      <w:lvlJc w:val="left"/>
      <w:lvlText w:val="%1"/>
      <w:numFmt w:val="lowerRoman"/>
      <w:start w:val="1"/>
    </w:lvl>
    <w:lvl w:ilvl="1">
      <w:lvlJc w:val="left"/>
      <w:lvlText w:val="(%2)"/>
      <w:numFmt w:val="upperLetter"/>
      <w:start w:val="1"/>
    </w:lvl>
  </w:abstractNum>
  <w:abstractNum w:abstractNumId="39">
    <w:nsid w:val="7FB7E0AA"/>
    <w:multiLevelType w:val="hybridMultilevel"/>
    <w:lvl w:ilvl="0">
      <w:lvlJc w:val="left"/>
      <w:lvlText w:val="(%1)"/>
      <w:numFmt w:val="lowerRoman"/>
      <w:start w:val="3"/>
    </w:lvl>
    <w:lvl w:ilvl="1">
      <w:lvlJc w:val="left"/>
      <w:lvlText w:val="%2"/>
      <w:numFmt w:val="upperLetter"/>
      <w:start w:val="1"/>
    </w:lvl>
  </w:abstractNum>
  <w:abstractNum w:abstractNumId="40">
    <w:nsid w:val="6EB5BD4"/>
    <w:multiLevelType w:val="hybridMultilevel"/>
    <w:lvl w:ilvl="0">
      <w:lvlJc w:val="left"/>
      <w:lvlText w:val="%1"/>
      <w:numFmt w:val="lowerLetter"/>
      <w:start w:val="1"/>
    </w:lvl>
    <w:lvl w:ilvl="1">
      <w:lvlJc w:val="left"/>
      <w:lvlText w:val="(%2)"/>
      <w:numFmt w:val="lowerLetter"/>
      <w:start w:val="7"/>
    </w:lvl>
  </w:abstractNum>
  <w:abstractNum w:abstractNumId="41">
    <w:nsid w:val="6F6DD9AC"/>
    <w:multiLevelType w:val="hybridMultilevel"/>
    <w:lvl w:ilvl="0">
      <w:lvlJc w:val="left"/>
      <w:lvlText w:val="(%1)"/>
      <w:numFmt w:val="lowerLetter"/>
      <w:start w:val="2"/>
    </w:lvl>
    <w:lvl w:ilvl="1">
      <w:lvlJc w:val="left"/>
      <w:lvlText w:val="(%2)"/>
      <w:numFmt w:val="lowerLetter"/>
      <w:start w:val="8"/>
    </w:lvl>
  </w:abstractNum>
  <w:abstractNum w:abstractNumId="42">
    <w:nsid w:val="94211F2"/>
    <w:multiLevelType w:val="hybridMultilevel"/>
    <w:lvl w:ilvl="0">
      <w:lvlJc w:val="left"/>
      <w:lvlText w:val="%1"/>
      <w:numFmt w:val="lowerLetter"/>
      <w:start w:val="1"/>
    </w:lvl>
    <w:lvl w:ilvl="1">
      <w:lvlJc w:val="left"/>
      <w:lvlText w:val="(%2)"/>
      <w:numFmt w:val="lowerLetter"/>
      <w:start w:val="9"/>
    </w:lvl>
  </w:abstractNum>
  <w:abstractNum w:abstractNumId="43">
    <w:nsid w:val="885E1B"/>
    <w:multiLevelType w:val="hybridMultilevel"/>
    <w:lvl w:ilvl="0">
      <w:lvlJc w:val="left"/>
      <w:lvlText w:val="(%1)"/>
      <w:numFmt w:val="lowerLetter"/>
      <w:start w:val="9"/>
    </w:lvl>
    <w:lvl w:ilvl="1">
      <w:lvlJc w:val="left"/>
      <w:lvlText w:val="(%2)"/>
      <w:numFmt w:val="lowerLetter"/>
      <w:start w:val="10"/>
    </w:lvl>
  </w:abstractNum>
  <w:abstractNum w:abstractNumId="44">
    <w:nsid w:val="76272110"/>
    <w:multiLevelType w:val="hybridMultilevel"/>
    <w:lvl w:ilvl="0">
      <w:lvlJc w:val="left"/>
      <w:lvlText w:val="(%1)"/>
      <w:numFmt w:val="lowerRoman"/>
      <w:start w:val="1"/>
    </w:lvl>
  </w:abstractNum>
  <w:abstractNum w:abstractNumId="45">
    <w:nsid w:val="4C04A8AF"/>
    <w:multiLevelType w:val="hybridMultilevel"/>
    <w:lvl w:ilvl="0">
      <w:lvlJc w:val="left"/>
      <w:lvlText w:val="(%1)"/>
      <w:numFmt w:val="lowerLetter"/>
      <w:start w:val="2"/>
    </w:lvl>
  </w:abstractNum>
  <w:abstractNum w:abstractNumId="46">
    <w:nsid w:val="1716703B"/>
    <w:multiLevelType w:val="hybridMultilevel"/>
    <w:lvl w:ilvl="0">
      <w:lvlJc w:val="left"/>
      <w:lvlText w:val="(%1)"/>
      <w:numFmt w:val="lowerLetter"/>
      <w:start w:val="2"/>
    </w:lvl>
  </w:abstractNum>
  <w:abstractNum w:abstractNumId="47">
    <w:nsid w:val="14E17E33"/>
    <w:multiLevelType w:val="hybridMultilevel"/>
    <w:lvl w:ilvl="0">
      <w:lvlJc w:val="left"/>
      <w:lvlText w:val="%1"/>
      <w:numFmt w:val="lowerLetter"/>
      <w:start w:val="1"/>
    </w:lvl>
    <w:lvl w:ilvl="1">
      <w:lvlJc w:val="left"/>
      <w:lvlText w:val="(%2)"/>
      <w:numFmt w:val="lowerLetter"/>
      <w:start w:val="1"/>
    </w:lvl>
  </w:abstractNum>
  <w:abstractNum w:abstractNumId="48">
    <w:nsid w:val="3222E7CD"/>
    <w:multiLevelType w:val="hybridMultilevel"/>
    <w:lvl w:ilvl="0">
      <w:lvlJc w:val="left"/>
      <w:lvlText w:val="(%1)"/>
      <w:numFmt w:val="lowerLetter"/>
      <w:start w:val="61"/>
    </w:lvl>
    <w:lvl w:ilvl="1">
      <w:lvlJc w:val="left"/>
      <w:lvlText w:val="%2"/>
      <w:numFmt w:val="lowerLetter"/>
      <w:start w:val="1"/>
    </w:lvl>
  </w:abstractNum>
  <w:abstractNum w:abstractNumId="49">
    <w:nsid w:val="74DE0EE3"/>
    <w:multiLevelType w:val="hybridMultilevel"/>
    <w:lvl w:ilvl="0">
      <w:lvlJc w:val="left"/>
      <w:lvlText w:val="%1"/>
      <w:numFmt w:val="lowerLetter"/>
      <w:start w:val="1"/>
    </w:lvl>
    <w:lvl w:ilvl="1">
      <w:lvlJc w:val="left"/>
      <w:lvlText w:val="(%2)"/>
      <w:numFmt w:val="lowerLetter"/>
      <w:start w:val="6"/>
    </w:lvl>
  </w:abstractNum>
  <w:abstractNum w:abstractNumId="50">
    <w:nsid w:val="68EBC550"/>
    <w:multiLevelType w:val="hybridMultilevel"/>
    <w:lvl w:ilvl="0">
      <w:lvlJc w:val="left"/>
      <w:lvlText w:val="(%1)"/>
      <w:numFmt w:val="lowerLetter"/>
      <w:start w:val="35"/>
    </w:lvl>
    <w:lvl w:ilvl="1">
      <w:lvlJc w:val="left"/>
      <w:lvlText w:val="(%2)"/>
      <w:numFmt w:val="lowerLetter"/>
      <w:start w:val="8"/>
    </w:lvl>
  </w:abstractNum>
  <w:abstractNum w:abstractNumId="51">
    <w:nsid w:val="2DF6D648"/>
    <w:multiLevelType w:val="hybridMultilevel"/>
    <w:lvl w:ilvl="0">
      <w:lvlJc w:val="left"/>
      <w:lvlText w:val="(%1)"/>
      <w:numFmt w:val="lowerLetter"/>
      <w:start w:val="2"/>
    </w:lvl>
  </w:abstractNum>
  <w:abstractNum w:abstractNumId="52">
    <w:nsid w:val="46B7D447"/>
    <w:multiLevelType w:val="hybridMultilevel"/>
    <w:lvl w:ilvl="0">
      <w:lvlJc w:val="left"/>
      <w:lvlText w:val="(%1)"/>
      <w:numFmt w:val="lowerLetter"/>
      <w:start w:val="2"/>
    </w:lvl>
  </w:abstractNum>
  <w:abstractNum w:abstractNumId="53">
    <w:nsid w:val="4A2AC315"/>
    <w:multiLevelType w:val="hybridMultilevel"/>
    <w:lvl w:ilvl="0">
      <w:lvlJc w:val="left"/>
      <w:lvlText w:val="(%1)"/>
      <w:numFmt w:val="lowerLetter"/>
      <w:start w:val="2"/>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lowerLetter"/>
      <w:start w:val="1"/>
    </w:lvl>
    <w:lvl w:ilvl="1">
      <w:lvlJc w:val="left"/>
      <w:lvlText w:val="(%2)"/>
      <w:numFmt w:val="lowerLetter"/>
      <w:start w:val="3"/>
    </w:lvl>
  </w:abstractNum>
  <w:abstractNum w:abstractNumId="56">
    <w:nsid w:val="CC1016F"/>
    <w:multiLevelType w:val="hybridMultilevel"/>
    <w:lvl w:ilvl="0">
      <w:lvlJc w:val="left"/>
      <w:lvlText w:val="(%1)"/>
      <w:numFmt w:val="lowerLetter"/>
      <w:start w:val="35"/>
    </w:lvl>
    <w:lvl w:ilvl="1">
      <w:lvlJc w:val="left"/>
      <w:lvlText w:val="(%2)"/>
      <w:numFmt w:val="lowerLetter"/>
      <w:start w:val="4"/>
    </w:lvl>
  </w:abstractNum>
  <w:abstractNum w:abstractNumId="57">
    <w:nsid w:val="43F18422"/>
    <w:multiLevelType w:val="hybridMultilevel"/>
    <w:lvl w:ilvl="0">
      <w:lvlJc w:val="left"/>
      <w:lvlText w:val="(%1)"/>
      <w:numFmt w:val="lowerLetter"/>
      <w:start w:val="2"/>
    </w:lvl>
  </w:abstractNum>
  <w:abstractNum w:abstractNumId="58">
    <w:nsid w:val="60EF0119"/>
    <w:multiLevelType w:val="hybridMultilevel"/>
    <w:lvl w:ilvl="0">
      <w:lvlJc w:val="left"/>
      <w:lvlText w:val="(%1)"/>
      <w:numFmt w:val="lowerRoman"/>
      <w:start w:val="1"/>
    </w:lvl>
  </w:abstractNum>
  <w:abstractNum w:abstractNumId="59">
    <w:nsid w:val="26F324BA"/>
    <w:multiLevelType w:val="hybridMultilevel"/>
    <w:lvl w:ilvl="0">
      <w:lvlJc w:val="left"/>
      <w:lvlText w:val="(%1)"/>
      <w:numFmt w:val="lowerRoman"/>
      <w:start w:val="10"/>
    </w:lvl>
  </w:abstractNum>
  <w:abstractNum w:abstractNumId="60">
    <w:nsid w:val="7F01579B"/>
    <w:multiLevelType w:val="hybridMultilevel"/>
    <w:lvl w:ilvl="0">
      <w:lvlJc w:val="left"/>
      <w:lvlText w:val="(%1)"/>
      <w:numFmt w:val="lowerLetter"/>
      <w:start w:val="1"/>
    </w:lvl>
  </w:abstractNum>
  <w:abstractNum w:abstractNumId="61">
    <w:nsid w:val="49DA307D"/>
    <w:multiLevelType w:val="hybridMultilevel"/>
    <w:lvl w:ilvl="0">
      <w:lvlJc w:val="left"/>
      <w:lvlText w:val="(%1)"/>
      <w:numFmt w:val="lowerLetter"/>
      <w:start w:val="6"/>
    </w:lvl>
  </w:abstractNum>
  <w:abstractNum w:abstractNumId="62">
    <w:nsid w:val="7055A5F5"/>
    <w:multiLevelType w:val="hybridMultilevel"/>
    <w:lvl w:ilvl="0">
      <w:lvlJc w:val="left"/>
      <w:lvlText w:val="(%1)"/>
      <w:numFmt w:val="lowerLetter"/>
      <w:start w:val="7"/>
    </w:lvl>
  </w:abstractNum>
  <w:abstractNum w:abstractNumId="63">
    <w:nsid w:val="5FB8370B"/>
    <w:multiLevelType w:val="hybridMultilevel"/>
    <w:lvl w:ilvl="0">
      <w:lvlJc w:val="left"/>
      <w:lvlText w:val="(%1)"/>
      <w:numFmt w:val="lowerLetter"/>
      <w:start w:val="24"/>
    </w:lvl>
    <w:lvl w:ilvl="1">
      <w:lvlJc w:val="left"/>
      <w:lvlText w:val="(%2)"/>
      <w:numFmt w:val="lowerLetter"/>
      <w:start w:val="9"/>
    </w:lvl>
  </w:abstractNum>
  <w:abstractNum w:abstractNumId="64">
    <w:nsid w:val="50801EE1"/>
    <w:multiLevelType w:val="hybridMultilevel"/>
    <w:lvl w:ilvl="0">
      <w:lvlJc w:val="left"/>
      <w:lvlText w:val="(%1)"/>
      <w:numFmt w:val="lowerLetter"/>
      <w:start w:val="1"/>
    </w:lvl>
  </w:abstractNum>
  <w:abstractNum w:abstractNumId="65">
    <w:nsid w:val="488AC1A"/>
    <w:multiLevelType w:val="hybridMultilevel"/>
    <w:lvl w:ilvl="0">
      <w:lvlJc w:val="left"/>
      <w:lvlText w:val="(%1)"/>
      <w:numFmt w:val="lowerLetter"/>
      <w:start w:val="5"/>
    </w:lvl>
  </w:abstractNum>
  <w:abstractNum w:abstractNumId="66">
    <w:nsid w:val="5FB8011C"/>
    <w:multiLevelType w:val="hybridMultilevel"/>
    <w:lvl w:ilvl="0">
      <w:lvlJc w:val="left"/>
      <w:lvlText w:val="%1"/>
      <w:numFmt w:val="upperLetter"/>
      <w:start w:val="1"/>
    </w:lvl>
    <w:lvl w:ilvl="1">
      <w:lvlJc w:val="left"/>
      <w:lvlText w:val="(%2)"/>
      <w:numFmt w:val="lowerLetter"/>
      <w:start w:val="9"/>
    </w:lvl>
  </w:abstractNum>
  <w:abstractNum w:abstractNumId="67">
    <w:nsid w:val="6AA78F7F"/>
    <w:multiLevelType w:val="hybridMultilevel"/>
    <w:lvl w:ilvl="0">
      <w:lvlJc w:val="left"/>
      <w:lvlText w:val="(%1)"/>
      <w:numFmt w:val="upperLetter"/>
      <w:start w:val="1"/>
    </w:lvl>
    <w:lvl w:ilvl="1">
      <w:lvlJc w:val="left"/>
      <w:lvlText w:val="(%2)"/>
      <w:numFmt w:val="lowerLetter"/>
      <w:start w:val="10"/>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35"/>
    </w:lvl>
  </w:abstractNum>
  <w:abstractNum w:abstractNumId="70">
    <w:nsid w:val="6A5F7029"/>
    <w:multiLevelType w:val="hybridMultilevel"/>
    <w:lvl w:ilvl="0">
      <w:lvlJc w:val="left"/>
      <w:lvlText w:val="(%1)"/>
      <w:numFmt w:val="lowerLetter"/>
      <w:start w:val="2"/>
    </w:lvl>
  </w:abstractNum>
  <w:abstractNum w:abstractNumId="71">
    <w:nsid w:val="7D5E18F8"/>
    <w:multiLevelType w:val="hybridMultilevel"/>
    <w:lvl w:ilvl="0">
      <w:lvlJc w:val="left"/>
      <w:lvlText w:val="(%1)"/>
      <w:numFmt w:val="lowerRoman"/>
      <w:start w:val="1"/>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5"/>
    </w:lvl>
  </w:abstractNum>
  <w:abstractNum w:abstractNumId="74">
    <w:nsid w:val="7DE67713"/>
    <w:multiLevelType w:val="hybridMultilevel"/>
    <w:lvl w:ilvl="0">
      <w:lvlJc w:val="left"/>
      <w:lvlText w:val="(%1)"/>
      <w:numFmt w:val="lowerRoman"/>
      <w:start w:val="1"/>
    </w:lvl>
  </w:abstractNum>
  <w:abstractNum w:abstractNumId="75">
    <w:nsid w:val="555C55B5"/>
    <w:multiLevelType w:val="hybridMultilevel"/>
    <w:lvl w:ilvl="0">
      <w:lvlJc w:val="left"/>
      <w:lvlText w:val="(%1)"/>
      <w:numFmt w:val="lowerRoman"/>
      <w:start w:val="3"/>
    </w:lvl>
  </w:abstractNum>
  <w:abstractNum w:abstractNumId="76">
    <w:nsid w:val="3FA62ACA"/>
    <w:multiLevelType w:val="hybridMultilevel"/>
    <w:lvl w:ilvl="0">
      <w:lvlJc w:val="left"/>
      <w:lvlText w:val="(%1)"/>
      <w:numFmt w:val="lowerLetter"/>
      <w:start w:val="2"/>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Letter"/>
      <w:start w:val="2"/>
    </w:lvl>
  </w:abstractNum>
  <w:abstractNum w:abstractNumId="79">
    <w:nsid w:val="71C91298"/>
    <w:multiLevelType w:val="hybridMultilevel"/>
    <w:lvl w:ilvl="0">
      <w:lvlJc w:val="left"/>
      <w:lvlText w:val="(%1)"/>
      <w:numFmt w:val="lowerRoman"/>
      <w:start w:val="1"/>
    </w:lvl>
  </w:abstractNum>
  <w:abstractNum w:abstractNumId="80">
    <w:nsid w:val="9DAF632"/>
    <w:multiLevelType w:val="hybridMultilevel"/>
    <w:lvl w:ilvl="0">
      <w:lvlJc w:val="left"/>
      <w:lvlText w:val="(%1)"/>
      <w:numFmt w:val="lowerRoman"/>
      <w:start w:val="2"/>
    </w:lvl>
  </w:abstractNum>
  <w:abstractNum w:abstractNumId="81">
    <w:nsid w:val="53299938"/>
    <w:multiLevelType w:val="hybridMultilevel"/>
    <w:lvl w:ilvl="0">
      <w:lvlJc w:val="left"/>
      <w:lvlText w:val="%1"/>
      <w:numFmt w:val="lowerLetter"/>
      <w:start w:val="1"/>
    </w:lvl>
    <w:lvl w:ilvl="1">
      <w:lvlJc w:val="left"/>
      <w:lvlText w:val="(%2)"/>
      <w:numFmt w:val="lowerLetter"/>
      <w:start w:val="2"/>
    </w:lvl>
  </w:abstractNum>
  <w:abstractNum w:abstractNumId="82">
    <w:nsid w:val="1FBFE8E0"/>
    <w:multiLevelType w:val="hybridMultilevel"/>
    <w:lvl w:ilvl="0">
      <w:lvlJc w:val="left"/>
      <w:lvlText w:val="(%1)"/>
      <w:numFmt w:val="lowerLetter"/>
      <w:start w:val="35"/>
    </w:lvl>
    <w:lvl w:ilvl="1">
      <w:lvlJc w:val="left"/>
      <w:lvlText w:val="%2"/>
      <w:numFmt w:val="lowerLetter"/>
      <w:start w:val="1"/>
    </w:lvl>
  </w:abstractNum>
  <w:abstractNum w:abstractNumId="83">
    <w:nsid w:val="5092CA79"/>
    <w:multiLevelType w:val="hybridMultilevel"/>
    <w:lvl w:ilvl="0">
      <w:lvlJc w:val="left"/>
      <w:lvlText w:val="(%1)"/>
      <w:numFmt w:val="lowerLetter"/>
      <w:start w:val="1"/>
    </w:lvl>
  </w:abstractNum>
  <w:abstractNum w:abstractNumId="84">
    <w:nsid w:val="1D545C4D"/>
    <w:multiLevelType w:val="hybridMultilevel"/>
    <w:lvl w:ilvl="0">
      <w:lvlJc w:val="left"/>
      <w:lvlText w:val="(%1)"/>
      <w:numFmt w:val="lowerLetter"/>
      <w:start w:val="2"/>
    </w:lvl>
  </w:abstractNum>
  <w:abstractNum w:abstractNumId="85">
    <w:nsid w:val="59ADEA3D"/>
    <w:multiLevelType w:val="hybridMultilevel"/>
    <w:lvl w:ilvl="0">
      <w:lvlJc w:val="left"/>
      <w:lvlText w:val="%1"/>
      <w:numFmt w:val="lowerLetter"/>
      <w:start w:val="1"/>
    </w:lvl>
    <w:lvl w:ilvl="1">
      <w:lvlJc w:val="left"/>
      <w:lvlText w:val="(%2)"/>
      <w:numFmt w:val="lowerLetter"/>
      <w:start w:val="1"/>
    </w:lvl>
  </w:abstractNum>
  <w:abstractNum w:abstractNumId="86">
    <w:nsid w:val="288F1A34"/>
    <w:multiLevelType w:val="hybridMultilevel"/>
    <w:lvl w:ilvl="0">
      <w:lvlJc w:val="left"/>
      <w:lvlText w:val="(%1)"/>
      <w:numFmt w:val="lowerLetter"/>
      <w:start w:val="35"/>
    </w:lvl>
    <w:lvl w:ilvl="1">
      <w:lvlJc w:val="left"/>
      <w:lvlText w:val="%2"/>
      <w:numFmt w:val="lowerLetter"/>
      <w:start w:val="1"/>
    </w:lvl>
  </w:abstractNum>
  <w:abstractNum w:abstractNumId="87">
    <w:nsid w:val="2A155DBC"/>
    <w:multiLevelType w:val="hybridMultilevel"/>
    <w:lvl w:ilvl="0">
      <w:lvlJc w:val="left"/>
      <w:lvlText w:val="(%1)"/>
      <w:numFmt w:val="lowerLetter"/>
      <w:start w:val="3"/>
    </w:lvl>
  </w:abstractNum>
  <w:abstractNum w:abstractNumId="88">
    <w:nsid w:val="1D9F6E5F"/>
    <w:multiLevelType w:val="hybridMultilevel"/>
    <w:lvl w:ilvl="0">
      <w:lvlJc w:val="left"/>
      <w:lvlText w:val="(%1)"/>
      <w:numFmt w:val="lowerLetter"/>
      <w:start w:val="6"/>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1">
    <w:nsid w:val="1CA0C5F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92">
    <w:nsid w:val="53584BCB"/>
    <w:multiLevelType w:val="hybridMultilevel"/>
    <w:lvl w:ilvl="0">
      <w:lvlJc w:val="left"/>
      <w:lvlText w:val="(%1)"/>
      <w:numFmt w:val="lowerRoman"/>
      <w:start w:val="3"/>
    </w:lvl>
  </w:abstractNum>
  <w:abstractNum w:abstractNumId="93">
    <w:nsid w:val="415E286C"/>
    <w:multiLevelType w:val="hybridMultilevel"/>
    <w:lvl w:ilvl="0">
      <w:lvlJc w:val="left"/>
      <w:lvlText w:val="(%1)"/>
      <w:numFmt w:val="lowerRoman"/>
      <w:start w:val="1"/>
    </w:lvl>
  </w:abstractNum>
  <w:abstractNum w:abstractNumId="94">
    <w:nsid w:val="7C58FD05"/>
    <w:multiLevelType w:val="hybridMultilevel"/>
    <w:lvl w:ilvl="0">
      <w:lvlJc w:val="left"/>
      <w:lvlText w:val="(%1)"/>
      <w:numFmt w:val="lowerLetter"/>
      <w:start w:val="2"/>
    </w:lvl>
  </w:abstractNum>
  <w:abstractNum w:abstractNumId="95">
    <w:nsid w:val="23D86AAC"/>
    <w:multiLevelType w:val="hybridMultilevel"/>
    <w:lvl w:ilvl="0">
      <w:lvlJc w:val="left"/>
      <w:lvlText w:val="(%1)"/>
      <w:numFmt w:val="lowerLetter"/>
      <w:start w:val="3"/>
    </w:lvl>
  </w:abstractNum>
  <w:abstractNum w:abstractNumId="96">
    <w:nsid w:val="45E6D486"/>
    <w:multiLevelType w:val="hybridMultilevel"/>
    <w:lvl w:ilvl="0">
      <w:lvlJc w:val="left"/>
      <w:lvlText w:val="(%1)"/>
      <w:numFmt w:val="lowerRoman"/>
      <w:start w:val="1"/>
    </w:lvl>
  </w:abstractNum>
  <w:abstractNum w:abstractNumId="97">
    <w:nsid w:val="5C10FE21"/>
    <w:multiLevelType w:val="hybridMultilevel"/>
    <w:lvl w:ilvl="0">
      <w:lvlJc w:val="left"/>
      <w:lvlText w:val="("/>
      <w:numFmt w:val="bullet"/>
      <w:start w:val="1"/>
    </w:lvl>
  </w:abstractNum>
  <w:abstractNum w:abstractNumId="98">
    <w:nsid w:val="E7FFA2B"/>
    <w:multiLevelType w:val="hybridMultilevel"/>
    <w:lvl w:ilvl="0">
      <w:lvlJc w:val="left"/>
      <w:lvlText w:val="(%1)"/>
      <w:numFmt w:val="lowerLetter"/>
      <w:start w:val="3"/>
    </w:lvl>
  </w:abstractNum>
  <w:abstractNum w:abstractNumId="99">
    <w:nsid w:val="3C5991AA"/>
    <w:multiLevelType w:val="hybridMultilevel"/>
    <w:lvl w:ilvl="0">
      <w:lvlJc w:val="left"/>
      <w:lvlText w:val="(%1)"/>
      <w:numFmt w:val="lowerLetter"/>
      <w:start w:val="4"/>
    </w:lvl>
  </w:abstractNum>
  <w:abstractNum w:abstractNumId="100">
    <w:nsid w:val="4BD8591A"/>
    <w:multiLevelType w:val="hybridMultilevel"/>
    <w:lvl w:ilvl="0">
      <w:lvlJc w:val="left"/>
      <w:lvlText w:val="%1"/>
      <w:numFmt w:val="lowerRoman"/>
      <w:start w:val="1"/>
    </w:lvl>
    <w:lvl w:ilvl="1">
      <w:lvlJc w:val="left"/>
      <w:lvlText w:val="(%2)"/>
      <w:numFmt w:val="lowerLetter"/>
      <w:start w:val="2"/>
    </w:lvl>
  </w:abstractNum>
  <w:abstractNum w:abstractNumId="101">
    <w:nsid w:val="78DF6A55"/>
    <w:multiLevelType w:val="hybridMultilevel"/>
    <w:lvl w:ilvl="0">
      <w:lvlJc w:val="left"/>
      <w:lvlText w:val="(%1)"/>
      <w:numFmt w:val="lowerRoman"/>
      <w:start w:val="6"/>
    </w:lvl>
    <w:lvl w:ilvl="1">
      <w:lvlJc w:val="left"/>
      <w:lvlText w:val="(%2)"/>
      <w:numFmt w:val="lowerLetter"/>
      <w:start w:val="3"/>
    </w:lvl>
  </w:abstractNum>
  <w:abstractNum w:abstractNumId="102">
    <w:nsid w:val="39B7AAA2"/>
    <w:multiLevelType w:val="hybridMultilevel"/>
    <w:lvl w:ilvl="0">
      <w:lvlJc w:val="left"/>
      <w:lvlText w:val="(%1)"/>
      <w:numFmt w:val="lowerLetter"/>
      <w:start w:val="4"/>
    </w:lvl>
  </w:abstractNum>
  <w:abstractNum w:abstractNumId="103">
    <w:nsid w:val="2B0D8DBE"/>
    <w:multiLevelType w:val="hybridMultilevel"/>
    <w:lvl w:ilvl="0">
      <w:lvlJc w:val="left"/>
      <w:lvlText w:val="(%1)"/>
      <w:numFmt w:val="lowerLetter"/>
      <w:start w:val="2"/>
    </w:lvl>
  </w:abstractNum>
  <w:abstractNum w:abstractNumId="104">
    <w:nsid w:val="6C80EC70"/>
    <w:multiLevelType w:val="hybridMultilevel"/>
    <w:lvl w:ilvl="0">
      <w:lvlJc w:val="left"/>
      <w:lvlText w:val="(%1)"/>
      <w:numFmt w:val="lowerLetter"/>
      <w:start w:val="3"/>
    </w:lvl>
  </w:abstractNum>
  <w:abstractNum w:abstractNumId="105">
    <w:nsid w:val="379E21B5"/>
    <w:multiLevelType w:val="hybridMultilevel"/>
    <w:lvl w:ilvl="0">
      <w:lvlJc w:val="left"/>
      <w:lvlText w:val="(%1)"/>
      <w:numFmt w:val="lowerLetter"/>
      <w:start w:val="5"/>
    </w:lvl>
  </w:abstractNum>
  <w:abstractNum w:abstractNumId="106">
    <w:nsid w:val="69E373"/>
    <w:multiLevelType w:val="hybridMultilevel"/>
    <w:lvl w:ilvl="0">
      <w:lvlJc w:val="left"/>
      <w:lvlText w:val="%1"/>
      <w:numFmt w:val="lowerLetter"/>
      <w:start w:val="1"/>
    </w:lvl>
    <w:lvl w:ilvl="1">
      <w:lvlJc w:val="left"/>
      <w:lvlText w:val="(%2)"/>
      <w:numFmt w:val="lowerLetter"/>
      <w:start w:val="2"/>
    </w:lvl>
  </w:abstractNum>
  <w:abstractNum w:abstractNumId="107">
    <w:nsid w:val="2C27173B"/>
    <w:multiLevelType w:val="hybridMultilevel"/>
    <w:lvl w:ilvl="0">
      <w:lvlJc w:val="left"/>
      <w:lvlText w:val="(%1)"/>
      <w:numFmt w:val="lowerLetter"/>
      <w:start w:val="26"/>
    </w:lvl>
    <w:lvl w:ilvl="1">
      <w:lvlJc w:val="left"/>
      <w:lvlText w:val="%2"/>
      <w:numFmt w:val="lowerLetter"/>
      <w:start w:val="1"/>
    </w:lvl>
  </w:abstractNum>
  <w:abstractNum w:abstractNumId="108">
    <w:nsid w:val="4C9B0904"/>
    <w:multiLevelType w:val="hybridMultilevel"/>
    <w:lvl w:ilvl="0">
      <w:lvlJc w:val="left"/>
      <w:lvlText w:val="(%1)"/>
      <w:numFmt w:val="lowerRoman"/>
      <w:start w:val="4"/>
    </w:lvl>
  </w:abstractNum>
  <w:abstractNum w:abstractNumId="109">
    <w:nsid w:val="6AA7B75C"/>
    <w:multiLevelType w:val="hybridMultilevel"/>
    <w:lvl w:ilvl="0">
      <w:lvlJc w:val="left"/>
      <w:lvlText w:val="(%1)"/>
      <w:numFmt w:val="lowerLetter"/>
      <w:start w:val="2"/>
    </w:lvl>
  </w:abstractNum>
  <w:abstractNum w:abstractNumId="110">
    <w:nsid w:val="1DF029D3"/>
    <w:multiLevelType w:val="hybridMultilevel"/>
    <w:lvl w:ilvl="0">
      <w:lvlJc w:val="left"/>
      <w:lvlText w:val="(%1)"/>
      <w:numFmt w:val="lowerLetter"/>
      <w:start w:val="2"/>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Roman"/>
      <w:start w:val="1"/>
    </w:lvl>
  </w:abstractNum>
  <w:abstractNum w:abstractNumId="113">
    <w:nsid w:val="3DB012B3"/>
    <w:multiLevelType w:val="hybridMultilevel"/>
    <w:lvl w:ilvl="0">
      <w:lvlJc w:val="left"/>
      <w:lvlText w:val="(%1)"/>
      <w:numFmt w:val="lowerRoman"/>
      <w:start w:val="2"/>
    </w:lvl>
  </w:abstractNum>
  <w:abstractNum w:abstractNumId="114">
    <w:nsid w:val="2708C9AF"/>
    <w:multiLevelType w:val="hybridMultilevel"/>
    <w:lvl w:ilvl="0">
      <w:lvlJc w:val="left"/>
      <w:lvlText w:val="(%1)"/>
      <w:numFmt w:val="lowerLetter"/>
      <w:start w:val="2"/>
    </w:lvl>
  </w:abstractNum>
  <w:abstractNum w:abstractNumId="115">
    <w:nsid w:val="5B25ACE2"/>
    <w:multiLevelType w:val="hybridMultilevel"/>
    <w:lvl w:ilvl="0">
      <w:lvlJc w:val="left"/>
      <w:lvlText w:val="(%1)"/>
      <w:numFmt w:val="lowerLetter"/>
      <w:start w:val="2"/>
    </w:lvl>
  </w:abstractNum>
  <w:abstractNum w:abstractNumId="116">
    <w:nsid w:val="175DFCF0"/>
    <w:multiLevelType w:val="hybridMultilevel"/>
    <w:lvl w:ilvl="0">
      <w:lvlJc w:val="left"/>
      <w:lvlText w:val="%1"/>
      <w:numFmt w:val="upperLetter"/>
      <w:start w:val="1"/>
    </w:lvl>
    <w:lvl w:ilvl="1">
      <w:lvlJc w:val="left"/>
      <w:lvlText w:val="(%2)"/>
      <w:numFmt w:val="lowerLetter"/>
      <w:start w:val="4"/>
    </w:lvl>
  </w:abstractNum>
  <w:abstractNum w:abstractNumId="117">
    <w:nsid w:val="4F97E3E4"/>
    <w:multiLevelType w:val="hybridMultilevel"/>
    <w:lvl w:ilvl="0">
      <w:lvlJc w:val="left"/>
      <w:lvlText w:val="(%1)"/>
      <w:numFmt w:val="upperLetter"/>
      <w:start w:val="2"/>
    </w:lvl>
    <w:lvl w:ilvl="1">
      <w:lvlJc w:val="left"/>
      <w:lvlText w:val="%2"/>
      <w:numFmt w:val="lowerLetter"/>
      <w:start w:val="1"/>
    </w:lvl>
  </w:abstractNum>
  <w:abstractNum w:abstractNumId="118">
    <w:nsid w:val="53B0A9E"/>
    <w:multiLevelType w:val="hybridMultilevel"/>
    <w:lvl w:ilvl="0">
      <w:lvlJc w:val="left"/>
      <w:lvlText w:val="(%1)"/>
      <w:numFmt w:val="lowerLetter"/>
      <w:start w:val="9"/>
    </w:lvl>
  </w:abstractNum>
  <w:abstractNum w:abstractNumId="119">
    <w:nsid w:val="34FD6B4F"/>
    <w:multiLevelType w:val="hybridMultilevel"/>
    <w:lvl w:ilvl="0">
      <w:lvlJc w:val="left"/>
      <w:lvlText w:val="(%1)"/>
      <w:numFmt w:val="lowerLetter"/>
      <w:start w:val="2"/>
    </w:lvl>
  </w:abstractNum>
  <w:abstractNum w:abstractNumId="120">
    <w:nsid w:val="5915FF32"/>
    <w:multiLevelType w:val="hybridMultilevel"/>
    <w:lvl w:ilvl="0">
      <w:lvlJc w:val="left"/>
      <w:lvlText w:val="(%1)"/>
      <w:numFmt w:val="lowerLetter"/>
      <w:start w:val="2"/>
    </w:lvl>
  </w:abstractNum>
  <w:abstractNum w:abstractNumId="121">
    <w:nsid w:val="56438D15"/>
    <w:multiLevelType w:val="hybridMultilevel"/>
    <w:lvl w:ilvl="0">
      <w:lvlJc w:val="left"/>
      <w:lvlText w:val="(%1)"/>
      <w:numFmt w:val="lowerLetter"/>
      <w:start w:val="3"/>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1)"/>
      <w:numFmt w:val="lowerLetter"/>
      <w:start w:val="2"/>
    </w:lvl>
  </w:abstractNum>
  <w:abstractNum w:abstractNumId="124">
    <w:nsid w:val="17A1B582"/>
    <w:multiLevelType w:val="hybridMultilevel"/>
    <w:lvl w:ilvl="0">
      <w:lvlJc w:val="left"/>
      <w:lvlText w:val="(%1)"/>
      <w:numFmt w:val="lowerLetter"/>
      <w:start w:val="2"/>
    </w:lvl>
  </w:abstractNum>
  <w:abstractNum w:abstractNumId="125">
    <w:nsid w:val="4DF72E4E"/>
    <w:multiLevelType w:val="hybridMultilevel"/>
    <w:lvl w:ilvl="0">
      <w:lvlJc w:val="left"/>
      <w:lvlText w:val="(%1)"/>
      <w:numFmt w:val="lowerLetter"/>
      <w:start w:val="2"/>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47" Type="http://schemas.openxmlformats.org/officeDocument/2006/relationships/hyperlink" Target="https://www.sec.gov/Archives/edgar/data/1069202/000162828023004257/lii-ex31_20221231x10k.htm" TargetMode="External"/><Relationship Id="rId48" Type="http://schemas.openxmlformats.org/officeDocument/2006/relationships/hyperlink" Target="https://www.sec.gov/Archives/edgar/data/1069202/000162828023004257/lii-ex32_20221231x10k.htm" TargetMode="External"/><Relationship Id="rId49" Type="http://schemas.openxmlformats.org/officeDocument/2006/relationships/hyperlink" Target="https://www.sec.gov/Archives/edgar/data/1017609/000095012310042399/d72548exv4w3.htm" TargetMode="External"/><Relationship Id="rId50" Type="http://schemas.openxmlformats.org/officeDocument/2006/relationships/hyperlink" Target="https://www.sec.gov/Archives/edgar/data/1069202/000119312520203588/d22651dex42.htm" TargetMode="External"/><Relationship Id="rId51" Type="http://schemas.openxmlformats.org/officeDocument/2006/relationships/hyperlink" Target="https://www.sec.gov/Archives/edgar/data/1069202/000162828022002664/lii-ex47_20211231x10k.htm" TargetMode="External"/><Relationship Id="rId52" Type="http://schemas.openxmlformats.org/officeDocument/2006/relationships/hyperlink" Target="https://www.sec.gov/Archives/edgar/data/1069202/000162828023032385/exhibit42eleventhsuppl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2025-10-22T13:00:26Z</dcterms:created>
  <dcterms:modified xsi:type="dcterms:W3CDTF">2025-10-22T13:00:26Z</dcterms:modified>
</cp:coreProperties>
</file>