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834390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860425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31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Washington, D. C. 20549</w:t>
      </w:r>
    </w:p>
    <w:p>
      <w:pPr>
        <w:ind w:left="3860"/>
        <w:spacing w:after="0"/>
        <w:rPr>
          <w:sz w:val="20"/>
          <w:szCs w:val="20"/>
          <w:color w:val="auto"/>
        </w:rPr>
      </w:pPr>
      <w:r>
        <w:rPr>
          <w:rFonts w:ascii="Arial" w:cs="Arial" w:eastAsia="Arial" w:hAnsi="Arial"/>
          <w:sz w:val="14"/>
          <w:szCs w:val="14"/>
          <w:color w:val="auto"/>
        </w:rPr>
        <w:t>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37"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ind w:left="720" w:hanging="422"/>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09"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For the quarterly period ended March 31, 2020</w:t>
      </w:r>
    </w:p>
    <w:p>
      <w:pPr>
        <w:spacing w:after="0" w:line="27"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38"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20" w:hanging="422"/>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09"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For the transition period from _____to ______</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001-15149</w:t>
      </w:r>
    </w:p>
    <w:p>
      <w:pPr>
        <w:spacing w:after="0" w:line="27"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LENNOX INTERNATIONAL INC</w:t>
      </w:r>
      <w:r>
        <w:rPr>
          <w:rFonts w:ascii="Arial" w:cs="Arial" w:eastAsia="Arial" w:hAnsi="Arial"/>
          <w:sz w:val="35"/>
          <w:szCs w:val="35"/>
          <w:b w:val="1"/>
          <w:bCs w:val="1"/>
          <w:color w:val="auto"/>
        </w:rPr>
        <w:t>.</w:t>
      </w:r>
    </w:p>
    <w:p>
      <w:pPr>
        <w:spacing w:after="0" w:line="48"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7"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w:t>
      </w:r>
    </w:p>
    <w:p>
      <w:pPr>
        <w:spacing w:after="0" w:line="7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(972-497-5000)</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45" w:lineRule="exact"/>
        <w:rPr>
          <w:sz w:val="24"/>
          <w:szCs w:val="24"/>
          <w:color w:val="auto"/>
        </w:rPr>
      </w:pPr>
    </w:p>
    <w:p>
      <w:pPr>
        <w:jc w:val="center"/>
        <w:ind w:left="7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6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7" w:lineRule="exact"/>
        <w:rPr>
          <w:sz w:val="24"/>
          <w:szCs w:val="24"/>
          <w:color w:val="auto"/>
        </w:rPr>
      </w:pPr>
    </w:p>
    <w:p>
      <w:pPr>
        <w:sectPr>
          <w:pgSz w:w="11900" w:h="16838" w:orient="portrait"/>
          <w:cols w:equalWidth="0" w:num="3">
            <w:col w:w="4380" w:space="720"/>
            <w:col w:w="1420" w:space="700"/>
            <w:col w:w="4020"/>
          </w:cols>
          <w:pgMar w:left="320" w:top="1440" w:right="339" w:bottom="1440" w:gutter="0" w:footer="0" w:header="0"/>
          <w:type w:val="continuous"/>
        </w:sectPr>
      </w:pPr>
    </w:p>
    <w:p>
      <w:pPr>
        <w:ind w:left="94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70" w:lineRule="exact"/>
        <w:rPr>
          <w:sz w:val="24"/>
          <w:szCs w:val="24"/>
          <w:color w:val="auto"/>
        </w:rPr>
      </w:pPr>
    </w:p>
    <w:p>
      <w:pPr>
        <w:sectPr>
          <w:pgSz w:w="11900" w:h="16838" w:orient="portrait"/>
          <w:cols w:equalWidth="0" w:num="3">
            <w:col w:w="4960" w:space="720"/>
            <w:col w:w="1480" w:space="720"/>
            <w:col w:w="3360"/>
          </w:cols>
          <w:pgMar w:left="320" w:top="1440" w:right="339" w:bottom="1440" w:gutter="0" w:footer="0" w:header="0"/>
          <w:type w:val="continuous"/>
        </w:sectPr>
      </w:pPr>
    </w:p>
    <w:p>
      <w:pPr>
        <w:jc w:val="both"/>
        <w:ind w:firstLine="243"/>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ind w:firstLine="24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ind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720" w:type="dxa"/>
        <w:tblCellMar>
          <w:top w:w="0" w:type="dxa"/>
          <w:left w:w="0" w:type="dxa"/>
          <w:bottom w:w="0" w:type="dxa"/>
          <w:right w:w="0" w:type="dxa"/>
        </w:tblCellMar>
      </w:tblPr>
      <w:tr>
        <w:trPr>
          <w:trHeight w:val="311"/>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91" w:lineRule="exact"/>
        <w:rPr>
          <w:sz w:val="24"/>
          <w:szCs w:val="24"/>
          <w:color w:val="auto"/>
        </w:rPr>
      </w:pPr>
    </w:p>
    <w:p>
      <w:pPr>
        <w:ind w:firstLine="243"/>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260" w:right="240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13, 2020, the number of shares outstanding of the registrant’s common stock, par value $0.01 per share, was 38,247,210.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left="1060"/>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34"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197485</wp:posOffset>
            </wp:positionV>
            <wp:extent cx="711517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4" w:lineRule="exact"/>
        <w:rPr>
          <w:sz w:val="20"/>
          <w:szCs w:val="20"/>
          <w:color w:val="auto"/>
        </w:rPr>
      </w:pPr>
    </w:p>
    <w:p>
      <w:pPr>
        <w:ind w:left="20"/>
        <w:spacing w:after="0"/>
        <w:tabs>
          <w:tab w:leader="none" w:pos="6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Part I</w:t>
      </w:r>
      <w:r>
        <w:rPr>
          <w:sz w:val="20"/>
          <w:szCs w:val="20"/>
          <w:color w:val="auto"/>
        </w:rPr>
        <w:tab/>
      </w:r>
      <w:hyperlink w:anchor="page3">
        <w:r>
          <w:rPr>
            <w:rFonts w:ascii="Arial" w:cs="Arial" w:eastAsia="Arial" w:hAnsi="Arial"/>
            <w:sz w:val="15"/>
            <w:szCs w:val="15"/>
            <w:u w:val="single" w:color="auto"/>
            <w:color w:val="0000FF"/>
          </w:rPr>
          <w:t>Financial Information</w:t>
        </w:r>
      </w:hyperlink>
    </w:p>
    <w:p>
      <w:pPr>
        <w:spacing w:after="0" w:line="63" w:lineRule="exact"/>
        <w:rPr>
          <w:sz w:val="20"/>
          <w:szCs w:val="20"/>
          <w:color w:val="auto"/>
        </w:rPr>
      </w:pPr>
    </w:p>
    <w:p>
      <w:pPr>
        <w:ind w:left="64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Item 1.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17780</wp:posOffset>
            </wp:positionV>
            <wp:extent cx="71151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0000FF"/>
        </w:rPr>
        <w:t>Consolidated Balance Sheets - March 31, 2020 (Unaudited) and December 31, 2019</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0000FF"/>
        </w:rPr>
        <w:t>Consolidated Statements of Operations (Unaudited) -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34925</wp:posOffset>
            </wp:positionV>
            <wp:extent cx="711517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4"/>
          <w:szCs w:val="14"/>
          <w:u w:val="single" w:color="auto"/>
          <w:color w:val="0000FF"/>
        </w:rPr>
        <w:t>Consolidated Statements of Comprehensive Income (Unaudited) -Three Months Ended March 31, 2020 and 2019</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5"/>
          <w:szCs w:val="15"/>
          <w:u w:val="single" w:color="auto"/>
          <w:color w:val="0000FF"/>
        </w:rPr>
        <w:t>Consolidated Statements of Stockholders' Deficit (Unaudited) -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42545</wp:posOffset>
            </wp:positionV>
            <wp:extent cx="71151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64"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0000FF"/>
        </w:rPr>
        <w:t>Consolidated Statements of Cash Flows (Unaudited) - Three Months Ended March 31, 2020 and 2019</w:t>
      </w:r>
    </w:p>
    <w:p>
      <w:pPr>
        <w:spacing w:after="0" w:line="73" w:lineRule="exact"/>
        <w:rPr>
          <w:sz w:val="20"/>
          <w:szCs w:val="20"/>
          <w:color w:val="auto"/>
        </w:rPr>
      </w:pPr>
    </w:p>
    <w:p>
      <w:pPr>
        <w:ind w:left="86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17780</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640" w:right="2860"/>
        <w:spacing w:after="0" w:line="297" w:lineRule="auto"/>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Item 2. Management's Discussion and Analysis of Financial Condition and Results of Operations</w:t>
        </w:r>
      </w:hyperlink>
      <w:r>
        <w:rPr>
          <w:rFonts w:ascii="Arial" w:cs="Arial" w:eastAsia="Arial" w:hAnsi="Arial"/>
          <w:sz w:val="16"/>
          <w:szCs w:val="16"/>
          <w:u w:val="single" w:color="auto"/>
          <w:color w:val="0000FF"/>
        </w:rPr>
        <w:t xml:space="preserve"> </w:t>
      </w:r>
      <w:hyperlink w:anchor="page30">
        <w:r>
          <w:rPr>
            <w:rFonts w:ascii="Arial" w:cs="Arial" w:eastAsia="Arial" w:hAnsi="Arial"/>
            <w:sz w:val="16"/>
            <w:szCs w:val="16"/>
            <w:u w:val="single" w:color="auto"/>
            <w:color w:val="0000FF"/>
          </w:rPr>
          <w:t>Item 3. Quantitative and Qualitative Disclosures About Market Risk</w:t>
        </w:r>
      </w:hyperlink>
      <w:r>
        <w:rPr>
          <w:rFonts w:ascii="Arial" w:cs="Arial" w:eastAsia="Arial" w:hAnsi="Arial"/>
          <w:sz w:val="16"/>
          <w:szCs w:val="16"/>
          <w:u w:val="single" w:color="auto"/>
          <w:color w:val="0000FF"/>
        </w:rPr>
        <w:t xml:space="preserve"> </w:t>
      </w:r>
      <w:hyperlink w:anchor="page30">
        <w:r>
          <w:rPr>
            <w:rFonts w:ascii="Arial" w:cs="Arial" w:eastAsia="Arial" w:hAnsi="Arial"/>
            <w:sz w:val="16"/>
            <w:szCs w:val="16"/>
            <w:u w:val="single" w:color="auto"/>
            <w:color w:val="0000FF"/>
          </w:rPr>
          <w:t>Item 4. Controls and Procedures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-113030</wp:posOffset>
            </wp:positionH>
            <wp:positionV relativeFrom="paragraph">
              <wp:posOffset>-152400</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tabs>
          <w:tab w:leader="none" w:pos="6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Part II</w:t>
      </w:r>
      <w:r>
        <w:rPr>
          <w:sz w:val="20"/>
          <w:szCs w:val="20"/>
          <w:color w:val="auto"/>
        </w:rPr>
        <w:tab/>
      </w:r>
      <w:hyperlink w:anchor="page30">
        <w:r>
          <w:rPr>
            <w:rFonts w:ascii="Arial" w:cs="Arial" w:eastAsia="Arial" w:hAnsi="Arial"/>
            <w:sz w:val="15"/>
            <w:szCs w:val="15"/>
            <w:u w:val="single" w:color="auto"/>
            <w:color w:val="0000FF"/>
          </w:rPr>
          <w:t>Other Information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-113030</wp:posOffset>
            </wp:positionH>
            <wp:positionV relativeFrom="paragraph">
              <wp:posOffset>37465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ind w:left="64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1. Legal Proceedings</w:t>
        </w:r>
      </w:hyperlink>
    </w:p>
    <w:p>
      <w:pPr>
        <w:spacing w:after="0" w:line="46" w:lineRule="exact"/>
        <w:rPr>
          <w:rFonts w:ascii="Arial" w:cs="Arial" w:eastAsia="Arial" w:hAnsi="Arial"/>
          <w:sz w:val="16"/>
          <w:szCs w:val="16"/>
          <w:u w:val="single" w:color="auto"/>
          <w:color w:val="0000FF"/>
        </w:rPr>
      </w:pPr>
    </w:p>
    <w:p>
      <w:pPr>
        <w:ind w:left="64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1A. Risk Factors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-113030</wp:posOffset>
            </wp:positionH>
            <wp:positionV relativeFrom="paragraph">
              <wp:posOffset>17780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6" w:lineRule="exact"/>
        <w:rPr>
          <w:rFonts w:ascii="Arial" w:cs="Arial" w:eastAsia="Arial" w:hAnsi="Arial"/>
          <w:sz w:val="16"/>
          <w:szCs w:val="16"/>
          <w:u w:val="single" w:color="auto"/>
          <w:color w:val="0000FF"/>
        </w:rPr>
      </w:pPr>
    </w:p>
    <w:p>
      <w:pPr>
        <w:ind w:left="64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2. Unregistered Sales of Equity Securities and Use of Proceeds</w:t>
        </w:r>
      </w:hyperlink>
    </w:p>
    <w:p>
      <w:pPr>
        <w:spacing w:after="0" w:line="46" w:lineRule="exact"/>
        <w:rPr>
          <w:rFonts w:ascii="Arial" w:cs="Arial" w:eastAsia="Arial" w:hAnsi="Arial"/>
          <w:sz w:val="16"/>
          <w:szCs w:val="16"/>
          <w:u w:val="single" w:color="auto"/>
          <w:color w:val="0000FF"/>
        </w:rPr>
      </w:pPr>
    </w:p>
    <w:p>
      <w:pPr>
        <w:ind w:left="64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6. Exhibits</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9" w:lineRule="exact"/>
        <w:rPr>
          <w:rFonts w:ascii="Arial" w:cs="Arial" w:eastAsia="Arial" w:hAnsi="Arial"/>
          <w:sz w:val="16"/>
          <w:szCs w:val="16"/>
          <w:u w:val="single" w:color="auto"/>
          <w:color w:val="0000FF"/>
        </w:rPr>
      </w:pPr>
    </w:p>
    <w:p>
      <w:pPr>
        <w:jc w:val="center"/>
        <w:ind w:left="106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rFonts w:ascii="Arial" w:cs="Arial" w:eastAsia="Arial" w:hAnsi="Arial"/>
          <w:sz w:val="16"/>
          <w:szCs w:val="16"/>
          <w:u w:val="single" w:color="auto"/>
          <w:color w:val="0000FF"/>
        </w:rPr>
      </w:pPr>
    </w:p>
    <w:p>
      <w:pPr>
        <w:spacing w:after="0" w:line="377" w:lineRule="exact"/>
        <w:rPr>
          <w:rFonts w:ascii="Arial" w:cs="Arial" w:eastAsia="Arial" w:hAnsi="Arial"/>
          <w:sz w:val="16"/>
          <w:szCs w:val="16"/>
          <w:u w:val="single" w:color="auto"/>
          <w:color w:val="0000FF"/>
        </w:rPr>
      </w:pPr>
    </w:p>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50" w:lineRule="exact"/>
        <w:rPr>
          <w:rFonts w:ascii="Arial" w:cs="Arial" w:eastAsia="Arial" w:hAnsi="Arial"/>
          <w:sz w:val="16"/>
          <w:szCs w:val="16"/>
          <w:u w:val="single" w:color="auto"/>
          <w:color w:val="0000FF"/>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p>
      <w:pPr>
        <w:spacing w:after="0" w:line="50" w:lineRule="exact"/>
        <w:rPr>
          <w:rFonts w:ascii="Arial" w:cs="Arial" w:eastAsia="Arial" w:hAnsi="Arial"/>
          <w:sz w:val="16"/>
          <w:szCs w:val="16"/>
          <w:u w:val="single" w:color="auto"/>
          <w:color w:val="0000FF"/>
        </w:rPr>
      </w:pPr>
    </w:p>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p>
      <w:pPr>
        <w:spacing w:after="0" w:line="50" w:lineRule="exact"/>
        <w:rPr>
          <w:rFonts w:ascii="Arial" w:cs="Arial" w:eastAsia="Arial" w:hAnsi="Arial"/>
          <w:sz w:val="16"/>
          <w:szCs w:val="16"/>
          <w:u w:val="single" w:color="auto"/>
          <w:color w:val="0000FF"/>
        </w:rPr>
      </w:pPr>
    </w:p>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p>
      <w:pPr>
        <w:spacing w:after="0" w:line="50" w:lineRule="exact"/>
        <w:rPr>
          <w:rFonts w:ascii="Arial" w:cs="Arial" w:eastAsia="Arial" w:hAnsi="Arial"/>
          <w:sz w:val="16"/>
          <w:szCs w:val="16"/>
          <w:u w:val="single" w:color="auto"/>
          <w:color w:val="0000FF"/>
        </w:rPr>
      </w:pPr>
    </w:p>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p>
      <w:pPr>
        <w:spacing w:after="0" w:line="23" w:lineRule="exact"/>
        <w:rPr>
          <w:rFonts w:ascii="Arial" w:cs="Arial" w:eastAsia="Arial" w:hAnsi="Arial"/>
          <w:sz w:val="16"/>
          <w:szCs w:val="16"/>
          <w:u w:val="single" w:color="auto"/>
          <w:color w:val="0000FF"/>
        </w:rPr>
      </w:pPr>
    </w:p>
    <w:p>
      <w:pPr>
        <w:ind w:left="1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p>
      <w:pPr>
        <w:spacing w:after="0" w:line="23"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p>
      <w:pPr>
        <w:spacing w:after="0" w:line="23"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p>
      <w:pPr>
        <w:spacing w:after="0" w:line="23"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p>
      <w:pPr>
        <w:spacing w:after="0" w:line="278"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p>
      <w:pPr>
        <w:spacing w:after="0" w:line="23"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p>
      <w:pPr>
        <w:spacing w:after="0" w:line="23"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p>
      <w:pPr>
        <w:spacing w:after="0" w:line="23" w:lineRule="exact"/>
        <w:rPr>
          <w:rFonts w:ascii="Arial" w:cs="Arial" w:eastAsia="Arial" w:hAnsi="Arial"/>
          <w:sz w:val="16"/>
          <w:szCs w:val="16"/>
          <w:u w:val="single" w:color="auto"/>
          <w:color w:val="0000FF"/>
        </w:rPr>
      </w:pPr>
    </w:p>
    <w:p>
      <w:pPr>
        <w:ind w:left="1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p>
      <w:pPr>
        <w:sectPr>
          <w:pgSz w:w="11900" w:h="16838" w:orient="portrait"/>
          <w:cols w:equalWidth="0" w:num="2">
            <w:col w:w="9800" w:space="720"/>
            <w:col w:w="360"/>
          </w:cols>
          <w:pgMar w:left="520" w:top="891"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4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As of March 31, 2020</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Arial" w:cs="Arial" w:eastAsia="Arial" w:hAnsi="Arial"/>
                <w:sz w:val="17"/>
                <w:szCs w:val="17"/>
                <w:b w:val="1"/>
                <w:bCs w:val="1"/>
                <w:i w:val="1"/>
                <w:iCs w:val="1"/>
                <w:color w:val="auto"/>
              </w:rPr>
              <w:t>Current Assets: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39.1</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25"/>
        </w:trPr>
        <w:tc>
          <w:tcPr>
            <w:tcW w:w="7320" w:type="dxa"/>
            <w:vAlign w:val="bottom"/>
          </w:tcPr>
          <w:p>
            <w:pPr>
              <w:ind w:left="10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Accounts and notes receivable, net of allowances of $7.0 and $6.1 in 2020 and 2019, respectively</w:t>
            </w:r>
          </w:p>
        </w:tc>
        <w:tc>
          <w:tcPr>
            <w:tcW w:w="1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492.7</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477.8</w:t>
            </w:r>
          </w:p>
        </w:tc>
        <w:tc>
          <w:tcPr>
            <w:tcW w:w="0" w:type="dxa"/>
            <w:vAlign w:val="bottom"/>
          </w:tcPr>
          <w:p>
            <w:pPr>
              <w:spacing w:after="0"/>
              <w:rPr>
                <w:sz w:val="1"/>
                <w:szCs w:val="1"/>
                <w:color w:val="auto"/>
              </w:rPr>
            </w:pPr>
          </w:p>
        </w:tc>
      </w:tr>
      <w:tr>
        <w:trPr>
          <w:trHeight w:val="226"/>
        </w:trPr>
        <w:tc>
          <w:tcPr>
            <w:tcW w:w="7320" w:type="dxa"/>
            <w:vAlign w:val="bottom"/>
          </w:tcPr>
          <w:p>
            <w:pPr>
              <w:ind w:left="100"/>
              <w:spacing w:after="0"/>
              <w:rPr>
                <w:sz w:val="20"/>
                <w:szCs w:val="20"/>
                <w:color w:val="auto"/>
              </w:rPr>
            </w:pPr>
            <w:r>
              <w:rPr>
                <w:rFonts w:ascii="Arial" w:cs="Arial" w:eastAsia="Arial" w:hAnsi="Arial"/>
                <w:sz w:val="17"/>
                <w:szCs w:val="17"/>
                <w:color w:val="auto"/>
              </w:rPr>
              <w:t>Inventories, net</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611.8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544.1</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77.8</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19"/>
        </w:trPr>
        <w:tc>
          <w:tcPr>
            <w:tcW w:w="732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1,225.1</w:t>
            </w: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1,120.9</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32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w w:val="93"/>
              </w:rPr>
              <w:t>Property, plant and equipment, net of accumulated depreciation of $836.5 and $824.3 in 2020 and 2019,</w:t>
            </w:r>
          </w:p>
        </w:tc>
        <w:tc>
          <w:tcPr>
            <w:tcW w:w="14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442.1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Arial" w:cs="Arial" w:eastAsia="Arial" w:hAnsi="Arial"/>
                <w:sz w:val="17"/>
                <w:szCs w:val="17"/>
                <w:color w:val="auto"/>
              </w:rPr>
              <w:t>Right-of-use assets from operating leases</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183.2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186.5</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16.3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 net</w:t>
            </w: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75.2</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7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2,128.4</w:t>
            </w:r>
          </w:p>
        </w:tc>
        <w:tc>
          <w:tcPr>
            <w:tcW w:w="16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2,034.9</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7"/>
                <w:szCs w:val="17"/>
                <w:b w:val="1"/>
                <w:bCs w:val="1"/>
                <w:color w:val="auto"/>
              </w:rPr>
              <w:t>LIABILITIES AND STOCKHOLDERS’ DEFICIT</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20" w:type="dxa"/>
            <w:vAlign w:val="bottom"/>
          </w:tcPr>
          <w:p>
            <w:pPr>
              <w:ind w:left="10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252.3</w:t>
            </w:r>
          </w:p>
        </w:tc>
        <w:tc>
          <w:tcPr>
            <w:tcW w:w="16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321.9</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Current operating lease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52.2</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25"/>
        </w:trPr>
        <w:tc>
          <w:tcPr>
            <w:tcW w:w="732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355.0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372.4</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Accrued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235.1</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255.7</w:t>
            </w:r>
          </w:p>
        </w:tc>
        <w:tc>
          <w:tcPr>
            <w:tcW w:w="0" w:type="dxa"/>
            <w:vAlign w:val="bottom"/>
          </w:tcPr>
          <w:p>
            <w:pPr>
              <w:spacing w:after="0"/>
              <w:rPr>
                <w:sz w:val="1"/>
                <w:szCs w:val="1"/>
                <w:color w:val="auto"/>
              </w:rPr>
            </w:pPr>
          </w:p>
        </w:tc>
      </w:tr>
      <w:tr>
        <w:trPr>
          <w:trHeight w:val="219"/>
        </w:trPr>
        <w:tc>
          <w:tcPr>
            <w:tcW w:w="732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894.6</w:t>
            </w: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1,002.7</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1,189.9</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849.3</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7"/>
                <w:szCs w:val="17"/>
                <w:color w:val="auto"/>
              </w:rPr>
              <w:t>Long-term operating lease liabilities</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133.2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Pensions</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89.8</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139.2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Total liabilities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0628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Stockholders' deficit:</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Preferred stock, $0.01 par value, 25,000,000 shares authorized,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30480</wp:posOffset>
            </wp:positionV>
            <wp:extent cx="71062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Common stock, $0.01 par value, 200,000,000 shares authorized, 87,170,197 shares issued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0628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Retained earnings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0628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Treasury stock, at cost, 48,918,495 shares and 48,575,901 shares for 2020 and 2019, respectively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7"/>
          <w:szCs w:val="17"/>
          <w:b w:val="1"/>
          <w:bCs w:val="1"/>
          <w:color w:val="auto"/>
        </w:rPr>
        <w:t>2,446.7</w:t>
      </w:r>
      <w:r>
        <w:rPr>
          <w:sz w:val="20"/>
          <w:szCs w:val="20"/>
          <w:color w:val="auto"/>
        </w:rPr>
        <w:tab/>
      </w:r>
      <w:r>
        <w:rPr>
          <w:rFonts w:ascii="Arial" w:cs="Arial" w:eastAsia="Arial" w:hAnsi="Arial"/>
          <w:sz w:val="14"/>
          <w:szCs w:val="14"/>
          <w:b w:val="1"/>
          <w:bCs w:val="1"/>
          <w:color w:val="auto"/>
        </w:rPr>
        <w:t>2,205.1</w:t>
      </w:r>
    </w:p>
    <w:p>
      <w:pPr>
        <w:spacing w:after="0" w:line="200" w:lineRule="exact"/>
        <w:rPr>
          <w:sz w:val="20"/>
          <w:szCs w:val="20"/>
          <w:color w:val="auto"/>
        </w:rPr>
      </w:pPr>
    </w:p>
    <w:p>
      <w:pPr>
        <w:spacing w:after="0" w:line="378" w:lineRule="exact"/>
        <w:rPr>
          <w:sz w:val="20"/>
          <w:szCs w:val="20"/>
          <w:color w:val="auto"/>
        </w:rPr>
      </w:pPr>
    </w:p>
    <w:p>
      <w:pPr>
        <w:ind w:left="400"/>
        <w:spacing w:after="0"/>
        <w:tabs>
          <w:tab w:leader="none" w:pos="24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61" w:lineRule="exact"/>
        <w:rPr>
          <w:sz w:val="20"/>
          <w:szCs w:val="20"/>
          <w:color w:val="auto"/>
        </w:rPr>
      </w:pPr>
    </w:p>
    <w:p>
      <w:pPr>
        <w:ind w:left="360"/>
        <w:spacing w:after="0"/>
        <w:tabs>
          <w:tab w:leader="none" w:pos="2360" w:val="left"/>
        </w:tabs>
        <w:rPr>
          <w:sz w:val="20"/>
          <w:szCs w:val="20"/>
          <w:color w:val="auto"/>
        </w:rPr>
      </w:pPr>
      <w:r>
        <w:rPr>
          <w:rFonts w:ascii="Arial" w:cs="Arial" w:eastAsia="Arial" w:hAnsi="Arial"/>
          <w:sz w:val="17"/>
          <w:szCs w:val="17"/>
          <w:color w:val="auto"/>
        </w:rPr>
        <w:t>0.9</w:t>
      </w:r>
      <w:r>
        <w:rPr>
          <w:sz w:val="20"/>
          <w:szCs w:val="20"/>
          <w:color w:val="auto"/>
        </w:rPr>
        <w:tab/>
      </w:r>
      <w:r>
        <w:rPr>
          <w:rFonts w:ascii="Arial" w:cs="Arial" w:eastAsia="Arial" w:hAnsi="Arial"/>
          <w:sz w:val="14"/>
          <w:szCs w:val="14"/>
          <w:color w:val="auto"/>
        </w:rPr>
        <w:t>0.9</w:t>
      </w:r>
    </w:p>
    <w:p>
      <w:pPr>
        <w:spacing w:after="0" w:line="61"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7"/>
          <w:szCs w:val="17"/>
          <w:color w:val="auto"/>
        </w:rPr>
        <w:t>1,095.2</w:t>
      </w:r>
      <w:r>
        <w:rPr>
          <w:sz w:val="20"/>
          <w:szCs w:val="20"/>
          <w:color w:val="auto"/>
        </w:rPr>
        <w:tab/>
      </w:r>
      <w:r>
        <w:rPr>
          <w:rFonts w:ascii="Arial" w:cs="Arial" w:eastAsia="Arial" w:hAnsi="Arial"/>
          <w:sz w:val="14"/>
          <w:szCs w:val="14"/>
          <w:color w:val="auto"/>
        </w:rPr>
        <w:t>1,093.5</w:t>
      </w:r>
    </w:p>
    <w:p>
      <w:pPr>
        <w:spacing w:after="0" w:line="61"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7"/>
          <w:szCs w:val="17"/>
          <w:color w:val="auto"/>
        </w:rPr>
        <w:t>2,130.9</w:t>
      </w:r>
      <w:r>
        <w:rPr>
          <w:sz w:val="20"/>
          <w:szCs w:val="20"/>
          <w:color w:val="auto"/>
        </w:rPr>
        <w:tab/>
      </w:r>
      <w:r>
        <w:rPr>
          <w:rFonts w:ascii="Arial" w:cs="Arial" w:eastAsia="Arial" w:hAnsi="Arial"/>
          <w:sz w:val="14"/>
          <w:szCs w:val="14"/>
          <w:color w:val="auto"/>
        </w:rPr>
        <w:t>2,148.7</w:t>
      </w:r>
    </w:p>
    <w:p>
      <w:pPr>
        <w:spacing w:after="0" w:line="61"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17"/>
          <w:szCs w:val="17"/>
          <w:color w:val="auto"/>
        </w:rPr>
        <w:t>(133.1)</w:t>
      </w:r>
      <w:r>
        <w:rPr>
          <w:sz w:val="20"/>
          <w:szCs w:val="20"/>
          <w:color w:val="auto"/>
        </w:rPr>
        <w:tab/>
      </w:r>
      <w:r>
        <w:rPr>
          <w:rFonts w:ascii="Arial" w:cs="Arial" w:eastAsia="Arial" w:hAnsi="Arial"/>
          <w:sz w:val="15"/>
          <w:szCs w:val="15"/>
          <w:color w:val="auto"/>
        </w:rPr>
        <w:t>(103.8)</w:t>
      </w:r>
    </w:p>
    <w:p>
      <w:pPr>
        <w:spacing w:after="0" w:line="61"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(3,412.2)</w:t>
      </w:r>
      <w:r>
        <w:rPr>
          <w:sz w:val="20"/>
          <w:szCs w:val="20"/>
          <w:color w:val="auto"/>
        </w:rPr>
        <w:tab/>
      </w:r>
      <w:r>
        <w:rPr>
          <w:rFonts w:ascii="Arial" w:cs="Arial" w:eastAsia="Arial" w:hAnsi="Arial"/>
          <w:sz w:val="15"/>
          <w:szCs w:val="15"/>
          <w:color w:val="auto"/>
        </w:rPr>
        <w:t>(3,309.5)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33020</wp:posOffset>
            </wp:positionV>
            <wp:extent cx="2451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7760" w:space="720"/>
            <w:col w:w="2740"/>
          </w:cols>
          <w:pgMar w:left="320" w:top="891" w:right="359" w:bottom="1440" w:gutter="0" w:footer="0" w:header="0"/>
          <w:type w:val="continuous"/>
        </w:sectPr>
      </w:pPr>
    </w:p>
    <w:tbl>
      <w:tblPr>
        <w:tblLayout w:type="fixed"/>
        <w:tblInd w:w="40" w:type="dxa"/>
        <w:tblCellMar>
          <w:top w:w="0" w:type="dxa"/>
          <w:left w:w="0" w:type="dxa"/>
          <w:bottom w:w="0" w:type="dxa"/>
          <w:right w:w="0" w:type="dxa"/>
        </w:tblCellMar>
      </w:tblPr>
      <w:tr>
        <w:trPr>
          <w:trHeight w:val="220"/>
        </w:trPr>
        <w:tc>
          <w:tcPr>
            <w:tcW w:w="7320" w:type="dxa"/>
            <w:vAlign w:val="bottom"/>
          </w:tcPr>
          <w:p>
            <w:pPr>
              <w:spacing w:after="0"/>
              <w:rPr>
                <w:sz w:val="20"/>
                <w:szCs w:val="20"/>
                <w:color w:val="auto"/>
              </w:rPr>
            </w:pPr>
            <w:r>
              <w:rPr>
                <w:rFonts w:ascii="Arial" w:cs="Arial" w:eastAsia="Arial" w:hAnsi="Arial"/>
                <w:sz w:val="17"/>
                <w:szCs w:val="17"/>
                <w:b w:val="1"/>
                <w:bCs w:val="1"/>
                <w:color w:val="auto"/>
              </w:rPr>
              <w:t>Total stockholders' deficit</w:t>
            </w:r>
          </w:p>
        </w:tc>
        <w:tc>
          <w:tcPr>
            <w:tcW w:w="64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(318.3)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(170.2)</w:t>
            </w:r>
          </w:p>
        </w:tc>
      </w:tr>
      <w:tr>
        <w:trPr>
          <w:trHeight w:val="31"/>
        </w:trPr>
        <w:tc>
          <w:tcPr>
            <w:tcW w:w="73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deficit</w:t>
            </w: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2,128.4</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2,034.9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18"/>
                <w:szCs w:val="18"/>
                <w:color w:val="auto"/>
              </w:rPr>
            </w:pPr>
          </w:p>
        </w:tc>
        <w:tc>
          <w:tcPr>
            <w:tcW w:w="258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color w:val="auto"/>
                <w:w w:val="94"/>
              </w:rPr>
              <w:t>For the Three Months Ended March</w:t>
            </w: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6"/>
                <w:szCs w:val="16"/>
                <w:b w:val="1"/>
                <w:bCs w:val="1"/>
                <w:color w:val="auto"/>
                <w:w w:val="89"/>
              </w:rPr>
              <w:t>31,</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790.3</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3"/>
        </w:trPr>
        <w:tc>
          <w:tcPr>
            <w:tcW w:w="8600" w:type="dxa"/>
            <w:vAlign w:val="bottom"/>
          </w:tcPr>
          <w:p>
            <w:pPr>
              <w:ind w:left="100"/>
              <w:spacing w:after="0"/>
              <w:rPr>
                <w:sz w:val="20"/>
                <w:szCs w:val="20"/>
                <w:color w:val="auto"/>
              </w:rPr>
            </w:pPr>
            <w:r>
              <w:rPr>
                <w:rFonts w:ascii="Arial" w:cs="Arial" w:eastAsia="Arial" w:hAnsi="Arial"/>
                <w:sz w:val="18"/>
                <w:szCs w:val="18"/>
                <w:color w:val="auto"/>
              </w:rPr>
              <w:t>(Gains) losses and other expenses,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600" w:type="dxa"/>
            <w:vAlign w:val="bottom"/>
          </w:tcPr>
          <w:p>
            <w:pPr>
              <w:ind w:left="100"/>
              <w:spacing w:after="0"/>
              <w:rPr>
                <w:sz w:val="20"/>
                <w:szCs w:val="20"/>
                <w:color w:val="auto"/>
              </w:rPr>
            </w:pPr>
            <w:r>
              <w:rPr>
                <w:rFonts w:ascii="Arial" w:cs="Arial" w:eastAsia="Arial" w:hAnsi="Arial"/>
                <w:sz w:val="18"/>
                <w:szCs w:val="18"/>
                <w:color w:val="auto"/>
              </w:rPr>
              <w:t>Loss on sale of business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Insurance proceeds for lost profits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8600" w:type="dxa"/>
            <w:vAlign w:val="bottom"/>
          </w:tcPr>
          <w:p>
            <w:pPr>
              <w:ind w:left="100"/>
              <w:spacing w:after="0"/>
              <w:rPr>
                <w:sz w:val="20"/>
                <w:szCs w:val="20"/>
                <w:color w:val="auto"/>
              </w:rPr>
            </w:pPr>
            <w:r>
              <w:rPr>
                <w:rFonts w:ascii="Arial" w:cs="Arial" w:eastAsia="Arial" w:hAnsi="Arial"/>
                <w:sz w:val="18"/>
                <w:szCs w:val="18"/>
                <w:color w:val="auto"/>
              </w:rPr>
              <w:t>Loss (gain) from natural disaster, net of insurance recoveries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from equity method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94.7</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69.4</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b w:val="1"/>
                <w:bCs w:val="1"/>
                <w:i w:val="1"/>
                <w:iCs w:val="1"/>
                <w:color w:val="auto"/>
              </w:rPr>
              <w:t>Discontinued Operations: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Loss from discontinued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60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4"/>
        </w:trPr>
        <w:tc>
          <w:tcPr>
            <w:tcW w:w="86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69.3</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600" w:type="dxa"/>
            <w:vAlign w:val="bottom"/>
          </w:tcPr>
          <w:p>
            <w:pPr>
              <w:ind w:left="10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600" w:type="dxa"/>
            <w:vAlign w:val="bottom"/>
          </w:tcPr>
          <w:p>
            <w:pPr>
              <w:ind w:left="10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256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For the Three Months Ended March</w:t>
            </w:r>
          </w:p>
        </w:tc>
      </w:tr>
      <w:tr>
        <w:trPr>
          <w:trHeight w:val="210"/>
        </w:trPr>
        <w:tc>
          <w:tcPr>
            <w:tcW w:w="86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89"/>
              </w:rPr>
              <w:t>31,</w:t>
            </w:r>
          </w:p>
        </w:tc>
        <w:tc>
          <w:tcPr>
            <w:tcW w:w="940" w:type="dxa"/>
            <w:vAlign w:val="bottom"/>
          </w:tcPr>
          <w:p>
            <w:pPr>
              <w:spacing w:after="0"/>
              <w:rPr>
                <w:sz w:val="18"/>
                <w:szCs w:val="18"/>
                <w:color w:val="auto"/>
              </w:rPr>
            </w:pPr>
          </w:p>
        </w:tc>
      </w:tr>
      <w:tr>
        <w:trPr>
          <w:trHeight w:val="33"/>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69.3</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r>
      <w:tr>
        <w:trPr>
          <w:trHeight w:val="243"/>
        </w:trPr>
        <w:tc>
          <w:tcPr>
            <w:tcW w:w="8640" w:type="dxa"/>
            <w:vAlign w:val="bottom"/>
          </w:tcPr>
          <w:p>
            <w:pPr>
              <w:ind w:left="200"/>
              <w:spacing w:after="0"/>
              <w:rPr>
                <w:sz w:val="20"/>
                <w:szCs w:val="20"/>
                <w:color w:val="auto"/>
              </w:rPr>
            </w:pPr>
            <w:r>
              <w:rPr>
                <w:rFonts w:ascii="Arial" w:cs="Arial" w:eastAsia="Arial" w:hAnsi="Arial"/>
                <w:sz w:val="18"/>
                <w:szCs w:val="18"/>
                <w:color w:val="auto"/>
              </w:rPr>
              <w:t>Reclassification of foreign currency translation adjustments into earnings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change in pension and post-retirement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8640" w:type="dxa"/>
            <w:vAlign w:val="bottom"/>
          </w:tcPr>
          <w:p>
            <w:pPr>
              <w:ind w:left="20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change in fair value of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r>
      <w:tr>
        <w:trPr>
          <w:trHeight w:val="243"/>
        </w:trPr>
        <w:tc>
          <w:tcPr>
            <w:tcW w:w="8640" w:type="dxa"/>
            <w:vAlign w:val="bottom"/>
          </w:tcPr>
          <w:p>
            <w:pPr>
              <w:ind w:left="200"/>
              <w:spacing w:after="0"/>
              <w:rPr>
                <w:sz w:val="20"/>
                <w:szCs w:val="20"/>
                <w:color w:val="auto"/>
              </w:rPr>
            </w:pPr>
            <w:r>
              <w:rPr>
                <w:rFonts w:ascii="Arial" w:cs="Arial" w:eastAsia="Arial" w:hAnsi="Arial"/>
                <w:sz w:val="18"/>
                <w:szCs w:val="18"/>
                <w:color w:val="auto"/>
              </w:rPr>
              <w:t>Reclassification of cash flow hedge losses into earnings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2.4</w:t>
            </w:r>
          </w:p>
        </w:tc>
      </w:tr>
      <w:tr>
        <w:trPr>
          <w:trHeight w:val="27"/>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comprehensive (loss) income before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8.6</w:t>
            </w:r>
          </w:p>
        </w:tc>
      </w:tr>
      <w:tr>
        <w:trPr>
          <w:trHeight w:val="263"/>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77.9</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months ended March 31, 2020 and 2019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1"/>
              </w:rPr>
              <w:t>Accumulated</w:t>
            </w:r>
          </w:p>
        </w:tc>
        <w:tc>
          <w:tcPr>
            <w:tcW w:w="1500" w:type="dxa"/>
            <w:vAlign w:val="bottom"/>
            <w:gridSpan w:val="8"/>
            <w:vMerge w:val="restart"/>
          </w:tcPr>
          <w:p>
            <w:pPr>
              <w:jc w:val="center"/>
              <w:ind w:right="140"/>
              <w:spacing w:after="0"/>
              <w:rPr>
                <w:sz w:val="20"/>
                <w:szCs w:val="20"/>
                <w:color w:val="auto"/>
              </w:rPr>
            </w:pPr>
            <w:r>
              <w:rPr>
                <w:rFonts w:ascii="Arial" w:cs="Arial" w:eastAsia="Arial" w:hAnsi="Arial"/>
                <w:sz w:val="15"/>
                <w:szCs w:val="15"/>
                <w:b w:val="1"/>
                <w:bCs w:val="1"/>
                <w:color w:val="auto"/>
                <w:w w:val="92"/>
              </w:rPr>
              <w:t>Treasury Stock at</w:t>
            </w: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ind w:left="20"/>
              <w:spacing w:after="0" w:line="162" w:lineRule="exact"/>
              <w:rPr>
                <w:sz w:val="20"/>
                <w:szCs w:val="20"/>
                <w:color w:val="auto"/>
              </w:rPr>
            </w:pPr>
            <w:r>
              <w:rPr>
                <w:rFonts w:ascii="Arial" w:cs="Arial" w:eastAsia="Arial" w:hAnsi="Arial"/>
                <w:sz w:val="15"/>
                <w:szCs w:val="15"/>
                <w:b w:val="1"/>
                <w:bCs w:val="1"/>
                <w:color w:val="auto"/>
                <w:w w:val="95"/>
              </w:rPr>
              <w:t>Common</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jc w:val="center"/>
              <w:spacing w:after="0" w:line="162" w:lineRule="exact"/>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3"/>
            <w:vMerge w:val="restart"/>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Other</w:t>
            </w:r>
          </w:p>
        </w:tc>
        <w:tc>
          <w:tcPr>
            <w:tcW w:w="1500" w:type="dxa"/>
            <w:vAlign w:val="bottom"/>
            <w:gridSpan w:val="8"/>
            <w:vMerge w:val="continue"/>
          </w:tcPr>
          <w:p>
            <w:pPr>
              <w:spacing w:after="0"/>
              <w:rPr>
                <w:sz w:val="4"/>
                <w:szCs w:val="4"/>
                <w:color w:val="auto"/>
              </w:rPr>
            </w:pPr>
          </w:p>
        </w:tc>
        <w:tc>
          <w:tcPr>
            <w:tcW w:w="920" w:type="dxa"/>
            <w:vAlign w:val="bottom"/>
            <w:gridSpan w:val="3"/>
            <w:vMerge w:val="restart"/>
          </w:tcPr>
          <w:p>
            <w:pP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7"/>
            <w:vMerge w:val="restart"/>
          </w:tcPr>
          <w:p>
            <w:pPr>
              <w:jc w:val="center"/>
              <w:ind w:right="640"/>
              <w:spacing w:after="0"/>
              <w:rPr>
                <w:sz w:val="20"/>
                <w:szCs w:val="20"/>
                <w:color w:val="auto"/>
              </w:rPr>
            </w:pPr>
            <w:r>
              <w:rPr>
                <w:rFonts w:ascii="Arial" w:cs="Arial" w:eastAsia="Arial" w:hAnsi="Arial"/>
                <w:sz w:val="15"/>
                <w:szCs w:val="15"/>
                <w:b w:val="1"/>
                <w:bCs w:val="1"/>
                <w:color w:val="auto"/>
                <w:w w:val="89"/>
              </w:rPr>
              <w:t>Cost</w:t>
            </w: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jc w:val="center"/>
              <w:ind w:right="100"/>
              <w:spacing w:after="0" w:line="162" w:lineRule="exact"/>
              <w:rPr>
                <w:sz w:val="20"/>
                <w:szCs w:val="20"/>
                <w:color w:val="auto"/>
              </w:rPr>
            </w:pPr>
            <w:r>
              <w:rPr>
                <w:rFonts w:ascii="Arial" w:cs="Arial" w:eastAsia="Arial" w:hAnsi="Arial"/>
                <w:sz w:val="15"/>
                <w:szCs w:val="15"/>
                <w:b w:val="1"/>
                <w:bCs w:val="1"/>
                <w:color w:val="auto"/>
                <w:w w:val="92"/>
              </w:rPr>
              <w:t>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restart"/>
          </w:tcPr>
          <w:p>
            <w:pPr>
              <w:jc w:val="center"/>
              <w:spacing w:after="0" w:line="162" w:lineRule="exact"/>
              <w:rPr>
                <w:sz w:val="20"/>
                <w:szCs w:val="20"/>
                <w:color w:val="auto"/>
              </w:rPr>
            </w:pPr>
            <w:r>
              <w:rPr>
                <w:rFonts w:ascii="Arial" w:cs="Arial" w:eastAsia="Arial" w:hAnsi="Arial"/>
                <w:sz w:val="15"/>
                <w:szCs w:val="15"/>
                <w:b w:val="1"/>
                <w:bCs w:val="1"/>
                <w:color w:val="auto"/>
                <w:w w:val="99"/>
              </w:rPr>
              <w:t>Paid-In</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ind w:left="60"/>
              <w:spacing w:after="0" w:line="162" w:lineRule="exact"/>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4"/>
            <w:vMerge w:val="restart"/>
          </w:tcPr>
          <w:p>
            <w:pPr>
              <w:jc w:val="center"/>
              <w:ind w:right="10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520" w:type="dxa"/>
            <w:vAlign w:val="bottom"/>
          </w:tcPr>
          <w:p>
            <w:pPr>
              <w:spacing w:after="0"/>
              <w:rPr>
                <w:sz w:val="8"/>
                <w:szCs w:val="8"/>
                <w:color w:val="auto"/>
              </w:rPr>
            </w:pPr>
          </w:p>
        </w:tc>
        <w:tc>
          <w:tcPr>
            <w:tcW w:w="98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140"/>
              <w:spacing w:after="0" w:line="162"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i w:val="1"/>
                <w:iCs w:val="1"/>
                <w:color w:val="auto"/>
              </w:rPr>
              <w:t>(For the three months ended March 31, 2020)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Issued</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95"/>
              </w:rPr>
              <w:t>Capital</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9"/>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85"/>
              </w:rPr>
              <w:t>Loss</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gridSpan w:val="3"/>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$ 1,093.5</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$ 2,148.7</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(103.8)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86"/>
              </w:rPr>
              <w:t>$ 48.6</w:t>
            </w:r>
          </w:p>
        </w:tc>
        <w:tc>
          <w:tcPr>
            <w:tcW w:w="860" w:type="dxa"/>
            <w:vAlign w:val="bottom"/>
            <w:gridSpan w:val="4"/>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(3,309.5)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(170.2)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00"/>
              <w:spacing w:after="0"/>
              <w:rPr>
                <w:sz w:val="20"/>
                <w:szCs w:val="20"/>
                <w:color w:val="auto"/>
              </w:rPr>
            </w:pPr>
            <w:r>
              <w:rPr>
                <w:rFonts w:ascii="Arial" w:cs="Arial" w:eastAsia="Arial" w:hAnsi="Arial"/>
                <w:sz w:val="15"/>
                <w:szCs w:val="15"/>
                <w:color w:val="auto"/>
                <w:w w:val="93"/>
              </w:rPr>
              <w:t>Cumulative effect adjustment upon adoption of new accounting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200"/>
              <w:spacing w:after="0"/>
              <w:rPr>
                <w:sz w:val="20"/>
                <w:szCs w:val="20"/>
                <w:color w:val="auto"/>
              </w:rPr>
            </w:pPr>
            <w:r>
              <w:rPr>
                <w:rFonts w:ascii="Arial" w:cs="Arial" w:eastAsia="Arial" w:hAnsi="Arial"/>
                <w:sz w:val="15"/>
                <w:szCs w:val="15"/>
                <w:color w:val="auto"/>
              </w:rPr>
              <w:t>standard (ASU 2016-13)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income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Arial" w:cs="Arial" w:eastAsia="Arial" w:hAnsi="Arial"/>
                <w:sz w:val="15"/>
                <w:szCs w:val="15"/>
                <w:color w:val="auto"/>
              </w:rPr>
              <w:t>Dividends, $0.77 per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(29.4)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00"/>
              <w:spacing w:after="0"/>
              <w:rPr>
                <w:sz w:val="20"/>
                <w:szCs w:val="20"/>
                <w:color w:val="auto"/>
              </w:rPr>
            </w:pPr>
            <w:r>
              <w:rPr>
                <w:rFonts w:ascii="Arial" w:cs="Arial" w:eastAsia="Arial" w:hAnsi="Arial"/>
                <w:sz w:val="15"/>
                <w:szCs w:val="15"/>
                <w:color w:val="auto"/>
              </w:rPr>
              <w:t>Pension and post-retirement liability changes, net of tax</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200"/>
              <w:spacing w:after="0"/>
              <w:rPr>
                <w:sz w:val="20"/>
                <w:szCs w:val="20"/>
                <w:color w:val="auto"/>
              </w:rPr>
            </w:pPr>
            <w:r>
              <w:rPr>
                <w:rFonts w:ascii="Arial" w:cs="Arial" w:eastAsia="Arial" w:hAnsi="Arial"/>
                <w:sz w:val="15"/>
                <w:szCs w:val="15"/>
                <w:color w:val="auto"/>
              </w:rPr>
              <w:t>expense of $0.2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4"/>
              <w:spacing w:after="0"/>
              <w:rPr>
                <w:sz w:val="20"/>
                <w:szCs w:val="20"/>
                <w:color w:val="auto"/>
              </w:rPr>
            </w:pPr>
            <w:r>
              <w:rPr>
                <w:rFonts w:ascii="Arial" w:cs="Arial" w:eastAsia="Arial" w:hAnsi="Arial"/>
                <w:sz w:val="15"/>
                <w:szCs w:val="15"/>
                <w:color w:val="auto"/>
              </w:rPr>
              <w:t>3.7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Arial" w:cs="Arial" w:eastAsia="Arial" w:hAnsi="Arial"/>
                <w:sz w:val="15"/>
                <w:szCs w:val="15"/>
                <w:color w:val="auto"/>
              </w:rPr>
              <w:t>Change in cash flow hedges, net of tax benefit of $3.9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(9.6)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(0.1)</w:t>
            </w:r>
          </w:p>
        </w:tc>
        <w:tc>
          <w:tcPr>
            <w:tcW w:w="860" w:type="dxa"/>
            <w:vAlign w:val="bottom"/>
            <w:gridSpan w:val="4"/>
            <w:shd w:val="clear" w:color="auto" w:fill="CCEEFF"/>
          </w:tcPr>
          <w:p>
            <w:pPr>
              <w:jc w:val="right"/>
              <w:ind w:right="64"/>
              <w:spacing w:after="0"/>
              <w:rPr>
                <w:sz w:val="20"/>
                <w:szCs w:val="20"/>
                <w:color w:val="auto"/>
              </w:rPr>
            </w:pPr>
            <w:r>
              <w:rPr>
                <w:rFonts w:ascii="Arial" w:cs="Arial" w:eastAsia="Arial" w:hAnsi="Arial"/>
                <w:sz w:val="15"/>
                <w:szCs w:val="15"/>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Treasury stock purchases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0.4</w:t>
            </w:r>
          </w:p>
        </w:tc>
        <w:tc>
          <w:tcPr>
            <w:tcW w:w="80" w:type="dxa"/>
            <w:vAlign w:val="bottom"/>
            <w:tcBorders>
              <w:bottom w:val="single" w:sz="8" w:color="CCEEFF"/>
            </w:tcBorders>
            <w:gridSpan w:val="2"/>
          </w:tcPr>
          <w:p>
            <w:pPr>
              <w:spacing w:after="0"/>
              <w:rPr>
                <w:sz w:val="18"/>
                <w:szCs w:val="18"/>
                <w:color w:val="auto"/>
              </w:rPr>
            </w:pPr>
          </w:p>
        </w:tc>
        <w:tc>
          <w:tcPr>
            <w:tcW w:w="7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(105.5)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(105.5)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2"/>
              </w:rPr>
              <w:t>$ 1,095.2</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$ 2,130.9</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(133.1)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48.9</w:t>
            </w:r>
          </w:p>
        </w:tc>
        <w:tc>
          <w:tcPr>
            <w:tcW w:w="8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0"/>
              </w:rPr>
              <w:t>$ (3,412.2)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(318.3)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1"/>
              </w:rPr>
              <w:t>Accumulated</w:t>
            </w:r>
          </w:p>
        </w:tc>
        <w:tc>
          <w:tcPr>
            <w:tcW w:w="1500" w:type="dxa"/>
            <w:vAlign w:val="bottom"/>
            <w:gridSpan w:val="8"/>
            <w:vMerge w:val="restart"/>
          </w:tcPr>
          <w:p>
            <w:pPr>
              <w:jc w:val="center"/>
              <w:ind w:right="100"/>
              <w:spacing w:after="0"/>
              <w:rPr>
                <w:sz w:val="20"/>
                <w:szCs w:val="20"/>
                <w:color w:val="auto"/>
              </w:rPr>
            </w:pPr>
            <w:r>
              <w:rPr>
                <w:rFonts w:ascii="Arial" w:cs="Arial" w:eastAsia="Arial" w:hAnsi="Arial"/>
                <w:sz w:val="15"/>
                <w:szCs w:val="15"/>
                <w:b w:val="1"/>
                <w:bCs w:val="1"/>
                <w:color w:val="auto"/>
                <w:w w:val="92"/>
              </w:rPr>
              <w:t>Treasury Stock at</w:t>
            </w:r>
          </w:p>
        </w:tc>
        <w:tc>
          <w:tcPr>
            <w:tcW w:w="12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740" w:type="dxa"/>
            <w:vAlign w:val="bottom"/>
            <w:gridSpan w:val="4"/>
            <w:vMerge w:val="restart"/>
          </w:tcPr>
          <w:p>
            <w:pPr>
              <w:ind w:left="20"/>
              <w:spacing w:after="0" w:line="162" w:lineRule="exact"/>
              <w:rPr>
                <w:sz w:val="20"/>
                <w:szCs w:val="20"/>
                <w:color w:val="auto"/>
              </w:rPr>
            </w:pPr>
            <w:r>
              <w:rPr>
                <w:rFonts w:ascii="Arial" w:cs="Arial" w:eastAsia="Arial" w:hAnsi="Arial"/>
                <w:sz w:val="15"/>
                <w:szCs w:val="15"/>
                <w:b w:val="1"/>
                <w:bCs w:val="1"/>
                <w:color w:val="auto"/>
              </w:rPr>
              <w:t>Common</w:t>
            </w:r>
          </w:p>
        </w:tc>
        <w:tc>
          <w:tcPr>
            <w:tcW w:w="20" w:type="dxa"/>
            <w:vAlign w:val="bottom"/>
          </w:tcPr>
          <w:p>
            <w:pPr>
              <w:spacing w:after="0"/>
              <w:rPr>
                <w:sz w:val="4"/>
                <w:szCs w:val="4"/>
                <w:color w:val="auto"/>
              </w:rPr>
            </w:pPr>
          </w:p>
        </w:tc>
        <w:tc>
          <w:tcPr>
            <w:tcW w:w="800" w:type="dxa"/>
            <w:vAlign w:val="bottom"/>
            <w:gridSpan w:val="3"/>
            <w:vMerge w:val="restart"/>
          </w:tcPr>
          <w:p>
            <w:pPr>
              <w:jc w:val="center"/>
              <w:ind w:right="60"/>
              <w:spacing w:after="0" w:line="162" w:lineRule="exact"/>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3"/>
            <w:vMerge w:val="restart"/>
          </w:tcPr>
          <w:p>
            <w:pPr>
              <w:jc w:val="center"/>
              <w:ind w:right="320"/>
              <w:spacing w:after="0" w:line="162" w:lineRule="exact"/>
              <w:rPr>
                <w:sz w:val="20"/>
                <w:szCs w:val="20"/>
                <w:color w:val="auto"/>
              </w:rPr>
            </w:pPr>
            <w:r>
              <w:rPr>
                <w:rFonts w:ascii="Arial" w:cs="Arial" w:eastAsia="Arial" w:hAnsi="Arial"/>
                <w:sz w:val="15"/>
                <w:szCs w:val="15"/>
                <w:b w:val="1"/>
                <w:bCs w:val="1"/>
                <w:color w:val="auto"/>
                <w:w w:val="94"/>
              </w:rPr>
              <w:t>Other</w:t>
            </w:r>
          </w:p>
        </w:tc>
        <w:tc>
          <w:tcPr>
            <w:tcW w:w="1500" w:type="dxa"/>
            <w:vAlign w:val="bottom"/>
            <w:gridSpan w:val="8"/>
            <w:vMerge w:val="continue"/>
          </w:tcPr>
          <w:p>
            <w:pPr>
              <w:spacing w:after="0"/>
              <w:rPr>
                <w:sz w:val="4"/>
                <w:szCs w:val="4"/>
                <w:color w:val="auto"/>
              </w:rPr>
            </w:pPr>
          </w:p>
        </w:tc>
        <w:tc>
          <w:tcPr>
            <w:tcW w:w="920" w:type="dxa"/>
            <w:vAlign w:val="bottom"/>
            <w:gridSpan w:val="3"/>
            <w:vMerge w:val="restart"/>
          </w:tcPr>
          <w:p>
            <w:pP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vMerge w:val="restart"/>
          </w:tcPr>
          <w:p>
            <w:pPr>
              <w:jc w:val="center"/>
              <w:ind w:right="660"/>
              <w:spacing w:after="0"/>
              <w:rPr>
                <w:sz w:val="20"/>
                <w:szCs w:val="20"/>
                <w:color w:val="auto"/>
              </w:rPr>
            </w:pPr>
            <w:r>
              <w:rPr>
                <w:rFonts w:ascii="Arial" w:cs="Arial" w:eastAsia="Arial" w:hAnsi="Arial"/>
                <w:sz w:val="15"/>
                <w:szCs w:val="15"/>
                <w:b w:val="1"/>
                <w:bCs w:val="1"/>
                <w:color w:val="auto"/>
                <w:w w:val="89"/>
              </w:rPr>
              <w:t>Cost</w:t>
            </w: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ind w:left="60"/>
              <w:spacing w:after="0" w:line="162" w:lineRule="exact"/>
              <w:rPr>
                <w:sz w:val="20"/>
                <w:szCs w:val="20"/>
                <w:color w:val="auto"/>
              </w:rPr>
            </w:pPr>
            <w:r>
              <w:rPr>
                <w:rFonts w:ascii="Arial" w:cs="Arial" w:eastAsia="Arial" w:hAnsi="Arial"/>
                <w:sz w:val="15"/>
                <w:szCs w:val="15"/>
                <w:b w:val="1"/>
                <w:bCs w:val="1"/>
                <w:color w:val="auto"/>
              </w:rPr>
              <w:t>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restart"/>
          </w:tcPr>
          <w:p>
            <w:pPr>
              <w:jc w:val="center"/>
              <w:ind w:right="120"/>
              <w:spacing w:after="0" w:line="162" w:lineRule="exact"/>
              <w:rPr>
                <w:sz w:val="20"/>
                <w:szCs w:val="20"/>
                <w:color w:val="auto"/>
              </w:rPr>
            </w:pPr>
            <w:r>
              <w:rPr>
                <w:rFonts w:ascii="Arial" w:cs="Arial" w:eastAsia="Arial" w:hAnsi="Arial"/>
                <w:sz w:val="15"/>
                <w:szCs w:val="15"/>
                <w:b w:val="1"/>
                <w:bCs w:val="1"/>
                <w:color w:val="auto"/>
                <w:w w:val="99"/>
              </w:rPr>
              <w:t>Paid-In</w:t>
            </w:r>
          </w:p>
        </w:tc>
        <w:tc>
          <w:tcPr>
            <w:tcW w:w="20" w:type="dxa"/>
            <w:vAlign w:val="bottom"/>
          </w:tcPr>
          <w:p>
            <w:pPr>
              <w:spacing w:after="0"/>
              <w:rPr>
                <w:sz w:val="8"/>
                <w:szCs w:val="8"/>
                <w:color w:val="auto"/>
              </w:rPr>
            </w:pPr>
          </w:p>
        </w:tc>
        <w:tc>
          <w:tcPr>
            <w:tcW w:w="780" w:type="dxa"/>
            <w:vAlign w:val="bottom"/>
            <w:gridSpan w:val="3"/>
            <w:vMerge w:val="restart"/>
          </w:tcPr>
          <w:p>
            <w:pPr>
              <w:ind w:left="60"/>
              <w:spacing w:after="0" w:line="162" w:lineRule="exact"/>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8"/>
                <w:szCs w:val="8"/>
                <w:color w:val="auto"/>
              </w:rPr>
            </w:pPr>
          </w:p>
        </w:tc>
        <w:tc>
          <w:tcPr>
            <w:tcW w:w="1160" w:type="dxa"/>
            <w:vAlign w:val="bottom"/>
            <w:gridSpan w:val="5"/>
            <w:vMerge w:val="restart"/>
          </w:tcPr>
          <w:p>
            <w:pPr>
              <w:ind w:left="20"/>
              <w:spacing w:after="0" w:line="162" w:lineRule="exact"/>
              <w:rPr>
                <w:sz w:val="20"/>
                <w:szCs w:val="20"/>
                <w:color w:val="auto"/>
              </w:rPr>
            </w:pPr>
            <w:r>
              <w:rPr>
                <w:rFonts w:ascii="Arial" w:cs="Arial" w:eastAsia="Arial" w:hAnsi="Arial"/>
                <w:sz w:val="15"/>
                <w:szCs w:val="15"/>
                <w:b w:val="1"/>
                <w:bCs w:val="1"/>
                <w:color w:val="auto"/>
                <w:w w:val="99"/>
              </w:rPr>
              <w:t>Comprehensive</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160"/>
              <w:spacing w:after="0" w:line="162" w:lineRule="exact"/>
              <w:rPr>
                <w:sz w:val="20"/>
                <w:szCs w:val="20"/>
                <w:color w:val="auto"/>
              </w:rPr>
            </w:pPr>
            <w:r>
              <w:rPr>
                <w:rFonts w:ascii="Arial" w:cs="Arial" w:eastAsia="Arial" w:hAnsi="Arial"/>
                <w:sz w:val="15"/>
                <w:szCs w:val="15"/>
                <w:b w:val="1"/>
                <w:bCs w:val="1"/>
                <w:color w:val="auto"/>
                <w:w w:val="93"/>
              </w:rPr>
              <w:t>(Deficit)</w:t>
            </w: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i w:val="1"/>
                <w:iCs w:val="1"/>
                <w:color w:val="auto"/>
              </w:rPr>
              <w:t>(For the three months ended March 31, 2019)</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Issued</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5"/>
              </w:rPr>
              <w:t>Capital</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6"/>
              </w:rPr>
              <w:t>Earnings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5"/>
              </w:rPr>
              <w:t>Loss</w:t>
            </w:r>
          </w:p>
        </w:tc>
        <w:tc>
          <w:tcPr>
            <w:tcW w:w="12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0.9</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2"/>
              </w:rPr>
              <w:t>$ 1,078.8</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2"/>
              </w:rPr>
              <w:t>$ 1,855.0</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(188.8)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1"/>
              </w:rPr>
              <w:t>$ 47.3</w:t>
            </w:r>
          </w:p>
        </w:tc>
        <w:tc>
          <w:tcPr>
            <w:tcW w:w="86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 (2,895.5)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20"/>
              <w:spacing w:after="0"/>
              <w:rPr>
                <w:sz w:val="20"/>
                <w:szCs w:val="20"/>
                <w:color w:val="auto"/>
              </w:rPr>
            </w:pPr>
            <w:r>
              <w:rPr>
                <w:rFonts w:ascii="Arial" w:cs="Arial" w:eastAsia="Arial" w:hAnsi="Arial"/>
                <w:sz w:val="15"/>
                <w:szCs w:val="15"/>
                <w:color w:val="auto"/>
              </w:rPr>
              <w:t>Cumulative effect adjustment upon adoption of new</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220"/>
              <w:spacing w:after="0"/>
              <w:rPr>
                <w:sz w:val="20"/>
                <w:szCs w:val="20"/>
                <w:color w:val="auto"/>
              </w:rPr>
            </w:pPr>
            <w:r>
              <w:rPr>
                <w:rFonts w:ascii="Arial" w:cs="Arial" w:eastAsia="Arial" w:hAnsi="Arial"/>
                <w:sz w:val="15"/>
                <w:szCs w:val="15"/>
                <w:color w:val="auto"/>
              </w:rPr>
              <w:t>accounting standard (ASC 842)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CCEEFF"/>
          </w:tcPr>
          <w:p>
            <w:pPr>
              <w:jc w:val="right"/>
              <w:ind w:right="44"/>
              <w:spacing w:after="0"/>
              <w:rPr>
                <w:sz w:val="20"/>
                <w:szCs w:val="20"/>
                <w:color w:val="auto"/>
              </w:rPr>
            </w:pPr>
            <w:r>
              <w:rPr>
                <w:rFonts w:ascii="Arial" w:cs="Arial" w:eastAsia="Arial" w:hAnsi="Arial"/>
                <w:sz w:val="15"/>
                <w:szCs w:val="15"/>
                <w:color w:val="auto"/>
              </w:rPr>
              <w:t>69.3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Dividends, $0.64 per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ind w:right="4"/>
              <w:spacing w:after="0"/>
              <w:rPr>
                <w:sz w:val="20"/>
                <w:szCs w:val="20"/>
                <w:color w:val="auto"/>
              </w:rPr>
            </w:pPr>
            <w:r>
              <w:rPr>
                <w:rFonts w:ascii="Arial" w:cs="Arial" w:eastAsia="Arial" w:hAnsi="Arial"/>
                <w:sz w:val="15"/>
                <w:szCs w:val="15"/>
                <w:color w:val="auto"/>
              </w:rPr>
              <w:t>(25.3)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Pension and post-retirement liability changes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Change in cash flow hedges, net of tax expense of $2.3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44"/>
              <w:spacing w:after="0"/>
              <w:rPr>
                <w:sz w:val="20"/>
                <w:szCs w:val="20"/>
                <w:color w:val="auto"/>
              </w:rPr>
            </w:pPr>
            <w:r>
              <w:rPr>
                <w:rFonts w:ascii="Arial" w:cs="Arial" w:eastAsia="Arial" w:hAnsi="Arial"/>
                <w:sz w:val="15"/>
                <w:szCs w:val="15"/>
                <w:color w:val="auto"/>
              </w:rPr>
              <w:t>(4.6)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w:t>
            </w:r>
          </w:p>
        </w:tc>
        <w:tc>
          <w:tcPr>
            <w:tcW w:w="860" w:type="dxa"/>
            <w:vAlign w:val="bottom"/>
            <w:gridSpan w:val="4"/>
            <w:shd w:val="clear" w:color="auto" w:fill="CCEEFF"/>
          </w:tcPr>
          <w:p>
            <w:pPr>
              <w:jc w:val="right"/>
              <w:ind w:right="44"/>
              <w:spacing w:after="0"/>
              <w:rPr>
                <w:sz w:val="20"/>
                <w:szCs w:val="20"/>
                <w:color w:val="auto"/>
              </w:rPr>
            </w:pPr>
            <w:r>
              <w:rPr>
                <w:rFonts w:ascii="Arial" w:cs="Arial" w:eastAsia="Arial" w:hAnsi="Arial"/>
                <w:sz w:val="15"/>
                <w:szCs w:val="15"/>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stock purchases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18"/>
                <w:szCs w:val="18"/>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0.5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(113.5)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2019</w:t>
            </w: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89"/>
              </w:rPr>
              <w:t>$ 1,079.4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89"/>
              </w:rPr>
              <w:t>$ 1,898.7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(180.2)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47.6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0"/>
              </w:rPr>
              <w:t>$ (3,003.6)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895" w:right="8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60" w:type="dxa"/>
            <w:vAlign w:val="bottom"/>
            <w:tcBorders>
              <w:bottom w:val="single" w:sz="8" w:color="auto"/>
            </w:tcBorders>
            <w:shd w:val="clear" w:color="auto" w:fill="CCEEFF"/>
          </w:tcPr>
          <w:p>
            <w:pPr>
              <w:spacing w:after="0"/>
              <w:rPr>
                <w:sz w:val="17"/>
                <w:szCs w:val="17"/>
                <w:color w:val="auto"/>
              </w:rPr>
            </w:pPr>
          </w:p>
        </w:tc>
        <w:tc>
          <w:tcPr>
            <w:tcW w:w="3100" w:type="dxa"/>
            <w:vAlign w:val="bottom"/>
            <w:tcBorders>
              <w:bottom w:val="single" w:sz="8" w:color="auto"/>
            </w:tcBorders>
            <w:gridSpan w:val="4"/>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0"/>
        </w:trPr>
        <w:tc>
          <w:tcPr>
            <w:tcW w:w="7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8"/>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operating activities:</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69.3</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Loss on sale of business</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8.5</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Income from equity method investments</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Restructuring charges, net of cash paid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Provision for bad debts</w:t>
            </w:r>
          </w:p>
        </w:tc>
        <w:tc>
          <w:tcPr>
            <w:tcW w:w="26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Unrealized losses (gains) on derivative contracts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5.2</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15.5</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Pension expense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Pension contributions</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items, net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r>
      <w:tr>
        <w:trPr>
          <w:trHeight w:val="196"/>
        </w:trPr>
        <w:tc>
          <w:tcPr>
            <w:tcW w:w="788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of divestitures: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and notes receivable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(120.9)</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09"/>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196"/>
        </w:trPr>
        <w:tc>
          <w:tcPr>
            <w:tcW w:w="7880" w:type="dxa"/>
            <w:vAlign w:val="bottom"/>
          </w:tcPr>
          <w:p>
            <w:pPr>
              <w:ind w:left="460"/>
              <w:spacing w:after="0"/>
              <w:rPr>
                <w:sz w:val="20"/>
                <w:szCs w:val="20"/>
                <w:color w:val="auto"/>
              </w:rPr>
            </w:pPr>
            <w:r>
              <w:rPr>
                <w:rFonts w:ascii="Arial" w:cs="Arial" w:eastAsia="Arial" w:hAnsi="Arial"/>
                <w:sz w:val="14"/>
                <w:szCs w:val="14"/>
                <w:color w:val="auto"/>
              </w:rPr>
              <w:t>Income taxes payable / receivable</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209"/>
        </w:trPr>
        <w:tc>
          <w:tcPr>
            <w:tcW w:w="78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Leases, net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r>
      <w:tr>
        <w:trPr>
          <w:trHeight w:val="196"/>
        </w:trPr>
        <w:tc>
          <w:tcPr>
            <w:tcW w:w="78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(141.0)</w:t>
            </w:r>
          </w:p>
        </w:tc>
      </w:tr>
      <w:tr>
        <w:trPr>
          <w:trHeight w:val="197"/>
        </w:trPr>
        <w:tc>
          <w:tcPr>
            <w:tcW w:w="7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disposal of property, plant and equipment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sale of business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Purchases of short-term investments</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w:t>
            </w:r>
          </w:p>
        </w:tc>
      </w:tr>
      <w:tr>
        <w:trPr>
          <w:trHeight w:val="19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(25.7)</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13.6</w:t>
            </w:r>
          </w:p>
        </w:tc>
      </w:tr>
      <w:tr>
        <w:trPr>
          <w:trHeight w:val="208"/>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Asset securitization payments</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(43.5)</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borrowings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Long-term debt payments</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from credit facility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844.5</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Payments on credit facility</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(342.5)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(525.5)</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employee stock purchases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197"/>
        </w:trPr>
        <w:tc>
          <w:tcPr>
            <w:tcW w:w="7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dividends paid</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w:t>
            </w:r>
          </w:p>
        </w:tc>
      </w:tr>
      <w:tr>
        <w:trPr>
          <w:trHeight w:val="19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108.9</w:t>
            </w:r>
          </w:p>
        </w:tc>
      </w:tr>
      <w:tr>
        <w:trPr>
          <w:trHeight w:val="196"/>
        </w:trPr>
        <w:tc>
          <w:tcPr>
            <w:tcW w:w="788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26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(18.5)</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r>
      <w:tr>
        <w:trPr>
          <w:trHeight w:val="19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w:t>
            </w:r>
          </w:p>
        </w:tc>
      </w:tr>
      <w:tr>
        <w:trPr>
          <w:trHeight w:val="22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7880" w:type="dxa"/>
            <w:vAlign w:val="bottom"/>
          </w:tcPr>
          <w:p>
            <w:pPr>
              <w:ind w:left="220"/>
              <w:spacing w:after="0"/>
              <w:rPr>
                <w:sz w:val="20"/>
                <w:szCs w:val="20"/>
                <w:color w:val="auto"/>
              </w:rPr>
            </w:pPr>
            <w:r>
              <w:rPr>
                <w:rFonts w:ascii="Arial" w:cs="Arial" w:eastAsia="Arial" w:hAnsi="Arial"/>
                <w:sz w:val="14"/>
                <w:szCs w:val="14"/>
                <w:color w:val="auto"/>
              </w:rPr>
              <w:t>Interest paid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Income taxes paid (net of refunds)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880" w:type="dxa"/>
            <w:vAlign w:val="bottom"/>
          </w:tcPr>
          <w:p>
            <w:pPr>
              <w:ind w:left="220"/>
              <w:spacing w:after="0"/>
              <w:rPr>
                <w:sz w:val="20"/>
                <w:szCs w:val="20"/>
                <w:color w:val="auto"/>
              </w:rPr>
            </w:pPr>
            <w:r>
              <w:rPr>
                <w:rFonts w:ascii="Arial" w:cs="Arial" w:eastAsia="Arial" w:hAnsi="Arial"/>
                <w:sz w:val="14"/>
                <w:szCs w:val="14"/>
                <w:color w:val="auto"/>
              </w:rPr>
              <w:t>Insurance recoveries received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76.0</w:t>
            </w:r>
          </w:p>
        </w:tc>
      </w:tr>
      <w:tr>
        <w:trPr>
          <w:trHeight w:val="21"/>
        </w:trPr>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accompanying unaudited Consolidated Balance Sheet as of March 31, 2020, the accompanying unaudited Consolidated Statements of Operations for the three months ended March 31, 2020 and 2019, the accompanying unaudited Consolidated Statements of Comprehensive Income for the three months ended March 31, 2020 and 2019, the accompanying unaudited Consolidated Statements of Stockholders' Deficit for the three months ended March 31, 2020 and 2019, and the accompanying unaudited Consolidated Statements of Cash Flows for the three months ended March 31, 2020 and 2019 should be read in conjunction with our audited consolidated financial statements and footnotes included in our Annual Report on Form 10-K for the year ended December 31, 2019.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0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have issued decrees prohibiting certain businesses from continuing to operate and certain classes of workers from reporting to work. Those decrees have resulted in supply chain disruption and higher employee absenteeism in our factories. Additionally, certain of our manufacturing facilities have experienced a short-term suspension of operations for COVID-19 employee health concerns.</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8" w:name="page9"/>
    <w:bookmarkEnd w:id="8"/>
    <w:p>
      <w:pPr>
        <w:jc w:val="both"/>
        <w:ind w:firstLine="243"/>
        <w:spacing w:after="0" w:line="301" w:lineRule="auto"/>
        <w:rPr>
          <w:sz w:val="20"/>
          <w:szCs w:val="20"/>
          <w:color w:val="auto"/>
        </w:rPr>
      </w:pPr>
      <w:r>
        <w:rPr>
          <w:rFonts w:ascii="Arial" w:cs="Arial" w:eastAsia="Arial" w:hAnsi="Arial"/>
          <w:sz w:val="16"/>
          <w:szCs w:val="16"/>
          <w:color w:val="auto"/>
        </w:rPr>
        <w:t>We anticipate potential supply chain disruptions, employee absenteeism and short-term suspensions of manufacturing facilities related to the COVID-19 pandemic that could unfavorably impact our business. Although these disruptions are expected to be temporary, there is significant uncertainty around the duration and overall impact to our business operations. We believe it is possible that the impact of the COVID-19 pandemic could have a material adverse effect on the results of our operations, financial position and cash flows as of and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replaces the incurred loss impairment methodology in current GAAP with a methodology that reflects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requires consideration of a broader range of reasonable and supportable information to estimate credit losses. ASU 2016-13 is effective for SEC filers for interim and annual periods beginning after December 15, 2019. We adopted ASU 2016-13 using the modified retrospective method for all financial assets measured at amortized cost. Results for periods after January 1, 2020 are presented under ASU 2016-13 while prior period amounts continue to be reported under previously applicable accounting standards. We recorded a $1.3 million net decrease to retained earnings as of January 1, 2020 for the cumulative effect of adopting ASU 2016-13.</w:t>
      </w:r>
    </w:p>
    <w:p>
      <w:pPr>
        <w:spacing w:after="0" w:line="2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 - Goodwill and Other (Topic 350): Simplifying the Test for Goodwill Impairment</w:t>
      </w:r>
      <w:r>
        <w:rPr>
          <w:rFonts w:ascii="Arial" w:cs="Arial" w:eastAsia="Arial" w:hAnsi="Arial"/>
          <w:sz w:val="18"/>
          <w:szCs w:val="18"/>
          <w:color w:val="auto"/>
        </w:rPr>
        <w: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The adoption of ASU 2017-04 did not have a material impact on our consolidated results of operations, cash flow, and statement of financial position.</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Internal-Use Software (Topic 350-40): 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Costs incurred in a Cloud Computing Arrangement That is a Service Contract</w:t>
      </w:r>
      <w:r>
        <w:rPr>
          <w:rFonts w:ascii="Arial" w:cs="Arial" w:eastAsia="Arial" w:hAnsi="Arial"/>
          <w:sz w:val="18"/>
          <w:szCs w:val="18"/>
          <w:color w:val="auto"/>
        </w:rPr>
        <w:t>. ASU 2018-15 provides guidance to determine how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cloud computing arrangements that are incurred to develop or obtain internal-use software should be capitalized or expensed as incurred. ASU 2018-15 is effective for fiscal years beginning after December 15, 2019. The adoption of ASU 2018-15 did not have a material impact on our consolidated results of operations, cash flow, and statement of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Heating &amp;</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Furnaces, air conditioners, heat pumps, packaged heating and</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Cooling</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cooling systems, indoor air quality equipment, comfort control</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37"/>
        </w:trPr>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products, replacement parts and supplies</w:t>
            </w:r>
          </w:p>
        </w:tc>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Commercial Heating &amp;</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Unitary heating and air conditioning equipment, applied</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Cooling</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systems, controls, installation and service of commercial</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w w:val="97"/>
              </w:rPr>
              <w:t>heating and cooling equipment, and variable refrigerant flow</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Condensing units, unit coolers, fluid coolers, air cooled</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condensers, air handlers, process chillers, controls, and</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30"/>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r>
      <w:tr>
        <w:trPr>
          <w:trHeight w:val="27"/>
        </w:trPr>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9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4"/>
              </w:rPr>
              <w:t>For the Three Months Ended</w:t>
            </w: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March 31,</w:t>
            </w:r>
          </w:p>
        </w:tc>
        <w:tc>
          <w:tcPr>
            <w:tcW w:w="900" w:type="dxa"/>
            <w:vAlign w:val="bottom"/>
          </w:tcPr>
          <w:p>
            <w:pPr>
              <w:spacing w:after="0"/>
              <w:rPr>
                <w:sz w:val="18"/>
                <w:szCs w:val="18"/>
                <w:color w:val="auto"/>
              </w:rPr>
            </w:pPr>
          </w:p>
        </w:tc>
      </w:tr>
      <w:tr>
        <w:trPr>
          <w:trHeight w:val="33"/>
        </w:trPr>
        <w:tc>
          <w:tcPr>
            <w:tcW w:w="8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8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465.6</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173.3</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151.4</w:t>
            </w:r>
          </w:p>
        </w:tc>
      </w:tr>
      <w:tr>
        <w:trPr>
          <w:trHeight w:val="27"/>
        </w:trPr>
        <w:tc>
          <w:tcPr>
            <w:tcW w:w="8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723.8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790.3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86.7</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8.4</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8600" w:type="dxa"/>
            <w:vAlign w:val="bottom"/>
          </w:tcPr>
          <w:p>
            <w:pPr>
              <w:ind w:left="220"/>
              <w:spacing w:after="0"/>
              <w:rPr>
                <w:sz w:val="20"/>
                <w:szCs w:val="20"/>
                <w:color w:val="auto"/>
              </w:rPr>
            </w:pPr>
            <w:r>
              <w:rPr>
                <w:rFonts w:ascii="Arial" w:cs="Arial" w:eastAsia="Arial" w:hAnsi="Arial"/>
                <w:sz w:val="18"/>
                <w:szCs w:val="18"/>
                <w:color w:val="auto"/>
              </w:rPr>
              <w:t>Total segment profit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98.1</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Loss on sale of business</w:t>
            </w: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8.5</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from natural disaster, net of insurance recoveries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70"/>
        </w:trPr>
        <w:tc>
          <w:tcPr>
            <w:tcW w:w="8600" w:type="dxa"/>
            <w:vAlign w:val="bottom"/>
          </w:tcPr>
          <w:p>
            <w:pPr>
              <w:ind w:left="20"/>
              <w:spacing w:after="0"/>
              <w:rPr>
                <w:sz w:val="20"/>
                <w:szCs w:val="20"/>
                <w:color w:val="auto"/>
              </w:rPr>
            </w:pPr>
            <w:r>
              <w:rPr>
                <w:rFonts w:ascii="Arial" w:cs="Arial" w:eastAsia="Arial" w:hAnsi="Arial"/>
                <w:sz w:val="18"/>
                <w:szCs w:val="18"/>
                <w:color w:val="auto"/>
              </w:rPr>
              <w:t xml:space="preserve">Items in (Gains) losses and other expenses, net that are excluded from segment profit (loss)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w:t>
            </w: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r>
      <w:tr>
        <w:trPr>
          <w:trHeight w:val="264"/>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94.7</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following items in (Gains) losses and other expenses, net:</w:t>
      </w:r>
    </w:p>
    <w:p>
      <w:pPr>
        <w:spacing w:after="0" w:line="7"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6"/>
          <w:szCs w:val="16"/>
          <w:color w:val="auto"/>
        </w:rPr>
      </w:pPr>
      <w:r>
        <w:rPr>
          <w:rFonts w:ascii="Arial" w:cs="Arial" w:eastAsia="Arial" w:hAnsi="Arial"/>
          <w:sz w:val="18"/>
          <w:szCs w:val="18"/>
          <w:color w:val="auto"/>
        </w:rPr>
        <w:t>Other items, net,</w:t>
      </w:r>
    </w:p>
    <w:p>
      <w:pPr>
        <w:spacing w:after="0" w:line="9" w:lineRule="exact"/>
        <w:rPr>
          <w:rFonts w:ascii="Arial" w:cs="Arial" w:eastAsia="Arial" w:hAnsi="Arial"/>
          <w:sz w:val="16"/>
          <w:szCs w:val="16"/>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Loss on sale of business,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Loss (gain) from natural disaster, net of insurance recoveries;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Earnings Per Share:</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computations of basic and diluted earnings per share for Income from continuing operations were as follows (in millions, except per share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4"/>
              </w:rPr>
              <w:t>For the Three Months Ended</w:t>
            </w:r>
          </w:p>
        </w:tc>
      </w:tr>
      <w:tr>
        <w:trPr>
          <w:trHeight w:val="210"/>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March 31,</w:t>
            </w:r>
          </w:p>
        </w:tc>
        <w:tc>
          <w:tcPr>
            <w:tcW w:w="900" w:type="dxa"/>
            <w:vAlign w:val="bottom"/>
          </w:tcPr>
          <w:p>
            <w:pPr>
              <w:spacing w:after="0"/>
              <w:rPr>
                <w:sz w:val="18"/>
                <w:szCs w:val="18"/>
                <w:color w:val="auto"/>
              </w:rPr>
            </w:pPr>
          </w:p>
        </w:tc>
      </w:tr>
      <w:tr>
        <w:trPr>
          <w:trHeight w:val="33"/>
        </w:trPr>
        <w:tc>
          <w:tcPr>
            <w:tcW w:w="8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69.3</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Exclude: (Income) loss from discontinued operations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0.4</w:t>
            </w:r>
          </w:p>
        </w:tc>
      </w:tr>
      <w:tr>
        <w:trPr>
          <w:trHeight w:val="27"/>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38.7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1.75</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8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1.75</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w:t>
            </w:r>
          </w:p>
        </w:tc>
      </w:tr>
      <w:tr>
        <w:trPr>
          <w:trHeight w:val="243"/>
        </w:trPr>
        <w:tc>
          <w:tcPr>
            <w:tcW w:w="864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62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33"/>
        </w:trPr>
        <w:tc>
          <w:tcPr>
            <w:tcW w:w="73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320" w:type="dxa"/>
            <w:vAlign w:val="bottom"/>
          </w:tcPr>
          <w:p>
            <w:pPr>
              <w:spacing w:after="0"/>
              <w:rPr>
                <w:sz w:val="18"/>
                <w:szCs w:val="18"/>
                <w:color w:val="auto"/>
              </w:rPr>
            </w:pPr>
          </w:p>
        </w:tc>
        <w:tc>
          <w:tcPr>
            <w:tcW w:w="1880" w:type="dxa"/>
            <w:vAlign w:val="bottom"/>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Arial" w:cs="Arial" w:eastAsia="Arial" w:hAnsi="Arial"/>
                <w:sz w:val="16"/>
                <w:szCs w:val="16"/>
                <w:b w:val="1"/>
                <w:bCs w:val="1"/>
                <w:color w:val="auto"/>
              </w:rPr>
              <w:t>2019</w:t>
            </w:r>
          </w:p>
        </w:tc>
      </w:tr>
      <w:tr>
        <w:trPr>
          <w:trHeight w:val="33"/>
        </w:trPr>
        <w:tc>
          <w:tcPr>
            <w:tcW w:w="73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Price per share</w:t>
            </w:r>
          </w:p>
        </w:tc>
        <w:tc>
          <w:tcPr>
            <w:tcW w:w="1880" w:type="dxa"/>
            <w:vAlign w:val="bottom"/>
          </w:tcPr>
          <w:p>
            <w:pPr>
              <w:jc w:val="right"/>
              <w:spacing w:after="0"/>
              <w:rPr>
                <w:sz w:val="20"/>
                <w:szCs w:val="20"/>
                <w:color w:val="auto"/>
              </w:rPr>
            </w:pPr>
            <w:r>
              <w:rPr>
                <w:rFonts w:ascii="Arial" w:cs="Arial" w:eastAsia="Arial" w:hAnsi="Arial"/>
                <w:sz w:val="18"/>
                <w:szCs w:val="18"/>
                <w:color w:val="auto"/>
              </w:rPr>
              <w:t>$214.63 - $270.83</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214.63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0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lease certain real and personal property under non-cancelable operating leases. Approximately 75% of our right-of-use assets and lease liabilities relate to our leases of real estate with the remaining amounts relating to our leases of IT equipment, fleet vehicles and manufacturing and distribution 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Liabilities for estimated product warranty costs related to continuing operations are included in the following captions on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As of December 31, 2019</w:t>
            </w:r>
          </w:p>
        </w:tc>
      </w:tr>
      <w:tr>
        <w:trPr>
          <w:trHeight w:val="33"/>
        </w:trPr>
        <w:tc>
          <w:tcPr>
            <w:tcW w:w="7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37.8</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74.6</w:t>
            </w:r>
          </w:p>
        </w:tc>
      </w:tr>
      <w:tr>
        <w:trPr>
          <w:trHeight w:val="27"/>
        </w:trPr>
        <w:tc>
          <w:tcPr>
            <w:tcW w:w="7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warranty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114.1</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changes in product warranty liabilities related to continuing operations for the three months ended March 31, 2020 were as follows (in millions):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December 31,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112.8</w:t>
            </w:r>
          </w:p>
        </w:tc>
      </w:tr>
      <w:tr>
        <w:trPr>
          <w:trHeight w:val="243"/>
        </w:trPr>
        <w:tc>
          <w:tcPr>
            <w:tcW w:w="9900" w:type="dxa"/>
            <w:vAlign w:val="bottom"/>
          </w:tcPr>
          <w:p>
            <w:pPr>
              <w:ind w:left="200"/>
              <w:spacing w:after="0"/>
              <w:rPr>
                <w:sz w:val="20"/>
                <w:szCs w:val="20"/>
                <w:color w:val="auto"/>
              </w:rPr>
            </w:pPr>
            <w:r>
              <w:rPr>
                <w:rFonts w:ascii="Arial" w:cs="Arial" w:eastAsia="Arial" w:hAnsi="Arial"/>
                <w:sz w:val="18"/>
                <w:szCs w:val="18"/>
                <w:color w:val="auto"/>
              </w:rPr>
              <w:t>Warranty claims paid</w:t>
            </w:r>
          </w:p>
        </w:tc>
        <w:tc>
          <w:tcPr>
            <w:tcW w:w="4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9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resulting from issuance of new warranties</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r>
      <w:tr>
        <w:trPr>
          <w:trHeight w:val="243"/>
        </w:trPr>
        <w:tc>
          <w:tcPr>
            <w:tcW w:w="9900" w:type="dxa"/>
            <w:vAlign w:val="bottom"/>
          </w:tcPr>
          <w:p>
            <w:pPr>
              <w:ind w:left="200"/>
              <w:spacing w:after="0"/>
              <w:rPr>
                <w:sz w:val="20"/>
                <w:szCs w:val="20"/>
                <w:color w:val="auto"/>
              </w:rPr>
            </w:pPr>
            <w:r>
              <w:rPr>
                <w:rFonts w:ascii="Arial" w:cs="Arial" w:eastAsia="Arial" w:hAnsi="Arial"/>
                <w:sz w:val="18"/>
                <w:szCs w:val="18"/>
                <w:color w:val="auto"/>
              </w:rPr>
              <w:t>Changes in estimates associated with pre-existing liabilities</w:t>
            </w:r>
          </w:p>
        </w:tc>
        <w:tc>
          <w:tcPr>
            <w:tcW w:w="4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9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foreign currency translation rates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9900" w:type="dxa"/>
            <w:vAlign w:val="bottom"/>
          </w:tcPr>
          <w:p>
            <w:pPr>
              <w:ind w:left="20"/>
              <w:spacing w:after="0"/>
              <w:rPr>
                <w:sz w:val="20"/>
                <w:szCs w:val="20"/>
                <w:color w:val="auto"/>
              </w:rPr>
            </w:pPr>
            <w:r>
              <w:rPr>
                <w:rFonts w:ascii="Arial" w:cs="Arial" w:eastAsia="Arial" w:hAnsi="Arial"/>
                <w:sz w:val="18"/>
                <w:szCs w:val="18"/>
                <w:b w:val="1"/>
                <w:bCs w:val="1"/>
                <w:color w:val="auto"/>
              </w:rPr>
              <w:t>Total warranty liability as of March 31, 2020</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114.1</w:t>
            </w:r>
          </w:p>
        </w:tc>
      </w:tr>
      <w:tr>
        <w:trPr>
          <w:trHeight w:val="27"/>
        </w:trPr>
        <w:tc>
          <w:tcPr>
            <w:tcW w:w="9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ind w:firstLine="243"/>
        <w:spacing w:after="0" w:line="271"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 settlements and judgments. The following table summarizes the expenses, net of probable insurance recoveries, for known and future asbestos-related litigation recorded in (Gains) losses and other expenses, net in the Consolidated Statements of Operations.</w:t>
      </w:r>
    </w:p>
    <w:p>
      <w:pPr>
        <w:spacing w:after="0" w:line="17"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33020</wp:posOffset>
            </wp:positionV>
            <wp:extent cx="1577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58" w:lineRule="exact"/>
        <w:rPr>
          <w:sz w:val="20"/>
          <w:szCs w:val="20"/>
          <w:color w:val="auto"/>
        </w:rPr>
      </w:pPr>
    </w:p>
    <w:p>
      <w:pPr>
        <w:ind w:left="9180"/>
        <w:spacing w:after="0"/>
        <w:tabs>
          <w:tab w:leader="none" w:pos="104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8760" w:val="left"/>
          <w:tab w:leader="none" w:pos="9440" w:val="left"/>
          <w:tab w:leader="none" w:pos="10080" w:val="left"/>
          <w:tab w:leader="none" w:pos="10840" w:val="left"/>
        </w:tabs>
        <w:rPr>
          <w:sz w:val="20"/>
          <w:szCs w:val="20"/>
          <w:color w:val="auto"/>
        </w:rPr>
      </w:pPr>
      <w:r>
        <w:rPr>
          <w:rFonts w:ascii="Arial" w:cs="Arial" w:eastAsia="Arial" w:hAnsi="Arial"/>
          <w:sz w:val="18"/>
          <w:szCs w:val="18"/>
          <w:color w:val="auto"/>
        </w:rPr>
        <w:t>(Gain) expense for asbestos-related litigation,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w:t>
      </w:r>
    </w:p>
    <w:p>
      <w:pPr>
        <w:spacing w:after="0" w:line="38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Marshalltown Tornado and Recovery</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July 19, 2018, our manufacturing facility in Marshalltown, Iowa was severely damaged by a tornado. Insurance covered the repair or replacement of our assets that suffered damage or loss, and business interruption costs, including lost profits, and reimbursement for other expenses and costs that have been incurred relating to the damages and losses suffered. These costs and insurance recoveries are shown in Insurance proceeds for lost profits and Loss (gain) from natural disaster, net of insurance recoveries in the Consolidated Statements of Operations.</w:t>
      </w:r>
    </w:p>
    <w:p>
      <w:pPr>
        <w:spacing w:after="0" w:line="19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Gain from insurance recoveries, net of losses incurred: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2680" w:type="dxa"/>
            <w:vAlign w:val="bottom"/>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For the Three months Ended March</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vMerge w:val="continue"/>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6"/>
                <w:szCs w:val="16"/>
                <w:b w:val="1"/>
                <w:bCs w:val="1"/>
                <w:color w:val="auto"/>
                <w:w w:val="98"/>
              </w:rPr>
              <w:t>31,</w:t>
            </w: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5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Insurance recoveries received</w:t>
            </w:r>
          </w:p>
        </w:tc>
        <w:tc>
          <w:tcPr>
            <w:tcW w:w="88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76.0</w:t>
            </w:r>
          </w:p>
        </w:tc>
        <w:tc>
          <w:tcPr>
            <w:tcW w:w="0" w:type="dxa"/>
            <w:vAlign w:val="bottom"/>
          </w:tcPr>
          <w:p>
            <w:pPr>
              <w:spacing w:after="0"/>
              <w:rPr>
                <w:sz w:val="1"/>
                <w:szCs w:val="1"/>
                <w:color w:val="auto"/>
              </w:rPr>
            </w:pPr>
          </w:p>
        </w:tc>
      </w:tr>
      <w:tr>
        <w:trPr>
          <w:trHeight w:val="223"/>
        </w:trPr>
        <w:tc>
          <w:tcPr>
            <w:tcW w:w="8560" w:type="dxa"/>
            <w:vAlign w:val="bottom"/>
          </w:tcPr>
          <w:p>
            <w:pPr>
              <w:ind w:left="220"/>
              <w:spacing w:after="0"/>
              <w:rPr>
                <w:sz w:val="20"/>
                <w:szCs w:val="20"/>
                <w:color w:val="auto"/>
              </w:rPr>
            </w:pPr>
            <w:r>
              <w:rPr>
                <w:rFonts w:ascii="Arial" w:cs="Arial" w:eastAsia="Arial" w:hAnsi="Arial"/>
                <w:sz w:val="18"/>
                <w:szCs w:val="18"/>
                <w:color w:val="auto"/>
              </w:rPr>
              <w:t>Less losses and expenses incurred:</w:t>
            </w: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Site clean-up and remediation</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Factory inefficiencies due to lower productivity</w:t>
            </w:r>
          </w:p>
        </w:tc>
        <w:tc>
          <w:tcPr>
            <w:tcW w:w="8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8560" w:type="dxa"/>
            <w:vAlign w:val="bottom"/>
          </w:tcPr>
          <w:p>
            <w:pPr>
              <w:ind w:left="120"/>
              <w:spacing w:after="0"/>
              <w:rPr>
                <w:sz w:val="20"/>
                <w:szCs w:val="20"/>
                <w:color w:val="auto"/>
              </w:rPr>
            </w:pPr>
            <w:r>
              <w:rPr>
                <w:rFonts w:ascii="Arial" w:cs="Arial" w:eastAsia="Arial" w:hAnsi="Arial"/>
                <w:sz w:val="18"/>
                <w:szCs w:val="18"/>
                <w:b w:val="1"/>
                <w:bCs w:val="1"/>
                <w:color w:val="auto"/>
              </w:rPr>
              <w:t>Total losses and expenses</w:t>
            </w: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Presentation in the Consolidated Statements of Operations:</w:t>
            </w: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Loss (gain) from natural disaster, net of insurance recoveries</w:t>
            </w:r>
          </w:p>
        </w:tc>
        <w:tc>
          <w:tcPr>
            <w:tcW w:w="8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proceeds for lost profits</w:t>
            </w: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Repurchases: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Board of Directors have authorized a total of $3 billion to repurchase shares of our common stock (collectively referred to as the "Share Repurchase Plans"), including a $500 million share repurchase authorization in December 2019.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March 31, 2020, $446 million of shares may be repurchased under the Share Repurchase Plans.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 w:name="page14"/>
    <w:bookmarkEnd w:id="13"/>
    <w:p>
      <w:pPr>
        <w:jc w:val="both"/>
        <w:ind w:firstLine="243"/>
        <w:spacing w:after="0" w:line="301" w:lineRule="auto"/>
        <w:rPr>
          <w:sz w:val="20"/>
          <w:szCs w:val="20"/>
          <w:color w:val="auto"/>
        </w:rPr>
      </w:pPr>
      <w:r>
        <w:rPr>
          <w:rFonts w:ascii="Arial" w:cs="Arial" w:eastAsia="Arial" w:hAnsi="Arial"/>
          <w:sz w:val="16"/>
          <w:szCs w:val="16"/>
          <w:color w:val="auto"/>
        </w:rPr>
        <w:t>On February 13, 2020, we entered into a Fixed Dollar Accelerated Share Repurchase Transaction (the "ASR Agreement") with Bank of America, to effect an accelerated stock buyback of the Company's common stock. Under the ASR Agreement, we paid Bank of America $100.0 million and Bank of America delivered to us common stock representing approximately 85% of the shares expected to be purchased under the ASR Agreement. The ASR was completed in March 2020 and Bank of America delivered a total of 0.4 million shares of common stock repurchased under this ASR Agreement.</w:t>
      </w:r>
    </w:p>
    <w:p>
      <w:pPr>
        <w:spacing w:after="0" w:line="1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repurchased shares for $5.5 million during the three months ended March 31, 2020 from employees who tendered their shares to satisfy minimum tax withholding obligations upon the vesting and exercise of stock-based compensation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Divestitures:</w:t>
      </w:r>
    </w:p>
    <w:p>
      <w:pPr>
        <w:spacing w:after="0" w:line="256"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During the first quarter of 2019, we obtained Board of Directors' approval and signed an agreement with EPTA S.p.A., a private Italian company, for the sale of our Kysor Warren business. The sale was completed on March 29, 2019 and the following table summarizes the net loss recognized in connection with this divestiture. There were no gains or losses on the sale of this business for the three months ended March 31, 2020.</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38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For the Year Ended December</w:t>
            </w: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60" w:type="dxa"/>
            <w:vAlign w:val="bottom"/>
          </w:tcPr>
          <w:p>
            <w:pPr>
              <w:spacing w:after="0"/>
              <w:rPr>
                <w:sz w:val="18"/>
                <w:szCs w:val="18"/>
                <w:color w:val="auto"/>
              </w:rPr>
            </w:pPr>
          </w:p>
        </w:tc>
        <w:tc>
          <w:tcPr>
            <w:tcW w:w="1740" w:type="dxa"/>
            <w:vAlign w:val="bottom"/>
          </w:tcPr>
          <w:p>
            <w:pPr>
              <w:jc w:val="right"/>
              <w:ind w:right="732"/>
              <w:spacing w:after="0"/>
              <w:rPr>
                <w:sz w:val="20"/>
                <w:szCs w:val="20"/>
                <w:color w:val="auto"/>
              </w:rPr>
            </w:pPr>
            <w:r>
              <w:rPr>
                <w:rFonts w:ascii="Arial" w:cs="Arial" w:eastAsia="Arial" w:hAnsi="Arial"/>
                <w:sz w:val="16"/>
                <w:szCs w:val="16"/>
                <w:b w:val="1"/>
                <w:bCs w:val="1"/>
                <w:color w:val="auto"/>
              </w:rPr>
              <w:t>31, 2019</w:t>
            </w:r>
          </w:p>
        </w:tc>
      </w:tr>
      <w:tr>
        <w:trPr>
          <w:trHeight w:val="33"/>
        </w:trPr>
        <w:tc>
          <w:tcPr>
            <w:tcW w:w="8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received from the buyer</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49.0</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4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(52.0)</w:t>
            </w:r>
          </w:p>
        </w:tc>
      </w:tr>
      <w:tr>
        <w:trPr>
          <w:trHeight w:val="27"/>
        </w:trPr>
        <w:tc>
          <w:tcPr>
            <w:tcW w:w="8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AOCI reclassification adjustments, primarily foreign currency translation</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Direct costs to sell</w:t>
            </w:r>
          </w:p>
        </w:tc>
        <w:tc>
          <w:tcPr>
            <w:tcW w:w="4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8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Loss on sale of business</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accelerated depreciation for impaired assets and other related activities. The timing of associated cash payments is dependent upon the type of restructuring charge and can extend over a multi-year period. Restructuring charges are not included in our calculation of segment profit (loss), as more fully explained in Note 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2020</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regarding the restructuring charges for all ongoing activities is presented in the following table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Total Expected to</w:t>
            </w:r>
          </w:p>
        </w:tc>
      </w:tr>
      <w:tr>
        <w:trPr>
          <w:trHeight w:val="210"/>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Incurred in 2020</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Incurred to Date</w:t>
            </w:r>
          </w:p>
        </w:tc>
        <w:tc>
          <w:tcPr>
            <w:tcW w:w="1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Asset write-offs and accelerated depreciation</w:t>
            </w:r>
          </w:p>
        </w:tc>
        <w:tc>
          <w:tcPr>
            <w:tcW w:w="1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1.7</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termination</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1.6</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Total Expected to</w:t>
            </w:r>
          </w:p>
        </w:tc>
      </w:tr>
      <w:tr>
        <w:trPr>
          <w:trHeight w:val="210"/>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Incurred in 2020</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Incurred to Date</w:t>
            </w:r>
          </w:p>
        </w:tc>
        <w:tc>
          <w:tcPr>
            <w:tcW w:w="12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2.7</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jc w:val="both"/>
        <w:ind w:firstLine="243"/>
        <w:spacing w:after="0" w:line="274"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3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5"/>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3"/>
              </w:rPr>
              <w:t>For the Three Months March 31, 2020</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9"/>
        </w:trPr>
        <w:tc>
          <w:tcPr>
            <w:tcW w:w="3600" w:type="dxa"/>
            <w:vAlign w:val="bottom"/>
          </w:tcPr>
          <w:p>
            <w:pPr>
              <w:spacing w:after="0"/>
              <w:rPr>
                <w:sz w:val="18"/>
                <w:szCs w:val="18"/>
                <w:color w:val="auto"/>
              </w:rPr>
            </w:pPr>
          </w:p>
        </w:tc>
        <w:tc>
          <w:tcPr>
            <w:tcW w:w="18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Residential Heating &amp;</w:t>
            </w:r>
          </w:p>
        </w:tc>
        <w:tc>
          <w:tcPr>
            <w:tcW w:w="18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4"/>
              </w:rPr>
              <w:t>Commercial Heating &amp;</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34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80" w:type="dxa"/>
            <w:vAlign w:val="bottom"/>
          </w:tcPr>
          <w:p>
            <w:pPr>
              <w:spacing w:after="0"/>
              <w:rPr>
                <w:sz w:val="18"/>
                <w:szCs w:val="18"/>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633.0</w:t>
            </w:r>
          </w:p>
        </w:tc>
      </w:tr>
      <w:tr>
        <w:trPr>
          <w:trHeight w:val="224"/>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46.8</w:t>
            </w:r>
          </w:p>
        </w:tc>
      </w:tr>
      <w:tr>
        <w:trPr>
          <w:trHeight w:val="33"/>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w:t>
            </w:r>
          </w:p>
        </w:tc>
      </w:tr>
      <w:tr>
        <w:trPr>
          <w:trHeight w:val="24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178.4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103.3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723.8</w:t>
            </w:r>
          </w:p>
        </w:tc>
      </w:tr>
      <w:tr>
        <w:trPr>
          <w:trHeight w:val="23"/>
        </w:trPr>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72"/>
        </w:trPr>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3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5"/>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3"/>
              </w:rPr>
              <w:t>For the Three Months Ended March 31, 2019</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9"/>
        </w:trPr>
        <w:tc>
          <w:tcPr>
            <w:tcW w:w="3600" w:type="dxa"/>
            <w:vAlign w:val="bottom"/>
          </w:tcPr>
          <w:p>
            <w:pPr>
              <w:spacing w:after="0"/>
              <w:rPr>
                <w:sz w:val="18"/>
                <w:szCs w:val="18"/>
                <w:color w:val="auto"/>
              </w:rPr>
            </w:pPr>
          </w:p>
        </w:tc>
        <w:tc>
          <w:tcPr>
            <w:tcW w:w="18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Residential Heating &amp;</w:t>
            </w:r>
          </w:p>
        </w:tc>
        <w:tc>
          <w:tcPr>
            <w:tcW w:w="18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4"/>
              </w:rPr>
              <w:t>Commercial Heating &amp;</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34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80" w:type="dxa"/>
            <w:vAlign w:val="bottom"/>
          </w:tcPr>
          <w:p>
            <w:pPr>
              <w:spacing w:after="0"/>
              <w:rPr>
                <w:sz w:val="18"/>
                <w:szCs w:val="18"/>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682.1</w:t>
            </w:r>
          </w:p>
        </w:tc>
      </w:tr>
      <w:tr>
        <w:trPr>
          <w:trHeight w:val="223"/>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49.0</w:t>
            </w:r>
          </w:p>
        </w:tc>
      </w:tr>
      <w:tr>
        <w:trPr>
          <w:trHeight w:val="33"/>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59.2</w:t>
            </w:r>
          </w:p>
        </w:tc>
      </w:tr>
      <w:tr>
        <w:trPr>
          <w:trHeight w:val="24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465.6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151.4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790.3</w:t>
            </w:r>
          </w:p>
        </w:tc>
      </w:tr>
      <w:tr>
        <w:trPr>
          <w:trHeight w:val="23"/>
        </w:trPr>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2020 and 2019, direct sales represented 73% and 72% of revenues, and sales to independent distributors represented the remainder. Given the nature of our business, customer product orders are fulfilled at a point in time and not over a period of time.</w:t>
      </w:r>
    </w:p>
    <w:p>
      <w:pPr>
        <w:spacing w:after="0" w:line="18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Commercial Heating &amp; Cooling </w:t>
      </w:r>
      <w:r>
        <w:rPr>
          <w:rFonts w:ascii="Arial" w:cs="Arial" w:eastAsia="Arial" w:hAnsi="Arial"/>
          <w:sz w:val="18"/>
          <w:szCs w:val="18"/>
          <w:color w:val="auto"/>
        </w:rPr>
        <w:t>- In North America, we manufacture and sell unitary heating and cooling equipment used in light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March 31, 2020 and 2019, equipment sales represented 84% and 83% of revenues and the remainder of our revenue was generated from our service business.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Less than 1% of segment revenue relates to services for start-up and commissioning activities.</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4"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0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0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 Our contract liabilities consist of advance payments and deferred revenue. Our contract liabilities are reported in a net position on</w:t>
      </w:r>
      <w:r>
        <w:rPr>
          <w:rFonts w:ascii="Arial" w:cs="Arial" w:eastAsia="Arial" w:hAnsi="Arial"/>
          <w:sz w:val="18"/>
          <w:szCs w:val="18"/>
          <w:b w:val="1"/>
          <w:bCs w:val="1"/>
          <w:color w:val="auto"/>
        </w:rPr>
        <w:t xml:space="preserve"> </w:t>
      </w:r>
      <w:r>
        <w:rPr>
          <w:rFonts w:ascii="Arial" w:cs="Arial" w:eastAsia="Arial" w:hAnsi="Arial"/>
          <w:sz w:val="18"/>
          <w:szCs w:val="18"/>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5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2020</w:t>
            </w: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8"/>
              </w:rPr>
              <w:t>December 31, 2019</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7"/>
              </w:rPr>
              <w:t>$ Change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337"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For the three months ended March 31, 2020 and 2019, we recognized revenue of $1.5 million and $1.1 million related to our contract liabilities at January 1, 2020 and 2019, respectively. Impairment losses recognized in our receivables and contract assets were de minimis in 2020 and 2019.</w:t>
      </w:r>
    </w:p>
    <w:p>
      <w:pPr>
        <w:spacing w:after="0" w:line="169" w:lineRule="exact"/>
        <w:rPr>
          <w:sz w:val="20"/>
          <w:szCs w:val="20"/>
          <w:color w:val="auto"/>
        </w:rPr>
      </w:pPr>
    </w:p>
    <w:p>
      <w:pPr>
        <w:ind w:right="8360" w:firstLine="8"/>
        <w:spacing w:after="0" w:line="261"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of December 31, 2019</w:t>
            </w:r>
          </w:p>
        </w:tc>
      </w:tr>
      <w:tr>
        <w:trPr>
          <w:trHeight w:val="33"/>
        </w:trPr>
        <w:tc>
          <w:tcPr>
            <w:tcW w:w="7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462.1</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402.9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207.6</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198.8</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675.4</w:t>
            </w:r>
          </w:p>
        </w:tc>
        <w:tc>
          <w:tcPr>
            <w:tcW w:w="1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607.7</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of current cost over last-in, first-out cost</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6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611.8</w:t>
            </w:r>
          </w:p>
        </w:tc>
        <w:tc>
          <w:tcPr>
            <w:tcW w:w="16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544.1</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520" w:firstLine="243"/>
        <w:spacing w:after="0" w:line="276" w:lineRule="auto"/>
        <w:rPr>
          <w:sz w:val="20"/>
          <w:szCs w:val="20"/>
          <w:color w:val="auto"/>
        </w:rPr>
      </w:pPr>
      <w:r>
        <w:rPr>
          <w:rFonts w:ascii="Arial" w:cs="Arial" w:eastAsia="Arial" w:hAnsi="Arial"/>
          <w:sz w:val="18"/>
          <w:szCs w:val="18"/>
          <w:color w:val="auto"/>
        </w:rPr>
        <w:t>The changes in the carrying amount of goodwill for the first three months of 2020, in total and by segment, are summarized in the table below (in millions):</w:t>
      </w:r>
    </w:p>
    <w:tbl>
      <w:tblPr>
        <w:tblLayout w:type="fixed"/>
        <w:tblInd w:w="0" w:type="dxa"/>
        <w:tblCellMar>
          <w:top w:w="0" w:type="dxa"/>
          <w:left w:w="0" w:type="dxa"/>
          <w:bottom w:w="0" w:type="dxa"/>
          <w:right w:w="0" w:type="dxa"/>
        </w:tblCellMar>
      </w:tblPr>
      <w:tr>
        <w:trPr>
          <w:trHeight w:val="150"/>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3"/>
                <w:szCs w:val="13"/>
                <w:color w:val="auto"/>
              </w:rPr>
            </w:pPr>
          </w:p>
        </w:tc>
        <w:tc>
          <w:tcPr>
            <w:tcW w:w="1440" w:type="dxa"/>
            <w:vAlign w:val="bottom"/>
            <w:gridSpan w:val="2"/>
          </w:tcPr>
          <w:p>
            <w:pPr>
              <w:jc w:val="center"/>
              <w:ind w:right="280"/>
              <w:spacing w:after="0" w:line="150" w:lineRule="exact"/>
              <w:rPr>
                <w:sz w:val="20"/>
                <w:szCs w:val="20"/>
                <w:color w:val="auto"/>
              </w:rPr>
            </w:pPr>
            <w:r>
              <w:rPr>
                <w:rFonts w:ascii="Arial" w:cs="Arial" w:eastAsia="Arial" w:hAnsi="Arial"/>
                <w:sz w:val="14"/>
                <w:szCs w:val="14"/>
                <w:b w:val="1"/>
                <w:bCs w:val="1"/>
                <w:color w:val="auto"/>
                <w:w w:val="91"/>
              </w:rPr>
              <w:t>Changes in foreign</w:t>
            </w:r>
          </w:p>
        </w:tc>
        <w:tc>
          <w:tcPr>
            <w:tcW w:w="13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Balance at March</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rates</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6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Total Goodwill</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186.5</w:t>
            </w:r>
          </w:p>
        </w:tc>
        <w:tc>
          <w:tcPr>
            <w:tcW w:w="1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186.5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perform our annual goodwill impairment test in the fourth quarter of each year, and we monitor our reporting units for indicators of impairment throughout the year to determine if a change in facts or circumstances warrants a re-evaluation of our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January 2021 and August 2021,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r>
      <w:tr>
        <w:trPr>
          <w:trHeight w:val="33"/>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unsettled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500" w:hanging="168"/>
        <w:spacing w:after="0" w:line="227" w:lineRule="auto"/>
        <w:tabs>
          <w:tab w:leader="none" w:pos="523"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Assuming commodity and foreign currency prices remain constant, we expect to reclassify $7.7 million of derivative losses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33020</wp:posOffset>
            </wp:positionV>
            <wp:extent cx="15773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58" w:lineRule="exact"/>
        <w:rPr>
          <w:sz w:val="20"/>
          <w:szCs w:val="20"/>
          <w:color w:val="auto"/>
        </w:rPr>
      </w:pPr>
    </w:p>
    <w:p>
      <w:pPr>
        <w:ind w:left="9180"/>
        <w:spacing w:after="0"/>
        <w:tabs>
          <w:tab w:leader="none" w:pos="104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8760" w:val="left"/>
          <w:tab w:leader="none" w:pos="9540" w:val="left"/>
          <w:tab w:leader="none" w:pos="10040" w:val="left"/>
          <w:tab w:leader="none" w:pos="10840" w:val="left"/>
        </w:tabs>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5.2</w:t>
      </w:r>
    </w:p>
    <w:p>
      <w:pPr>
        <w:spacing w:after="0" w:line="52" w:lineRule="exact"/>
        <w:rPr>
          <w:sz w:val="20"/>
          <w:szCs w:val="20"/>
          <w:color w:val="auto"/>
        </w:rPr>
      </w:pPr>
    </w:p>
    <w:p>
      <w:pPr>
        <w:ind w:left="440" w:hanging="189"/>
        <w:spacing w:after="0"/>
        <w:tabs>
          <w:tab w:leader="none" w:pos="440"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All expense was recorded in our Corporate and Other business segment.</w:t>
      </w:r>
    </w:p>
    <w:p>
      <w:pPr>
        <w:spacing w:after="0" w:line="224" w:lineRule="exact"/>
        <w:rPr>
          <w:rFonts w:ascii="Arial" w:cs="Arial" w:eastAsia="Arial" w:hAnsi="Arial"/>
          <w:sz w:val="23"/>
          <w:szCs w:val="23"/>
          <w:color w:val="auto"/>
          <w:vertAlign w:val="superscript"/>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Benefit Plan:</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for pensions benefits were as follows (in millions):</w:t>
      </w:r>
    </w:p>
    <w:p>
      <w:pPr>
        <w:spacing w:after="0" w:line="280"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jc w:val="right"/>
              <w:ind w:right="332"/>
              <w:spacing w:after="0"/>
              <w:rPr>
                <w:sz w:val="20"/>
                <w:szCs w:val="20"/>
                <w:color w:val="auto"/>
              </w:rPr>
            </w:pPr>
            <w:r>
              <w:rPr>
                <w:rFonts w:ascii="Arial" w:cs="Arial" w:eastAsia="Arial" w:hAnsi="Arial"/>
                <w:sz w:val="16"/>
                <w:szCs w:val="16"/>
                <w:b w:val="1"/>
                <w:bCs w:val="1"/>
                <w:color w:val="auto"/>
              </w:rPr>
              <w:t>2019</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color w:val="auto"/>
                <w:w w:val="95"/>
              </w:rPr>
              <w:t>1.4</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color w:val="auto"/>
                <w:w w:val="95"/>
              </w:rPr>
              <w:t>1.2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color w:val="auto"/>
                <w:w w:val="95"/>
              </w:rPr>
              <w:t>1.8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color w:val="auto"/>
                <w:w w:val="95"/>
              </w:rPr>
              <w:t>3.5</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00" w:type="dxa"/>
            <w:vAlign w:val="bottom"/>
          </w:tcPr>
          <w:p>
            <w:pPr>
              <w:jc w:val="center"/>
              <w:ind w:left="272"/>
              <w:spacing w:after="0"/>
              <w:rPr>
                <w:sz w:val="20"/>
                <w:szCs w:val="20"/>
                <w:color w:val="auto"/>
              </w:rPr>
            </w:pPr>
            <w:r>
              <w:rPr>
                <w:rFonts w:ascii="Arial" w:cs="Arial" w:eastAsia="Arial" w:hAnsi="Arial"/>
                <w:sz w:val="18"/>
                <w:szCs w:val="18"/>
                <w:color w:val="auto"/>
                <w:w w:val="91"/>
              </w:rPr>
              <w:t>(2.2)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left="272"/>
              <w:spacing w:after="0"/>
              <w:rPr>
                <w:sz w:val="20"/>
                <w:szCs w:val="20"/>
                <w:color w:val="auto"/>
              </w:rPr>
            </w:pPr>
            <w:r>
              <w:rPr>
                <w:rFonts w:ascii="Arial" w:cs="Arial" w:eastAsia="Arial" w:hAnsi="Arial"/>
                <w:sz w:val="18"/>
                <w:szCs w:val="18"/>
                <w:color w:val="auto"/>
                <w:w w:val="91"/>
              </w:rPr>
              <w:t>(4.7)</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color w:val="auto"/>
                <w:w w:val="95"/>
              </w:rPr>
              <w:t>1.5</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color w:val="auto"/>
                <w:w w:val="95"/>
              </w:rPr>
              <w:t>2.0</w:t>
            </w:r>
          </w:p>
        </w:tc>
      </w:tr>
      <w:tr>
        <w:trPr>
          <w:trHeight w:val="264"/>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5"/>
              </w:rPr>
              <w:t>2.5</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5"/>
              </w:rPr>
              <w:t>2.0</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2020, we had approximately $3.1 million in total gross unrecognized tax benefits. Of this amount $3.1 million, if recognized, would be recorded through the Consolidated Statements of Operations.</w:t>
      </w:r>
    </w:p>
    <w:p>
      <w:pPr>
        <w:spacing w:after="0" w:line="19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2019 and are subject to examination by numerous other taxing authorities in the U.S. and in foreign jurisdictions. We are generally no longer subject to U.S. federal, state and local, or non-U.S. income tax examinations by taxing authorities for years prior to 2012.</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first quarter of 2020, we recorded a $7.6 million valuation allowance on certain foreign deferred tax assets. We concluded that it was no longer more likely than not that these foreign tax loss carryforwards would be realized due to the adverse impact of the COVID-19 pandemic on our European manufacturing facilities and the resulting downturn in the related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12. Lines of Credit and Financing Arrangements:</w:t>
      </w:r>
    </w:p>
    <w:p>
      <w:pPr>
        <w:spacing w:after="0" w:line="256" w:lineRule="exact"/>
        <w:rPr>
          <w:sz w:val="20"/>
          <w:szCs w:val="20"/>
          <w:color w:val="auto"/>
        </w:rPr>
      </w:pPr>
    </w:p>
    <w:p>
      <w:pPr>
        <w:ind w:right="700" w:firstLine="243"/>
        <w:spacing w:after="0" w:line="274" w:lineRule="auto"/>
        <w:rPr>
          <w:sz w:val="20"/>
          <w:szCs w:val="20"/>
          <w:color w:val="auto"/>
        </w:rPr>
      </w:pPr>
      <w:r>
        <w:rPr>
          <w:rFonts w:ascii="Arial" w:cs="Arial" w:eastAsia="Arial" w:hAnsi="Arial"/>
          <w:sz w:val="18"/>
          <w:szCs w:val="18"/>
          <w:color w:val="auto"/>
        </w:rPr>
        <w:t>The following table summarizes our outstanding debt obligations and their classification in the accompanying Consolidated Balance Sheets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As of March 31, 2020</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2019</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securitization program</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285.0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Pr>
          <w:p>
            <w:pPr>
              <w:spacing w:after="0"/>
              <w:rPr>
                <w:sz w:val="21"/>
                <w:szCs w:val="21"/>
                <w:color w:val="auto"/>
              </w:rPr>
            </w:pP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51"/>
              <w:spacing w:after="0"/>
              <w:rPr>
                <w:sz w:val="20"/>
                <w:szCs w:val="20"/>
                <w:color w:val="auto"/>
              </w:rPr>
            </w:pPr>
            <w:r>
              <w:rPr>
                <w:rFonts w:ascii="Arial" w:cs="Arial" w:eastAsia="Arial" w:hAnsi="Arial"/>
                <w:sz w:val="18"/>
                <w:szCs w:val="18"/>
                <w:color w:val="auto"/>
              </w:rPr>
              <w:t>7.8</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maturities of long-term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252.3</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Domestic credit facility</w:t>
            </w:r>
          </w:p>
        </w:tc>
        <w:tc>
          <w:tcPr>
            <w:tcW w:w="260" w:type="dxa"/>
            <w:vAlign w:val="bottom"/>
          </w:tcPr>
          <w:p>
            <w:pPr>
              <w:spacing w:after="0"/>
              <w:rPr>
                <w:sz w:val="21"/>
                <w:szCs w:val="21"/>
                <w:color w:val="auto"/>
              </w:rPr>
            </w:pP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815.5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51"/>
              <w:spacing w:after="0"/>
              <w:rPr>
                <w:sz w:val="20"/>
                <w:szCs w:val="20"/>
                <w:color w:val="auto"/>
              </w:rPr>
            </w:pPr>
            <w:r>
              <w:rPr>
                <w:rFonts w:ascii="Arial" w:cs="Arial" w:eastAsia="Arial" w:hAnsi="Arial"/>
                <w:sz w:val="18"/>
                <w:szCs w:val="18"/>
                <w:color w:val="auto"/>
              </w:rPr>
              <w:t>475.5</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1,189.9</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849.3</w:t>
            </w:r>
          </w:p>
        </w:tc>
      </w:tr>
      <w:tr>
        <w:trPr>
          <w:trHeight w:val="264"/>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1,442.2</w:t>
            </w: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1,171.2</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no outstanding foreign obligations as of March 31, 2020 or December 31, 2019 and there were no proceeds and repayments on these facilities for the three months ended March 31, 2020 or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2" w:lineRule="exact"/>
        <w:rPr>
          <w:sz w:val="20"/>
          <w:szCs w:val="20"/>
          <w:color w:val="auto"/>
        </w:rPr>
      </w:pPr>
    </w:p>
    <w:p>
      <w:pPr>
        <w:jc w:val="both"/>
        <w:ind w:firstLine="243"/>
        <w:spacing w:after="0" w:line="299" w:lineRule="auto"/>
        <w:rPr>
          <w:sz w:val="20"/>
          <w:szCs w:val="20"/>
          <w:color w:val="auto"/>
        </w:rPr>
      </w:pPr>
      <w:r>
        <w:rPr>
          <w:rFonts w:ascii="Arial" w:cs="Arial" w:eastAsia="Arial" w:hAnsi="Arial"/>
          <w:sz w:val="16"/>
          <w:szCs w:val="16"/>
          <w:color w:val="auto"/>
        </w:rPr>
        <w:t>We renewed the ASP in November 2019, extending its term to November 2021 and increasing the maximum securitization amount to a range from$250.0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r>
      <w:tr>
        <w:trPr>
          <w:trHeight w:val="33"/>
        </w:trPr>
        <w:tc>
          <w:tcPr>
            <w:tcW w:w="7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Less: Beneficial interest transferred</w:t>
            </w:r>
          </w:p>
        </w:tc>
        <w:tc>
          <w:tcPr>
            <w:tcW w:w="16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7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amount available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0.70%. The average rates as of March 31, 2020 and December 31, 2019 were 2.23% and 2.51%,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1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March 31, 2020, we believe we were in compliance with all covenant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January 22, 2019, we amended our Domestic Credit Facility to provide for a $350.0 million increase in revolving commitments. The Domestic Credit Facility currently consists of a $1,000.0 million unsecured revolving credit facility and a $160.0 million unsecured term loan that matures in August 2021 (the "Maturity Date"). Under our Domestic Credit Facility, we had outstanding borrowings of $845.5 million, of which $160.0 million was the term loan balance, as well as $2.4 million committed to standby letters of credit as of March 31, 2020. Subject to covenant limitations, $312.1 million was available for future borrowings. The unsecured term loan also matures on the Maturity Date and requires quarterly principal repayments of $7.5 million. The revolving credit facility includes a subfacility for swingline loans of up to $65.0 million.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6"/>
                <w:szCs w:val="16"/>
                <w:b w:val="1"/>
                <w:bCs w:val="1"/>
                <w:color w:val="auto"/>
              </w:rPr>
              <w:t>As of March 31, 2020</w:t>
            </w:r>
          </w:p>
        </w:tc>
        <w:tc>
          <w:tcPr>
            <w:tcW w:w="2340" w:type="dxa"/>
            <w:vAlign w:val="bottom"/>
          </w:tcPr>
          <w:p>
            <w:pPr>
              <w:jc w:val="right"/>
              <w:ind w:right="235"/>
              <w:spacing w:after="0"/>
              <w:rPr>
                <w:sz w:val="20"/>
                <w:szCs w:val="20"/>
                <w:color w:val="auto"/>
              </w:rPr>
            </w:pPr>
            <w:r>
              <w:rPr>
                <w:rFonts w:ascii="Arial" w:cs="Arial" w:eastAsia="Arial" w:hAnsi="Arial"/>
                <w:sz w:val="16"/>
                <w:szCs w:val="16"/>
                <w:b w:val="1"/>
                <w:bCs w:val="1"/>
                <w:color w:val="auto"/>
              </w:rPr>
              <w:t>As of December 31, 2019</w:t>
            </w:r>
          </w:p>
        </w:tc>
      </w:tr>
      <w:tr>
        <w:trPr>
          <w:trHeight w:val="33"/>
        </w:trPr>
        <w:tc>
          <w:tcPr>
            <w:tcW w:w="644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7"/>
        </w:trPr>
        <w:tc>
          <w:tcPr>
            <w:tcW w:w="64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Cash Flow to Net Interest Expense Ratio no less than</w:t>
            </w:r>
          </w:p>
        </w:tc>
        <w:tc>
          <w:tcPr>
            <w:tcW w:w="33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4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6" w:lineRule="exact"/>
        <w:rPr>
          <w:sz w:val="20"/>
          <w:szCs w:val="20"/>
          <w:color w:val="auto"/>
        </w:rPr>
      </w:pPr>
    </w:p>
    <w:p>
      <w:pPr>
        <w:ind w:left="520" w:hanging="10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ind w:left="660" w:hanging="247"/>
        <w:spacing w:after="0" w:line="263" w:lineRule="auto"/>
        <w:tabs>
          <w:tab w:leader="none" w:pos="54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1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March 31, 2020, we believe we were in compliance with all covenant requirements.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2020, we believe we were in compliance with all covenant requirements.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4"/>
              </w:rPr>
              <w:t>Affected Line Item(s) in the Consolidated Statements of</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91"/>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4140" w:type="dxa"/>
            <w:vAlign w:val="bottom"/>
          </w:tcPr>
          <w:p>
            <w:pPr>
              <w:ind w:left="1680"/>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Gains/(Losses) on cash flow hedges: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Cost of goods sold and (Gains) losses and other</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Derivatives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111"/>
              <w:spacing w:after="0"/>
              <w:rPr>
                <w:sz w:val="20"/>
                <w:szCs w:val="20"/>
                <w:color w:val="auto"/>
              </w:rPr>
            </w:pPr>
            <w:r>
              <w:rPr>
                <w:rFonts w:ascii="Arial" w:cs="Arial" w:eastAsia="Arial" w:hAnsi="Arial"/>
                <w:sz w:val="18"/>
                <w:szCs w:val="18"/>
                <w:color w:val="auto"/>
                <w:w w:val="91"/>
              </w:rPr>
              <w:t>(2.4)</w:t>
            </w:r>
          </w:p>
        </w:tc>
        <w:tc>
          <w:tcPr>
            <w:tcW w:w="12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expenses, net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5"/>
              </w:rPr>
              <w:t>0.6</w:t>
            </w:r>
          </w:p>
        </w:tc>
        <w:tc>
          <w:tcPr>
            <w:tcW w:w="12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center"/>
              <w:ind w:left="111"/>
              <w:spacing w:after="0"/>
              <w:rPr>
                <w:sz w:val="20"/>
                <w:szCs w:val="20"/>
                <w:color w:val="auto"/>
              </w:rPr>
            </w:pPr>
            <w:r>
              <w:rPr>
                <w:rFonts w:ascii="Arial" w:cs="Arial" w:eastAsia="Arial" w:hAnsi="Arial"/>
                <w:sz w:val="18"/>
                <w:szCs w:val="18"/>
                <w:color w:val="auto"/>
                <w:w w:val="91"/>
              </w:rPr>
              <w:t>(1.8)</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Cost of goods sold; Selling, general and administrative</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1"/>
              </w:rPr>
              <w:t>(2.0)</w:t>
            </w:r>
          </w:p>
        </w:tc>
        <w:tc>
          <w:tcPr>
            <w:tcW w:w="1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center"/>
              <w:ind w:left="131"/>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adjustments on sale of 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111"/>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21"/>
                <w:szCs w:val="21"/>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Loss on sale of business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1"/>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reclassifications from AOCL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center"/>
              <w:ind w:left="111"/>
              <w:spacing w:after="0"/>
              <w:rPr>
                <w:sz w:val="20"/>
                <w:szCs w:val="20"/>
                <w:color w:val="auto"/>
              </w:rPr>
            </w:pPr>
            <w:r>
              <w:rPr>
                <w:rFonts w:ascii="Arial" w:cs="Arial" w:eastAsia="Arial" w:hAnsi="Arial"/>
                <w:sz w:val="18"/>
                <w:szCs w:val="18"/>
                <w:b w:val="1"/>
                <w:bCs w:val="1"/>
                <w:color w:val="auto"/>
                <w:w w:val="91"/>
              </w:rPr>
              <w:t>(5.4)</w:t>
            </w:r>
          </w:p>
        </w:tc>
        <w:tc>
          <w:tcPr>
            <w:tcW w:w="12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three months ended March 31, 2020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Gains (Losses) on</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Defined Benefit</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Cash Flow</w:t>
            </w: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6"/>
                <w:szCs w:val="16"/>
                <w:b w:val="1"/>
                <w:bCs w:val="1"/>
                <w:color w:val="auto"/>
              </w:rPr>
              <w:t>Total AOCL</w:t>
            </w:r>
          </w:p>
        </w:tc>
      </w:tr>
      <w:tr>
        <w:trPr>
          <w:trHeight w:val="3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other comprehensive (loss) income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(80.9)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(42.6)</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March 31, 2020 were the same as those used at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9 for more information related to our derivative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r>
      <w:tr>
        <w:trPr>
          <w:trHeight w:val="33"/>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356.8</w:t>
            </w:r>
          </w:p>
        </w:tc>
      </w:tr>
      <w:tr>
        <w:trPr>
          <w:trHeight w:val="27"/>
        </w:trPr>
        <w:tc>
          <w:tcPr>
            <w:tcW w:w="7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Due to the economic impact of the COVID-19 pandemic on our business, we implemented cost reduction actions in April 2020 to realize SG&amp;A savings for the balance of the year. In connection with these cost saving actions, we expect to incur pre-tax charges of approximately $10 million in the second quarter of 2020 related to personnel severance and benefits and facility exit costs.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2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2019,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11"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 and the Resulting Changes to our 2020 Financial Outlook</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have issued decrees prohibiting certain businesses from continuing to operate and certain classes of workers from reporting to work. Those decrees have resulted in supply chain disruption and higher employee absenteeism in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factories. Additionally, certain of our manufacturing facilities have experienced a short-term suspension of operations for COVID-19 employee health concerns.</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first quarter of 2020, we incurred charges of approximately $2 million primarily related to inefficiencies at our factories caused by the COVID-19 pandemic. Additionally, due to the adverse impact of the COVID-19 pandemic on our European manufacturing facilities and the resulting downturn in the related business, we recorded an $8 million valuation allowance on certain foreign deferred tax assets as we concluded that it was no longer more likely than not that these foreign tax loss carryforwards would be realized.</w:t>
      </w:r>
    </w:p>
    <w:p>
      <w:pPr>
        <w:spacing w:after="0" w:line="21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anticipate potential supply chain disruptions, employee absenteeism and short-term suspensions of manufacturing facilities related to the COVID-19 pandemic that could unfavorably impact our business. We also anticipate significant challenges in the remainder of 2020 due to uncertain market conditions. Accordingly, we have revised our financial outlook downward in 2020.</w:t>
      </w:r>
    </w:p>
    <w:p>
      <w:pPr>
        <w:spacing w:after="0" w:line="21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Currently, our view is that the North America unitary HVAC and refrigeration market will be negatively impacted about 20% this year by the pandemic. Therefore, we have reset our financial expectations for the year based on that level of market impact and now expect revenue to be down 11%-17% from last year versus our previous guidance for growth of 4%-8%. We expect Diluted EPS from continuing operations in the range of $7.07 to $8.07 for the year. In April 2020, we implemented cost reduction actions to realize $115 million of SG&amp;A savings for the balance of the year. In connection with these cost saving actions, we expect to incur pre-tax charges of approximately $10 million in the second quarter of 2020 related to personnel severance and benefits and facility exit costs.</w:t>
      </w:r>
    </w:p>
    <w:p>
      <w:pPr>
        <w:spacing w:after="0" w:line="21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expect our cash generation to remain strong for 2020 as our working capital requirements decline and are projecting approximately $460 million in cash flows from operations for the year. We have reduced our capital expenditure plans for 2020 from $153 million to $120 million. We are rated investment grade by both S&amp;P and Moody’s, and we expect to remain well within our debt covenants. Our bank revolver and asset securitization line do not have to go through renewal again until the latter half of 2021, and our senior notes do not mature until November 2023. Our quarterly dividend plans are unchanged, most recently $0.77 per share, or more than $115 million in total payments for the year. We repurchased $100 million of stock in the first quarter of the $400 million we had planned to repurchase for the year. However, we placed repurchase plans for the second quarter on hold and we will review plans for the third and fourth quarters as the year progresses.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Results for the first quarter of 2020 were driven by year over year sales and profit declines in our Residential Heating &amp; Cooling and Refrigeration segments. The Residential Heating &amp; Cooling segment saw a 5% decrease in net sales primarily on lower volumes and unfavorable mix. Their segment profit was down $54 million, including a $40 million decline related to non-recurring insurance recoveries in 2019 for lost profits from the Marshalltown tornado. The Commercial Heating &amp; Cooling segment had a 3% increase in net sales and a $4 million increase in segment profit driven primarily by favorable mix and sourcing and engingeering-led cost reductions. The Refrigeration segment had a 32% decline in net sales and a $6 million decline in segment profit primarily due to the sale of our Kysor Warren business in 2019 and lower volumes.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52"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decreased $67 million to $724 million in the first quarter of 2019 driven by declines in our Residential Heating &amp; Cooling and Refrigeration segments. Approximately half of the decline related to the sale of our Kysor Warren business in 2019.</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 the first quarter of 2020 decreased $58 million to $36 million primarily due to lower volumes, unfavorable mix, and non-recurring insurance recoveries in 2019 for lost profits related to the Marshalltown tornado.</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for the first quarter of 2020 decreased $56 million to $13 million.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$0.32 per share in the first quarter of 2020 compared to $1.73 per share in the first quarter of 2019.</w:t>
      </w:r>
    </w:p>
    <w:p>
      <w:pPr>
        <w:ind w:left="6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three months ended March 31, 2020, we returned $30 million to shareholders through dividend payments and repurchased $100 million of common stock through our share repurchase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2020 Compared to First Quarter of 2019 - Consolidated Results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For the Three Months Ended March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Dollars (in millions)</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Percent</w:t>
            </w:r>
          </w:p>
        </w:tc>
        <w:tc>
          <w:tcPr>
            <w:tcW w:w="2360" w:type="dxa"/>
            <w:vAlign w:val="bottom"/>
            <w:gridSpan w:val="3"/>
            <w:vMerge w:val="restart"/>
          </w:tcPr>
          <w:p>
            <w:pPr>
              <w:jc w:val="right"/>
              <w:ind w:right="5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5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8"/>
              </w:rPr>
              <w:t>Change</w:t>
            </w:r>
          </w:p>
        </w:tc>
        <w:tc>
          <w:tcPr>
            <w:tcW w:w="2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Fav/(Unfav)</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723.8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790.3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558.1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588.7</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1"/>
                <w:szCs w:val="21"/>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 and other expenses,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190.9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Insurance proceeds for lost profits</w:t>
            </w:r>
          </w:p>
        </w:tc>
        <w:tc>
          <w:tcPr>
            <w:tcW w:w="2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from natural disaster, net of insurance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123.2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94.7</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declined 8% in the first quarter of 2020 compared to the first quarter of 2019, driven by a 4% decline related to the divestiture of our Kysor Warren business in 2019 and a 5% decline in volume, partially offset by a 1% increase in higher combined price and mix.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Gross profit margin in the first quarter of 2020 decreased 260 basis points ("bps") to 22.9% compared to 25.5% in the first quarter of 2019. We saw margin decreases of 160 bps from lower volumes, 140 bps from factory inefficiencies, and 150 bps from higher other product costs. Partially offsetting these decreases were margin increases of 90 bps from lower commodity costs, 80 bps from lower tariffs and sourcing and engineering-led cost reductions, and 20 bps from the divestiture of the Kysor Warren business which had lower margins.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expenses ("SG&amp;A") declined $15 million to $131 million in the first quarter of 2020 compared to $146 million in the first quarter of 2019. As a percentage of net sales, SG&amp;A decreased 30 bps to 18.1% primarily due to a decline in SG&amp;A from our divested Kysor Warren business and lower incentive compensation costs.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Losses and Other Expenses, Net</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(Gains) losses and other expenses, net for the first quarter of 2020 and 2019 included the following (in millions):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For the Three Months Ended March</w:t>
            </w:r>
          </w:p>
        </w:tc>
      </w:tr>
      <w:tr>
        <w:trPr>
          <w:trHeight w:val="210"/>
        </w:trPr>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31,</w:t>
            </w:r>
          </w:p>
        </w:tc>
        <w:tc>
          <w:tcPr>
            <w:tcW w:w="102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33"/>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losses on settled future contracts</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Foreign currency exchange gains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Other operating losses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Special legal contingency charges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Asbestos-related litigation</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36"/>
        </w:trPr>
        <w:tc>
          <w:tcPr>
            <w:tcW w:w="8480" w:type="dxa"/>
            <w:vAlign w:val="bottom"/>
          </w:tcPr>
          <w:p>
            <w:pPr>
              <w:ind w:left="240"/>
              <w:spacing w:after="0"/>
              <w:rPr>
                <w:sz w:val="20"/>
                <w:szCs w:val="20"/>
                <w:color w:val="auto"/>
              </w:rPr>
            </w:pPr>
            <w:r>
              <w:rPr>
                <w:rFonts w:ascii="Arial" w:cs="Arial" w:eastAsia="Arial" w:hAnsi="Arial"/>
                <w:sz w:val="18"/>
                <w:szCs w:val="18"/>
                <w:color w:val="auto"/>
              </w:rPr>
              <w:t>(Gains) losses and other expenses, net (pre-tax)</w:t>
            </w:r>
          </w:p>
        </w:tc>
        <w:tc>
          <w:tcPr>
            <w:tcW w:w="78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w:t>
            </w: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8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25" w:name="page26"/>
    <w:bookmarkEnd w:id="25"/>
    <w:p>
      <w:pPr>
        <w:jc w:val="both"/>
        <w:ind w:firstLine="243"/>
        <w:spacing w:after="0" w:line="279" w:lineRule="auto"/>
        <w:rPr>
          <w:sz w:val="20"/>
          <w:szCs w:val="20"/>
          <w:color w:val="auto"/>
        </w:rPr>
      </w:pPr>
      <w:r>
        <w:rPr>
          <w:rFonts w:ascii="Arial" w:cs="Arial" w:eastAsia="Arial" w:hAnsi="Arial"/>
          <w:sz w:val="17"/>
          <w:szCs w:val="17"/>
          <w:color w:val="auto"/>
        </w:rPr>
        <w:t>The net change in unrealized losses (gains) on unsettled futures contracts was due to changes in commodity prices relative to the unsettled futures contract prices. For more information on our futures contracts, see Note 9 in the Notes to the Consolidated Financial Statements. For more information on special legal contingency charges and asbestos-related litigation, see Note 4 in the Notes to the Consolidated Financial Statements. The environmental liabilities relate to estimated remediation costs for contamination at some of our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Restructuring charges were approximately $1 million in the first quarter of 2020 and related to activities initiated in 2019 in our Commercial Heating &amp; Cooling and Residential Heating &amp; Cooling segments. For additional information on our restructuring activities, refer to Note 7 in the Notes to the Consolidated Financial Statements. For additional information on restructuring activities planned in future periods of 2020, refer to Note 15 of the Notes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Business</w:t>
      </w:r>
    </w:p>
    <w:p>
      <w:pPr>
        <w:spacing w:after="0" w:line="25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We recognized a loss of $8.5 million in the first quarter of 2019 related to the sale of our Kysor Warren business. There were no gains or losses related to this divestiture in the first quarter of 2020. Refer to Note 6 in the Notes to the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Marshalltown Tornado</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On July 19, 2018, our manufacturing facility in Marshalltown, Iowa was severely damaged by a tornado. Insurance covered the repair or replacement of our assets that suffered damage or loss and reimbursement for other expenses and costs that have been incurred relating to the damages and losses suffered. These costs and insurance recoveries are shown in Loss (gain) from natural disaster, net of insurance recoveries in the Consolidated Statements of Operations. Our insurance policies also provided business interruption coverage, including lost profits, related to the losses suffered. These insurance recoveries are shown in Insurance proceeds for lost profits in the Consolidated Statements of Operations.</w:t>
      </w:r>
    </w:p>
    <w:p>
      <w:pPr>
        <w:spacing w:after="0" w:line="20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w:t>
      </w:r>
    </w:p>
    <w:p>
      <w:pPr>
        <w:spacing w:after="0" w:line="19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For the three months ended March 31, 2020, we incurred expenses of $2 million related to damages caused by the tornado, which included site clean up, waste disposal and other restoration costs. See Note 4 in the Notes to the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$3 million in the first quarter of 2020 was comparable to the first quarter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$9 million in the first quarter of 2020 was down $2 million from $11 million in the first quarter of 2019 primarily due to lower borrowing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effective tax rate was 52.8% for the first quarter of 2020 compared to 16.4% for the first quarter of 2019. The rate increased primarily due to lower excess tax benefits and the recording of an $8 million valuation allowance on certain foreign deferred tax assets. We concluded that it was no longer more likely than not that these foreign tax loss carryforwards would be realized due to the adverse impact of the COVID-19 pandemic on our European manufacturing facilities and the resulting downturn in the related business.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ind w:right="20" w:firstLine="243"/>
        <w:spacing w:after="0" w:line="277" w:lineRule="auto"/>
        <w:rPr>
          <w:sz w:val="20"/>
          <w:szCs w:val="20"/>
          <w:color w:val="auto"/>
        </w:rPr>
      </w:pPr>
      <w:r>
        <w:rPr>
          <w:rFonts w:ascii="Arial" w:cs="Arial" w:eastAsia="Arial" w:hAnsi="Arial"/>
          <w:sz w:val="18"/>
          <w:szCs w:val="18"/>
          <w:color w:val="auto"/>
        </w:rPr>
        <w:t>We expect our annual effective tax rate to be between 21% and 22%, excluding the impacts of excess tax benefits recorded as a reduction of income taxes under ASU No. 2016-09 and excluding the $8 million valuation allowance.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2020 Compared to First Quarter of 2019 -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first quarter of 2020 and 2019 (dollars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3240" w:type="dxa"/>
            <w:vAlign w:val="bottom"/>
            <w:gridSpan w:val="9"/>
          </w:tcPr>
          <w:p>
            <w:pPr>
              <w:jc w:val="right"/>
              <w:ind w:right="420"/>
              <w:spacing w:after="0"/>
              <w:rPr>
                <w:sz w:val="20"/>
                <w:szCs w:val="20"/>
                <w:color w:val="auto"/>
              </w:rPr>
            </w:pPr>
            <w:r>
              <w:rPr>
                <w:rFonts w:ascii="Arial" w:cs="Arial" w:eastAsia="Arial" w:hAnsi="Arial"/>
                <w:sz w:val="16"/>
                <w:szCs w:val="16"/>
                <w:b w:val="1"/>
                <w:bCs w:val="1"/>
                <w:color w:val="auto"/>
                <w:w w:val="94"/>
              </w:rPr>
              <w:t>For the Three Months Ended March 31,</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Profit</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86.7</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decreased 5% in the first quarter of 2020 compared to the first quarter of 2019. Sales volumes declined 5% and mix was 1% lower, partially offset by 1% higher price.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Segment profit in the first quarter of 2020 declined $54 million compared to the first quarter of 2019 due to $40 million of non-recurring insurance proceeds for lost profits in 2019 related to the Marshalltown tornado, $14 million of unfavorable mix, $9 million of higher other product costs, $8 million of factory inefficiencies, and $8 million from lower sales volume. Partially offsetting these declines was $6 million of higher price, $6 million of lower SG&amp;A expense, $6 million of sourcing and engineering-led cost reductions, $5 million of lower commodities, $1 million of lower tariffs on certain Chinese imports, and $1 million of favorable foreign exchange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first quarter of 2020 and 2019 (dollars in millions):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180" w:type="dxa"/>
            <w:vAlign w:val="bottom"/>
            <w:gridSpan w:val="9"/>
          </w:tcPr>
          <w:p>
            <w:pPr>
              <w:ind w:left="40"/>
              <w:spacing w:after="0"/>
              <w:rPr>
                <w:sz w:val="20"/>
                <w:szCs w:val="20"/>
                <w:color w:val="auto"/>
              </w:rPr>
            </w:pPr>
            <w:r>
              <w:rPr>
                <w:rFonts w:ascii="Arial" w:cs="Arial" w:eastAsia="Arial" w:hAnsi="Arial"/>
                <w:sz w:val="16"/>
                <w:szCs w:val="16"/>
                <w:b w:val="1"/>
                <w:bCs w:val="1"/>
                <w:color w:val="auto"/>
              </w:rPr>
              <w:t>For the Three Months Ended March 31,</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7"/>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140" w:type="dxa"/>
            <w:vAlign w:val="bottom"/>
          </w:tcPr>
          <w:p>
            <w:pPr>
              <w:jc w:val="right"/>
              <w:ind w:right="13"/>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Profit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5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increased 3% in the first quarter of 2020 compared to the first quarter of 2019. Sales mix was favorable 4%, partially offset by 1% lower volumes.</w:t>
      </w:r>
    </w:p>
    <w:p>
      <w:pPr>
        <w:spacing w:after="0" w:line="197" w:lineRule="exact"/>
        <w:rPr>
          <w:sz w:val="20"/>
          <w:szCs w:val="20"/>
          <w:color w:val="auto"/>
        </w:rPr>
      </w:pPr>
    </w:p>
    <w:p>
      <w:pPr>
        <w:jc w:val="both"/>
        <w:ind w:right="20" w:firstLine="243"/>
        <w:spacing w:after="0" w:line="255" w:lineRule="auto"/>
        <w:rPr>
          <w:sz w:val="20"/>
          <w:szCs w:val="20"/>
          <w:color w:val="auto"/>
        </w:rPr>
      </w:pPr>
      <w:r>
        <w:rPr>
          <w:rFonts w:ascii="Arial" w:cs="Arial" w:eastAsia="Arial" w:hAnsi="Arial"/>
          <w:sz w:val="18"/>
          <w:szCs w:val="18"/>
          <w:color w:val="auto"/>
        </w:rPr>
        <w:t>Segment profit in the first quarter of 2020 increased $4 million compared to the first quarter of 2019 due to $2 million of favorable mix, $2 million of sourcing and engineering-led cost reductions, $1 million of lower commodities, and $1 million of lower SG&amp;A expense. Partially offsetting these increases was $1 million of lower sales volume and $1 million of higher warranty costs.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Refrigeration segment's net sales and profit for the first quarter of 2020 and 2019 (dollars in millions):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3260" w:type="dxa"/>
            <w:vAlign w:val="bottom"/>
            <w:gridSpan w:val="9"/>
          </w:tcPr>
          <w:p>
            <w:pPr>
              <w:jc w:val="right"/>
              <w:ind w:right="420"/>
              <w:spacing w:after="0"/>
              <w:rPr>
                <w:sz w:val="20"/>
                <w:szCs w:val="20"/>
                <w:color w:val="auto"/>
              </w:rPr>
            </w:pPr>
            <w:r>
              <w:rPr>
                <w:rFonts w:ascii="Arial" w:cs="Arial" w:eastAsia="Arial" w:hAnsi="Arial"/>
                <w:sz w:val="16"/>
                <w:szCs w:val="16"/>
                <w:b w:val="1"/>
                <w:bCs w:val="1"/>
                <w:color w:val="auto"/>
                <w:w w:val="95"/>
              </w:rPr>
              <w:t>For the Three Months Ended March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Profit</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7" w:name="page28"/>
    <w:bookmarkEnd w:id="27"/>
    <w:p>
      <w:pPr>
        <w:jc w:val="both"/>
        <w:ind w:right="20" w:firstLine="243"/>
        <w:spacing w:after="0" w:line="255" w:lineRule="auto"/>
        <w:rPr>
          <w:sz w:val="20"/>
          <w:szCs w:val="20"/>
          <w:color w:val="auto"/>
        </w:rPr>
      </w:pPr>
      <w:r>
        <w:rPr>
          <w:rFonts w:ascii="Arial" w:cs="Arial" w:eastAsia="Arial" w:hAnsi="Arial"/>
          <w:sz w:val="18"/>
          <w:szCs w:val="18"/>
          <w:color w:val="auto"/>
        </w:rPr>
        <w:t>Net sales decreased 32% in the first quarter of 2020 compared to the first quarter of 2019. The loss of sales from our divested Kysor Warren business contributed 23%, sales volume was lower by 9%, and foreign currency exchange rates were unfavorable by 1%, partially offset by higher combined price and mix of 1%.</w:t>
      </w:r>
    </w:p>
    <w:p>
      <w:pPr>
        <w:spacing w:after="0" w:line="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Segment profit in the first quarter of 2020 decreased $8 million compared to the first quarter of 2019 due to $4 million of lower volumes, $5 million of factory inefficiencies, $3 million of higher other product costs, and $2 million of lower sales of refrigerant allocations in Europe. Partially offsetting these decreases was $2 million of lower commodities, $2 million of lower SG&amp;A, $1 million of sourcing and engineering-led cost reductions, and $1 million of higher profit due to the divestiture of the Kysor Warren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Corporate and other expenses increased $2 million in the first quarter of 2020 compared to the first quarter of 2019 primarily due to $2 million of higher information technology investments, and $1 million of unfavorable foreign currency exchange rates, partially offset by $1 million of lower discretionary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cash flow activity for the three months ended March 31, 2020 and 2019 (in millions):</w:t>
      </w:r>
    </w:p>
    <w:p>
      <w:pPr>
        <w:spacing w:after="0" w:line="64"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March 31,</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6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36"/>
        </w:trPr>
        <w:tc>
          <w:tcPr>
            <w:tcW w:w="86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(141.0)</w:t>
            </w:r>
          </w:p>
        </w:tc>
      </w:tr>
      <w:tr>
        <w:trPr>
          <w:trHeight w:val="27"/>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r>
      <w:tr>
        <w:trPr>
          <w:trHeight w:val="243"/>
        </w:trPr>
        <w:tc>
          <w:tcPr>
            <w:tcW w:w="8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1"/>
                <w:szCs w:val="21"/>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108.9</w:t>
            </w:r>
          </w:p>
        </w:tc>
      </w:tr>
    </w:tbl>
    <w:p>
      <w:pPr>
        <w:spacing w:after="0" w:line="36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net cash used in operating activities in the three months ended March 31, 2020 and 2019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increase in working capital requirements. The decrease in cash used in operating activities in the first quarter of 2020 compared to the same period in 2019 was primarily due to the timing of working capital payments.</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Net Cash (Used in) Provided by Investing Activities - </w:t>
      </w:r>
      <w:r>
        <w:rPr>
          <w:rFonts w:ascii="Arial" w:cs="Arial" w:eastAsia="Arial" w:hAnsi="Arial"/>
          <w:sz w:val="18"/>
          <w:szCs w:val="18"/>
          <w:color w:val="auto"/>
        </w:rPr>
        <w:t>Capital expenditures were $25 million in the three months ended March, 2020 compared to $37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of 2019. Capital expenditures in 2020 were primarily related to the an expansion of manufacturing capacity and equipment and investments in systems and software to support the overall enterprise.</w:t>
      </w:r>
    </w:p>
    <w:p>
      <w:pPr>
        <w:spacing w:after="0" w:line="21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Net Cash Provided by Financing Activities - </w:t>
      </w:r>
      <w:r>
        <w:rPr>
          <w:rFonts w:ascii="Arial" w:cs="Arial" w:eastAsia="Arial" w:hAnsi="Arial"/>
          <w:sz w:val="17"/>
          <w:szCs w:val="17"/>
          <w:color w:val="auto"/>
        </w:rPr>
        <w:t>Net cash provided by financing activities in the three months ended March 31, 2020 was $133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$109 million in the same period of 2019. This increase is primarily due to higher net borrowings on our revolving credit facility. We also repurchased $100 million of shares for the three months ended March 31, 2020 and returned $30 million to shareholders through dividend payments. For additional information on share repurchases, refer to Note 5 in the Notes to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March 31, 2020 (in millions):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9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Outstanding</w:t>
            </w:r>
          </w:p>
        </w:tc>
        <w:tc>
          <w:tcPr>
            <w:tcW w:w="0" w:type="dxa"/>
            <w:vAlign w:val="bottom"/>
          </w:tcPr>
          <w:p>
            <w:pPr>
              <w:spacing w:after="0"/>
              <w:rPr>
                <w:sz w:val="1"/>
                <w:szCs w:val="1"/>
                <w:color w:val="auto"/>
              </w:rPr>
            </w:pPr>
          </w:p>
        </w:tc>
      </w:tr>
      <w:tr>
        <w:trPr>
          <w:trHeight w:val="210"/>
        </w:trPr>
        <w:tc>
          <w:tcPr>
            <w:tcW w:w="9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3"/>
              <w:spacing w:after="0"/>
              <w:rPr>
                <w:sz w:val="20"/>
                <w:szCs w:val="20"/>
                <w:color w:val="auto"/>
              </w:rPr>
            </w:pPr>
            <w:r>
              <w:rPr>
                <w:rFonts w:ascii="Arial" w:cs="Arial" w:eastAsia="Arial" w:hAnsi="Arial"/>
                <w:sz w:val="16"/>
                <w:szCs w:val="16"/>
                <w:b w:val="1"/>
                <w:bCs w:val="1"/>
                <w:color w:val="auto"/>
              </w:rPr>
              <w:t>Borrowings</w:t>
            </w:r>
          </w:p>
        </w:tc>
        <w:tc>
          <w:tcPr>
            <w:tcW w:w="0" w:type="dxa"/>
            <w:vAlign w:val="bottom"/>
          </w:tcPr>
          <w:p>
            <w:pPr>
              <w:spacing w:after="0"/>
              <w:rPr>
                <w:sz w:val="1"/>
                <w:szCs w:val="1"/>
                <w:color w:val="auto"/>
              </w:rPr>
            </w:pPr>
          </w:p>
        </w:tc>
      </w:tr>
      <w:tr>
        <w:trPr>
          <w:trHeight w:val="33"/>
        </w:trPr>
        <w:tc>
          <w:tcPr>
            <w:tcW w:w="97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credit facility</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obligations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Domestic credit facility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unsecured notes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long-term debt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debt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26.2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815.5</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350.0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1,189.9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3" w:lineRule="exact"/>
        <w:rPr>
          <w:sz w:val="20"/>
          <w:szCs w:val="20"/>
          <w:color w:val="auto"/>
        </w:rPr>
      </w:pPr>
    </w:p>
    <w:p>
      <w:pPr>
        <w:ind w:left="781" w:hanging="781"/>
        <w:spacing w:after="0"/>
        <w:tabs>
          <w:tab w:leader="none" w:pos="78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1,442.2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67310</wp:posOffset>
            </wp:positionV>
            <wp:extent cx="9512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039" w:space="720"/>
            <w:col w:w="1481"/>
          </w:cols>
          <w:pgMar w:left="320" w:top="949" w:right="339" w:bottom="1440" w:gutter="0" w:footer="0" w:header="0"/>
          <w:type w:val="continuous"/>
        </w:sectPr>
      </w:pPr>
    </w:p>
    <w:p>
      <w:pPr>
        <w:spacing w:after="0" w:line="299" w:lineRule="exact"/>
        <w:rPr>
          <w:sz w:val="20"/>
          <w:szCs w:val="20"/>
          <w:color w:val="auto"/>
        </w:rPr>
      </w:pPr>
    </w:p>
    <w:p>
      <w:pPr>
        <w:ind w:left="340" w:hanging="332"/>
        <w:spacing w:after="0" w:line="234"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available future borrowings on our domestic credit facility are $312.1 million after being reduced by the outstanding borrowings and $2.4 million in outstanding standby letters of credit. We also had $29.6 million in outstanding standby letters of credit outside of the domestic credit facility as of March 31, 2020.</w:t>
      </w:r>
    </w:p>
    <w:p>
      <w:pPr>
        <w:spacing w:after="0" w:line="40" w:lineRule="exact"/>
        <w:rPr>
          <w:rFonts w:ascii="Arial" w:cs="Arial" w:eastAsia="Arial" w:hAnsi="Arial"/>
          <w:sz w:val="23"/>
          <w:szCs w:val="23"/>
          <w:color w:val="auto"/>
          <w:vertAlign w:val="superscript"/>
        </w:rPr>
      </w:pPr>
    </w:p>
    <w:p>
      <w:pPr>
        <w:ind w:left="340" w:hanging="332"/>
        <w:spacing w:after="0" w:line="234" w:lineRule="auto"/>
        <w:tabs>
          <w:tab w:leader="none" w:pos="20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maximum securitization amount ranges from $250.0 million to $400.0 million, depending on the period. The maximum capacity of the ASP is the lesser of the maximum securitization amount or 100% of the net pool balance less reserves, as defined under the ASP. Refer to Note 12 in the Notes to the Consolidated Financial Statements for more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128.3% at March 31, 2020 from 117.0% at December 31, 2019.</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2020,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believe our cash and cash equivalents of $39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$39 million as of March 31, 2020 was $20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ectPr>
          <w:pgSz w:w="11900" w:h="16838" w:orient="portrait"/>
          <w:cols w:equalWidth="0" w:num="1">
            <w:col w:w="11240"/>
          </w:cols>
          <w:pgMar w:left="320" w:top="9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2019. Our exposure to market risk has not changed materially since December 31,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2020,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2020 that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2019, which could materially affect our business, financial condition or results of operations. In the first quarter of 2020, we identified the following additional risk factor:</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Face Risks Related to the Current COVID-19 Pandemic</w:t>
      </w:r>
    </w:p>
    <w:p>
      <w:pPr>
        <w:spacing w:after="0" w:line="171" w:lineRule="exact"/>
        <w:rPr>
          <w:sz w:val="20"/>
          <w:szCs w:val="20"/>
          <w:color w:val="auto"/>
        </w:rPr>
      </w:pPr>
    </w:p>
    <w:p>
      <w:pPr>
        <w:jc w:val="both"/>
        <w:ind w:left="580" w:firstLine="243"/>
        <w:spacing w:after="0" w:line="259"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affected our results of operations. The magnitude of the impact of COVID-19 is unpredictable; consequently, the impact it will have on the Company’s future results is uncertain.</w:t>
      </w:r>
    </w:p>
    <w:p>
      <w:pPr>
        <w:spacing w:after="0" w:line="133" w:lineRule="exact"/>
        <w:rPr>
          <w:sz w:val="20"/>
          <w:szCs w:val="20"/>
          <w:color w:val="auto"/>
        </w:rPr>
      </w:pPr>
    </w:p>
    <w:p>
      <w:pPr>
        <w:jc w:val="both"/>
        <w:ind w:left="580" w:firstLine="243"/>
        <w:spacing w:after="0" w:line="259"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have issued decrees prohibiting certain businesses from continuing to operate and certain classes of workers from reporting to work. Those decrees have resulted in supply chain disruption and higher absenteeism in our factories. It remains unclear how long these decrees will remain in place, what additional decrees may be instituted, and the impact they may have on our company.</w:t>
      </w:r>
    </w:p>
    <w:p>
      <w:pPr>
        <w:spacing w:after="0" w:line="133" w:lineRule="exact"/>
        <w:rPr>
          <w:sz w:val="20"/>
          <w:szCs w:val="20"/>
          <w:color w:val="auto"/>
        </w:rPr>
      </w:pPr>
    </w:p>
    <w:p>
      <w:pPr>
        <w:jc w:val="both"/>
        <w:ind w:left="580" w:firstLine="243"/>
        <w:spacing w:after="0" w:line="263" w:lineRule="auto"/>
        <w:rPr>
          <w:sz w:val="20"/>
          <w:szCs w:val="20"/>
          <w:color w:val="auto"/>
        </w:rPr>
      </w:pPr>
      <w:r>
        <w:rPr>
          <w:rFonts w:ascii="Arial" w:cs="Arial" w:eastAsia="Arial" w:hAnsi="Arial"/>
          <w:sz w:val="18"/>
          <w:szCs w:val="18"/>
          <w:color w:val="auto"/>
        </w:rPr>
        <w:t>Additionally, certain of our manufacturing facilities have experienced a short-term suspension of operations for COVID-19 employee health concerns. There remains a risk of future employee health concerns and we cannot predict whether any of our manufacturing facilities will experience disruptions or how long such disruptions would last.</w:t>
      </w:r>
    </w:p>
    <w:p>
      <w:pPr>
        <w:spacing w:after="0" w:line="130" w:lineRule="exact"/>
        <w:rPr>
          <w:sz w:val="20"/>
          <w:szCs w:val="20"/>
          <w:color w:val="auto"/>
        </w:rPr>
      </w:pPr>
    </w:p>
    <w:p>
      <w:pPr>
        <w:jc w:val="both"/>
        <w:ind w:left="580" w:firstLine="243"/>
        <w:spacing w:after="0" w:line="277" w:lineRule="auto"/>
        <w:rPr>
          <w:sz w:val="20"/>
          <w:szCs w:val="20"/>
          <w:color w:val="auto"/>
        </w:rPr>
      </w:pPr>
      <w:r>
        <w:rPr>
          <w:rFonts w:ascii="Arial" w:cs="Arial" w:eastAsia="Arial" w:hAnsi="Arial"/>
          <w:sz w:val="18"/>
          <w:szCs w:val="18"/>
          <w:color w:val="auto"/>
        </w:rPr>
        <w:t>The impact of the COVID-19 pandemic continues to evolve, and therefore, we cannot predict the full extent to which our business, results of operations, financial condition or liquidity will ultimately be impacted.</w:t>
      </w:r>
    </w:p>
    <w:p>
      <w:pPr>
        <w:spacing w:after="0" w:line="11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There have been no other material changes to our risk factors from those disclosed in our Annual Report on Form 10-K for the year ended December 31, 2019.</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first quarter of 2020, we purchased shares of our common stock as follows:</w:t>
      </w:r>
    </w:p>
    <w:p>
      <w:pPr>
        <w:sectPr>
          <w:pgSz w:w="11900" w:h="16838" w:orient="portrait"/>
          <w:cols w:equalWidth="0" w:num="1">
            <w:col w:w="11240"/>
          </w:cols>
          <w:pgMar w:left="320" w:top="891" w:right="3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89"/>
              </w:rPr>
              <w:t>Shares that may yet be</w:t>
            </w:r>
          </w:p>
        </w:tc>
        <w:tc>
          <w:tcPr>
            <w:tcW w:w="0" w:type="dxa"/>
            <w:vAlign w:val="bottom"/>
          </w:tcPr>
          <w:p>
            <w:pPr>
              <w:spacing w:after="0"/>
              <w:rPr>
                <w:sz w:val="1"/>
                <w:szCs w:val="1"/>
                <w:color w:val="auto"/>
              </w:rPr>
            </w:pPr>
          </w:p>
        </w:tc>
      </w:tr>
      <w:tr>
        <w:trPr>
          <w:trHeight w:val="94"/>
        </w:trPr>
        <w:tc>
          <w:tcPr>
            <w:tcW w:w="35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our Share</w:t>
            </w: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4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5"/>
                <w:szCs w:val="5"/>
                <w:color w:val="auto"/>
              </w:rPr>
            </w:pPr>
          </w:p>
        </w:tc>
        <w:tc>
          <w:tcPr>
            <w:tcW w:w="180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20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89"/>
              </w:rPr>
              <w:t>Repurchase Plans</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w w:val="85"/>
              </w:rPr>
              <w:t xml:space="preserve">Shares Purchased </w:t>
            </w:r>
            <w:r>
              <w:rPr>
                <w:rFonts w:ascii="Arial" w:cs="Arial" w:eastAsia="Arial" w:hAnsi="Arial"/>
                <w:sz w:val="21"/>
                <w:szCs w:val="21"/>
                <w:b w:val="1"/>
                <w:bCs w:val="1"/>
                <w:color w:val="auto"/>
                <w:w w:val="85"/>
                <w:vertAlign w:val="superscript"/>
              </w:rPr>
              <w:t>(1)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0"/>
              </w:rPr>
              <w:t>fees)</w:t>
            </w:r>
          </w:p>
        </w:tc>
        <w:tc>
          <w:tcPr>
            <w:tcW w:w="2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95"/>
              <w:spacing w:after="0" w:line="216" w:lineRule="exact"/>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through February 1</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245.45</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February 1 through February 23</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353,346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242.5</w:t>
            </w:r>
          </w:p>
        </w:tc>
        <w:tc>
          <w:tcPr>
            <w:tcW w:w="200" w:type="dxa"/>
            <w:vAlign w:val="bottom"/>
          </w:tcPr>
          <w:p>
            <w:pPr>
              <w:spacing w:after="0"/>
              <w:rPr>
                <w:sz w:val="21"/>
                <w:szCs w:val="21"/>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351,763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75"/>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23 through March 31</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84,507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233.9</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60,682</w:t>
            </w: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438,043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412,445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hanging="169"/>
        <w:spacing w:after="0" w:line="227" w:lineRule="auto"/>
        <w:tabs>
          <w:tab w:leader="none" w:pos="4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25,598 shares of common stock we repurchased in January, February and March of 2020 surrendered to LII to satisfy employee tax-withholding obligations in connection with the exercise of long-term incentive awards.</w:t>
      </w:r>
    </w:p>
    <w:p>
      <w:pPr>
        <w:spacing w:after="0" w:line="40" w:lineRule="exact"/>
        <w:rPr>
          <w:rFonts w:ascii="Arial" w:cs="Arial" w:eastAsia="Arial" w:hAnsi="Arial"/>
          <w:sz w:val="23"/>
          <w:szCs w:val="23"/>
          <w:color w:val="auto"/>
          <w:vertAlign w:val="superscript"/>
        </w:rPr>
      </w:pPr>
    </w:p>
    <w:p>
      <w:pPr>
        <w:ind w:left="380" w:hanging="169"/>
        <w:spacing w:after="0" w:line="238" w:lineRule="auto"/>
        <w:tabs>
          <w:tab w:leader="none" w:pos="401"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After $100.0 million related to repurchases under the ASR Agreement executed in February 2020. The stock repurchases were executed pursuant to a previously announced repurchase plan. See Note 5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14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0280" w:type="dxa"/>
            <w:vAlign w:val="bottom"/>
            <w:gridSpan w:val="19"/>
            <w:shd w:val="clear" w:color="auto" w:fill="CCEEFF"/>
          </w:tcPr>
          <w:p>
            <w:pPr>
              <w:spacing w:after="0"/>
              <w:rPr>
                <w:rFonts w:ascii="Arial" w:cs="Arial" w:eastAsia="Arial" w:hAnsi="Arial"/>
                <w:sz w:val="18"/>
                <w:szCs w:val="18"/>
                <w:color w:val="0000FF"/>
                <w:w w:val="96"/>
              </w:rPr>
            </w:pPr>
            <w:hyperlink r:id="rId66">
              <w:r>
                <w:rPr>
                  <w:rFonts w:ascii="Arial" w:cs="Arial" w:eastAsia="Arial" w:hAnsi="Arial"/>
                  <w:sz w:val="18"/>
                  <w:szCs w:val="18"/>
                  <w:color w:val="0000FF"/>
                  <w:w w:val="96"/>
                </w:rPr>
                <w:t>Restated Certificate of Incorporation of Lennox International Inc. (“LII”) (filed as Exhibit 3.1 to LII’s Registration Statement on Form S-1</w:t>
              </w:r>
            </w:hyperlink>
          </w:p>
        </w:tc>
      </w:tr>
      <w:tr>
        <w:trPr>
          <w:trHeight w:val="156"/>
        </w:trPr>
        <w:tc>
          <w:tcPr>
            <w:tcW w:w="94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(Registration Statement No. 333-75725) filed on April 6, 1999 and incorporated herein by reference).</w:t>
              </w:r>
            </w:hyperlink>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500" w:type="dxa"/>
            <w:vAlign w:val="bottom"/>
            <w:tcBorders>
              <w:top w:val="single" w:sz="8" w:color="0000FF"/>
            </w:tcBorders>
            <w:shd w:val="clear" w:color="auto" w:fill="CCEEFF"/>
          </w:tcPr>
          <w:p>
            <w:pPr>
              <w:spacing w:after="0" w:line="20" w:lineRule="exact"/>
              <w:rPr>
                <w:sz w:val="1"/>
                <w:szCs w:val="1"/>
                <w:color w:val="auto"/>
              </w:rPr>
            </w:pPr>
          </w:p>
        </w:tc>
        <w:tc>
          <w:tcPr>
            <w:tcW w:w="234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ind w:left="20"/>
              <w:spacing w:after="0" w:line="169" w:lineRule="exact"/>
              <w:rPr>
                <w:sz w:val="20"/>
                <w:szCs w:val="20"/>
                <w:color w:val="auto"/>
              </w:rPr>
            </w:pPr>
            <w:r>
              <w:rPr>
                <w:rFonts w:ascii="Arial" w:cs="Arial" w:eastAsia="Arial" w:hAnsi="Arial"/>
                <w:sz w:val="18"/>
                <w:szCs w:val="18"/>
                <w:color w:val="auto"/>
              </w:rPr>
              <w:t>3.2</w:t>
            </w:r>
          </w:p>
        </w:tc>
        <w:tc>
          <w:tcPr>
            <w:tcW w:w="10280" w:type="dxa"/>
            <w:vAlign w:val="bottom"/>
            <w:gridSpan w:val="19"/>
          </w:tcPr>
          <w:p>
            <w:pPr>
              <w:spacing w:after="0" w:line="169"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Amended and Restated Bylaws of LII (filed as Exhibit 3.1 to LII’s Current Report on Form 8-K filed on December 16, 2013 and incorporated</w:t>
              </w:r>
            </w:hyperlink>
          </w:p>
        </w:tc>
      </w:tr>
      <w:tr>
        <w:trPr>
          <w:trHeight w:val="156"/>
        </w:trPr>
        <w:tc>
          <w:tcPr>
            <w:tcW w:w="940" w:type="dxa"/>
            <w:vAlign w:val="bottom"/>
          </w:tcPr>
          <w:p>
            <w:pPr>
              <w:spacing w:after="0"/>
              <w:rPr>
                <w:sz w:val="13"/>
                <w:szCs w:val="13"/>
                <w:color w:val="auto"/>
              </w:rPr>
            </w:pPr>
          </w:p>
        </w:tc>
        <w:tc>
          <w:tcPr>
            <w:tcW w:w="10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4.1</w:t>
            </w:r>
          </w:p>
        </w:tc>
        <w:tc>
          <w:tcPr>
            <w:tcW w:w="10280" w:type="dxa"/>
            <w:vAlign w:val="bottom"/>
            <w:gridSpan w:val="19"/>
            <w:shd w:val="clear" w:color="auto" w:fill="CCEEFF"/>
          </w:tcPr>
          <w:p>
            <w:pPr>
              <w:spacing w:after="0" w:line="169"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Specimen Stock Certificate for the Common Stock, par value $.01 per share, of LII (filed as Exhibit 4.1 to LII’s Amendment to Registration</w:t>
              </w:r>
            </w:hyperlink>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Statement on Form S-1/A (Registration No. 333-75725) filed on June 16, 1999 and incorporated herein by reference).</w:t>
              </w:r>
            </w:hyperlink>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189"/>
        </w:trPr>
        <w:tc>
          <w:tcPr>
            <w:tcW w:w="940" w:type="dxa"/>
            <w:vAlign w:val="bottom"/>
          </w:tcPr>
          <w:p>
            <w:pPr>
              <w:ind w:left="20"/>
              <w:spacing w:after="0" w:line="169" w:lineRule="exact"/>
              <w:rPr>
                <w:sz w:val="20"/>
                <w:szCs w:val="20"/>
                <w:color w:val="auto"/>
              </w:rPr>
            </w:pPr>
            <w:r>
              <w:rPr>
                <w:rFonts w:ascii="Arial" w:cs="Arial" w:eastAsia="Arial" w:hAnsi="Arial"/>
                <w:sz w:val="18"/>
                <w:szCs w:val="18"/>
                <w:color w:val="auto"/>
              </w:rPr>
              <w:t>4.2</w:t>
            </w:r>
          </w:p>
        </w:tc>
        <w:tc>
          <w:tcPr>
            <w:tcW w:w="10280" w:type="dxa"/>
            <w:vAlign w:val="bottom"/>
            <w:gridSpan w:val="19"/>
          </w:tcPr>
          <w:p>
            <w:pPr>
              <w:spacing w:after="0" w:line="169"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Indenture, dated as of May 3, 2010, between LII and U.S. Bank National Association, as trustee (filed as Exhibit 4.3 to LII’s Post-Effective</w:t>
              </w:r>
            </w:hyperlink>
          </w:p>
        </w:tc>
      </w:tr>
      <w:tr>
        <w:trPr>
          <w:trHeight w:val="156"/>
        </w:trPr>
        <w:tc>
          <w:tcPr>
            <w:tcW w:w="940" w:type="dxa"/>
            <w:vAlign w:val="bottom"/>
          </w:tcPr>
          <w:p>
            <w:pPr>
              <w:spacing w:after="0"/>
              <w:rPr>
                <w:sz w:val="13"/>
                <w:szCs w:val="13"/>
                <w:color w:val="auto"/>
              </w:rPr>
            </w:pPr>
          </w:p>
        </w:tc>
        <w:tc>
          <w:tcPr>
            <w:tcW w:w="1002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Amendment No. 1 to Registration Statement on S-3 (Registration No. 333-155796) filed on May 3, 2010, and incorporated herein by</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reference).</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4.3</w:t>
            </w:r>
          </w:p>
        </w:tc>
        <w:tc>
          <w:tcPr>
            <w:tcW w:w="10280" w:type="dxa"/>
            <w:vAlign w:val="bottom"/>
            <w:gridSpan w:val="19"/>
            <w:shd w:val="clear" w:color="auto" w:fill="CCEEFF"/>
          </w:tcPr>
          <w:p>
            <w:pPr>
              <w:spacing w:after="0" w:line="169"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Form of Supplemental Indenture among LII, the guarantors party thereto and U.S. Bank National Association, as trustee (filed as Exhibit 4.11</w:t>
              </w:r>
            </w:hyperlink>
          </w:p>
        </w:tc>
      </w:tr>
      <w:tr>
        <w:trPr>
          <w:trHeight w:val="155"/>
        </w:trPr>
        <w:tc>
          <w:tcPr>
            <w:tcW w:w="94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to LII’s Post-Effective Amendment No. 1 to Registration Statement on S-3 (Registration No. 333-155796) filed on May 3, 2010,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94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ind w:left="20"/>
              <w:spacing w:after="0" w:line="169" w:lineRule="exact"/>
              <w:rPr>
                <w:sz w:val="20"/>
                <w:szCs w:val="20"/>
                <w:color w:val="auto"/>
              </w:rPr>
            </w:pPr>
            <w:r>
              <w:rPr>
                <w:rFonts w:ascii="Arial" w:cs="Arial" w:eastAsia="Arial" w:hAnsi="Arial"/>
                <w:sz w:val="18"/>
                <w:szCs w:val="18"/>
                <w:color w:val="auto"/>
              </w:rPr>
              <w:t>4.4</w:t>
            </w:r>
          </w:p>
        </w:tc>
        <w:tc>
          <w:tcPr>
            <w:tcW w:w="10280" w:type="dxa"/>
            <w:vAlign w:val="bottom"/>
            <w:gridSpan w:val="19"/>
          </w:tcPr>
          <w:p>
            <w:pPr>
              <w:spacing w:after="0" w:line="169"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Sixth Supplemental Indenture, dated as of November 3, 2016, among LII, each other existing Guarantor under the Indenture, dated as of May</w:t>
              </w:r>
            </w:hyperlink>
          </w:p>
        </w:tc>
      </w:tr>
      <w:tr>
        <w:trPr>
          <w:trHeight w:val="20"/>
        </w:trPr>
        <w:tc>
          <w:tcPr>
            <w:tcW w:w="94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40" w:type="dxa"/>
            <w:vAlign w:val="bottom"/>
          </w:tcPr>
          <w:p>
            <w:pPr>
              <w:spacing w:after="0"/>
              <w:rPr>
                <w:sz w:val="13"/>
                <w:szCs w:val="13"/>
                <w:color w:val="auto"/>
              </w:rPr>
            </w:pPr>
          </w:p>
        </w:tc>
        <w:tc>
          <w:tcPr>
            <w:tcW w:w="10280" w:type="dxa"/>
            <w:vAlign w:val="bottom"/>
            <w:gridSpan w:val="19"/>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3, 2010, as subsequently supplemented, and US Bank National Association, as trustee (filed as Exhibit 4.2 to LII’s Current Report on Form 8-</w:t>
              </w:r>
            </w:hyperlink>
          </w:p>
        </w:tc>
      </w:tr>
      <w:tr>
        <w:trPr>
          <w:trHeight w:val="156"/>
        </w:trPr>
        <w:tc>
          <w:tcPr>
            <w:tcW w:w="940" w:type="dxa"/>
            <w:vAlign w:val="bottom"/>
          </w:tcPr>
          <w:p>
            <w:pPr>
              <w:spacing w:after="0"/>
              <w:rPr>
                <w:sz w:val="13"/>
                <w:szCs w:val="13"/>
                <w:color w:val="auto"/>
              </w:rPr>
            </w:pPr>
          </w:p>
        </w:tc>
        <w:tc>
          <w:tcPr>
            <w:tcW w:w="102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K filed on November 3, 2016, and incorporated herein by reference).</w:t>
              </w:r>
            </w:hyperlink>
          </w:p>
        </w:tc>
        <w:tc>
          <w:tcPr>
            <w:tcW w:w="20" w:type="dxa"/>
            <w:vAlign w:val="bottom"/>
          </w:tcPr>
          <w:p>
            <w:pPr>
              <w:spacing w:after="0"/>
              <w:rPr>
                <w:sz w:val="13"/>
                <w:szCs w:val="13"/>
                <w:color w:val="auto"/>
              </w:rPr>
            </w:pPr>
          </w:p>
        </w:tc>
      </w:tr>
      <w:tr>
        <w:trPr>
          <w:trHeight w:val="21"/>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00" w:type="dxa"/>
            <w:vAlign w:val="bottom"/>
            <w:tcBorders>
              <w:top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4.5</w:t>
            </w:r>
          </w:p>
        </w:tc>
        <w:tc>
          <w:tcPr>
            <w:tcW w:w="9760" w:type="dxa"/>
            <w:vAlign w:val="bottom"/>
            <w:tcBorders>
              <w:bottom w:val="single" w:sz="8" w:color="0000FF"/>
            </w:tcBorders>
            <w:gridSpan w:val="10"/>
            <w:shd w:val="clear" w:color="auto" w:fill="CCEEFF"/>
          </w:tcPr>
          <w:p>
            <w:pPr>
              <w:spacing w:after="0" w:line="169"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Seventh Supplemental Indenture, dated as of January 23, 2019, among LII Mexico Holdings Ltd., Lennox International Inc., each other</w:t>
              </w:r>
            </w:hyperlink>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8"/>
            <w:shd w:val="clear" w:color="auto" w:fill="CCEEFF"/>
          </w:tcPr>
          <w:p>
            <w:pPr>
              <w:spacing w:after="0"/>
              <w:rPr>
                <w:sz w:val="16"/>
                <w:szCs w:val="16"/>
                <w:color w:val="auto"/>
              </w:rPr>
            </w:pPr>
          </w:p>
        </w:tc>
      </w:tr>
      <w:tr>
        <w:trPr>
          <w:trHeight w:val="156"/>
        </w:trPr>
        <w:tc>
          <w:tcPr>
            <w:tcW w:w="940" w:type="dxa"/>
            <w:vAlign w:val="bottom"/>
            <w:shd w:val="clear" w:color="auto" w:fill="CCEEFF"/>
          </w:tcPr>
          <w:p>
            <w:pPr>
              <w:spacing w:after="0"/>
              <w:rPr>
                <w:sz w:val="13"/>
                <w:szCs w:val="13"/>
                <w:color w:val="auto"/>
              </w:rPr>
            </w:pPr>
          </w:p>
        </w:tc>
        <w:tc>
          <w:tcPr>
            <w:tcW w:w="9760" w:type="dxa"/>
            <w:vAlign w:val="bottom"/>
            <w:gridSpan w:val="10"/>
            <w:shd w:val="clear" w:color="auto" w:fill="CCEEFF"/>
          </w:tcPr>
          <w:p>
            <w:pPr>
              <w:spacing w:after="0" w:line="15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existing Guarantor under the Indenture, dated as of May 3, 2010, as subsequently supplemented, and US Bank National Association, as</w:t>
              </w:r>
            </w:hyperlink>
          </w:p>
        </w:tc>
        <w:tc>
          <w:tcPr>
            <w:tcW w:w="40" w:type="dxa"/>
            <w:vAlign w:val="bottom"/>
            <w:shd w:val="clear" w:color="auto" w:fill="CCEEFF"/>
          </w:tcPr>
          <w:p>
            <w:pPr>
              <w:spacing w:after="0"/>
              <w:rPr>
                <w:sz w:val="13"/>
                <w:szCs w:val="13"/>
                <w:color w:val="auto"/>
              </w:rPr>
            </w:pPr>
          </w:p>
        </w:tc>
        <w:tc>
          <w:tcPr>
            <w:tcW w:w="480" w:type="dxa"/>
            <w:vAlign w:val="bottom"/>
            <w:gridSpan w:val="8"/>
            <w:shd w:val="clear" w:color="auto" w:fill="CCEEFF"/>
          </w:tcPr>
          <w:p>
            <w:pPr>
              <w:spacing w:after="0"/>
              <w:rPr>
                <w:sz w:val="13"/>
                <w:szCs w:val="13"/>
                <w:color w:val="auto"/>
              </w:rPr>
            </w:pPr>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0000FF"/>
            </w:tcBorders>
            <w:gridSpan w:val="9"/>
            <w:shd w:val="clear" w:color="auto" w:fill="CCEEFF"/>
          </w:tcPr>
          <w:p>
            <w:pPr>
              <w:spacing w:after="0" w:line="196" w:lineRule="exact"/>
              <w:rPr>
                <w:rFonts w:ascii="Arial" w:cs="Arial" w:eastAsia="Arial" w:hAnsi="Arial"/>
                <w:sz w:val="18"/>
                <w:szCs w:val="18"/>
                <w:u w:val="single" w:color="auto"/>
                <w:color w:val="0000FF"/>
                <w:w w:val="94"/>
              </w:rPr>
            </w:pPr>
            <w:hyperlink r:id="rId72">
              <w:r>
                <w:rPr>
                  <w:rFonts w:ascii="Arial" w:cs="Arial" w:eastAsia="Arial" w:hAnsi="Arial"/>
                  <w:sz w:val="18"/>
                  <w:szCs w:val="18"/>
                  <w:u w:val="single" w:color="auto"/>
                  <w:color w:val="0000FF"/>
                  <w:w w:val="94"/>
                </w:rPr>
                <w:t>trustee (filed as Exhibit 2.5 to LII's Annual Report on Form 10-K filed on February 19, 2019 and incorporated herein by reference).</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480" w:type="dxa"/>
            <w:vAlign w:val="bottom"/>
            <w:tcBorders>
              <w:top w:val="single" w:sz="8" w:color="CCEEFF"/>
            </w:tcBorders>
            <w:gridSpan w:val="8"/>
            <w:shd w:val="clear" w:color="auto" w:fill="CCEEFF"/>
          </w:tcPr>
          <w:p>
            <w:pPr>
              <w:spacing w:after="0"/>
              <w:rPr>
                <w:sz w:val="17"/>
                <w:szCs w:val="17"/>
                <w:color w:val="auto"/>
              </w:rPr>
            </w:pPr>
          </w:p>
        </w:tc>
      </w:tr>
      <w:tr>
        <w:trPr>
          <w:trHeight w:val="189"/>
        </w:trPr>
        <w:tc>
          <w:tcPr>
            <w:tcW w:w="940" w:type="dxa"/>
            <w:vAlign w:val="bottom"/>
          </w:tcPr>
          <w:p>
            <w:pPr>
              <w:ind w:left="20"/>
              <w:spacing w:after="0" w:line="169" w:lineRule="exact"/>
              <w:rPr>
                <w:sz w:val="20"/>
                <w:szCs w:val="20"/>
                <w:color w:val="auto"/>
              </w:rPr>
            </w:pPr>
            <w:r>
              <w:rPr>
                <w:rFonts w:ascii="Arial" w:cs="Arial" w:eastAsia="Arial" w:hAnsi="Arial"/>
                <w:sz w:val="18"/>
                <w:szCs w:val="18"/>
                <w:color w:val="auto"/>
              </w:rPr>
              <w:t>4.6</w:t>
            </w:r>
          </w:p>
        </w:tc>
        <w:tc>
          <w:tcPr>
            <w:tcW w:w="10280" w:type="dxa"/>
            <w:vAlign w:val="bottom"/>
            <w:gridSpan w:val="19"/>
          </w:tcPr>
          <w:p>
            <w:pPr>
              <w:spacing w:after="0" w:line="169"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Form of 3.000% Notes due 2023 (filed as Exhibit A in Exhibit 4.2 to LII’s Current Report on Form 8-K filed on November 3, 2016, and</w:t>
              </w:r>
            </w:hyperlink>
          </w:p>
        </w:tc>
      </w:tr>
      <w:tr>
        <w:trPr>
          <w:trHeight w:val="156"/>
        </w:trPr>
        <w:tc>
          <w:tcPr>
            <w:tcW w:w="940" w:type="dxa"/>
            <w:vAlign w:val="bottom"/>
          </w:tcPr>
          <w:p>
            <w:pPr>
              <w:spacing w:after="0"/>
              <w:rPr>
                <w:sz w:val="13"/>
                <w:szCs w:val="13"/>
                <w:color w:val="auto"/>
              </w:rPr>
            </w:pPr>
          </w:p>
        </w:tc>
        <w:tc>
          <w:tcPr>
            <w:tcW w:w="98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incorporated herein by reference).</w:t>
              </w:r>
            </w:hyperlink>
          </w:p>
        </w:tc>
        <w:tc>
          <w:tcPr>
            <w:tcW w:w="480" w:type="dxa"/>
            <w:vAlign w:val="bottom"/>
            <w:gridSpan w:val="8"/>
          </w:tcPr>
          <w:p>
            <w:pPr>
              <w:spacing w:after="0"/>
              <w:rPr>
                <w:sz w:val="13"/>
                <w:szCs w:val="13"/>
                <w:color w:val="auto"/>
              </w:rPr>
            </w:pPr>
          </w:p>
        </w:tc>
      </w:tr>
      <w:tr>
        <w:trPr>
          <w:trHeight w:val="21"/>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10280" w:type="dxa"/>
            <w:vAlign w:val="bottom"/>
            <w:tcBorders>
              <w:bottom w:val="single" w:sz="8" w:color="CCEEFF"/>
            </w:tcBorders>
            <w:gridSpan w:val="19"/>
            <w:shd w:val="clear" w:color="auto" w:fill="CCEEFF"/>
          </w:tcPr>
          <w:p>
            <w:pPr>
              <w:spacing w:after="0"/>
              <w:rPr>
                <w:rFonts w:ascii="Arial" w:cs="Arial" w:eastAsia="Arial" w:hAnsi="Arial"/>
                <w:sz w:val="18"/>
                <w:szCs w:val="18"/>
                <w:color w:val="0000FF"/>
              </w:rPr>
            </w:pPr>
            <w:hyperlink w:anchor="page35">
              <w:r>
                <w:rPr>
                  <w:rFonts w:ascii="Arial" w:cs="Arial" w:eastAsia="Arial" w:hAnsi="Arial"/>
                  <w:sz w:val="18"/>
                  <w:szCs w:val="18"/>
                  <w:u w:val="single" w:color="auto"/>
                  <w:color w:val="0000FF"/>
                </w:rPr>
                <w:t>Certification of the principal executive officer (filed herewith)</w:t>
              </w:r>
              <w:r>
                <w:rPr>
                  <w:rFonts w:ascii="Arial" w:cs="Arial" w:eastAsia="Arial" w:hAnsi="Arial"/>
                  <w:sz w:val="18"/>
                  <w:szCs w:val="18"/>
                  <w:color w:val="0000FF"/>
                </w:rPr>
                <w:t>.</w:t>
              </w:r>
            </w:hyperlink>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0280" w:type="dxa"/>
            <w:vAlign w:val="bottom"/>
            <w:gridSpan w:val="19"/>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the principal financial officer (filed herewith)</w:t>
              </w:r>
            </w:hyperlink>
          </w:p>
        </w:tc>
      </w:tr>
      <w:tr>
        <w:trPr>
          <w:trHeight w:val="27"/>
        </w:trPr>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w:t>
            </w:r>
          </w:p>
        </w:tc>
        <w:tc>
          <w:tcPr>
            <w:tcW w:w="10280" w:type="dxa"/>
            <w:vAlign w:val="bottom"/>
            <w:gridSpan w:val="19"/>
            <w:shd w:val="clear" w:color="auto" w:fill="CCEEFF"/>
          </w:tcPr>
          <w:p>
            <w:pPr>
              <w:spacing w:after="0"/>
              <w:rPr>
                <w:rFonts w:ascii="Arial" w:cs="Arial" w:eastAsia="Arial" w:hAnsi="Arial"/>
                <w:sz w:val="18"/>
                <w:szCs w:val="18"/>
                <w:u w:val="single" w:color="auto"/>
                <w:color w:val="0000FF"/>
                <w:w w:val="95"/>
              </w:rPr>
            </w:pPr>
            <w:hyperlink w:anchor="page36">
              <w:r>
                <w:rPr>
                  <w:rFonts w:ascii="Arial" w:cs="Arial" w:eastAsia="Arial" w:hAnsi="Arial"/>
                  <w:sz w:val="18"/>
                  <w:szCs w:val="18"/>
                  <w:u w:val="single" w:color="auto"/>
                  <w:color w:val="0000FF"/>
                  <w:w w:val="95"/>
                </w:rPr>
                <w:t>Certification of the principal executive officer and the principal financial officer pursuant to 18 U.S.C. Section 1350 (furnished herewith).</w:t>
              </w:r>
            </w:hyperlink>
          </w:p>
        </w:tc>
      </w:tr>
    </w:tbl>
    <w:p>
      <w:pPr>
        <w:spacing w:after="0" w:line="13" w:lineRule="exact"/>
        <w:rPr>
          <w:sz w:val="20"/>
          <w:szCs w:val="20"/>
          <w:color w:val="auto"/>
        </w:rPr>
      </w:pPr>
    </w:p>
    <w:p>
      <w:pPr>
        <w:ind w:left="940" w:right="380" w:hanging="914"/>
        <w:spacing w:after="0" w:line="274"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 XBRL Instance Document. The instance document does not appear in the Interactive Data File because its XBRL tags are embedded within the Inline XBRL document.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SCH Inline XBRL Taxonomy Extension Schema Document</w:t>
            </w:r>
          </w:p>
        </w:tc>
      </w:tr>
      <w:tr>
        <w:trPr>
          <w:trHeight w:val="243"/>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tcPr>
          <w:p>
            <w:pPr>
              <w:ind w:left="320"/>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7"/>
        </w:trPr>
        <w:tc>
          <w:tcPr>
            <w:tcW w:w="62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43"/>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tcPr>
          <w:p>
            <w:pPr>
              <w:ind w:left="320"/>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7"/>
        </w:trPr>
        <w:tc>
          <w:tcPr>
            <w:tcW w:w="62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243"/>
        </w:trPr>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 Inline XBRL Taxonomy Extension Definition Linkbase Document</w:t>
            </w:r>
          </w:p>
        </w:tc>
      </w:tr>
      <w:tr>
        <w:trPr>
          <w:trHeight w:val="27"/>
        </w:trPr>
        <w:tc>
          <w:tcPr>
            <w:tcW w:w="620" w:type="dxa"/>
            <w:vAlign w:val="bottom"/>
            <w:shd w:val="clear" w:color="auto" w:fill="CCEEFF"/>
          </w:tcPr>
          <w:p>
            <w:pPr>
              <w:spacing w:after="0"/>
              <w:rPr>
                <w:sz w:val="2"/>
                <w:szCs w:val="2"/>
                <w:color w:val="auto"/>
              </w:rPr>
            </w:pPr>
          </w:p>
        </w:tc>
        <w:tc>
          <w:tcPr>
            <w:tcW w:w="106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940" w:hanging="91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20"/>
          </w:cols>
          <w:pgMar w:left="320" w:top="891" w:right="10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200" w:lineRule="exact"/>
        <w:rPr>
          <w:sz w:val="20"/>
          <w:szCs w:val="20"/>
          <w:color w:val="auto"/>
        </w:rPr>
      </w:pPr>
    </w:p>
    <w:p>
      <w:pPr>
        <w:spacing w:after="0" w:line="26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2768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200" w:lineRule="exact"/>
        <w:rPr>
          <w:sz w:val="20"/>
          <w:szCs w:val="20"/>
          <w:color w:val="auto"/>
        </w:rPr>
      </w:pPr>
    </w:p>
    <w:p>
      <w:pPr>
        <w:spacing w:after="0" w:line="26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2768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March 31, 2020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94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17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lvl w:ilvl="1">
      <w:lvlJc w:val="left"/>
      <w:lvlText w:val="(%2)"/>
      <w:numFmt w:val="decimal"/>
      <w:start w:val="1"/>
    </w:lvl>
  </w:abstractNum>
  <w:abstractNum w:abstractNumId="6">
    <w:nsid w:val="66EF438D"/>
    <w:multiLevelType w:val="hybridMultilevel"/>
    <w:lvl w:ilvl="0">
      <w:lvlJc w:val="left"/>
      <w:lvlText w:val="%1."/>
      <w:numFmt w:val="decimal"/>
      <w:start w:val="10"/>
    </w:lvl>
    <w:lvl w:ilvl="1">
      <w:lvlJc w:val="left"/>
      <w:lvlText w:val="%2"/>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66" Type="http://schemas.openxmlformats.org/officeDocument/2006/relationships/hyperlink" Target="http://www.sec.gov/Archives/edgar/data/1069202/0000950134-99-002720-index.html" TargetMode="External"/><Relationship Id="rId67" Type="http://schemas.openxmlformats.org/officeDocument/2006/relationships/hyperlink" Target="http://www.sec.gov/Archives/edgar/data/1069202/000119312513474576/d644537dex31.htm" TargetMode="External"/><Relationship Id="rId68" Type="http://schemas.openxmlformats.org/officeDocument/2006/relationships/hyperlink" Target="http://www.sec.gov/Archives/edgar/data/1069202/0000950134-99-005530-index.html" TargetMode="External"/><Relationship Id="rId69" Type="http://schemas.openxmlformats.org/officeDocument/2006/relationships/hyperlink" Target="http://www.sec.gov/Archives/edgar/data/1017609/000095012310042399/d72548exv4w3.htm" TargetMode="External"/><Relationship Id="rId70" Type="http://schemas.openxmlformats.org/officeDocument/2006/relationships/hyperlink" Target="http://www.sec.gov/Archives/edgar/data/1017609/000095012310042399/d72548exv4w11.htm" TargetMode="External"/><Relationship Id="rId71" Type="http://schemas.openxmlformats.org/officeDocument/2006/relationships/hyperlink" Target="http://www.sec.gov/Archives/edgar/data/1069202/000119312516758285/d284193dex42.htm" TargetMode="External"/><Relationship Id="rId72" Type="http://schemas.openxmlformats.org/officeDocument/2006/relationships/hyperlink" Target="http://www.sec.gov/Archives/edgar/data/1069202/000106920219000008/lii-ex45_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2020-04-20T15:13:29Z</dcterms:created>
  <dcterms:modified xsi:type="dcterms:W3CDTF">2020-04-20T15:13:29Z</dcterms:modified>
</cp:coreProperties>
</file>