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487680</wp:posOffset>
            </wp:positionH>
            <wp:positionV relativeFrom="page">
              <wp:posOffset>674370</wp:posOffset>
            </wp:positionV>
            <wp:extent cx="69164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6420" cy="8255"/>
                    </a:xfrm>
                    <a:prstGeom prst="rect">
                      <a:avLst/>
                    </a:prstGeom>
                    <a:noFill/>
                  </pic:spPr>
                </pic:pic>
              </a:graphicData>
            </a:graphic>
          </wp:anchor>
        </w:drawing>
        <w:drawing>
          <wp:anchor simplePos="0" relativeHeight="251657728" behindDoc="1" locked="0" layoutInCell="0" allowOverlap="1">
            <wp:simplePos x="0" y="0"/>
            <wp:positionH relativeFrom="page">
              <wp:posOffset>487680</wp:posOffset>
            </wp:positionH>
            <wp:positionV relativeFrom="page">
              <wp:posOffset>699770</wp:posOffset>
            </wp:positionV>
            <wp:extent cx="69164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6420" cy="8255"/>
                    </a:xfrm>
                    <a:prstGeom prst="rect">
                      <a:avLst/>
                    </a:prstGeom>
                    <a:noFill/>
                  </pic:spPr>
                </pic:pic>
              </a:graphicData>
            </a:graphic>
          </wp:anchor>
        </w:drawing>
        <w:t>UNITED STATES</w:t>
      </w:r>
    </w:p>
    <w:p>
      <w:pPr>
        <w:spacing w:after="0" w:line="3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b w:val="1"/>
          <w:bCs w:val="1"/>
          <w:color w:val="auto"/>
        </w:rPr>
        <w:t>Washington, D. C. 20549</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4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June 30, 2022</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5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For the transition period from _____to ______</w:t>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001-15149</w:t>
      </w:r>
    </w:p>
    <w:p>
      <w:pPr>
        <w:spacing w:after="0" w:line="3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LENNOX INTERNATIONAL INC</w:t>
      </w:r>
      <w:r>
        <w:rPr>
          <w:rFonts w:ascii="Times New Roman" w:cs="Times New Roman" w:eastAsia="Times New Roman" w:hAnsi="Times New Roman"/>
          <w:sz w:val="35"/>
          <w:szCs w:val="35"/>
          <w:b w:val="1"/>
          <w:bCs w:val="1"/>
          <w:color w:val="auto"/>
        </w:rPr>
        <w:t>.</w:t>
      </w:r>
    </w:p>
    <w:p>
      <w:pPr>
        <w:spacing w:after="0" w:line="6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Incorporated pursuant to the laws of the State of Delaware</w:t>
      </w:r>
    </w:p>
    <w:p>
      <w:pPr>
        <w:spacing w:after="0" w:line="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Internal Revenue Service Employer Identification No. 42-0991521</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2140 LAKE PARK BLVD., RICHARDSON, Texas, 75080</w:t>
      </w:r>
    </w:p>
    <w:p>
      <w:pPr>
        <w:spacing w:after="0" w:line="30" w:lineRule="exact"/>
        <w:rPr>
          <w:sz w:val="24"/>
          <w:szCs w:val="24"/>
          <w:color w:val="auto"/>
        </w:rPr>
      </w:pPr>
    </w:p>
    <w:p>
      <w:pPr>
        <w:ind w:left="5500" w:hanging="432"/>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497-5000</w:t>
      </w:r>
    </w:p>
    <w:p>
      <w:pPr>
        <w:spacing w:after="0" w:line="6" w:lineRule="exact"/>
        <w:rPr>
          <w:rFonts w:ascii="Times New Roman" w:cs="Times New Roman" w:eastAsia="Times New Roman" w:hAnsi="Times New Roman"/>
          <w:sz w:val="18"/>
          <w:szCs w:val="18"/>
          <w:b w:val="1"/>
          <w:bCs w:val="1"/>
          <w:color w:val="auto"/>
        </w:rPr>
      </w:pPr>
    </w:p>
    <w:p>
      <w:pPr>
        <w:ind w:left="3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w:t>
      </w:r>
    </w:p>
    <w:p>
      <w:pPr>
        <w:spacing w:after="0" w:line="6" w:lineRule="exact"/>
        <w:rPr>
          <w:rFonts w:ascii="Times New Roman" w:cs="Times New Roman" w:eastAsia="Times New Roman" w:hAnsi="Times New Roman"/>
          <w:sz w:val="18"/>
          <w:szCs w:val="18"/>
          <w:b w:val="1"/>
          <w:bCs w:val="1"/>
          <w:color w:val="auto"/>
        </w:rPr>
      </w:pPr>
    </w:p>
    <w:p>
      <w:pPr>
        <w:ind w:left="3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22" w:right="339" w:bottom="1440" w:gutter="0" w:footer="0" w:header="0"/>
        </w:sectPr>
      </w:pPr>
    </w:p>
    <w:p>
      <w:pPr>
        <w:spacing w:after="0" w:line="2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0"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48" w:lineRule="exact"/>
        <w:rPr>
          <w:sz w:val="24"/>
          <w:szCs w:val="24"/>
          <w:color w:val="auto"/>
        </w:rPr>
      </w:pPr>
    </w:p>
    <w:p>
      <w:pPr>
        <w:sectPr>
          <w:pgSz w:w="11900" w:h="16838" w:orient="portrait"/>
          <w:cols w:equalWidth="0" w:num="3">
            <w:col w:w="4360" w:space="720"/>
            <w:col w:w="1440" w:space="720"/>
            <w:col w:w="4000"/>
          </w:cols>
          <w:pgMar w:left="320" w:top="1422" w:right="339" w:bottom="1440" w:gutter="0" w:footer="0" w:header="0"/>
          <w:type w:val="continuous"/>
        </w:sectPr>
      </w:pPr>
    </w:p>
    <w:p>
      <w:pPr>
        <w:jc w:val="both"/>
        <w:ind w:firstLine="241"/>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jc w:val="both"/>
        <w:ind w:firstLine="241"/>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60" w:type="dxa"/>
        <w:tblCellMar>
          <w:top w:w="0" w:type="dxa"/>
          <w:left w:w="0" w:type="dxa"/>
          <w:bottom w:w="0" w:type="dxa"/>
          <w:right w:w="0" w:type="dxa"/>
        </w:tblCellMar>
      </w:tblP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36"/>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58" w:lineRule="exact"/>
        <w:rPr>
          <w:sz w:val="24"/>
          <w:szCs w:val="24"/>
          <w:color w:val="auto"/>
        </w:rPr>
      </w:pPr>
    </w:p>
    <w:p>
      <w:pPr>
        <w:ind w:firstLine="241"/>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left="240" w:right="256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15, 2022, the number of shares outstanding of the registrant’s common stock, par value $0.01 per share, was 35,431,396.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813435</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62865</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June 30, 2022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0"/>
        </w:trPr>
        <w:tc>
          <w:tcPr>
            <w:tcW w:w="8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8"/>
              </w:rPr>
              <w:t>Part I</w:t>
            </w:r>
          </w:p>
        </w:tc>
        <w:tc>
          <w:tcPr>
            <w:tcW w:w="9760" w:type="dxa"/>
            <w:vAlign w:val="bottom"/>
            <w:gridSpan w:val="18"/>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FF"/>
              </w:rPr>
              <w:t>Financial Information</w:t>
            </w:r>
          </w:p>
        </w:tc>
        <w:tc>
          <w:tcPr>
            <w:tcW w:w="28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800" w:type="dxa"/>
            <w:vAlign w:val="bottom"/>
          </w:tcPr>
          <w:p>
            <w:pPr>
              <w:spacing w:after="0"/>
              <w:rPr>
                <w:sz w:val="15"/>
                <w:szCs w:val="15"/>
                <w:color w:val="auto"/>
              </w:rPr>
            </w:pPr>
          </w:p>
        </w:tc>
        <w:tc>
          <w:tcPr>
            <w:tcW w:w="9760" w:type="dxa"/>
            <w:vAlign w:val="bottom"/>
            <w:gridSpan w:val="18"/>
          </w:tcPr>
          <w:p>
            <w:pPr>
              <w:spacing w:after="0" w:line="174"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Balance Sheets - June 30, 2022 (Unaudited) and December 31, 2021</w:t>
            </w: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1</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Operations (Unaudited) - Three and Six Months Ended June 30, 2022 and 2021</w:t>
            </w: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7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 Three and Six Months Ended June 30, 2022 and 2021</w:t>
            </w:r>
          </w:p>
        </w:tc>
        <w:tc>
          <w:tcPr>
            <w:tcW w:w="182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Deficit (Unaudited) - Three and Six Months Ended June 30, 2022 and 2021</w:t>
            </w:r>
          </w:p>
        </w:tc>
        <w:tc>
          <w:tcPr>
            <w:tcW w:w="1820" w:type="dxa"/>
            <w:vAlign w:val="bottom"/>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4</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 Six Months Ended June 30, 2022 and 2021</w:t>
            </w:r>
          </w:p>
        </w:tc>
        <w:tc>
          <w:tcPr>
            <w:tcW w:w="3280" w:type="dxa"/>
            <w:vAlign w:val="bottom"/>
            <w:gridSpan w:val="4"/>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6</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3280" w:type="dxa"/>
            <w:vAlign w:val="bottom"/>
            <w:gridSpan w:val="4"/>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7</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62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Item 2. Management's Discussion and Analysis of Financial Condition and Results of Operations</w:t>
            </w:r>
          </w:p>
        </w:tc>
        <w:tc>
          <w:tcPr>
            <w:tcW w:w="3520" w:type="dxa"/>
            <w:vAlign w:val="bottom"/>
            <w:gridSpan w:val="5"/>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20</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520" w:type="dxa"/>
            <w:vAlign w:val="bottom"/>
            <w:gridSpan w:val="5"/>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29</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4.</w:t>
            </w:r>
          </w:p>
        </w:tc>
        <w:tc>
          <w:tcPr>
            <w:tcW w:w="16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Controls and Procedures</w:t>
            </w:r>
          </w:p>
        </w:tc>
        <w:tc>
          <w:tcPr>
            <w:tcW w:w="7680" w:type="dxa"/>
            <w:vAlign w:val="bottom"/>
            <w:gridSpan w:val="9"/>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30</w:t>
            </w:r>
          </w:p>
        </w:tc>
        <w:tc>
          <w:tcPr>
            <w:tcW w:w="240" w:type="dxa"/>
            <w:vAlign w:val="bottom"/>
            <w:shd w:val="clear" w:color="auto" w:fill="CCEEFF"/>
          </w:tcPr>
          <w:p>
            <w:pPr>
              <w:spacing w:after="0"/>
              <w:rPr>
                <w:sz w:val="18"/>
                <w:szCs w:val="18"/>
                <w:color w:val="auto"/>
              </w:rPr>
            </w:pPr>
          </w:p>
        </w:tc>
      </w:tr>
      <w:tr>
        <w:trPr>
          <w:trHeight w:val="174"/>
        </w:trPr>
        <w:tc>
          <w:tcPr>
            <w:tcW w:w="80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Part II</w:t>
            </w:r>
          </w:p>
        </w:tc>
        <w:tc>
          <w:tcPr>
            <w:tcW w:w="2080" w:type="dxa"/>
            <w:vAlign w:val="bottom"/>
            <w:tcBorders>
              <w:top w:val="single" w:sz="8" w:color="0000FF"/>
            </w:tcBorders>
            <w:gridSpan w:val="9"/>
          </w:tcPr>
          <w:p>
            <w:pPr>
              <w:spacing w:after="0" w:line="174" w:lineRule="exact"/>
              <w:rPr>
                <w:sz w:val="20"/>
                <w:szCs w:val="20"/>
                <w:color w:val="auto"/>
              </w:rPr>
            </w:pPr>
            <w:r>
              <w:rPr>
                <w:rFonts w:ascii="Times New Roman" w:cs="Times New Roman" w:eastAsia="Times New Roman" w:hAnsi="Times New Roman"/>
                <w:sz w:val="16"/>
                <w:szCs w:val="16"/>
                <w:color w:val="0000FF"/>
              </w:rPr>
              <w:t>Other Information</w:t>
            </w:r>
          </w:p>
        </w:tc>
        <w:tc>
          <w:tcPr>
            <w:tcW w:w="7680" w:type="dxa"/>
            <w:vAlign w:val="bottom"/>
            <w:tcBorders>
              <w:top w:val="single" w:sz="8" w:color="CCEEFF"/>
            </w:tcBorders>
            <w:gridSpan w:val="9"/>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w:t>
            </w:r>
          </w:p>
        </w:tc>
        <w:tc>
          <w:tcPr>
            <w:tcW w:w="928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Legal Proceedings</w:t>
            </w: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30</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8080" w:type="dxa"/>
            <w:vAlign w:val="bottom"/>
            <w:gridSpan w:val="11"/>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30</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w:t>
            </w:r>
          </w:p>
        </w:tc>
        <w:tc>
          <w:tcPr>
            <w:tcW w:w="39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Unregistered Sales of Equity Securities and Use of Proceeds</w:t>
            </w:r>
          </w:p>
        </w:tc>
        <w:tc>
          <w:tcPr>
            <w:tcW w:w="5380" w:type="dxa"/>
            <w:vAlign w:val="bottom"/>
            <w:gridSpan w:val="7"/>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30</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6.</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7"/>
              </w:rPr>
              <w:t>Exhibits</w:t>
            </w:r>
          </w:p>
        </w:tc>
        <w:tc>
          <w:tcPr>
            <w:tcW w:w="3340" w:type="dxa"/>
            <w:vAlign w:val="bottom"/>
            <w:gridSpan w:val="8"/>
          </w:tcPr>
          <w:p>
            <w:pPr>
              <w:spacing w:after="0"/>
              <w:rPr>
                <w:sz w:val="16"/>
                <w:szCs w:val="16"/>
                <w:color w:val="auto"/>
              </w:rPr>
            </w:pPr>
          </w:p>
        </w:tc>
        <w:tc>
          <w:tcPr>
            <w:tcW w:w="5380" w:type="dxa"/>
            <w:vAlign w:val="bottom"/>
            <w:gridSpan w:val="7"/>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31</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11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240" w:type="dxa"/>
            <w:vAlign w:val="bottom"/>
          </w:tcPr>
          <w:p>
            <w:pPr>
              <w:spacing w:after="0"/>
              <w:rPr>
                <w:sz w:val="18"/>
                <w:szCs w:val="18"/>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00" w:type="dxa"/>
            <w:vAlign w:val="bottom"/>
          </w:tcPr>
          <w:p>
            <w:pPr>
              <w:spacing w:after="0"/>
              <w:rPr>
                <w:sz w:val="18"/>
                <w:szCs w:val="18"/>
                <w:color w:val="auto"/>
              </w:rPr>
            </w:pPr>
          </w:p>
        </w:tc>
        <w:tc>
          <w:tcPr>
            <w:tcW w:w="18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189"/>
        </w:trPr>
        <w:tc>
          <w:tcPr>
            <w:tcW w:w="7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0" w:type="dxa"/>
            <w:vAlign w:val="bottom"/>
          </w:tcPr>
          <w:p>
            <w:pPr>
              <w:spacing w:after="0"/>
              <w:rPr>
                <w:sz w:val="1"/>
                <w:szCs w:val="1"/>
                <w:color w:val="auto"/>
              </w:rPr>
            </w:pPr>
          </w:p>
        </w:tc>
      </w:tr>
      <w:tr>
        <w:trPr>
          <w:trHeight w:val="223"/>
        </w:trPr>
        <w:tc>
          <w:tcPr>
            <w:tcW w:w="7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31"/>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and notes receivable, net of allowances of $12.2 and $10.7 in 2022 and 2021, respectively</w:t>
            </w: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508.3</w:t>
            </w:r>
          </w:p>
        </w:tc>
        <w:tc>
          <w:tcPr>
            <w:tcW w:w="0" w:type="dxa"/>
            <w:vAlign w:val="bottom"/>
          </w:tcPr>
          <w:p>
            <w:pPr>
              <w:spacing w:after="0"/>
              <w:rPr>
                <w:sz w:val="1"/>
                <w:szCs w:val="1"/>
                <w:color w:val="auto"/>
              </w:rPr>
            </w:pPr>
          </w:p>
        </w:tc>
      </w:tr>
      <w:tr>
        <w:trPr>
          <w:trHeight w:val="223"/>
        </w:trPr>
        <w:tc>
          <w:tcPr>
            <w:tcW w:w="7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510.9</w:t>
            </w:r>
          </w:p>
        </w:tc>
        <w:tc>
          <w:tcPr>
            <w:tcW w:w="0" w:type="dxa"/>
            <w:vAlign w:val="bottom"/>
          </w:tcPr>
          <w:p>
            <w:pPr>
              <w:spacing w:after="0"/>
              <w:rPr>
                <w:sz w:val="1"/>
                <w:szCs w:val="1"/>
                <w:color w:val="auto"/>
              </w:rPr>
            </w:pPr>
          </w:p>
        </w:tc>
      </w:tr>
      <w:tr>
        <w:trPr>
          <w:trHeight w:val="231"/>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0" w:type="dxa"/>
            <w:vAlign w:val="bottom"/>
          </w:tcPr>
          <w:p>
            <w:pPr>
              <w:spacing w:after="0"/>
              <w:rPr>
                <w:sz w:val="1"/>
                <w:szCs w:val="1"/>
                <w:color w:val="auto"/>
              </w:rPr>
            </w:pPr>
          </w:p>
        </w:tc>
      </w:tr>
      <w:tr>
        <w:trPr>
          <w:trHeight w:val="216"/>
        </w:trPr>
        <w:tc>
          <w:tcPr>
            <w:tcW w:w="7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1,175.4</w:t>
            </w:r>
          </w:p>
        </w:tc>
        <w:tc>
          <w:tcPr>
            <w:tcW w:w="0" w:type="dxa"/>
            <w:vAlign w:val="bottom"/>
          </w:tcPr>
          <w:p>
            <w:pPr>
              <w:spacing w:after="0"/>
              <w:rPr>
                <w:sz w:val="1"/>
                <w:szCs w:val="1"/>
                <w:color w:val="auto"/>
              </w:rPr>
            </w:pPr>
          </w:p>
        </w:tc>
      </w:tr>
      <w:tr>
        <w:trPr>
          <w:trHeight w:val="169"/>
        </w:trPr>
        <w:tc>
          <w:tcPr>
            <w:tcW w:w="71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w w:val="99"/>
              </w:rPr>
              <w:t>Property, plant and equipment, net of accumulated depreciation of $906.6 and $888.8 in 2022 and 2021,</w:t>
            </w:r>
          </w:p>
        </w:tc>
        <w:tc>
          <w:tcPr>
            <w:tcW w:w="24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515.1</w:t>
            </w:r>
          </w:p>
        </w:tc>
        <w:tc>
          <w:tcPr>
            <w:tcW w:w="0" w:type="dxa"/>
            <w:vAlign w:val="bottom"/>
          </w:tcPr>
          <w:p>
            <w:pPr>
              <w:spacing w:after="0"/>
              <w:rPr>
                <w:sz w:val="1"/>
                <w:szCs w:val="1"/>
                <w:color w:val="auto"/>
              </w:rPr>
            </w:pPr>
          </w:p>
        </w:tc>
      </w:tr>
      <w:tr>
        <w:trPr>
          <w:trHeight w:val="22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24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196.1</w:t>
            </w:r>
          </w:p>
        </w:tc>
        <w:tc>
          <w:tcPr>
            <w:tcW w:w="0" w:type="dxa"/>
            <w:vAlign w:val="bottom"/>
          </w:tcPr>
          <w:p>
            <w:pPr>
              <w:spacing w:after="0"/>
              <w:rPr>
                <w:sz w:val="1"/>
                <w:szCs w:val="1"/>
                <w:color w:val="auto"/>
              </w:rPr>
            </w:pPr>
          </w:p>
        </w:tc>
      </w:tr>
      <w:tr>
        <w:trPr>
          <w:trHeight w:val="23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2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0" w:type="dxa"/>
            <w:vAlign w:val="bottom"/>
          </w:tcPr>
          <w:p>
            <w:pPr>
              <w:spacing w:after="0"/>
              <w:rPr>
                <w:sz w:val="1"/>
                <w:szCs w:val="1"/>
                <w:color w:val="auto"/>
              </w:rPr>
            </w:pPr>
          </w:p>
        </w:tc>
      </w:tr>
      <w:tr>
        <w:trPr>
          <w:trHeight w:val="225"/>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2,659.0</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2,171.9</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31"/>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0" w:type="dxa"/>
            <w:vAlign w:val="bottom"/>
          </w:tcPr>
          <w:p>
            <w:pPr>
              <w:spacing w:after="0"/>
              <w:rPr>
                <w:sz w:val="1"/>
                <w:szCs w:val="1"/>
                <w:color w:val="auto"/>
              </w:rPr>
            </w:pPr>
          </w:p>
        </w:tc>
      </w:tr>
      <w:tr>
        <w:trPr>
          <w:trHeight w:val="223"/>
        </w:trPr>
        <w:tc>
          <w:tcPr>
            <w:tcW w:w="7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402.1</w:t>
            </w:r>
          </w:p>
        </w:tc>
        <w:tc>
          <w:tcPr>
            <w:tcW w:w="0" w:type="dxa"/>
            <w:vAlign w:val="bottom"/>
          </w:tcPr>
          <w:p>
            <w:pPr>
              <w:spacing w:after="0"/>
              <w:rPr>
                <w:sz w:val="1"/>
                <w:szCs w:val="1"/>
                <w:color w:val="auto"/>
              </w:rPr>
            </w:pPr>
          </w:p>
        </w:tc>
      </w:tr>
      <w:tr>
        <w:trPr>
          <w:trHeight w:val="231"/>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358.9</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827.1</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1,226.5</w:t>
            </w:r>
          </w:p>
        </w:tc>
        <w:tc>
          <w:tcPr>
            <w:tcW w:w="0" w:type="dxa"/>
            <w:vAlign w:val="bottom"/>
          </w:tcPr>
          <w:p>
            <w:pPr>
              <w:spacing w:after="0"/>
              <w:rPr>
                <w:sz w:val="1"/>
                <w:szCs w:val="1"/>
                <w:color w:val="auto"/>
              </w:rPr>
            </w:pPr>
          </w:p>
        </w:tc>
      </w:tr>
      <w:tr>
        <w:trPr>
          <w:trHeight w:val="23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3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0" w:type="dxa"/>
            <w:vAlign w:val="bottom"/>
          </w:tcPr>
          <w:p>
            <w:pPr>
              <w:spacing w:after="0"/>
              <w:rPr>
                <w:sz w:val="1"/>
                <w:szCs w:val="1"/>
                <w:color w:val="auto"/>
              </w:rPr>
            </w:pPr>
          </w:p>
        </w:tc>
      </w:tr>
      <w:tr>
        <w:trPr>
          <w:trHeight w:val="218"/>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3,060.3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2,440.9</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Stockholders' deficit:</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 outstanding</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31"/>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1,133.7</w:t>
            </w:r>
          </w:p>
        </w:tc>
        <w:tc>
          <w:tcPr>
            <w:tcW w:w="0" w:type="dxa"/>
            <w:vAlign w:val="bottom"/>
          </w:tcPr>
          <w:p>
            <w:pPr>
              <w:spacing w:after="0"/>
              <w:rPr>
                <w:sz w:val="1"/>
                <w:szCs w:val="1"/>
                <w:color w:val="auto"/>
              </w:rPr>
            </w:pPr>
          </w:p>
        </w:tc>
      </w:tr>
      <w:tr>
        <w:trPr>
          <w:trHeight w:val="223"/>
        </w:trPr>
        <w:tc>
          <w:tcPr>
            <w:tcW w:w="7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2,719.3</w:t>
            </w:r>
          </w:p>
        </w:tc>
        <w:tc>
          <w:tcPr>
            <w:tcW w:w="0" w:type="dxa"/>
            <w:vAlign w:val="bottom"/>
          </w:tcPr>
          <w:p>
            <w:pPr>
              <w:spacing w:after="0"/>
              <w:rPr>
                <w:sz w:val="1"/>
                <w:szCs w:val="1"/>
                <w:color w:val="auto"/>
              </w:rPr>
            </w:pPr>
          </w:p>
        </w:tc>
      </w:tr>
      <w:tr>
        <w:trPr>
          <w:trHeight w:val="231"/>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Treasury stock, at cost, 51,743,384 shares and 50,536,125 shares for 2022 and 2021, respectively</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(4,337.8)</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(4,034.8)</w:t>
            </w:r>
          </w:p>
        </w:tc>
        <w:tc>
          <w:tcPr>
            <w:tcW w:w="0" w:type="dxa"/>
            <w:vAlign w:val="bottom"/>
          </w:tcPr>
          <w:p>
            <w:pPr>
              <w:spacing w:after="0"/>
              <w:rPr>
                <w:sz w:val="1"/>
                <w:szCs w:val="1"/>
                <w:color w:val="auto"/>
              </w:rPr>
            </w:pPr>
          </w:p>
        </w:tc>
      </w:tr>
      <w:tr>
        <w:trPr>
          <w:trHeight w:val="22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(401.3)</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(269.0)</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2,659.0</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2,171.9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120" w:type="dxa"/>
            <w:vAlign w:val="bottom"/>
            <w:shd w:val="clear" w:color="auto" w:fill="CCEEFF"/>
          </w:tcPr>
          <w:p>
            <w:pPr>
              <w:spacing w:after="0"/>
              <w:rPr>
                <w:sz w:val="16"/>
                <w:szCs w:val="16"/>
                <w:color w:val="auto"/>
              </w:rPr>
            </w:pPr>
          </w:p>
        </w:tc>
        <w:tc>
          <w:tcPr>
            <w:tcW w:w="2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June</w:t>
            </w:r>
          </w:p>
        </w:tc>
        <w:tc>
          <w:tcPr>
            <w:tcW w:w="2620" w:type="dxa"/>
            <w:vAlign w:val="bottom"/>
            <w:gridSpan w:val="5"/>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12"/>
        </w:trPr>
        <w:tc>
          <w:tcPr>
            <w:tcW w:w="58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3"/>
            <w:shd w:val="clear" w:color="auto" w:fill="CCEEFF"/>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tcBorders>
              <w:bottom w:val="single" w:sz="8" w:color="auto"/>
            </w:tcBorders>
            <w:gridSpan w:val="5"/>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2,169.4</w:t>
            </w:r>
          </w:p>
        </w:tc>
        <w:tc>
          <w:tcPr>
            <w:tcW w:w="0" w:type="dxa"/>
            <w:vAlign w:val="bottom"/>
          </w:tcPr>
          <w:p>
            <w:pPr>
              <w:spacing w:after="0"/>
              <w:rPr>
                <w:sz w:val="1"/>
                <w:szCs w:val="1"/>
                <w:color w:val="auto"/>
              </w:rPr>
            </w:pPr>
          </w:p>
        </w:tc>
      </w:tr>
      <w:tr>
        <w:trPr>
          <w:trHeight w:val="227"/>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1,529.7</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0" w:type="dxa"/>
            <w:vAlign w:val="bottom"/>
          </w:tcPr>
          <w:p>
            <w:pPr>
              <w:spacing w:after="0"/>
              <w:rPr>
                <w:sz w:val="1"/>
                <w:szCs w:val="1"/>
                <w:color w:val="auto"/>
              </w:rPr>
            </w:pP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27"/>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7"/>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5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330.0</w:t>
            </w:r>
          </w:p>
        </w:tc>
        <w:tc>
          <w:tcPr>
            <w:tcW w:w="0" w:type="dxa"/>
            <w:vAlign w:val="bottom"/>
          </w:tcPr>
          <w:p>
            <w:pPr>
              <w:spacing w:after="0"/>
              <w:rPr>
                <w:sz w:val="1"/>
                <w:szCs w:val="1"/>
                <w:color w:val="auto"/>
              </w:rPr>
            </w:pP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7"/>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7"/>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27"/>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45"/>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170.0</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254.2</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4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44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0" w:type="dxa"/>
            <w:vAlign w:val="bottom"/>
          </w:tcPr>
          <w:p>
            <w:pPr>
              <w:spacing w:after="0"/>
              <w:rPr>
                <w:sz w:val="1"/>
                <w:szCs w:val="1"/>
                <w:color w:val="auto"/>
              </w:rPr>
            </w:pPr>
          </w:p>
        </w:tc>
      </w:tr>
      <w:tr>
        <w:trPr>
          <w:trHeight w:val="23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140" w:type="dxa"/>
            <w:vAlign w:val="bottom"/>
          </w:tcPr>
          <w:p>
            <w:pPr>
              <w:spacing w:after="0"/>
              <w:rPr>
                <w:sz w:val="16"/>
                <w:szCs w:val="16"/>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3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0" w:type="dxa"/>
            <w:vAlign w:val="bottom"/>
          </w:tcPr>
          <w:p>
            <w:pPr>
              <w:spacing w:after="0"/>
              <w:rPr>
                <w:sz w:val="1"/>
                <w:szCs w:val="1"/>
                <w:color w:val="auto"/>
              </w:rPr>
            </w:pPr>
          </w:p>
        </w:tc>
      </w:tr>
      <w:tr>
        <w:trPr>
          <w:trHeight w:val="212"/>
        </w:trPr>
        <w:tc>
          <w:tcPr>
            <w:tcW w:w="64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254.2</w:t>
            </w:r>
          </w:p>
        </w:tc>
        <w:tc>
          <w:tcPr>
            <w:tcW w:w="0" w:type="dxa"/>
            <w:vAlign w:val="bottom"/>
          </w:tcPr>
          <w:p>
            <w:pPr>
              <w:spacing w:after="0"/>
              <w:rPr>
                <w:sz w:val="1"/>
                <w:szCs w:val="1"/>
                <w:color w:val="auto"/>
              </w:rPr>
            </w:pPr>
          </w:p>
        </w:tc>
      </w:tr>
      <w:tr>
        <w:trPr>
          <w:trHeight w:val="207"/>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7"/>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7"/>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7"/>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settlements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7"/>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of equity method investments other comprehensive income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7"/>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cash flow hedge gains into earnings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0"/>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24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six months ended June 30, 2022 and 2021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2"/>
                <w:szCs w:val="12"/>
                <w:color w:val="auto"/>
              </w:rPr>
            </w:pPr>
          </w:p>
        </w:tc>
        <w:tc>
          <w:tcPr>
            <w:tcW w:w="1820" w:type="dxa"/>
            <w:vAlign w:val="bottom"/>
            <w:gridSpan w:val="6"/>
            <w:vMerge w:val="restart"/>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10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Common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vMerge w:val="restart"/>
          </w:tcPr>
          <w:p>
            <w:pPr>
              <w:jc w:val="center"/>
              <w:ind w:right="200"/>
              <w:spacing w:after="0" w:line="147"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220" w:type="dxa"/>
            <w:vAlign w:val="bottom"/>
            <w:gridSpan w:val="4"/>
            <w:vMerge w:val="restart"/>
          </w:tcPr>
          <w:p>
            <w:pPr>
              <w:jc w:val="center"/>
              <w:ind w:right="60"/>
              <w:spacing w:after="0" w:line="147"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gridSpan w:val="6"/>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92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4"/>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June 30, 2022)</w:t>
            </w: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97"/>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2022</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1,110.4</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2,769.8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(80.5)</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51.1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(4,210.8)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(410.2)</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177.2</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$1.06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auto"/>
              </w:rPr>
              <w:t>Pension and post-retirement liability changes, net of tax expense</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$0.2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147"/>
        </w:trPr>
        <w:tc>
          <w:tcPr>
            <w:tcW w:w="4280" w:type="dxa"/>
            <w:vAlign w:val="bottom"/>
          </w:tcPr>
          <w:p>
            <w:pPr>
              <w:ind w:left="220"/>
              <w:spacing w:after="0" w:line="147" w:lineRule="exact"/>
              <w:rPr>
                <w:sz w:val="20"/>
                <w:szCs w:val="20"/>
                <w:color w:val="auto"/>
              </w:rPr>
            </w:pPr>
            <w:r>
              <w:rPr>
                <w:rFonts w:ascii="Times New Roman" w:cs="Times New Roman" w:eastAsia="Times New Roman" w:hAnsi="Times New Roman"/>
                <w:sz w:val="15"/>
                <w:szCs w:val="15"/>
                <w:color w:val="auto"/>
              </w:rPr>
              <w:t>Share of equity method investments other comprehensive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204"/>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benefit of $9.2</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(100.2)</w:t>
            </w:r>
          </w:p>
        </w:tc>
        <w:tc>
          <w:tcPr>
            <w:tcW w:w="0" w:type="dxa"/>
            <w:vAlign w:val="bottom"/>
          </w:tcPr>
          <w:p>
            <w:pPr>
              <w:spacing w:after="0"/>
              <w:rPr>
                <w:sz w:val="1"/>
                <w:szCs w:val="1"/>
                <w:color w:val="auto"/>
              </w:rPr>
            </w:pPr>
          </w:p>
        </w:tc>
      </w:tr>
      <w:tr>
        <w:trPr>
          <w:trHeight w:val="19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2022</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1,144.0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2,909.5</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(117.9)</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51.7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(4,337.8)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(401.3)</w:t>
            </w:r>
          </w:p>
        </w:tc>
        <w:tc>
          <w:tcPr>
            <w:tcW w:w="0" w:type="dxa"/>
            <w:vAlign w:val="bottom"/>
          </w:tcPr>
          <w:p>
            <w:pPr>
              <w:spacing w:after="0"/>
              <w:rPr>
                <w:sz w:val="1"/>
                <w:szCs w:val="1"/>
                <w:color w:val="auto"/>
              </w:rPr>
            </w:pPr>
          </w:p>
        </w:tc>
      </w:tr>
      <w:tr>
        <w:trPr>
          <w:trHeight w:val="279"/>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vMerge w:val="restart"/>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6"/>
                <w:szCs w:val="16"/>
                <w:color w:val="auto"/>
              </w:rPr>
            </w:pPr>
          </w:p>
        </w:tc>
        <w:tc>
          <w:tcPr>
            <w:tcW w:w="1920" w:type="dxa"/>
            <w:vAlign w:val="bottom"/>
            <w:gridSpan w:val="8"/>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jc w:val="center"/>
              <w:ind w:right="140"/>
              <w:spacing w:after="0" w:line="107" w:lineRule="exact"/>
              <w:rPr>
                <w:sz w:val="20"/>
                <w:szCs w:val="20"/>
                <w:color w:val="auto"/>
              </w:rPr>
            </w:pPr>
            <w:r>
              <w:rPr>
                <w:rFonts w:ascii="Times New Roman" w:cs="Times New Roman" w:eastAsia="Times New Roman" w:hAnsi="Times New Roman"/>
                <w:sz w:val="12"/>
                <w:szCs w:val="12"/>
                <w:b w:val="1"/>
                <w:bCs w:val="1"/>
                <w:color w:val="auto"/>
              </w:rPr>
              <w:t>Paid-In</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3"/>
            <w:vMerge w:val="restart"/>
          </w:tcPr>
          <w:p>
            <w:pPr>
              <w:jc w:val="center"/>
              <w:ind w:right="80"/>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June 30, 2021)</w:t>
            </w: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280" w:type="dxa"/>
            <w:vAlign w:val="bottom"/>
            <w:vMerge w:val="continue"/>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94"/>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2021</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1,090.3</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2,440.9</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(99.2)</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49.4</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(3,593.6)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(160.7)</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170.0</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$0.92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(34.3)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58"/>
        </w:trPr>
        <w:tc>
          <w:tcPr>
            <w:tcW w:w="428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Pension and post-retirement liability changes, net of tax benefit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$0.3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$0.1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(204.2)</w:t>
            </w:r>
          </w:p>
        </w:tc>
        <w:tc>
          <w:tcPr>
            <w:tcW w:w="0" w:type="dxa"/>
            <w:vAlign w:val="bottom"/>
          </w:tcPr>
          <w:p>
            <w:pPr>
              <w:spacing w:after="0"/>
              <w:rPr>
                <w:sz w:val="1"/>
                <w:szCs w:val="1"/>
                <w:color w:val="auto"/>
              </w:rPr>
            </w:pPr>
          </w:p>
        </w:tc>
      </w:tr>
      <w:tr>
        <w:trPr>
          <w:trHeight w:val="194"/>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2021</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1,128.9</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2,576.6</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50.0</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(3,826.6)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(213.3)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six months ended June 30, 2022 and 2021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8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2"/>
                <w:szCs w:val="12"/>
                <w:color w:val="auto"/>
              </w:rPr>
            </w:pPr>
          </w:p>
        </w:tc>
        <w:tc>
          <w:tcPr>
            <w:tcW w:w="1820" w:type="dxa"/>
            <w:vAlign w:val="bottom"/>
            <w:gridSpan w:val="6"/>
            <w:vMerge w:val="restart"/>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8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1"/>
                <w:szCs w:val="11"/>
                <w:color w:val="auto"/>
              </w:rPr>
            </w:pPr>
          </w:p>
        </w:tc>
        <w:tc>
          <w:tcPr>
            <w:tcW w:w="1120" w:type="dxa"/>
            <w:vAlign w:val="bottom"/>
            <w:gridSpan w:val="4"/>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6"/>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six months ended June 30, 2022)</w:t>
            </w:r>
          </w:p>
        </w:tc>
        <w:tc>
          <w:tcPr>
            <w:tcW w:w="96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7"/>
                <w:szCs w:val="17"/>
                <w:color w:val="auto"/>
              </w:rPr>
            </w:pPr>
          </w:p>
        </w:tc>
        <w:tc>
          <w:tcPr>
            <w:tcW w:w="940" w:type="dxa"/>
            <w:vAlign w:val="bottom"/>
            <w:gridSpan w:val="3"/>
          </w:tcPr>
          <w:p>
            <w:pPr>
              <w:ind w:lef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97"/>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1,133.7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2,719.3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(88.1)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(4,034.8)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(269.0)</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260.8</w:t>
            </w:r>
          </w:p>
        </w:tc>
        <w:tc>
          <w:tcPr>
            <w:tcW w:w="0" w:type="dxa"/>
            <w:vAlign w:val="bottom"/>
          </w:tcPr>
          <w:p>
            <w:pPr>
              <w:spacing w:after="0"/>
              <w:rPr>
                <w:sz w:val="1"/>
                <w:szCs w:val="1"/>
                <w:color w:val="auto"/>
              </w:rPr>
            </w:pPr>
          </w:p>
        </w:tc>
      </w:tr>
      <w:tr>
        <w:trPr>
          <w:trHeight w:val="202"/>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$1.98 per share</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149"/>
        </w:trPr>
        <w:tc>
          <w:tcPr>
            <w:tcW w:w="4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auto"/>
              </w:rPr>
              <w:t>Pension and post-retirement liability changes, net of tax expense</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$0.6</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7"/>
        </w:trPr>
        <w:tc>
          <w:tcPr>
            <w:tcW w:w="426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5"/>
                <w:szCs w:val="15"/>
                <w:color w:val="auto"/>
              </w:rPr>
              <w:t>Share of equity method investments other comprehensive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income</w:t>
            </w:r>
          </w:p>
        </w:tc>
        <w:tc>
          <w:tcPr>
            <w:tcW w:w="1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204"/>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benefit of $6.2</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0" w:type="dxa"/>
            <w:vAlign w:val="bottom"/>
          </w:tcPr>
          <w:p>
            <w:pPr>
              <w:spacing w:after="0"/>
              <w:rPr>
                <w:sz w:val="1"/>
                <w:szCs w:val="1"/>
                <w:color w:val="auto"/>
              </w:rPr>
            </w:pPr>
          </w:p>
        </w:tc>
      </w:tr>
      <w:tr>
        <w:trPr>
          <w:trHeight w:val="202"/>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(305.1)</w:t>
            </w:r>
          </w:p>
        </w:tc>
        <w:tc>
          <w:tcPr>
            <w:tcW w:w="0" w:type="dxa"/>
            <w:vAlign w:val="bottom"/>
          </w:tcPr>
          <w:p>
            <w:pPr>
              <w:spacing w:after="0"/>
              <w:rPr>
                <w:sz w:val="1"/>
                <w:szCs w:val="1"/>
                <w:color w:val="auto"/>
              </w:rPr>
            </w:pPr>
          </w:p>
        </w:tc>
      </w:tr>
      <w:tr>
        <w:trPr>
          <w:trHeight w:val="195"/>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2022</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1,144.0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2,909.5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(117.9)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(4,337.8)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(401.3)</w:t>
            </w:r>
          </w:p>
        </w:tc>
        <w:tc>
          <w:tcPr>
            <w:tcW w:w="0" w:type="dxa"/>
            <w:vAlign w:val="bottom"/>
          </w:tcPr>
          <w:p>
            <w:pPr>
              <w:spacing w:after="0"/>
              <w:rPr>
                <w:sz w:val="1"/>
                <w:szCs w:val="1"/>
                <w:color w:val="auto"/>
              </w:rPr>
            </w:pPr>
          </w:p>
        </w:tc>
      </w:tr>
      <w:tr>
        <w:trPr>
          <w:trHeight w:val="279"/>
        </w:trPr>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82"/>
        </w:trPr>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5"/>
                <w:szCs w:val="15"/>
                <w:color w:val="auto"/>
              </w:rPr>
            </w:pPr>
          </w:p>
        </w:tc>
        <w:tc>
          <w:tcPr>
            <w:tcW w:w="1900" w:type="dxa"/>
            <w:vAlign w:val="bottom"/>
            <w:gridSpan w:val="8"/>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restart"/>
          </w:tcPr>
          <w:p>
            <w:pPr>
              <w:jc w:val="center"/>
              <w:ind w:right="16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4"/>
            <w:vMerge w:val="restart"/>
          </w:tcPr>
          <w:p>
            <w:pPr>
              <w:jc w:val="center"/>
              <w:ind w:right="6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vMerge w:val="restart"/>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47"/>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six months ended June 30, 2021)</w:t>
            </w: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260" w:type="dxa"/>
            <w:vAlign w:val="bottom"/>
            <w:gridSpan w:val="2"/>
            <w:vMerge w:val="continue"/>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0" w:type="dxa"/>
            <w:vAlign w:val="bottom"/>
          </w:tcPr>
          <w:p>
            <w:pPr>
              <w:spacing w:after="0"/>
              <w:rPr>
                <w:sz w:val="1"/>
                <w:szCs w:val="1"/>
                <w:color w:val="auto"/>
              </w:rPr>
            </w:pPr>
          </w:p>
        </w:tc>
      </w:tr>
      <w:tr>
        <w:trPr>
          <w:trHeight w:val="194"/>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2020</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1,113.2</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2,385.8</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(97.2)</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48.8</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(3,419.8)</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(17.1)</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254.2</w:t>
            </w:r>
          </w:p>
        </w:tc>
        <w:tc>
          <w:tcPr>
            <w:tcW w:w="0" w:type="dxa"/>
            <w:vAlign w:val="bottom"/>
          </w:tcPr>
          <w:p>
            <w:pPr>
              <w:spacing w:after="0"/>
              <w:rPr>
                <w:sz w:val="1"/>
                <w:szCs w:val="1"/>
                <w:color w:val="auto"/>
              </w:rPr>
            </w:pPr>
          </w:p>
        </w:tc>
      </w:tr>
      <w:tr>
        <w:trPr>
          <w:trHeight w:val="202"/>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$1.69 per share</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58"/>
        </w:trPr>
        <w:tc>
          <w:tcPr>
            <w:tcW w:w="4260" w:type="dxa"/>
            <w:vAlign w:val="bottom"/>
            <w:gridSpan w:val="2"/>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Pension and post-retirement liability changes, net of tax expense</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$3.2</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0" w:type="dxa"/>
            <w:vAlign w:val="bottom"/>
          </w:tcPr>
          <w:p>
            <w:pPr>
              <w:spacing w:after="0"/>
              <w:rPr>
                <w:sz w:val="1"/>
                <w:szCs w:val="1"/>
                <w:color w:val="auto"/>
              </w:rPr>
            </w:pPr>
          </w:p>
        </w:tc>
      </w:tr>
      <w:tr>
        <w:trPr>
          <w:trHeight w:val="202"/>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$1.2</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02"/>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(410.2)</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2021</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1,128.9</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2,576.6</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(93.1)</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50.0</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(3,826.6)</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(213.3)</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(Amounts in millions)</w:t>
            </w:r>
          </w:p>
        </w:tc>
        <w:tc>
          <w:tcPr>
            <w:tcW w:w="2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r>
      <w:tr>
        <w:trPr>
          <w:trHeight w:val="225"/>
        </w:trPr>
        <w:tc>
          <w:tcPr>
            <w:tcW w:w="7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260.8</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254.2</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operating activities: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from equity method investments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Dividends from affiliates</w:t>
            </w:r>
          </w:p>
        </w:tc>
        <w:tc>
          <w:tcPr>
            <w:tcW w:w="2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Restructuring charges, net of cash paid</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Unrealized losses, net on derivative contracts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Pension expense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Pension contributions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items, net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and notes receivable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(248.2)</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current assets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Accrued expenses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taxes payable and receivable, net</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Leases, net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net</w:t>
            </w: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provided by operating activities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174.5</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short-term investments, net</w:t>
            </w:r>
          </w:p>
        </w:tc>
        <w:tc>
          <w:tcPr>
            <w:tcW w:w="2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5"/>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(42.6)</w:t>
            </w: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Asset securitization borrowings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299.0</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Asset securitization payments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Long-term debt payments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Borrowings from credit facility</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753.0</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on credit facility</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(748.5)</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employee stock purchases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 tax obligations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r>
      <w:tr>
        <w:trPr>
          <w:trHeight w:val="21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(210.8)</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44.5</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0"/>
        </w:trPr>
        <w:tc>
          <w:tcPr>
            <w:tcW w:w="7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Supplemental disclosures of cash flow information:</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4"/>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paid</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w:t>
            </w: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60" w:top="438"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8"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References in this Quarterly Report on Form 10-Q to "we," "our," "us," "LII," or the "Company" refer to Lennox International Inc. and its subsidiaries, unless the context requires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1"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Balance Sheet as of June 30, 2022, the accompanying unaudited Consolidated Statements of Operations for the three and six months ended June 30, 2022 and 2021, the accompanying unaudited Consolidated Statements of Comprehensive Income for the three and six months ended June 30, 2022 and 2021, the accompanying unaudited Consolidated Statements of Stockholders' Deficit for the three and six months ended June 30, 2022 and 2021, and the accompanying unaudited Consolidated Statements of Cash Flows for the six months ended June 30, 2022 and 2021 should be read in conjunction with our audited consolidated financial statements and footnotes included in our Annual Report on Form 10-K for the year ended December 31, 2021.</w:t>
      </w:r>
    </w:p>
    <w:p>
      <w:pPr>
        <w:spacing w:after="0" w:line="214"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5"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1"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4"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251" w:lineRule="exact"/>
        <w:rPr>
          <w:sz w:val="20"/>
          <w:szCs w:val="20"/>
          <w:color w:val="auto"/>
        </w:rPr>
      </w:pPr>
    </w:p>
    <w:p>
      <w:pPr>
        <w:jc w:val="both"/>
        <w:ind w:firstLine="241"/>
        <w:spacing w:after="0" w:line="243" w:lineRule="auto"/>
        <w:rPr>
          <w:sz w:val="20"/>
          <w:szCs w:val="20"/>
          <w:color w:val="auto"/>
        </w:rPr>
      </w:pPr>
      <w:r>
        <w:rPr>
          <w:rFonts w:ascii="Times New Roman" w:cs="Times New Roman" w:eastAsia="Times New Roman" w:hAnsi="Times New Roman"/>
          <w:sz w:val="18"/>
          <w:szCs w:val="18"/>
          <w:color w:val="auto"/>
        </w:rPr>
        <w:t>A novel strain of coronavirus (“COVID-19”) has surfaced and spread around the world. The COVID-19 pandemic is creating supply chain disruptions and higher employee absenteeism in our factories and distribution locations. As the pandemic continues, health concern risks remain. We cannot predict whether any of our manufacturing, operational or distribution facilities will experience any future disruptions, or how long such disruptions would last. It also remains unclear how various national, state, and local governments will react if new variants of the virus spread. If the pandemic worsens or continues longer than presently expected, COVID-19 could impact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Leadership Transition</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On March 23, 2022, the Board of Directors appointed Alok Maskara as Chief Executive Officer ("CEO") effective May 9, 2022. Mr. Maskara succeeded Todd Bluedorn, who announced in July 2021 his plans to step down by mid-2022 as Chairman and CEO. Todd J. Teske was appointed Chairman of the Board and served as interim CEO until Mr. Maskara assumed the role on May 9,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Reportable Business Segments:</w:t>
      </w:r>
    </w:p>
    <w:p>
      <w:pPr>
        <w:spacing w:after="0" w:line="251" w:lineRule="exact"/>
        <w:rPr>
          <w:sz w:val="20"/>
          <w:szCs w:val="20"/>
          <w:color w:val="auto"/>
        </w:rPr>
      </w:pPr>
    </w:p>
    <w:p>
      <w:pPr>
        <w:jc w:val="both"/>
        <w:ind w:firstLine="241"/>
        <w:spacing w:after="0" w:line="267" w:lineRule="auto"/>
        <w:rPr>
          <w:sz w:val="20"/>
          <w:szCs w:val="20"/>
          <w:color w:val="auto"/>
        </w:rPr>
      </w:pPr>
      <w:r>
        <w:rPr>
          <w:rFonts w:ascii="Times New Roman" w:cs="Times New Roman" w:eastAsia="Times New Roman" w:hAnsi="Times New Roman"/>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Product or Services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Markets Served</w:t>
            </w:r>
          </w:p>
        </w:tc>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Areas</w:t>
            </w:r>
          </w:p>
        </w:tc>
      </w:tr>
      <w:tr>
        <w:trPr>
          <w:trHeight w:val="25"/>
        </w:trPr>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67"/>
        </w:trPr>
        <w:tc>
          <w:tcPr>
            <w:tcW w:w="18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Residential Heating &amp;</w:t>
            </w:r>
          </w:p>
        </w:tc>
        <w:tc>
          <w:tcPr>
            <w:tcW w:w="1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100" w:type="dxa"/>
            <w:vAlign w:val="bottom"/>
            <w:shd w:val="clear" w:color="auto" w:fill="CCEEFF"/>
          </w:tcPr>
          <w:p>
            <w:pPr>
              <w:spacing w:after="0"/>
              <w:rPr>
                <w:sz w:val="14"/>
                <w:szCs w:val="14"/>
                <w:color w:val="auto"/>
              </w:rPr>
            </w:pPr>
          </w:p>
        </w:tc>
        <w:tc>
          <w:tcPr>
            <w:tcW w:w="27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Residential Replacement;</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9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Cooling</w:t>
            </w:r>
          </w:p>
        </w:tc>
        <w:tc>
          <w:tcPr>
            <w:tcW w:w="46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cooling systems, indoor air quality equipment, comfort control</w:t>
            </w:r>
          </w:p>
        </w:tc>
        <w:tc>
          <w:tcPr>
            <w:tcW w:w="28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Residential New Construction</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replacement parts and supplies</w:t>
            </w:r>
          </w:p>
        </w:tc>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Commercial Heating &amp;</w:t>
            </w:r>
          </w:p>
        </w:tc>
        <w:tc>
          <w:tcPr>
            <w:tcW w:w="46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Unitary heating and air conditioning equipment, applied</w:t>
            </w:r>
          </w:p>
        </w:tc>
        <w:tc>
          <w:tcPr>
            <w:tcW w:w="28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9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Cooling</w:t>
            </w:r>
          </w:p>
        </w:tc>
        <w:tc>
          <w:tcPr>
            <w:tcW w:w="4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systems, controls, installation and service of commercial</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179"/>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heating and cooling equipment, and variable refrigerant flow</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7"/>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products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74"/>
        </w:trPr>
        <w:tc>
          <w:tcPr>
            <w:tcW w:w="194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Refrigeration</w:t>
            </w:r>
          </w:p>
        </w:tc>
        <w:tc>
          <w:tcPr>
            <w:tcW w:w="464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Condensing units, unit coolers, fluid coolers, air cooled</w:t>
            </w:r>
          </w:p>
        </w:tc>
        <w:tc>
          <w:tcPr>
            <w:tcW w:w="28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condensers, air handlers, process chillers, controls, and</w:t>
            </w:r>
          </w:p>
        </w:tc>
        <w:tc>
          <w:tcPr>
            <w:tcW w:w="28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Food Preservation;</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compressorized racks</w:t>
            </w: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Non-Food/Industrial</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r>
    </w:tbl>
    <w:p>
      <w:pPr>
        <w:spacing w:after="0" w:line="75"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20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Our corporate costs include those costs related to corporate functions such as legal, internal audit, treasury, human resources, tax compliance and senior executive staff. Corporate costs also include the long-term stock-based incentive awards provided to employees throughout LII. We record these stock-based awards as corporate costs because they are determined at the discretion of the Board of Directors and based on the historical practice of doing so for internal reporting purposes.</w:t>
      </w:r>
    </w:p>
    <w:p>
      <w:pPr>
        <w:spacing w:after="0" w:line="20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251" w:lineRule="exact"/>
        <w:rPr>
          <w:sz w:val="20"/>
          <w:szCs w:val="20"/>
          <w:color w:val="auto"/>
        </w:rPr>
      </w:pPr>
    </w:p>
    <w:p>
      <w:pPr>
        <w:ind w:firstLine="241"/>
        <w:spacing w:after="0" w:line="272" w:lineRule="auto"/>
        <w:rPr>
          <w:sz w:val="20"/>
          <w:szCs w:val="20"/>
          <w:color w:val="auto"/>
        </w:rPr>
      </w:pPr>
      <w:r>
        <w:rPr>
          <w:rFonts w:ascii="Times New Roman" w:cs="Times New Roman" w:eastAsia="Times New Roman" w:hAnsi="Times New Roman"/>
          <w:sz w:val="18"/>
          <w:szCs w:val="18"/>
          <w:color w:val="auto"/>
        </w:rPr>
        <w:t>Net sales and segment profit (loss) for each segment, along with a reconciliation of segment profit (loss) to Operating income, are shown below (in millions):</w:t>
      </w:r>
    </w:p>
    <w:tbl>
      <w:tblPr>
        <w:tblLayout w:type="fixed"/>
        <w:tblInd w:w="0" w:type="dxa"/>
        <w:tblCellMar>
          <w:top w:w="0" w:type="dxa"/>
          <w:left w:w="0" w:type="dxa"/>
          <w:bottom w:w="0" w:type="dxa"/>
          <w:right w:w="0" w:type="dxa"/>
        </w:tblCellMar>
      </w:tblPr>
      <w:tr>
        <w:trPr>
          <w:trHeight w:val="164"/>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spacing w:after="0" w:line="164" w:lineRule="exact"/>
              <w:rPr>
                <w:sz w:val="20"/>
                <w:szCs w:val="20"/>
                <w:color w:val="auto"/>
              </w:rPr>
            </w:pPr>
            <w:r>
              <w:rPr>
                <w:rFonts w:ascii="Times New Roman" w:cs="Times New Roman" w:eastAsia="Times New Roman" w:hAnsi="Times New Roman"/>
                <w:sz w:val="16"/>
                <w:szCs w:val="16"/>
                <w:b w:val="1"/>
                <w:bCs w:val="1"/>
                <w:color w:val="auto"/>
              </w:rPr>
              <w:t>For the Three Months Ended June</w:t>
            </w:r>
          </w:p>
        </w:tc>
        <w:tc>
          <w:tcPr>
            <w:tcW w:w="2620" w:type="dxa"/>
            <w:vAlign w:val="bottom"/>
            <w:gridSpan w:val="5"/>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12"/>
        </w:trPr>
        <w:tc>
          <w:tcPr>
            <w:tcW w:w="5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w:t>
            </w:r>
          </w:p>
        </w:tc>
        <w:tc>
          <w:tcPr>
            <w:tcW w:w="42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0" w:type="dxa"/>
            <w:vAlign w:val="bottom"/>
          </w:tcPr>
          <w:p>
            <w:pPr>
              <w:spacing w:after="0"/>
              <w:rPr>
                <w:sz w:val="1"/>
                <w:szCs w:val="1"/>
                <w:color w:val="auto"/>
              </w:rPr>
            </w:pPr>
          </w:p>
        </w:tc>
      </w:tr>
      <w:tr>
        <w:trPr>
          <w:trHeight w:val="22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0" w:type="dxa"/>
            <w:vAlign w:val="bottom"/>
          </w:tcPr>
          <w:p>
            <w:pPr>
              <w:spacing w:after="0"/>
              <w:rPr>
                <w:sz w:val="1"/>
                <w:szCs w:val="1"/>
                <w:color w:val="auto"/>
              </w:rPr>
            </w:pPr>
          </w:p>
        </w:tc>
      </w:tr>
      <w:tr>
        <w:trPr>
          <w:trHeight w:val="227"/>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0" w:type="dxa"/>
            <w:vAlign w:val="bottom"/>
          </w:tcPr>
          <w:p>
            <w:pPr>
              <w:spacing w:after="0"/>
              <w:rPr>
                <w:sz w:val="1"/>
                <w:szCs w:val="1"/>
                <w:color w:val="auto"/>
              </w:rPr>
            </w:pPr>
          </w:p>
        </w:tc>
      </w:tr>
      <w:tr>
        <w:trPr>
          <w:trHeight w:val="245"/>
        </w:trPr>
        <w:tc>
          <w:tcPr>
            <w:tcW w:w="5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2,169.4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9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b w:val="1"/>
                <w:bCs w:val="1"/>
                <w:color w:val="auto"/>
              </w:rPr>
              <w:t xml:space="preserve">Segment profit (loss) </w:t>
            </w:r>
            <w:r>
              <w:rPr>
                <w:rFonts w:ascii="Times New Roman" w:cs="Times New Roman" w:eastAsia="Times New Roman" w:hAnsi="Times New Roman"/>
                <w:sz w:val="23"/>
                <w:szCs w:val="23"/>
                <w:b w:val="1"/>
                <w:bCs w:val="1"/>
                <w:color w:val="auto"/>
                <w:vertAlign w:val="superscript"/>
              </w:rPr>
              <w:t>(1)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42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2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2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 profit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2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9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Items in Losses (gains) and other expenses, net that are excluded from segment</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920" w:type="dxa"/>
            <w:vAlign w:val="bottom"/>
          </w:tcPr>
          <w:p>
            <w:pPr>
              <w:ind w:left="20"/>
              <w:spacing w:after="0" w:line="241" w:lineRule="exact"/>
              <w:rPr>
                <w:sz w:val="20"/>
                <w:szCs w:val="20"/>
                <w:color w:val="auto"/>
              </w:rPr>
            </w:pPr>
            <w:r>
              <w:rPr>
                <w:rFonts w:ascii="Times New Roman" w:cs="Times New Roman" w:eastAsia="Times New Roman" w:hAnsi="Times New Roman"/>
                <w:sz w:val="18"/>
                <w:szCs w:val="18"/>
                <w:color w:val="auto"/>
              </w:rPr>
              <w:t xml:space="preserve">profit (loss)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20" w:hanging="173"/>
        <w:spacing w:after="0"/>
        <w:tabs>
          <w:tab w:leader="none" w:pos="420" w:val="left"/>
        </w:tabs>
        <w:numPr>
          <w:ilvl w:val="1"/>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define segment profit (loss) as a segment's operating income included in the accompanying Consolidated Statements of Operations, excluding:</w:t>
      </w:r>
    </w:p>
    <w:p>
      <w:pPr>
        <w:spacing w:after="0" w:line="1" w:lineRule="exact"/>
        <w:rPr>
          <w:rFonts w:ascii="Times New Roman" w:cs="Times New Roman" w:eastAsia="Times New Roman" w:hAnsi="Times New Roman"/>
          <w:sz w:val="22"/>
          <w:szCs w:val="22"/>
          <w:color w:val="auto"/>
          <w:vertAlign w:val="superscript"/>
        </w:rPr>
      </w:pPr>
    </w:p>
    <w:p>
      <w:pPr>
        <w:ind w:left="1040" w:hanging="232"/>
        <w:spacing w:after="0"/>
        <w:tabs>
          <w:tab w:leader="none" w:pos="10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Losses (gains) and other expenses, net:</w:t>
      </w:r>
    </w:p>
    <w:p>
      <w:pPr>
        <w:spacing w:after="0" w:line="5"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losses (gains) on unsettled futures contracts,</w:t>
      </w:r>
    </w:p>
    <w:p>
      <w:pPr>
        <w:spacing w:after="0" w:line="6"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and special litigation charges,</w:t>
      </w:r>
    </w:p>
    <w:p>
      <w:pPr>
        <w:spacing w:after="0" w:line="6"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incurred related to COVID-19 pandemic, and</w:t>
      </w:r>
    </w:p>
    <w:p>
      <w:pPr>
        <w:spacing w:after="0" w:line="6"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net,</w:t>
      </w:r>
    </w:p>
    <w:p>
      <w:pPr>
        <w:spacing w:after="0" w:line="6" w:lineRule="exact"/>
        <w:rPr>
          <w:rFonts w:ascii="Times New Roman" w:cs="Times New Roman" w:eastAsia="Times New Roman" w:hAnsi="Times New Roman"/>
          <w:sz w:val="18"/>
          <w:szCs w:val="18"/>
          <w:color w:val="auto"/>
        </w:rPr>
      </w:pPr>
    </w:p>
    <w:p>
      <w:pPr>
        <w:ind w:left="1040" w:hanging="232"/>
        <w:spacing w:after="0"/>
        <w:tabs>
          <w:tab w:leader="none" w:pos="1040"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Special product quality adjustments, and</w:t>
      </w:r>
    </w:p>
    <w:p>
      <w:pPr>
        <w:spacing w:after="0" w:line="6" w:lineRule="exact"/>
        <w:rPr>
          <w:rFonts w:ascii="Times New Roman" w:cs="Times New Roman" w:eastAsia="Times New Roman" w:hAnsi="Times New Roman"/>
          <w:sz w:val="16"/>
          <w:szCs w:val="16"/>
          <w:color w:val="auto"/>
        </w:rPr>
      </w:pPr>
    </w:p>
    <w:p>
      <w:pPr>
        <w:ind w:left="1040" w:hanging="232"/>
        <w:spacing w:after="0"/>
        <w:tabs>
          <w:tab w:leader="none" w:pos="10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224"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 w:name="page12"/>
    <w:bookmarkEnd w:id="11"/>
    <w:p>
      <w:pPr>
        <w:ind w:left="24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 (in millions,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62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June</w:t>
            </w:r>
          </w:p>
        </w:tc>
        <w:tc>
          <w:tcPr>
            <w:tcW w:w="234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2"/>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880" w:type="dxa"/>
            <w:vAlign w:val="bottom"/>
            <w:tcBorders>
              <w:bottom w:val="single" w:sz="8" w:color="auto"/>
            </w:tcBorders>
          </w:tcPr>
          <w:p>
            <w:pPr>
              <w:spacing w:after="0"/>
              <w:rPr>
                <w:sz w:val="18"/>
                <w:szCs w:val="18"/>
                <w:color w:val="auto"/>
              </w:rPr>
            </w:pPr>
          </w:p>
        </w:tc>
      </w:tr>
      <w:tr>
        <w:trPr>
          <w:trHeight w:val="207"/>
        </w:trPr>
        <w:tc>
          <w:tcPr>
            <w:tcW w:w="6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254.2</w:t>
            </w:r>
          </w:p>
        </w:tc>
      </w:tr>
      <w:tr>
        <w:trPr>
          <w:trHeight w:val="254"/>
        </w:trPr>
        <w:tc>
          <w:tcPr>
            <w:tcW w:w="6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r>
      <w:tr>
        <w:trPr>
          <w:trHeight w:val="227"/>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Potential effect of dilutive securities attributable to stock-based payments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7"/>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4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40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01"/>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7"/>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44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40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160"/>
        <w:spacing w:after="0" w:line="272" w:lineRule="auto"/>
        <w:rPr>
          <w:sz w:val="20"/>
          <w:szCs w:val="20"/>
          <w:color w:val="auto"/>
        </w:rPr>
      </w:pPr>
      <w:r>
        <w:rPr>
          <w:rFonts w:ascii="Times New Roman" w:cs="Times New Roman" w:eastAsia="Times New Roman" w:hAnsi="Times New Roman"/>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20" w:type="dxa"/>
            <w:vAlign w:val="bottom"/>
          </w:tcPr>
          <w:p>
            <w:pPr>
              <w:spacing w:after="0"/>
              <w:rPr>
                <w:sz w:val="18"/>
                <w:szCs w:val="18"/>
                <w:color w:val="auto"/>
              </w:rPr>
            </w:pPr>
          </w:p>
        </w:tc>
        <w:tc>
          <w:tcPr>
            <w:tcW w:w="3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08"/>
        </w:trPr>
        <w:tc>
          <w:tcPr>
            <w:tcW w:w="40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1214"/>
              <w:spacing w:after="0"/>
              <w:rPr>
                <w:sz w:val="20"/>
                <w:szCs w:val="20"/>
                <w:color w:val="auto"/>
              </w:rPr>
            </w:pPr>
            <w:r>
              <w:rPr>
                <w:rFonts w:ascii="Times New Roman" w:cs="Times New Roman" w:eastAsia="Times New Roman" w:hAnsi="Times New Roman"/>
                <w:sz w:val="18"/>
                <w:szCs w:val="18"/>
                <w:color w:val="auto"/>
                <w:w w:val="88"/>
              </w:rPr>
              <w:t>—</w:t>
            </w:r>
          </w:p>
        </w:tc>
      </w:tr>
      <w:tr>
        <w:trPr>
          <w:trHeight w:val="23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per share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$257.08-$328.65</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$257.08-$328.65</w:t>
            </w:r>
          </w:p>
        </w:tc>
        <w:tc>
          <w:tcPr>
            <w:tcW w:w="100" w:type="dxa"/>
            <w:vAlign w:val="bottom"/>
          </w:tcPr>
          <w:p>
            <w:pPr>
              <w:spacing w:after="0"/>
              <w:rPr>
                <w:sz w:val="20"/>
                <w:szCs w:val="20"/>
                <w:color w:val="auto"/>
              </w:rPr>
            </w:pPr>
          </w:p>
        </w:tc>
        <w:tc>
          <w:tcPr>
            <w:tcW w:w="1620" w:type="dxa"/>
            <w:vAlign w:val="bottom"/>
          </w:tcPr>
          <w:p>
            <w:pPr>
              <w:jc w:val="center"/>
              <w:ind w:left="1234"/>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0" w:lineRule="exact"/>
        <w:rPr>
          <w:sz w:val="20"/>
          <w:szCs w:val="20"/>
          <w:color w:val="auto"/>
        </w:rPr>
      </w:pPr>
    </w:p>
    <w:p>
      <w:pPr>
        <w:jc w:val="both"/>
        <w:ind w:firstLine="241"/>
        <w:spacing w:after="0" w:line="249"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16"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215"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tenors (ranging from 1-year through 30-years), a comparable market yield curve consistent with our credit quality was calibrated to our publicly outstanding debt instruments.</w:t>
      </w:r>
    </w:p>
    <w:p>
      <w:pPr>
        <w:spacing w:after="0" w:line="210"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operating leases. Approximately 79% of our right-of-use assets and lease liabilities relate to our leases of real estate with the remaining amounts primarily relating to our leases of IT equipment, fleet vehicles and manufacturing and distribution equipment.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04" w:lineRule="exact"/>
        <w:rPr>
          <w:sz w:val="20"/>
          <w:szCs w:val="20"/>
          <w:color w:val="auto"/>
        </w:rPr>
      </w:pPr>
    </w:p>
    <w:p>
      <w:pPr>
        <w:jc w:val="both"/>
        <w:ind w:firstLine="241"/>
        <w:spacing w:after="0" w:line="272" w:lineRule="auto"/>
        <w:rPr>
          <w:sz w:val="20"/>
          <w:szCs w:val="20"/>
          <w:color w:val="auto"/>
        </w:rPr>
      </w:pPr>
      <w:r>
        <w:rPr>
          <w:rFonts w:ascii="Times New Roman" w:cs="Times New Roman" w:eastAsia="Times New Roman" w:hAnsi="Times New Roman"/>
          <w:sz w:val="18"/>
          <w:szCs w:val="18"/>
          <w:color w:val="auto"/>
        </w:rPr>
        <w:t>Liabilities for estimated product warranty costs related to continuing operations are included in the following captions on the accompanying Consolidated Balance Sheets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00" w:type="dxa"/>
            <w:vAlign w:val="bottom"/>
          </w:tcPr>
          <w:p>
            <w:pPr>
              <w:spacing w:after="0"/>
              <w:rPr>
                <w:sz w:val="18"/>
                <w:szCs w:val="18"/>
                <w:color w:val="auto"/>
              </w:rPr>
            </w:pPr>
          </w:p>
        </w:tc>
        <w:tc>
          <w:tcPr>
            <w:tcW w:w="206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7"/>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45"/>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warranty liability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product warranty liabilities related to continuing operations for the six months ended June 30, 2022 were as follows (in millions):</w:t>
      </w:r>
    </w:p>
    <w:p>
      <w:pPr>
        <w:spacing w:after="0" w:line="212" w:lineRule="exact"/>
        <w:rPr>
          <w:sz w:val="20"/>
          <w:szCs w:val="20"/>
          <w:color w:val="auto"/>
        </w:rPr>
      </w:pPr>
    </w:p>
    <w:tbl>
      <w:tblPr>
        <w:tblLayout w:type="fixed"/>
        <w:tblInd w:w="260" w:type="dxa"/>
        <w:tblCellMar>
          <w:top w:w="0" w:type="dxa"/>
          <w:left w:w="0" w:type="dxa"/>
          <w:bottom w:w="0" w:type="dxa"/>
          <w:right w:w="0" w:type="dxa"/>
        </w:tblCellMar>
      </w:tblPr>
      <w:tr>
        <w:trPr>
          <w:trHeight w:val="227"/>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2021</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r>
      <w:tr>
        <w:trPr>
          <w:trHeight w:val="227"/>
        </w:trPr>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claims paid</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7"/>
        </w:trPr>
        <w:tc>
          <w:tcPr>
            <w:tcW w:w="9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7"/>
        </w:trPr>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7"/>
        </w:trPr>
        <w:tc>
          <w:tcPr>
            <w:tcW w:w="9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June 30, 2022</w:t>
            </w: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w:t>
            </w:r>
          </w:p>
        </w:tc>
      </w:tr>
      <w:tr>
        <w:trPr>
          <w:trHeight w:val="20"/>
        </w:trPr>
        <w:tc>
          <w:tcPr>
            <w:tcW w:w="9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4"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Repurchases:</w:t>
      </w:r>
    </w:p>
    <w:p>
      <w:pPr>
        <w:spacing w:after="0" w:line="251"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In July 2021, our Board of Directors authorized an additional $1.0 billion, for a total of $4.0 billion, to repurchase shares of our common stock (collectively referred to as the "Share Repurchase Plans").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June 30, 2022, $546 million was available for repurchase under the Share Repurchase Plans.</w:t>
      </w:r>
    </w:p>
    <w:p>
      <w:pPr>
        <w:spacing w:after="0" w:line="210"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 February 2022, we entered into a fixed dollar accelerated share repurchase transaction with Wells Fargo Bank, to effect an accelerated stock buyback of our common stock. We paid Wells Fargo Bank $200.0 million and Wells Fargo Bank initially delivered to us approximately 87% of the shares expected to be purchased. The ASR was completed in April 2022 and Wells Fargo Bank delivered a total of 0.8 million shares of common stock repurchased under this ASR Agreement.</w:t>
      </w:r>
    </w:p>
    <w:p>
      <w:pPr>
        <w:spacing w:after="0" w:line="20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 May 2022, we entered into a fixed dollar accelerated share repurchase transaction with Bank of America, to effect an accelerated stock buyback of our common stock. We paid Bank of America $100.0 million and Bank of America delivered to us common stock representing approximately 85% of the shares expected to be purchased. The ASR was completed in June 2022 and Bank of America delivered a total of 0.5 million shares of common stock repurchased under this ASR Agreement.</w:t>
      </w:r>
    </w:p>
    <w:p>
      <w:pPr>
        <w:spacing w:after="0" w:line="209"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We also repurchased shares for $5.1 million during the six months ended June 30, 2022 from employees who tendered their shares to satisfy minimum tax withholding obligations upon the vesting and exercise of stock-based compensation awards.</w:t>
      </w:r>
    </w:p>
    <w:p>
      <w:pPr>
        <w:sectPr>
          <w:pgSz w:w="11900" w:h="16838" w:orient="portrait"/>
          <w:cols w:equalWidth="0" w:num="1">
            <w:col w:w="11240"/>
          </w:cols>
          <w:pgMar w:left="320" w:top="1119"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3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tcBorders>
            <w:gridSpan w:val="5"/>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2022</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3"/>
                <w:szCs w:val="13"/>
                <w:color w:val="auto"/>
              </w:rPr>
            </w:pPr>
          </w:p>
        </w:tc>
        <w:tc>
          <w:tcPr>
            <w:tcW w:w="174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1860" w:type="dxa"/>
            <w:vAlign w:val="bottom"/>
            <w:gridSpan w:val="3"/>
          </w:tcPr>
          <w:p>
            <w:pPr>
              <w:jc w:val="center"/>
              <w:ind w:right="100"/>
              <w:spacing w:after="0" w:line="154" w:lineRule="exact"/>
              <w:rPr>
                <w:sz w:val="20"/>
                <w:szCs w:val="20"/>
                <w:color w:val="auto"/>
              </w:rPr>
            </w:pPr>
            <w:r>
              <w:rPr>
                <w:rFonts w:ascii="Times New Roman" w:cs="Times New Roman" w:eastAsia="Times New Roman" w:hAnsi="Times New Roman"/>
                <w:sz w:val="16"/>
                <w:szCs w:val="16"/>
                <w:b w:val="1"/>
                <w:bCs w:val="1"/>
                <w:color w:val="auto"/>
                <w:w w:val="99"/>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1,216.7</w:t>
            </w:r>
          </w:p>
        </w:tc>
        <w:tc>
          <w:tcPr>
            <w:tcW w:w="0" w:type="dxa"/>
            <w:vAlign w:val="bottom"/>
          </w:tcPr>
          <w:p>
            <w:pPr>
              <w:spacing w:after="0"/>
              <w:rPr>
                <w:sz w:val="1"/>
                <w:szCs w:val="1"/>
                <w:color w:val="auto"/>
              </w:rPr>
            </w:pP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977.5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1,366.3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4"/>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tcBorders>
            <w:gridSpan w:val="5"/>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2021</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3"/>
                <w:szCs w:val="13"/>
                <w:color w:val="auto"/>
              </w:rPr>
            </w:pPr>
          </w:p>
        </w:tc>
        <w:tc>
          <w:tcPr>
            <w:tcW w:w="174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186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1,073.9</w:t>
            </w:r>
          </w:p>
        </w:tc>
        <w:tc>
          <w:tcPr>
            <w:tcW w:w="0" w:type="dxa"/>
            <w:vAlign w:val="bottom"/>
          </w:tcPr>
          <w:p>
            <w:pPr>
              <w:spacing w:after="0"/>
              <w:rPr>
                <w:sz w:val="1"/>
                <w:szCs w:val="1"/>
                <w:color w:val="auto"/>
              </w:rPr>
            </w:pP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838.0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252.8</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1,239.0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5"/>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tcBorders>
            <w:gridSpan w:val="5"/>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2022</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3"/>
                <w:szCs w:val="13"/>
                <w:color w:val="auto"/>
              </w:rPr>
            </w:pPr>
          </w:p>
        </w:tc>
        <w:tc>
          <w:tcPr>
            <w:tcW w:w="174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186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2,115.0</w:t>
            </w:r>
          </w:p>
        </w:tc>
        <w:tc>
          <w:tcPr>
            <w:tcW w:w="0" w:type="dxa"/>
            <w:vAlign w:val="bottom"/>
          </w:tcPr>
          <w:p>
            <w:pPr>
              <w:spacing w:after="0"/>
              <w:rPr>
                <w:sz w:val="1"/>
                <w:szCs w:val="1"/>
                <w:color w:val="auto"/>
              </w:rPr>
            </w:pP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1,659.6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407.3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312.8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2,379.7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80" w:type="dxa"/>
            <w:vAlign w:val="bottom"/>
            <w:gridSpan w:val="5"/>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tcBorders>
            <w:gridSpan w:val="5"/>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2021</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3"/>
                <w:szCs w:val="13"/>
                <w:color w:val="auto"/>
              </w:rPr>
            </w:pPr>
          </w:p>
        </w:tc>
        <w:tc>
          <w:tcPr>
            <w:tcW w:w="174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186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1,890.7</w:t>
            </w:r>
          </w:p>
        </w:tc>
        <w:tc>
          <w:tcPr>
            <w:tcW w:w="0" w:type="dxa"/>
            <w:vAlign w:val="bottom"/>
          </w:tcPr>
          <w:p>
            <w:pPr>
              <w:spacing w:after="0"/>
              <w:rPr>
                <w:sz w:val="1"/>
                <w:szCs w:val="1"/>
                <w:color w:val="auto"/>
              </w:rPr>
            </w:pP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1,444.2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452.0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2,169.4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Residential Heating &amp; Cooling </w:t>
      </w:r>
      <w:r>
        <w:rPr>
          <w:rFonts w:ascii="Times New Roman" w:cs="Times New Roman" w:eastAsia="Times New Roman" w:hAnsi="Times New Roman"/>
          <w:sz w:val="18"/>
          <w:szCs w:val="18"/>
          <w:color w:val="auto"/>
        </w:rPr>
        <w:t>- We manufacture and market a broad range of furnaces, air conditioners, heat pumps, packaged heating and cooling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June 30, 2022 and 2021, direct sales represented 70% and 76% of revenues, and sales to independent distributors represented the remainder. For the six months ended June 30, 2022 and 2021, direct sales represented 69% and 72% of revenues, and sales to independent distributors represented the remainder.</w:t>
      </w:r>
    </w:p>
    <w:p>
      <w:pPr>
        <w:spacing w:after="0" w:line="209" w:lineRule="exact"/>
        <w:rPr>
          <w:sz w:val="20"/>
          <w:szCs w:val="20"/>
          <w:color w:val="auto"/>
        </w:rPr>
      </w:pPr>
    </w:p>
    <w:p>
      <w:pPr>
        <w:jc w:val="both"/>
        <w:ind w:firstLine="2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Commercial Heating &amp; Cooling </w:t>
      </w:r>
      <w:r>
        <w:rPr>
          <w:rFonts w:ascii="Times New Roman" w:cs="Times New Roman" w:eastAsia="Times New Roman" w:hAnsi="Times New Roman"/>
          <w:sz w:val="18"/>
          <w:szCs w:val="18"/>
          <w:color w:val="auto"/>
        </w:rPr>
        <w:t>- In North America, we manufacture and sell unitary heating and cooling equipment used in light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Lennox National Account Services provides installation,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14" w:name="page15"/>
    <w:bookmarkEnd w:id="14"/>
    <w:p>
      <w:pPr>
        <w:jc w:val="both"/>
        <w:spacing w:after="0" w:line="257" w:lineRule="auto"/>
        <w:rPr>
          <w:sz w:val="20"/>
          <w:szCs w:val="20"/>
          <w:color w:val="auto"/>
        </w:rPr>
      </w:pPr>
      <w:r>
        <w:rPr>
          <w:rFonts w:ascii="Times New Roman" w:cs="Times New Roman" w:eastAsia="Times New Roman" w:hAnsi="Times New Roman"/>
          <w:sz w:val="18"/>
          <w:szCs w:val="18"/>
          <w:color w:val="auto"/>
        </w:rPr>
        <w:t>service and preventive maintenance for HVAC national account customers in the United States and Canada. For the three months ended June 30, 2022 and 2021, equipment sales represented 81% and 85% of revenues and the remainder of our revenue was generated from our service business. For the six months ended June 30, 2022 and 2021, equipment sales represented 81% and 84% of revenues and the remainder of our revenue was generated from our service business.</w:t>
      </w:r>
    </w:p>
    <w:p>
      <w:pPr>
        <w:spacing w:after="0" w:line="205" w:lineRule="exact"/>
        <w:rPr>
          <w:sz w:val="20"/>
          <w:szCs w:val="20"/>
          <w:color w:val="auto"/>
        </w:rPr>
      </w:pPr>
    </w:p>
    <w:p>
      <w:pPr>
        <w:jc w:val="both"/>
        <w:ind w:firstLine="24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Refrigeration </w:t>
      </w:r>
      <w:r>
        <w:rPr>
          <w:rFonts w:ascii="Times New Roman" w:cs="Times New Roman" w:eastAsia="Times New Roman" w:hAnsi="Times New Roman"/>
          <w:sz w:val="18"/>
          <w:szCs w:val="18"/>
          <w:color w:val="auto"/>
        </w:rPr>
        <w:t>- We manufacture and market equipment for the global commercial refrigeration markets under the Heatcraft Worldwide Refrigeration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Less than 1% of segment revenue relates to services for start-up and commissioning activities.</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Net contract liabilities consisted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noncurrent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For the three months ended June 30, 2022 and 2021, we recognized revenue of $2.1 million and $0.8 million and for the six months ended June 30, 2022 and 2021 we recognized revenue of $5.9 million and $2.4 million related to our contract liabilities at January 1, 2022 and 2021, respectively. Impairment losses recognized in our receivables and contract assets were de minimis in 2022 and 2021.</w:t>
      </w:r>
    </w:p>
    <w:p>
      <w:pPr>
        <w:spacing w:after="0" w:line="200" w:lineRule="exact"/>
        <w:rPr>
          <w:sz w:val="20"/>
          <w:szCs w:val="20"/>
          <w:color w:val="auto"/>
        </w:rPr>
      </w:pPr>
    </w:p>
    <w:p>
      <w:pPr>
        <w:ind w:right="8400" w:firstLine="7"/>
        <w:spacing w:after="0" w:line="261" w:lineRule="auto"/>
        <w:tabs>
          <w:tab w:leader="none" w:pos="17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Statement Details: Inventories:</w:t>
      </w: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are as follows (in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20" w:type="dxa"/>
            <w:vAlign w:val="bottom"/>
          </w:tcPr>
          <w:p>
            <w:pPr>
              <w:spacing w:after="0"/>
              <w:rPr>
                <w:sz w:val="16"/>
                <w:szCs w:val="16"/>
                <w:color w:val="auto"/>
              </w:rPr>
            </w:pPr>
          </w:p>
        </w:tc>
        <w:tc>
          <w:tcPr>
            <w:tcW w:w="16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5"/>
        </w:trPr>
        <w:tc>
          <w:tcPr>
            <w:tcW w:w="7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2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parts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2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692.8</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510.9</w:t>
            </w: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in 2022, in total and by segment, are summarized in the table below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Changes in foreign</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at June 30,</w:t>
            </w:r>
          </w:p>
        </w:tc>
        <w:tc>
          <w:tcPr>
            <w:tcW w:w="0" w:type="dxa"/>
            <w:vAlign w:val="bottom"/>
          </w:tcPr>
          <w:p>
            <w:pPr>
              <w:spacing w:after="0"/>
              <w:rPr>
                <w:sz w:val="1"/>
                <w:szCs w:val="1"/>
                <w:color w:val="auto"/>
              </w:rPr>
            </w:pPr>
          </w:p>
        </w:tc>
      </w:tr>
      <w:tr>
        <w:trPr>
          <w:trHeight w:val="147"/>
        </w:trPr>
        <w:tc>
          <w:tcPr>
            <w:tcW w:w="6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6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currency translation</w:t>
            </w: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880" w:type="dxa"/>
            <w:vAlign w:val="bottom"/>
          </w:tcPr>
          <w:p>
            <w:pPr>
              <w:spacing w:after="0"/>
              <w:rPr>
                <w:sz w:val="16"/>
                <w:szCs w:val="16"/>
                <w:color w:val="auto"/>
              </w:rPr>
            </w:pP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3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6"/>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7"/>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7"/>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186.2</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We monitor our reporting units for indicators of impairment throughout the year to determine if a change in facts or circumstances warrants a re-evaluation of our goodwill. We have not recorded any goodwill impairments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49"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Commodity Price Risk -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10"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A portion of our debt bears interest at variable rates, and as a result, we are subject to variability in the cash paid for interest.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1"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1"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have foreign exchange forward contracts and commodity futures contracts designated as cash flow hedges that are scheduled to mature through November 2023.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w:t>
      </w:r>
    </w:p>
    <w:p>
      <w:pPr>
        <w:spacing w:after="0" w:line="11"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2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(gains), net on unsettled contracts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0"/>
        </w:trPr>
        <w:tc>
          <w:tcPr>
            <w:tcW w:w="720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8"/>
                <w:szCs w:val="18"/>
                <w:color w:val="auto"/>
              </w:rPr>
              <w:t xml:space="preserve">Unrealized losses (gains), net included in AOCL, net of tax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129" w:lineRule="exact"/>
        <w:rPr>
          <w:sz w:val="20"/>
          <w:szCs w:val="20"/>
          <w:color w:val="auto"/>
        </w:rPr>
      </w:pPr>
    </w:p>
    <w:p>
      <w:pPr>
        <w:ind w:left="480" w:hanging="153"/>
        <w:spacing w:after="0" w:line="238" w:lineRule="auto"/>
        <w:tabs>
          <w:tab w:leader="none" w:pos="502"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Assuming commodity prices and foreign currency exchange rates remain constant, we expect to reclassify $9.1 million of derivative losses as of June 30, 2022 into earnings within the next 12 months.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issue various long-term incentive awards, including performance share units, restricted stock units and stock appreciation rights under the Lennox International Inc. 2019 Incentive Plan, as amended and restated. Stock-based compensation expense related to continuing operations is included in Selling, general and administrative expenses in the accompanying Consolidated Statements of Operations as follows (in millions):</w:t>
      </w:r>
    </w:p>
    <w:tbl>
      <w:tblPr>
        <w:tblLayout w:type="fixed"/>
        <w:tblInd w:w="0" w:type="dxa"/>
        <w:tblCellMar>
          <w:top w:w="0" w:type="dxa"/>
          <w:left w:w="0" w:type="dxa"/>
          <w:bottom w:w="0" w:type="dxa"/>
          <w:right w:w="0" w:type="dxa"/>
        </w:tblCellMar>
      </w:tblPr>
      <w:tr>
        <w:trPr>
          <w:trHeight w:val="169"/>
        </w:trPr>
        <w:tc>
          <w:tcPr>
            <w:tcW w:w="6000" w:type="dxa"/>
            <w:vAlign w:val="bottom"/>
          </w:tcPr>
          <w:p>
            <w:pPr>
              <w:spacing w:after="0"/>
              <w:rPr>
                <w:sz w:val="14"/>
                <w:szCs w:val="14"/>
                <w:color w:val="auto"/>
              </w:rPr>
            </w:pPr>
          </w:p>
        </w:tc>
        <w:tc>
          <w:tcPr>
            <w:tcW w:w="2660" w:type="dxa"/>
            <w:vAlign w:val="bottom"/>
            <w:gridSpan w:val="7"/>
          </w:tcPr>
          <w:p>
            <w:pPr>
              <w:jc w:val="center"/>
              <w:ind w:right="120"/>
              <w:spacing w:after="0" w:line="169" w:lineRule="exact"/>
              <w:rPr>
                <w:sz w:val="20"/>
                <w:szCs w:val="20"/>
                <w:color w:val="auto"/>
              </w:rPr>
            </w:pPr>
            <w:r>
              <w:rPr>
                <w:rFonts w:ascii="Times New Roman" w:cs="Times New Roman" w:eastAsia="Times New Roman" w:hAnsi="Times New Roman"/>
                <w:sz w:val="16"/>
                <w:szCs w:val="16"/>
                <w:b w:val="1"/>
                <w:bCs w:val="1"/>
                <w:color w:val="auto"/>
              </w:rPr>
              <w:t>For the Three Months Ended June</w:t>
            </w:r>
          </w:p>
        </w:tc>
        <w:tc>
          <w:tcPr>
            <w:tcW w:w="25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12"/>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2"/>
        </w:trPr>
        <w:tc>
          <w:tcPr>
            <w:tcW w:w="60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420" w:hanging="173"/>
        <w:spacing w:after="0"/>
        <w:tabs>
          <w:tab w:leader="none" w:pos="4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expense was recorded in our Corporate and Other business segment.</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9"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Pension Benefit Plans: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net periodic benefit cost for pension benefits were as follows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66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June</w:t>
            </w:r>
          </w:p>
        </w:tc>
        <w:tc>
          <w:tcPr>
            <w:tcW w:w="25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12"/>
        </w:trPr>
        <w:tc>
          <w:tcPr>
            <w:tcW w:w="60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(5.5)</w:t>
            </w:r>
          </w:p>
        </w:tc>
        <w:tc>
          <w:tcPr>
            <w:tcW w:w="0" w:type="dxa"/>
            <w:vAlign w:val="bottom"/>
          </w:tcPr>
          <w:p>
            <w:pPr>
              <w:spacing w:after="0"/>
              <w:rPr>
                <w:sz w:val="1"/>
                <w:szCs w:val="1"/>
                <w:color w:val="auto"/>
              </w:rPr>
            </w:pPr>
          </w:p>
        </w:tc>
      </w:tr>
      <w:tr>
        <w:trPr>
          <w:trHeight w:val="22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8"/>
              </w:rPr>
              <w:t>(0.3)</w:t>
            </w:r>
          </w:p>
        </w:tc>
        <w:tc>
          <w:tcPr>
            <w:tcW w:w="0" w:type="dxa"/>
            <w:vAlign w:val="bottom"/>
          </w:tcPr>
          <w:p>
            <w:pPr>
              <w:spacing w:after="0"/>
              <w:rPr>
                <w:sz w:val="1"/>
                <w:szCs w:val="1"/>
                <w:color w:val="auto"/>
              </w:rPr>
            </w:pPr>
          </w:p>
        </w:tc>
      </w:tr>
      <w:tr>
        <w:trPr>
          <w:trHeight w:val="22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5"/>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80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As of June 30, 2022, we had approximately $3.6 million in total gross unrecognized tax benefits which, if recognized, would be recorded through the Consolidated Statements of Operations.</w:t>
      </w:r>
    </w:p>
    <w:p>
      <w:pPr>
        <w:spacing w:after="0" w:line="190"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are currently in the Bridge program for our U.S. federal income taxes under the Internal Revenue Service's Compliance Assurance Program for 2022 and 2021. As a result, our returns for those years will not be examined. However, we are subject to examination by numerous other taxing authorities in the U.S. and in foreign jurisdictions. We are generally no longer subject to U.S. federal, state and local, or non-U.S. income tax examinations by taxing authorities for years prior to 2015.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summarizes our outstanding debt obligations and their classification in the accompanying Consolidated Balance Sheets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maturities of long-term debt:</w:t>
            </w:r>
          </w:p>
        </w:tc>
        <w:tc>
          <w:tcPr>
            <w:tcW w:w="3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r>
      <w:tr>
        <w:trPr>
          <w:trHeight w:val="227"/>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securitization program</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2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1,226.5</w:t>
            </w:r>
          </w:p>
        </w:tc>
      </w:tr>
      <w:tr>
        <w:trPr>
          <w:trHeight w:val="24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Obligations</w:t>
      </w:r>
    </w:p>
    <w:p>
      <w:pPr>
        <w:spacing w:after="0" w:line="24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Through several of our foreign subsidiaries, we have facilities available to assist us in financing seasonal borrowing needs for our foreign locations. We had no outstanding foreign obligations as of June 30, 2022 or December 31, 2021 and there were no borrowings or repayments on these facilities during the six months ended June 30, 2022.</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Securitization Program</w:t>
      </w:r>
    </w:p>
    <w:p>
      <w:pPr>
        <w:spacing w:after="0" w:line="249" w:lineRule="exact"/>
        <w:rPr>
          <w:sz w:val="20"/>
          <w:szCs w:val="20"/>
          <w:color w:val="auto"/>
        </w:rPr>
      </w:pPr>
    </w:p>
    <w:p>
      <w:pPr>
        <w:jc w:val="both"/>
        <w:ind w:right="80" w:firstLine="241"/>
        <w:spacing w:after="0" w:line="252" w:lineRule="auto"/>
        <w:rPr>
          <w:sz w:val="20"/>
          <w:szCs w:val="20"/>
          <w:color w:val="auto"/>
        </w:rPr>
      </w:pPr>
      <w:r>
        <w:rPr>
          <w:rFonts w:ascii="Times New Roman" w:cs="Times New Roman" w:eastAsia="Times New Roman" w:hAnsi="Times New Roman"/>
          <w:sz w:val="18"/>
          <w:szCs w:val="18"/>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212" w:lineRule="exact"/>
        <w:rPr>
          <w:sz w:val="20"/>
          <w:szCs w:val="20"/>
          <w:color w:val="auto"/>
        </w:rPr>
      </w:pPr>
    </w:p>
    <w:p>
      <w:pPr>
        <w:jc w:val="both"/>
        <w:ind w:right="80" w:firstLine="241"/>
        <w:spacing w:after="0" w:line="257" w:lineRule="auto"/>
        <w:rPr>
          <w:sz w:val="20"/>
          <w:szCs w:val="20"/>
          <w:color w:val="auto"/>
        </w:rPr>
      </w:pPr>
      <w:r>
        <w:rPr>
          <w:rFonts w:ascii="Times New Roman" w:cs="Times New Roman" w:eastAsia="Times New Roman" w:hAnsi="Times New Roman"/>
          <w:sz w:val="18"/>
          <w:szCs w:val="18"/>
          <w:color w:val="auto"/>
        </w:rPr>
        <w:t>We renewed the ASP in November 2021, extending its term to November 2023 and increasing the maximum securitization amount to a range from $300.0 million to $450.0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11"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Eligible amount available under the ASP on qualified accounts receivable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r>
      <w:tr>
        <w:trPr>
          <w:trHeight w:val="22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Beneficial interest transferred</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45"/>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amount available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80" w:firstLine="241"/>
        <w:spacing w:after="0" w:line="253" w:lineRule="auto"/>
        <w:rPr>
          <w:sz w:val="20"/>
          <w:szCs w:val="20"/>
          <w:color w:val="auto"/>
        </w:rPr>
      </w:pPr>
      <w:r>
        <w:rPr>
          <w:rFonts w:ascii="Times New Roman" w:cs="Times New Roman" w:eastAsia="Times New Roman" w:hAnsi="Times New Roman"/>
          <w:sz w:val="18"/>
          <w:szCs w:val="18"/>
          <w:color w:val="auto"/>
        </w:rPr>
        <w:t>We pay certain discount fees to use the ASP and to have the facility available to us. These fees relate to both the used and unused portions of the securitization. The used fee is based on the beneficial interests sold and calculated on either the average LIBOR rate or floating commercial paper rate determined by the purchaser of the beneficial interest, plus a program fee of 0.70%. The average rates as of June 30, 2022 and December 31, 2021 were 2.37% and 0.82%, respectively. The unused fee is based on 101% of the maximum available amount less the beneficial interest transferred and is calculated at a rate ranging between 0.25% and 0.35%, depending on the available borrowings, throughout the term of the agreement. We recorded these fees in Interest expense, net in the accompanying Consolidated Statements of Operations.</w:t>
      </w:r>
    </w:p>
    <w:p>
      <w:pPr>
        <w:spacing w:after="0" w:line="214" w:lineRule="exact"/>
        <w:rPr>
          <w:sz w:val="20"/>
          <w:szCs w:val="20"/>
          <w:color w:val="auto"/>
        </w:rPr>
      </w:pPr>
    </w:p>
    <w:p>
      <w:pPr>
        <w:jc w:val="both"/>
        <w:ind w:right="80" w:firstLine="241"/>
        <w:spacing w:after="0" w:line="257" w:lineRule="auto"/>
        <w:rPr>
          <w:sz w:val="20"/>
          <w:szCs w:val="20"/>
          <w:color w:val="auto"/>
        </w:rPr>
      </w:pPr>
      <w:r>
        <w:rPr>
          <w:rFonts w:ascii="Times New Roman" w:cs="Times New Roman" w:eastAsia="Times New Roman" w:hAnsi="Times New Roman"/>
          <w:sz w:val="18"/>
          <w:szCs w:val="18"/>
          <w:color w:val="auto"/>
        </w:rPr>
        <w:t>The ASP contains certain restrictive covenants relating to the quality of our accounts receivable and cross-default provisions with our Credit Agreement (as defined below), senior unsecured notes and any other indebtedness we may have over $75.0 million. The administrative agent under the ASP is also a participant in our Credit Agreement, as defined below. The participating financial institutions have investment grade credit ratings. As of June 30, 2022, we believe we were in compliance with all covenant requirements.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Credit Facility</w:t>
      </w:r>
    </w:p>
    <w:p>
      <w:pPr>
        <w:spacing w:after="0" w:line="249" w:lineRule="exact"/>
        <w:rPr>
          <w:sz w:val="20"/>
          <w:szCs w:val="20"/>
          <w:color w:val="auto"/>
        </w:rPr>
      </w:pPr>
    </w:p>
    <w:p>
      <w:pPr>
        <w:jc w:val="both"/>
        <w:ind w:right="80" w:firstLine="241"/>
        <w:spacing w:after="0" w:line="262" w:lineRule="auto"/>
        <w:rPr>
          <w:sz w:val="20"/>
          <w:szCs w:val="20"/>
          <w:color w:val="auto"/>
        </w:rPr>
      </w:pPr>
      <w:r>
        <w:rPr>
          <w:rFonts w:ascii="Times New Roman" w:cs="Times New Roman" w:eastAsia="Times New Roman" w:hAnsi="Times New Roman"/>
          <w:sz w:val="18"/>
          <w:szCs w:val="18"/>
          <w:color w:val="auto"/>
        </w:rPr>
        <w:t>In July 2021, we entered into a new domestic credit facility (the “Credit Agreement”) with JPMorgan Chase Bank, N.A., as administrative agent, and the other lenders party thereto, which refinanced and replaced the Seventh Amended and Restated Credit Facility.</w:t>
      </w:r>
    </w:p>
    <w:p>
      <w:pPr>
        <w:spacing w:after="0" w:line="189" w:lineRule="exact"/>
        <w:rPr>
          <w:sz w:val="20"/>
          <w:szCs w:val="20"/>
          <w:color w:val="auto"/>
        </w:rPr>
      </w:pPr>
    </w:p>
    <w:p>
      <w:pPr>
        <w:jc w:val="both"/>
        <w:ind w:right="80" w:firstLine="241"/>
        <w:spacing w:after="0" w:line="247" w:lineRule="auto"/>
        <w:rPr>
          <w:sz w:val="20"/>
          <w:szCs w:val="20"/>
          <w:color w:val="auto"/>
        </w:rPr>
      </w:pPr>
      <w:r>
        <w:rPr>
          <w:rFonts w:ascii="Times New Roman" w:cs="Times New Roman" w:eastAsia="Times New Roman" w:hAnsi="Times New Roman"/>
          <w:sz w:val="18"/>
          <w:szCs w:val="18"/>
          <w:color w:val="auto"/>
        </w:rPr>
        <w:t>The Credit Agreement consists of a $750.0 million unsecured revolving credit facility. We had outstanding borrowings of $308.5 million as well as $2.0 million committed to standby letters of credit as of June 30, 2022. Subject to covenant limitations, $439.5 million was available for future borrowings. The Credit Agreement will expire and outstanding loans will be required to be repaid in July 2026, unless maturity is extended by the lenders pursuant to two one-year extension options that we may request under the Credit Agreement.</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facility was as follows: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6200" w:type="dxa"/>
            <w:vAlign w:val="bottom"/>
          </w:tcPr>
          <w:p>
            <w:pPr>
              <w:spacing w:after="0"/>
              <w:rPr>
                <w:sz w:val="18"/>
                <w:szCs w:val="18"/>
                <w:color w:val="auto"/>
              </w:rPr>
            </w:pP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34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2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20"/>
          </w:cols>
          <w:pgMar w:left="320" w:top="879" w:right="259" w:bottom="1440" w:gutter="0" w:footer="0" w:header="0"/>
        </w:sectPr>
      </w:pPr>
    </w:p>
    <w:bookmarkStart w:id="18" w:name="page19"/>
    <w:bookmarkEnd w:id="18"/>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0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The Credit Agreement contains customary events of default. These events of default include nonpayment of principal or interest, breach of covenants or other restrictions or requirements, default on certain other indebtedness or receivables securitization (cross default), and bankruptcy. A cross default under our Credit Agreement could occur if:</w:t>
      </w:r>
    </w:p>
    <w:p>
      <w:pPr>
        <w:spacing w:after="0" w:line="204" w:lineRule="exact"/>
        <w:rPr>
          <w:sz w:val="20"/>
          <w:szCs w:val="20"/>
          <w:color w:val="auto"/>
        </w:rPr>
      </w:pPr>
    </w:p>
    <w:p>
      <w:pPr>
        <w:ind w:left="360" w:hanging="113"/>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247" w:lineRule="exact"/>
        <w:rPr>
          <w:rFonts w:ascii="Times New Roman" w:cs="Times New Roman" w:eastAsia="Times New Roman" w:hAnsi="Times New Roman"/>
          <w:sz w:val="18"/>
          <w:szCs w:val="18"/>
          <w:color w:val="auto"/>
        </w:rPr>
      </w:pPr>
    </w:p>
    <w:p>
      <w:pPr>
        <w:jc w:val="both"/>
        <w:ind w:firstLine="247"/>
        <w:spacing w:after="0" w:line="262" w:lineRule="auto"/>
        <w:tabs>
          <w:tab w:leader="none" w:pos="3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20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the Credit Agreement,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20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 As of June 30, 2022, we believe we were in compliance with all covenant requirements.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issued two series of senior unsecured notes on July 30, 2020 for $300.0 million each, which will mature on August 1, 2025 (the "2025 Notes") and August 1, 2027 (the "2027 Notes") with interest being paid semi-annually on February and August at 1.35% and 1.70% respectively, per annum. We also issued $350.0 million of senior unsecured notes in November 2016 (the "2023 Notes," and together with the 2025 Notes and the 2027 Notes, the "Notes") which will mature on November 15, 2023 with interest being paid semi-annually on May 15 and November 15 at 3.00% per annum.</w:t>
      </w:r>
    </w:p>
    <w:p>
      <w:pPr>
        <w:spacing w:after="0" w:line="209"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June 30, 2022, we believe we were in compliance with all covenant requirements.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11. Comprehensive Income (Loss):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on items reclassified from AOCL to Net income in the accompanying Consolidated Statements of Operations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40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3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1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22"/>
        </w:trPr>
        <w:tc>
          <w:tcPr>
            <w:tcW w:w="354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line="20" w:lineRule="exact"/>
              <w:rPr>
                <w:sz w:val="1"/>
                <w:szCs w:val="1"/>
                <w:color w:val="auto"/>
              </w:rPr>
            </w:pPr>
          </w:p>
        </w:tc>
        <w:tc>
          <w:tcPr>
            <w:tcW w:w="2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5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c>
          <w:tcPr>
            <w:tcW w:w="0" w:type="dxa"/>
            <w:vAlign w:val="bottom"/>
          </w:tcPr>
          <w:p>
            <w:pPr>
              <w:spacing w:after="0"/>
              <w:rPr>
                <w:sz w:val="1"/>
                <w:szCs w:val="1"/>
                <w:color w:val="auto"/>
              </w:rPr>
            </w:pPr>
          </w:p>
        </w:tc>
      </w:tr>
      <w:tr>
        <w:trPr>
          <w:trHeight w:val="19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Gains (Losses) on Cash Flow Hedges:</w:t>
            </w: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Cost of goods sold; Losses (gains) and</w:t>
            </w:r>
          </w:p>
        </w:tc>
        <w:tc>
          <w:tcPr>
            <w:tcW w:w="0" w:type="dxa"/>
            <w:vAlign w:val="bottom"/>
          </w:tcPr>
          <w:p>
            <w:pPr>
              <w:spacing w:after="0"/>
              <w:rPr>
                <w:sz w:val="1"/>
                <w:szCs w:val="1"/>
                <w:color w:val="auto"/>
              </w:rPr>
            </w:pPr>
          </w:p>
        </w:tc>
      </w:tr>
      <w:tr>
        <w:trPr>
          <w:trHeight w:val="24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contracts</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8.8</w:t>
            </w:r>
          </w:p>
        </w:tc>
        <w:tc>
          <w:tcPr>
            <w:tcW w:w="12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0" w:type="dxa"/>
            <w:vAlign w:val="bottom"/>
          </w:tcPr>
          <w:p>
            <w:pPr>
              <w:spacing w:after="0"/>
              <w:rPr>
                <w:sz w:val="1"/>
                <w:szCs w:val="1"/>
                <w:color w:val="auto"/>
              </w:rPr>
            </w:pPr>
          </w:p>
        </w:tc>
      </w:tr>
      <w:tr>
        <w:trPr>
          <w:trHeight w:val="22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items:</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0" w:type="dxa"/>
            <w:vAlign w:val="bottom"/>
          </w:tcPr>
          <w:p>
            <w:pPr>
              <w:spacing w:after="0"/>
              <w:rPr>
                <w:sz w:val="1"/>
                <w:szCs w:val="1"/>
                <w:color w:val="auto"/>
              </w:rPr>
            </w:pPr>
          </w:p>
        </w:tc>
      </w:tr>
      <w:tr>
        <w:trPr>
          <w:trHeight w:val="22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72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0" w:type="dxa"/>
            <w:vAlign w:val="bottom"/>
          </w:tcPr>
          <w:p>
            <w:pPr>
              <w:spacing w:after="0"/>
              <w:rPr>
                <w:sz w:val="1"/>
                <w:szCs w:val="1"/>
                <w:color w:val="auto"/>
              </w:rPr>
            </w:pPr>
          </w:p>
        </w:tc>
      </w:tr>
      <w:tr>
        <w:trPr>
          <w:trHeight w:val="22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3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5.5</w:t>
            </w:r>
          </w:p>
        </w:tc>
        <w:tc>
          <w:tcPr>
            <w:tcW w:w="1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changes in AOCL, by component (net of tax), for the six months ended June 30, 2022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 of equity</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(Losses) on</w:t>
            </w: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method</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1520" w:type="dxa"/>
            <w:vAlign w:val="bottom"/>
            <w:gridSpan w:val="3"/>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investments other</w:t>
            </w:r>
          </w:p>
        </w:tc>
        <w:tc>
          <w:tcPr>
            <w:tcW w:w="13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rPr>
              <w:t>Cash Flow</w:t>
            </w:r>
          </w:p>
        </w:tc>
        <w:tc>
          <w:tcPr>
            <w:tcW w:w="140" w:type="dxa"/>
            <w:vAlign w:val="bottom"/>
          </w:tcPr>
          <w:p>
            <w:pPr>
              <w:spacing w:after="0"/>
              <w:rPr>
                <w:sz w:val="13"/>
                <w:szCs w:val="13"/>
                <w:color w:val="auto"/>
              </w:rPr>
            </w:pPr>
          </w:p>
        </w:tc>
        <w:tc>
          <w:tcPr>
            <w:tcW w:w="138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7"/>
              </w:rPr>
              <w:t>Translation</w:t>
            </w:r>
          </w:p>
        </w:tc>
        <w:tc>
          <w:tcPr>
            <w:tcW w:w="140" w:type="dxa"/>
            <w:vAlign w:val="bottom"/>
          </w:tcPr>
          <w:p>
            <w:pPr>
              <w:spacing w:after="0"/>
              <w:rPr>
                <w:sz w:val="13"/>
                <w:szCs w:val="13"/>
                <w:color w:val="auto"/>
              </w:rPr>
            </w:pPr>
          </w:p>
        </w:tc>
        <w:tc>
          <w:tcPr>
            <w:tcW w:w="108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Total AOCL</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0" w:type="dxa"/>
            <w:vAlign w:val="bottom"/>
          </w:tcPr>
          <w:p>
            <w:pPr>
              <w:spacing w:after="0"/>
              <w:rPr>
                <w:sz w:val="1"/>
                <w:szCs w:val="1"/>
                <w:color w:val="auto"/>
              </w:rPr>
            </w:pPr>
          </w:p>
        </w:tc>
      </w:tr>
      <w:tr>
        <w:trPr>
          <w:trHeight w:val="174"/>
        </w:trPr>
        <w:tc>
          <w:tcPr>
            <w:tcW w:w="43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4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at June 30, 2022 were the same as those used at December 31,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51" w:lineRule="exact"/>
        <w:rPr>
          <w:sz w:val="20"/>
          <w:szCs w:val="20"/>
          <w:color w:val="auto"/>
        </w:rPr>
      </w:pPr>
    </w:p>
    <w:p>
      <w:pPr>
        <w:jc w:val="both"/>
        <w:ind w:firstLine="241"/>
        <w:spacing w:after="0" w:line="285" w:lineRule="auto"/>
        <w:rPr>
          <w:sz w:val="20"/>
          <w:szCs w:val="20"/>
          <w:color w:val="auto"/>
        </w:rPr>
      </w:pPr>
      <w:r>
        <w:rPr>
          <w:rFonts w:ascii="Times New Roman" w:cs="Times New Roman" w:eastAsia="Times New Roman" w:hAnsi="Times New Roman"/>
          <w:sz w:val="17"/>
          <w:szCs w:val="17"/>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Credit Agreement in Long-term debt also approximates fair value due to its variable-rate characteristics.</w:t>
      </w:r>
    </w:p>
    <w:p>
      <w:pPr>
        <w:spacing w:after="0" w:line="204" w:lineRule="exact"/>
        <w:rPr>
          <w:sz w:val="20"/>
          <w:szCs w:val="20"/>
          <w:color w:val="auto"/>
        </w:rPr>
      </w:pPr>
    </w:p>
    <w:p>
      <w:pPr>
        <w:jc w:val="both"/>
        <w:ind w:firstLine="241"/>
        <w:spacing w:after="0" w:line="272"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1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5"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In addition to the specific uncertainties discussed elsewhere in this Quarterly Report on Form 10-Q, the risk factors set forth in Part I, “Item 1A. Risk Factors” in our Annual Report on Form 10-K for the year ended December 31, 2021,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2 in the Notes to the Consolidated Financial Statements.</w:t>
      </w:r>
    </w:p>
    <w:p>
      <w:pPr>
        <w:spacing w:after="0" w:line="20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209"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2"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249" w:lineRule="exact"/>
        <w:rPr>
          <w:sz w:val="20"/>
          <w:szCs w:val="20"/>
          <w:color w:val="auto"/>
        </w:rPr>
      </w:pPr>
    </w:p>
    <w:p>
      <w:pPr>
        <w:jc w:val="both"/>
        <w:ind w:firstLine="241"/>
        <w:spacing w:after="0" w:line="243" w:lineRule="auto"/>
        <w:rPr>
          <w:sz w:val="20"/>
          <w:szCs w:val="20"/>
          <w:color w:val="auto"/>
        </w:rPr>
      </w:pPr>
      <w:r>
        <w:rPr>
          <w:rFonts w:ascii="Times New Roman" w:cs="Times New Roman" w:eastAsia="Times New Roman" w:hAnsi="Times New Roman"/>
          <w:sz w:val="18"/>
          <w:szCs w:val="18"/>
          <w:color w:val="auto"/>
        </w:rPr>
        <w:t>A novel strain of coronavirus (“COVID-19”) has surfaced and spread around the world. The COVID-19 pandemic is creating supply chain disruptions and higher employee absenteeism in our factories and distribution locations. As the pandemic continues, health concern risks remain. We cannot predict whether any of our manufacturing, operational or distribution facilities will experience any future disruptions, or how long such disruptions would last. It also remains unclear how various national, state, and local governments will react if new variants of the virus spread. If the pandemic worsens or continues longer than presently expected, COVID-19 could impact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Executive Leadership Transition</w:t>
      </w:r>
    </w:p>
    <w:p>
      <w:pPr>
        <w:spacing w:after="0" w:line="24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On March 23, 2022, the Board of Directors appointed Alok Maskara as CEO effective May 9, 2022. Mr. Maskara succeeds Todd Bluedorn, who announced in July 2021 his plans to step down by mid-2022 as Chairman and CEO. Todd J. Teske was appointed Chairman of the Board and served as interim CEO until Mr. Maskara assumed the role as CEO on May 9,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1" w:lineRule="exact"/>
        <w:rPr>
          <w:sz w:val="20"/>
          <w:szCs w:val="20"/>
          <w:color w:val="auto"/>
        </w:rPr>
      </w:pPr>
    </w:p>
    <w:p>
      <w:pPr>
        <w:jc w:val="both"/>
        <w:ind w:right="20" w:firstLine="241"/>
        <w:spacing w:after="0" w:line="262" w:lineRule="auto"/>
        <w:rPr>
          <w:sz w:val="20"/>
          <w:szCs w:val="20"/>
          <w:color w:val="auto"/>
        </w:rPr>
      </w:pPr>
      <w:r>
        <w:rPr>
          <w:rFonts w:ascii="Times New Roman" w:cs="Times New Roman" w:eastAsia="Times New Roman" w:hAnsi="Times New Roman"/>
          <w:sz w:val="18"/>
          <w:szCs w:val="18"/>
          <w:color w:val="auto"/>
        </w:rPr>
        <w:t>Results for the second quarter of 2022 were driven by overall year-over-year sales and profit increases. Net sales increased 17% and segment profit increased $27 million for the Residential Heating &amp; Cooling segment. Net sales decreased 13% and segment profit decreased $28 million for the Commercial Heating &amp; Cooling segment. Net sales increased 14% and segment profit increased $10 million for the Refrigeration segment.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49" w:lineRule="exact"/>
        <w:rPr>
          <w:sz w:val="20"/>
          <w:szCs w:val="20"/>
          <w:color w:val="auto"/>
        </w:rPr>
      </w:pPr>
    </w:p>
    <w:p>
      <w:pPr>
        <w:ind w:left="640" w:hanging="313"/>
        <w:spacing w:after="0" w:line="258"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$127 million to $1,366 million in the second quarter of 2022 driven by favorable price partially offset by unfavorable foreign currency.</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the second quarter of 2022 increased $11 million to $227 million primarily driven by higher net sales partially offset by rising costs.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second quarter of 2022 was $177 million.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$4.96 per share in the second quarter of 2022 compared to $4.51 per share in the second quarter of 2021.</w:t>
      </w:r>
    </w:p>
    <w:p>
      <w:pPr>
        <w:spacing w:after="0" w:line="6" w:lineRule="exact"/>
        <w:rPr>
          <w:rFonts w:ascii="Times New Roman" w:cs="Times New Roman" w:eastAsia="Times New Roman" w:hAnsi="Times New Roman"/>
          <w:sz w:val="18"/>
          <w:szCs w:val="18"/>
          <w:color w:val="auto"/>
        </w:rPr>
      </w:pPr>
    </w:p>
    <w:p>
      <w:pPr>
        <w:ind w:left="640" w:hanging="313"/>
        <w:spacing w:after="0" w:line="255"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2022, we returned $67 million to shareholders through dividend payments and repurchased $300 million of common stock through our share repurchase program.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480" w:type="dxa"/>
            <w:vAlign w:val="bottom"/>
            <w:gridSpan w:val="3"/>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1"/>
                <w:szCs w:val="11"/>
                <w:color w:val="auto"/>
              </w:rPr>
            </w:pPr>
          </w:p>
        </w:tc>
        <w:tc>
          <w:tcPr>
            <w:tcW w:w="148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2"/>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Fav/(Unfav)</w:t>
            </w: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1,239.0</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10.3 %</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4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216.0</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16.6 %</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Net sales for the second quarter of 2022 compared to the second quarter of 2021 were impacted by favorable price of 11% which was partially offset by unfavorable foreign currency of 1%. Sales volume and product mix were neutral for the quarter.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Gross profit margins in the second quarter of 2022 decreased 180 basis points ("bps") to 29.1% compared to 30.9% in the second quarter of 2021. Gross margins decreased 250 bps from higher commodity costs, 200 bps from other product costs, 150 bps from higher component costs, 130 bps from unfavorable product mix, 100 bps from higher freight and distribution costs, and 80 bps from factory inefficiencies. Partially offsetting these decreases were 710 bps from favorable price and 20 bps from lower product warranty costs.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jc w:val="both"/>
        <w:ind w:firstLine="241"/>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$2 million to $170 million in the second quarter of 2022 compared to $168 million in the second quarter of 2021 due to higher employee costs. As a percentage of net sales, SG&amp;A decreased 110 bps to 12.4%.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second quarter of 2022 and 2021 included the following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60" w:type="dxa"/>
            <w:vAlign w:val="bottom"/>
          </w:tcPr>
          <w:p>
            <w:pPr>
              <w:spacing w:after="0"/>
              <w:rPr>
                <w:sz w:val="18"/>
                <w:szCs w:val="18"/>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400" w:type="dxa"/>
            <w:vAlign w:val="bottom"/>
            <w:tcBorders>
              <w:bottom w:val="single" w:sz="8" w:color="auto"/>
            </w:tcBorders>
          </w:tcPr>
          <w:p>
            <w:pPr>
              <w:spacing w:after="0"/>
              <w:rPr>
                <w:sz w:val="18"/>
                <w:szCs w:val="18"/>
                <w:color w:val="auto"/>
              </w:rPr>
            </w:pPr>
          </w:p>
        </w:tc>
      </w:tr>
      <w:tr>
        <w:trPr>
          <w:trHeight w:val="208"/>
        </w:trPr>
        <w:tc>
          <w:tcPr>
            <w:tcW w:w="77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r>
      <w:tr>
        <w:trPr>
          <w:trHeight w:val="22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 on settled future contracts</w:t>
            </w:r>
          </w:p>
        </w:tc>
        <w:tc>
          <w:tcPr>
            <w:tcW w:w="114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on unsettled futures contracts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27"/>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r>
      <w:tr>
        <w:trPr>
          <w:trHeight w:val="245"/>
        </w:trPr>
        <w:tc>
          <w:tcPr>
            <w:tcW w:w="7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14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net change in unrealized losses on unsettled futures contracts was due to changes in commodity prices relative to the unsettled futures contract prices.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our futures contracts, see Note 7 in the Notes to the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49"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Restructuring charges were immaterial in the second quarter of 2022 and 2021. Restructuring charges related to ongoing cost reduction actions taken in prior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We recognized income from equity method investments of $1 million in the second quarter of 2022 and $4 million in the second quarter of 2021. The change was due to rising costs at our equity method 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Interest expense, net increased to $9 million in the second quarter of 2022 from $6 million in the second quarter of 2021 due to higher borrowings and higher borrowing costs during the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9"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Our effective tax rate was 18.4% for the second quarter of 2022 compared to 18.6% for the second quarter of 2021. The rate decreased primarily due to a favorable mix of income in lower tax jurisdictions. We expect our annual effective tax rate in 2022 to be 18-20%.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Second Quarter of 2022 Compared to Second Quarter of 2021 -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Heating &amp; Cooling</w:t>
      </w:r>
    </w:p>
    <w:p>
      <w:pPr>
        <w:spacing w:after="0" w:line="249" w:lineRule="exact"/>
        <w:rPr>
          <w:sz w:val="20"/>
          <w:szCs w:val="20"/>
          <w:color w:val="auto"/>
        </w:rPr>
      </w:pPr>
    </w:p>
    <w:p>
      <w:pPr>
        <w:jc w:val="both"/>
        <w:ind w:firstLine="241"/>
        <w:spacing w:after="0" w:line="272" w:lineRule="auto"/>
        <w:rPr>
          <w:sz w:val="20"/>
          <w:szCs w:val="20"/>
          <w:color w:val="auto"/>
        </w:rPr>
      </w:pPr>
      <w:r>
        <w:rPr>
          <w:rFonts w:ascii="Times New Roman" w:cs="Times New Roman" w:eastAsia="Times New Roman" w:hAnsi="Times New Roman"/>
          <w:sz w:val="18"/>
          <w:szCs w:val="18"/>
          <w:color w:val="auto"/>
        </w:rPr>
        <w:t>The following table presents our Residential Heating &amp; Cooling segment's net sales and profit for the second quarter of 2022 and 2021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376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1"/>
        </w:trPr>
        <w:tc>
          <w:tcPr>
            <w:tcW w:w="46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tcBorders>
              <w:top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977.5</w:t>
            </w:r>
          </w:p>
        </w:tc>
        <w:tc>
          <w:tcPr>
            <w:tcW w:w="1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838.0</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2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tcPr>
          <w:p>
            <w:pPr>
              <w:spacing w:after="0"/>
              <w:rPr>
                <w:sz w:val="19"/>
                <w:szCs w:val="19"/>
                <w:color w:val="auto"/>
              </w:rPr>
            </w:pP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189.7</w:t>
            </w:r>
          </w:p>
        </w:tc>
        <w:tc>
          <w:tcPr>
            <w:tcW w:w="16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2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bl>
    <w:p>
      <w:pPr>
        <w:spacing w:after="0" w:line="75"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Net sales increased 17% in the second quarter of 2022 compared to 2021, as price increased 13% and sales volume increased by 5%. Partially offsetting these increases was 1% from unfavorable mix.</w:t>
      </w:r>
    </w:p>
    <w:p>
      <w:pPr>
        <w:spacing w:after="0" w:line="190"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Segment profit in the second quarter of 2022 compared to 2021 increased by $27 million, driven by $111 million from higher price, $15 million from higher sales volume, $4 million from lower SG&amp;A, and $2 million from lower product warranty costs. Partially offsetting these increases were $27 million from higher commodity costs, $22 million from unfavorable product mix, $18 million from higher other product costs, $16 million from higher component costs, $10 million from higher distribution and freight charges, $5 million from unfavorable foreign currency, $4 million from unfavorable factory productivity, and $3 million from lower earnings from our equity method 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Heating &amp; Cooling</w:t>
      </w:r>
    </w:p>
    <w:p>
      <w:pPr>
        <w:spacing w:after="0" w:line="249" w:lineRule="exact"/>
        <w:rPr>
          <w:sz w:val="20"/>
          <w:szCs w:val="20"/>
          <w:color w:val="auto"/>
        </w:rPr>
      </w:pPr>
    </w:p>
    <w:p>
      <w:pPr>
        <w:jc w:val="both"/>
        <w:ind w:firstLine="241"/>
        <w:spacing w:after="0" w:line="272" w:lineRule="auto"/>
        <w:rPr>
          <w:sz w:val="20"/>
          <w:szCs w:val="20"/>
          <w:color w:val="auto"/>
        </w:rPr>
      </w:pPr>
      <w:r>
        <w:rPr>
          <w:rFonts w:ascii="Times New Roman" w:cs="Times New Roman" w:eastAsia="Times New Roman" w:hAnsi="Times New Roman"/>
          <w:sz w:val="18"/>
          <w:szCs w:val="18"/>
          <w:color w:val="auto"/>
        </w:rPr>
        <w:t>The following table presents our Commercial Heating &amp; Cooling segment's net sales and profit for the second quarter of 2022 and 2021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60" w:type="dxa"/>
            <w:vAlign w:val="bottom"/>
          </w:tcPr>
          <w:p>
            <w:pPr>
              <w:spacing w:after="0"/>
              <w:rPr>
                <w:sz w:val="18"/>
                <w:szCs w:val="18"/>
                <w:color w:val="auto"/>
              </w:rPr>
            </w:pPr>
          </w:p>
        </w:tc>
        <w:tc>
          <w:tcPr>
            <w:tcW w:w="378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tcBorders>
              <w:top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219.6</w:t>
            </w:r>
          </w:p>
        </w:tc>
        <w:tc>
          <w:tcPr>
            <w:tcW w:w="1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252.8</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8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9"/>
                <w:szCs w:val="19"/>
                <w:color w:val="auto"/>
              </w:rPr>
            </w:pP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bl>
    <w:p>
      <w:pPr>
        <w:spacing w:after="0" w:line="302" w:lineRule="exact"/>
        <w:rPr>
          <w:sz w:val="20"/>
          <w:szCs w:val="20"/>
          <w:color w:val="auto"/>
        </w:rPr>
      </w:pPr>
    </w:p>
    <w:p>
      <w:pPr>
        <w:ind w:right="20" w:firstLine="241"/>
        <w:spacing w:after="0" w:line="277" w:lineRule="auto"/>
        <w:rPr>
          <w:sz w:val="20"/>
          <w:szCs w:val="20"/>
          <w:color w:val="auto"/>
        </w:rPr>
      </w:pPr>
      <w:r>
        <w:rPr>
          <w:rFonts w:ascii="Times New Roman" w:cs="Times New Roman" w:eastAsia="Times New Roman" w:hAnsi="Times New Roman"/>
          <w:sz w:val="18"/>
          <w:szCs w:val="18"/>
          <w:color w:val="auto"/>
        </w:rPr>
        <w:t>Net sales decreased 13% in the second quarter of 2022 compared to 2021. Sales volume was lower by 22% which was partially offset by favorable mix of 5% and price increases of 4%.</w:t>
      </w:r>
    </w:p>
    <w:p>
      <w:pPr>
        <w:spacing w:after="0" w:line="190"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Segment profit in the second quarter of 2022 compared to 2021 decreased $28 million due to $23 million from lower sales volume from supply chain constraints, $7 million from higher other product costs, $4 million from higher component costs, $4 million from unfavorable factory productivity, $4 million in higher SG&amp;A costs, $3 million from higher commodity costs, and $2 million from higher freight and distribution costs. These decreases were partially offset by $11 million in favorable price, $7 million from favorable mix, and $1 million for lower product warranty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Refrigeration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Refrigeration segment's net sales and profit for the second quarter of 2022 and 2021 (dollars in millions):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4440" w:type="dxa"/>
            <w:vAlign w:val="bottom"/>
          </w:tcPr>
          <w:p>
            <w:pPr>
              <w:spacing w:after="0"/>
              <w:rPr>
                <w:sz w:val="18"/>
                <w:szCs w:val="18"/>
                <w:color w:val="auto"/>
              </w:rPr>
            </w:pPr>
          </w:p>
        </w:tc>
        <w:tc>
          <w:tcPr>
            <w:tcW w:w="370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1"/>
        </w:trPr>
        <w:tc>
          <w:tcPr>
            <w:tcW w:w="44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2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top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169.2</w:t>
            </w: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148.2</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2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9"/>
                <w:szCs w:val="19"/>
                <w:color w:val="auto"/>
              </w:rPr>
            </w:pP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73.3 %</w:t>
            </w:r>
          </w:p>
        </w:tc>
      </w:tr>
      <w:tr>
        <w:trPr>
          <w:trHeight w:val="22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pacing w:after="0" w:line="316"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Net sales increased 14% in the second quarter of 2022 compared to 2021, as price increased 12% and sales volume increased by 9%. Partially offsetting these increases were unfavorable foreign currency of 6% and 1% from unfavorable mix.</w:t>
      </w:r>
    </w:p>
    <w:p>
      <w:pPr>
        <w:spacing w:after="0" w:line="190" w:lineRule="exact"/>
        <w:rPr>
          <w:sz w:val="20"/>
          <w:szCs w:val="20"/>
          <w:color w:val="auto"/>
        </w:rPr>
      </w:pPr>
    </w:p>
    <w:p>
      <w:pPr>
        <w:jc w:val="both"/>
        <w:ind w:right="20" w:firstLine="241"/>
        <w:spacing w:after="0" w:line="262" w:lineRule="auto"/>
        <w:rPr>
          <w:sz w:val="20"/>
          <w:szCs w:val="20"/>
          <w:color w:val="auto"/>
        </w:rPr>
      </w:pPr>
      <w:r>
        <w:rPr>
          <w:rFonts w:ascii="Times New Roman" w:cs="Times New Roman" w:eastAsia="Times New Roman" w:hAnsi="Times New Roman"/>
          <w:sz w:val="18"/>
          <w:szCs w:val="18"/>
          <w:color w:val="auto"/>
        </w:rPr>
        <w:t>Segment profit in the second quarter of 2022 compared to 2021 increased by $10 million driven by $18 million from higher price and $5 million from higher sales volume. Partially offsetting these increases were $5 million from commodity costs, $3 million from higher SG&amp;A costs, $2 million from higher other product costs, $2 million from unfavorable factory productivity, and $1 million from higher freight and distribution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material changes in Corporate and Other costs during the second quarter of 2022 as compared to the second quarter of 2021.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through June 30, 2022 Compared to Year-to-Date through June 30, 2021 -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600" w:type="dxa"/>
            <w:vAlign w:val="bottom"/>
            <w:gridSpan w:val="3"/>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7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1"/>
                <w:szCs w:val="11"/>
                <w:color w:val="auto"/>
              </w:rPr>
            </w:pPr>
          </w:p>
        </w:tc>
        <w:tc>
          <w:tcPr>
            <w:tcW w:w="14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Borders>
              <w:top w:val="single" w:sz="8" w:color="auto"/>
            </w:tcBorders>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2"/>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Fav/(Unfav)</w:t>
            </w: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2,379.7</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2,169.4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9.7 %</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1,529.7</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20" w:type="dxa"/>
            <w:vAlign w:val="bottom"/>
          </w:tcPr>
          <w:p>
            <w:pPr>
              <w:spacing w:after="0"/>
              <w:rPr>
                <w:sz w:val="19"/>
                <w:szCs w:val="19"/>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338.8</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330.0</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2.7 %</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14.2 %</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right="20" w:firstLine="241"/>
        <w:spacing w:after="0" w:line="258" w:lineRule="auto"/>
        <w:rPr>
          <w:sz w:val="20"/>
          <w:szCs w:val="20"/>
          <w:color w:val="auto"/>
        </w:rPr>
      </w:pPr>
      <w:r>
        <w:rPr>
          <w:rFonts w:ascii="Times New Roman" w:cs="Times New Roman" w:eastAsia="Times New Roman" w:hAnsi="Times New Roman"/>
          <w:sz w:val="18"/>
          <w:szCs w:val="18"/>
          <w:color w:val="auto"/>
        </w:rPr>
        <w:t>Net sales increased 10% for the six months ended June 30, 2022 compared to the six months ended June 30, 2021 due to higher price of 10% and favorable mix of 1%. Partially offsetting these increases was a sales volume decline of 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8" w:lineRule="exact"/>
        <w:rPr>
          <w:sz w:val="20"/>
          <w:szCs w:val="20"/>
          <w:color w:val="auto"/>
        </w:rPr>
      </w:pPr>
    </w:p>
    <w:p>
      <w:pPr>
        <w:jc w:val="both"/>
        <w:ind w:right="20" w:firstLine="241"/>
        <w:spacing w:after="0" w:line="257" w:lineRule="auto"/>
        <w:rPr>
          <w:sz w:val="20"/>
          <w:szCs w:val="20"/>
          <w:color w:val="auto"/>
        </w:rPr>
      </w:pPr>
      <w:r>
        <w:rPr>
          <w:rFonts w:ascii="Times New Roman" w:cs="Times New Roman" w:eastAsia="Times New Roman" w:hAnsi="Times New Roman"/>
          <w:sz w:val="18"/>
          <w:szCs w:val="18"/>
          <w:color w:val="auto"/>
        </w:rPr>
        <w:t>Gross profit margins for the six months ended June 30, 2022 decreased 150 bps to 28.0% compared to 29.5% for the six months ended June 30, 2021. Gross margins decreased 270 bps from higher commodity costs, 170 bps from higher component costs, 120 bps from higher other product costs, 110 from higher freight and distribution costs, 80 bps from unfavorable factory productivity, 60 bps from unfavorable mix, and 20 bps from unfavorable foreign currency. Partially offsetting these decreases were 670 bps from higher price and 10 bps from lower tariff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ind w:firstLine="241"/>
        <w:spacing w:after="0" w:line="277" w:lineRule="auto"/>
        <w:rPr>
          <w:sz w:val="20"/>
          <w:szCs w:val="20"/>
          <w:color w:val="auto"/>
        </w:rPr>
      </w:pPr>
      <w:r>
        <w:rPr>
          <w:rFonts w:ascii="Times New Roman" w:cs="Times New Roman" w:eastAsia="Times New Roman" w:hAnsi="Times New Roman"/>
          <w:sz w:val="18"/>
          <w:szCs w:val="18"/>
          <w:color w:val="auto"/>
        </w:rPr>
        <w:t>SG&amp;A increased $12 million to $325 million for the six months ended June 30, 2022 compared to $313 million for the six months ended June 30, 2021 primarily due to higher employee related costs. As a percentage of net sales, SG&amp;A decreased 70 bps to 13.7% from 14.4%.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six months ended June 30, 2022 and 2021 included the following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00" w:type="dxa"/>
            <w:vAlign w:val="bottom"/>
            <w:tcBorders>
              <w:bottom w:val="single" w:sz="8" w:color="CCEEFF"/>
            </w:tcBorders>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420" w:type="dxa"/>
            <w:vAlign w:val="bottom"/>
            <w:tcBorders>
              <w:bottom w:val="single" w:sz="8" w:color="auto"/>
            </w:tcBorders>
          </w:tcPr>
          <w:p>
            <w:pPr>
              <w:spacing w:after="0"/>
              <w:rPr>
                <w:sz w:val="18"/>
                <w:szCs w:val="18"/>
                <w:color w:val="auto"/>
              </w:rPr>
            </w:pPr>
          </w:p>
        </w:tc>
      </w:tr>
      <w:tr>
        <w:trPr>
          <w:trHeight w:val="210"/>
        </w:trPr>
        <w:tc>
          <w:tcPr>
            <w:tcW w:w="79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bottom w:val="single" w:sz="8" w:color="auto"/>
            </w:tcBorders>
            <w:shd w:val="clear" w:color="auto" w:fill="CCEEFF"/>
          </w:tcPr>
          <w:p>
            <w:pPr>
              <w:spacing w:after="0"/>
              <w:rPr>
                <w:sz w:val="18"/>
                <w:szCs w:val="18"/>
                <w:color w:val="auto"/>
              </w:rPr>
            </w:pP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on settled future contracts</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60" w:type="dxa"/>
            <w:vAlign w:val="bottom"/>
          </w:tcPr>
          <w:p>
            <w:pPr>
              <w:spacing w:after="0"/>
              <w:rPr>
                <w:sz w:val="19"/>
                <w:szCs w:val="19"/>
                <w:color w:val="auto"/>
              </w:rPr>
            </w:pP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The net change in unrealized losses (gains) on unsettled futures contracts was due to changes in commodity prices relative to the unsettled futures contract prices. For more information on our futures contracts, see Note 7 in the Notes to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49"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Restructuring charges were $1 million for the six months ended June 30, 2022 and $1 million for the six months ended June 30, 2021. Restructuring charges related to ongoing cost reduction actions taken in prior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Income from equity method investments decreased $6 million to $1 million for the six months ended June 30, 2022 as compared to $7 million for the six months ended June 30, 2021. The decline is due to higher costs at the equity method investments.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Interest expense, net increased $3 million for the six months ended June 30, 2022 compared to the six months ended June 30, 2021 primarily due to higher borrowings and higher borrowing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6" w:lineRule="exact"/>
        <w:rPr>
          <w:sz w:val="20"/>
          <w:szCs w:val="20"/>
          <w:color w:val="auto"/>
        </w:rPr>
      </w:pPr>
    </w:p>
    <w:p>
      <w:pPr>
        <w:ind w:right="220" w:firstLine="241"/>
        <w:spacing w:after="0" w:line="262" w:lineRule="auto"/>
        <w:rPr>
          <w:sz w:val="20"/>
          <w:szCs w:val="20"/>
          <w:color w:val="auto"/>
        </w:rPr>
      </w:pPr>
      <w:r>
        <w:rPr>
          <w:rFonts w:ascii="Times New Roman" w:cs="Times New Roman" w:eastAsia="Times New Roman" w:hAnsi="Times New Roman"/>
          <w:sz w:val="18"/>
          <w:szCs w:val="18"/>
          <w:color w:val="auto"/>
        </w:rPr>
        <w:t>Our effective tax rate decreased to 18.9% for the six months ended June 30, 2022 compared to 19.3% for the six months ended June 30, 2021 primarily due to a favorable mix of income in lower tax jurisdictions.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Year-to-Date through June 30, 2022 Compared to Year-to-Date through June 30, 2021 -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Heating &amp; Cooling</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Residential Heating &amp; Cooling segment's net sales and profit for the six months ended June 30, 2022 and 2021 (dollars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4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80" w:type="dxa"/>
            <w:vAlign w:val="bottom"/>
            <w:tcBorders>
              <w:top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1,659.6</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1,444.2</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6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2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324.0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286.1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70"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Net sales increased 15% for the six months ended June 30, 2022 compared to the six months ended June 30, 2021 as price increased by 12% and sales volume increased by 3%.</w:t>
      </w:r>
    </w:p>
    <w:p>
      <w:pPr>
        <w:spacing w:after="0" w:line="190"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Segment profit for the first six months of 2022 compared to 2021 increased $38 million primarily due to $179 million from favorable price and $15 million from higher sales volume. Partially offsetting the increase were $50 million from higher commodity costs, $26 million from increased component costs, $19 million from unfavorable mix, $18 million from higher other product costs, $18 million from freight and distribution costs, $9 million for unfavorable factory productivity, $6 million from higher SG&amp;A costs, $5 million from unfavorable foreign currency, and $5 million from lower income from equity method 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Heating &amp; Cooling</w:t>
      </w:r>
    </w:p>
    <w:p>
      <w:pPr>
        <w:spacing w:after="0" w:line="249"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Commercial Heating &amp; Cooling segment's net sales and profit for the six months ended June 30, 2022 and 2021 (dollars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80" w:type="dxa"/>
            <w:vAlign w:val="bottom"/>
          </w:tcPr>
          <w:p>
            <w:pPr>
              <w:spacing w:after="0"/>
              <w:rPr>
                <w:sz w:val="18"/>
                <w:szCs w:val="18"/>
                <w:color w:val="auto"/>
              </w:rPr>
            </w:pPr>
          </w:p>
        </w:tc>
        <w:tc>
          <w:tcPr>
            <w:tcW w:w="358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2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8"/>
              </w:rPr>
              <w:t>407.3</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8"/>
              </w:rPr>
              <w:t>452.0</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3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sales decreased 10% for the six months ended June 30, 2022 compared to the six months ended June 30, 2021 as sales volume decreased by 19%.</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offsetting the decrease was favorable mix of 5% and favorable price of 4%.</w:t>
      </w:r>
    </w:p>
    <w:p>
      <w:pPr>
        <w:spacing w:after="0" w:line="7" w:lineRule="exact"/>
        <w:rPr>
          <w:sz w:val="20"/>
          <w:szCs w:val="20"/>
          <w:color w:val="auto"/>
        </w:rPr>
      </w:pPr>
    </w:p>
    <w:p>
      <w:pPr>
        <w:jc w:val="both"/>
        <w:ind w:firstLine="241"/>
        <w:spacing w:after="0" w:line="250" w:lineRule="auto"/>
        <w:rPr>
          <w:sz w:val="20"/>
          <w:szCs w:val="20"/>
          <w:color w:val="auto"/>
        </w:rPr>
      </w:pPr>
      <w:r>
        <w:rPr>
          <w:rFonts w:ascii="Times New Roman" w:cs="Times New Roman" w:eastAsia="Times New Roman" w:hAnsi="Times New Roman"/>
          <w:sz w:val="18"/>
          <w:szCs w:val="18"/>
          <w:color w:val="auto"/>
        </w:rPr>
        <w:t>Segment profit for the first six months of 2022 compared to 2021 decreased $49 million primarily due to $32 million from decreased volume from supply chain constraints, $12 million from higher component costs, $10 million from unfavorable factory productivity, $9 million from higher other product costs, $6 million from increased SG&amp;A costs, $5 million from higher commodity costs, and $5 million from higher freight and distribution costs. Partially offsetting these decreases were $17 million from higher price and $13 million from favorable product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Refrigeration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Refrigeration segment's net sales and profit for the six months ended June 30, 2022 and 2021 (dollars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80" w:type="dxa"/>
            <w:vAlign w:val="bottom"/>
          </w:tcPr>
          <w:p>
            <w:pPr>
              <w:spacing w:after="0"/>
              <w:rPr>
                <w:sz w:val="18"/>
                <w:szCs w:val="18"/>
                <w:color w:val="auto"/>
              </w:rPr>
            </w:pPr>
          </w:p>
        </w:tc>
        <w:tc>
          <w:tcPr>
            <w:tcW w:w="354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4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8"/>
              </w:rPr>
              <w:t>312.8</w:t>
            </w: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98"/>
              </w:rPr>
              <w:t>273.2</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75.2 %</w:t>
            </w:r>
          </w:p>
        </w:tc>
      </w:tr>
      <w:tr>
        <w:trPr>
          <w:trHeight w:val="23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10"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Net sales increased 15% for the six months ended June 30, 2022 compared to the six months ended June 30, 2021 as price increased by 10% and sales volume increased by 10%. Partially offsetting the decrease was unfavorable foreign currency of 4% and unfavorable mix of 1%.</w:t>
      </w:r>
    </w:p>
    <w:p>
      <w:pPr>
        <w:spacing w:after="0" w:line="190" w:lineRule="exact"/>
        <w:rPr>
          <w:sz w:val="20"/>
          <w:szCs w:val="20"/>
          <w:color w:val="auto"/>
        </w:rPr>
      </w:pPr>
    </w:p>
    <w:p>
      <w:pPr>
        <w:jc w:val="both"/>
        <w:ind w:right="20" w:firstLine="241"/>
        <w:spacing w:after="0" w:line="262" w:lineRule="auto"/>
        <w:rPr>
          <w:sz w:val="20"/>
          <w:szCs w:val="20"/>
          <w:color w:val="auto"/>
        </w:rPr>
      </w:pPr>
      <w:r>
        <w:rPr>
          <w:rFonts w:ascii="Times New Roman" w:cs="Times New Roman" w:eastAsia="Times New Roman" w:hAnsi="Times New Roman"/>
          <w:sz w:val="18"/>
          <w:szCs w:val="18"/>
          <w:color w:val="auto"/>
        </w:rPr>
        <w:t>Segment profit for the first six months of 2022 compared to 2021 increased $16 million primarily due to $28 million from favorable price and $10 million from higher sales volume. Partially offsetting the increase were $10 million from higher commodity costs, $5 million from higher SG&amp;A costs, $4 million from higher component costs, and $3 million from higher freight and distribution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Corporate and other expenses decreased $2 million in the six months ended June 30, 2022 compared to the six months ended June 30, 2021 primarily due to lower employee related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six months ended June 30, 2022 and 2021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6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gridSpan w:val="5"/>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0"/>
        </w:trPr>
        <w:tc>
          <w:tcPr>
            <w:tcW w:w="79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2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r>
    </w:tbl>
    <w:p>
      <w:pPr>
        <w:spacing w:after="0" w:line="295" w:lineRule="exact"/>
        <w:rPr>
          <w:sz w:val="20"/>
          <w:szCs w:val="20"/>
          <w:color w:val="auto"/>
        </w:rPr>
      </w:pPr>
    </w:p>
    <w:p>
      <w:pPr>
        <w:jc w:val="both"/>
        <w:ind w:right="20" w:firstLine="2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Net Cash (Used In) Provided By Operating Activities - </w:t>
      </w:r>
      <w:r>
        <w:rPr>
          <w:rFonts w:ascii="Times New Roman" w:cs="Times New Roman" w:eastAsia="Times New Roman" w:hAnsi="Times New Roman"/>
          <w:sz w:val="18"/>
          <w:szCs w:val="18"/>
          <w:color w:val="auto"/>
        </w:rPr>
        <w:t>The change in net cash used in operating activities for the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cash provided by operating activities for the period in 2021 reflects less favorable changes in working capital.</w:t>
      </w:r>
    </w:p>
    <w:p>
      <w:pPr>
        <w:spacing w:after="0" w:line="187"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Capital expenditures were $47 million for the six months ended June 30, 2022 compared to $46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2021. Capital expenditures in 2022 were primarily related to the expansion of manufacturing capacity and equipment, and investments in systems and software to support the overall enterprise.</w:t>
      </w:r>
    </w:p>
    <w:p>
      <w:pPr>
        <w:spacing w:after="0" w:line="201"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Financing Activities - </w:t>
      </w:r>
      <w:r>
        <w:rPr>
          <w:rFonts w:ascii="Times New Roman" w:cs="Times New Roman" w:eastAsia="Times New Roman" w:hAnsi="Times New Roman"/>
          <w:sz w:val="18"/>
          <w:szCs w:val="18"/>
          <w:color w:val="auto"/>
        </w:rPr>
        <w:t>Net cash provided by financing activities for the six months ended June 30, 2022 increased to $75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$211 million used in financing activity in the same period of 2021. The change was primarily due to increased net borrowings in the current year compared to the prior year and less spent on repurchase of common stock. We repurchased $300 million of shares for the six months ended June 30, 2022 and returned $67 million to shareholders through dividend payments. For additional information on share repurchases, refer to Note 5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June 30, 2022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12"/>
        </w:trPr>
        <w:tc>
          <w:tcPr>
            <w:tcW w:w="9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maturities of long-term debt: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0" w:type="dxa"/>
            <w:vAlign w:val="bottom"/>
          </w:tcPr>
          <w:p>
            <w:pPr>
              <w:spacing w:after="0"/>
              <w:rPr>
                <w:sz w:val="1"/>
                <w:szCs w:val="1"/>
                <w:color w:val="auto"/>
              </w:rPr>
            </w:pPr>
          </w:p>
        </w:tc>
      </w:tr>
      <w:tr>
        <w:trPr>
          <w:trHeight w:val="209"/>
        </w:trPr>
        <w:tc>
          <w:tcPr>
            <w:tcW w:w="9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0"/>
        </w:trPr>
        <w:tc>
          <w:tcPr>
            <w:tcW w:w="9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7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Asset Securitization Program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7"/>
        </w:trPr>
        <w:tc>
          <w:tcPr>
            <w:tcW w:w="97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Credit Agreement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27"/>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0"/>
        </w:trPr>
        <w:tc>
          <w:tcPr>
            <w:tcW w:w="9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0" w:type="dxa"/>
            <w:vAlign w:val="bottom"/>
          </w:tcPr>
          <w:p>
            <w:pPr>
              <w:spacing w:after="0"/>
              <w:rPr>
                <w:sz w:val="1"/>
                <w:szCs w:val="1"/>
                <w:color w:val="auto"/>
              </w:rPr>
            </w:pPr>
          </w:p>
        </w:tc>
      </w:tr>
      <w:tr>
        <w:trPr>
          <w:trHeight w:val="220"/>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1,693.3</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20" w:hanging="313"/>
        <w:spacing w:after="0" w:line="238" w:lineRule="auto"/>
        <w:tabs>
          <w:tab w:leader="none" w:pos="179"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available future borrowings on our Credit Agreement (as defined below) are $439.5 million, after being reduced by the outstanding borrowings and $2.0 million in outstanding standby letters of credit. Refer to Note 10 in the Notes to the Consolidated Financial Statements for more information.</w:t>
      </w:r>
    </w:p>
    <w:p>
      <w:pPr>
        <w:spacing w:after="0" w:line="36" w:lineRule="exact"/>
        <w:rPr>
          <w:rFonts w:ascii="Times New Roman" w:cs="Times New Roman" w:eastAsia="Times New Roman" w:hAnsi="Times New Roman"/>
          <w:sz w:val="22"/>
          <w:szCs w:val="22"/>
          <w:color w:val="auto"/>
          <w:vertAlign w:val="superscript"/>
        </w:rPr>
      </w:pPr>
    </w:p>
    <w:p>
      <w:pPr>
        <w:ind w:left="320" w:hanging="313"/>
        <w:spacing w:after="0" w:line="268" w:lineRule="auto"/>
        <w:tabs>
          <w:tab w:leader="none" w:pos="176"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maximum securitization amount ranges from $300.0 million to $450.0 million, depending on the period. The maximum capacity of the ASP is the lesser of the maximum securitization amount or 100% of the net pool balance less reserves, as defined under the ASP. Refer to Note 10 in the Notes to the Consolidated Financial Statements for more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2021 Credit Agreement</w:t>
      </w:r>
    </w:p>
    <w:p>
      <w:pPr>
        <w:spacing w:after="0" w:line="249"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In July 2021, we entered into a domestic credit facility (the “Credit Agreement”) with JPMorgan Chase Bank, N.A., as administrative agent, and the other lenders party thereto, which refinanced and replaced the Seventh Amended and Restated Credit Facility.</w:t>
      </w:r>
    </w:p>
    <w:p>
      <w:pPr>
        <w:spacing w:after="0" w:line="190"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The Credit Agreement provides for revolving credit commitments of $750 million with sublimits for swingline loans of up to $65 million, letters of credit up to $100 million and revolving loans in certain non-U.S. currencies up to the U.S. dollar equivalent of $40 million. The Credit Agreement will expire and outstanding loans will be required to be repaid in July 2026, unless maturity is extended by the lenders pursuant to two one-year extension options that we may request under the Credit Agreement. At our request and subject to certain conditions, the revolving credit commitments under the Credit Agreement may be increased by up to a total of $350 million to the extent that existing or new lenders agree to provide additional commitments.</w:t>
      </w:r>
    </w:p>
    <w:p>
      <w:pPr>
        <w:spacing w:after="0" w:line="210"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 The Credit Agreement is subject to customary events of default, including non-payment of principal or other amounts under the Credit Agreement, material inaccuracy of representations and warranties, breach of covenants, cross-default to other indebtedness in excess of $75 million, judgements in excess of $75 million, certain voluntary and involuntary bankruptcy events, and the occurrence of a change of control. As of June 30, 2022, we believe we were in compliance with all covenant requirements.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131% at June 30, 2022 from 128% at December 31, 2021.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As of June 30, 2022, our senior credit ratings were Baa2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9"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We believe our cash and cash equivalents of $57 million, future cash generated from operations and available borrowing capacity are sufficient to fund operations, planned capital expenditures, future contractual obligations, potential share repurchases and dividends and other needs in the foreseeable future. Included in our cash and cash equivalents of $57 million as of June 30, 2022 was $20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related to our Debt Obligations</w:t>
      </w:r>
    </w:p>
    <w:p>
      <w:pPr>
        <w:spacing w:after="0" w:line="228"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Our senior unsecured notes were issued by Lennox International Inc. (the "Parent") and are unconditionally guaranteed by certain of our subsidiaries (the "Guarantor Subsidiaries"). The Guarantor Subsidiaries are 100% owned and consolidated, all guarantees are full and unconditional, and all guarantees are joint and several.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1"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information regarding our commitments, contingencies and guarantees, see Note 4 in the Notes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recent accounting pronouncements that are expected to have a material impact on our financial statements and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30" w:lineRule="exact"/>
        <w:rPr>
          <w:sz w:val="20"/>
          <w:szCs w:val="20"/>
          <w:color w:val="auto"/>
        </w:rPr>
      </w:pPr>
    </w:p>
    <w:p>
      <w:pPr>
        <w:jc w:val="both"/>
        <w:ind w:firstLine="241"/>
        <w:spacing w:after="0" w:line="25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2021. Our exposure to market risk has not changed materially since December 31, 2021.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1" w:lineRule="exact"/>
        <w:rPr>
          <w:sz w:val="20"/>
          <w:szCs w:val="20"/>
          <w:color w:val="auto"/>
        </w:rPr>
      </w:pPr>
    </w:p>
    <w:p>
      <w:pPr>
        <w:jc w:val="both"/>
        <w:ind w:firstLine="241"/>
        <w:spacing w:after="0" w:line="251"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June 30, 2022,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2021, which could materially affect our business, financial condition or results of operations. There have been no material changes to our risk factors from those disclosed in our Annual Report on Form 10-K for the year ended December 31, 2021 and in Form 10-Q for the quarter ended June 30, 2022.</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second quarter of 2022, we purchased shares of our common stock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 Value of</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95"/>
              <w:spacing w:after="0" w:line="161"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Purchased under our Share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per Share (including</w:t>
            </w:r>
          </w:p>
        </w:tc>
        <w:tc>
          <w:tcPr>
            <w:tcW w:w="19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5"/>
              <w:spacing w:after="0" w:line="161" w:lineRule="exact"/>
              <w:rPr>
                <w:sz w:val="20"/>
                <w:szCs w:val="20"/>
                <w:color w:val="auto"/>
              </w:rPr>
            </w:pPr>
            <w:r>
              <w:rPr>
                <w:rFonts w:ascii="Times New Roman" w:cs="Times New Roman" w:eastAsia="Times New Roman" w:hAnsi="Times New Roman"/>
                <w:sz w:val="16"/>
                <w:szCs w:val="16"/>
                <w:b w:val="1"/>
                <w:bCs w:val="1"/>
                <w:color w:val="auto"/>
                <w:w w:val="99"/>
              </w:rPr>
              <w:t>Repurchase Plans</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1460" w:type="dxa"/>
            <w:vAlign w:val="bottom"/>
          </w:tcPr>
          <w:p>
            <w:pPr>
              <w:jc w:val="right"/>
              <w:spacing w:after="0" w:line="214" w:lineRule="exact"/>
              <w:rPr>
                <w:sz w:val="20"/>
                <w:szCs w:val="20"/>
                <w:color w:val="auto"/>
              </w:rPr>
            </w:pPr>
            <w:r>
              <w:rPr>
                <w:rFonts w:ascii="Times New Roman" w:cs="Times New Roman" w:eastAsia="Times New Roman" w:hAnsi="Times New Roman"/>
                <w:sz w:val="16"/>
                <w:szCs w:val="16"/>
                <w:b w:val="1"/>
                <w:bCs w:val="1"/>
                <w:color w:val="auto"/>
                <w:w w:val="98"/>
              </w:rPr>
              <w:t xml:space="preserve">Shares Purchased </w:t>
            </w:r>
            <w:r>
              <w:rPr>
                <w:rFonts w:ascii="Times New Roman" w:cs="Times New Roman" w:eastAsia="Times New Roman" w:hAnsi="Times New Roman"/>
                <w:sz w:val="20"/>
                <w:szCs w:val="20"/>
                <w:b w:val="1"/>
                <w:bCs w:val="1"/>
                <w:color w:val="auto"/>
                <w:w w:val="98"/>
                <w:vertAlign w:val="superscript"/>
              </w:rPr>
              <w:t>(1)</w:t>
            </w:r>
          </w:p>
        </w:tc>
        <w:tc>
          <w:tcPr>
            <w:tcW w:w="20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fees)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ind w:right="75"/>
              <w:spacing w:after="0" w:line="214" w:lineRule="exact"/>
              <w:rPr>
                <w:sz w:val="20"/>
                <w:szCs w:val="20"/>
                <w:color w:val="auto"/>
              </w:rPr>
            </w:pPr>
            <w:r>
              <w:rPr>
                <w:rFonts w:ascii="Times New Roman" w:cs="Times New Roman" w:eastAsia="Times New Roman" w:hAnsi="Times New Roman"/>
                <w:sz w:val="16"/>
                <w:szCs w:val="16"/>
                <w:b w:val="1"/>
                <w:bCs w:val="1"/>
                <w:color w:val="auto"/>
                <w:w w:val="96"/>
              </w:rPr>
              <w:t xml:space="preserve">(in millions) </w:t>
            </w:r>
            <w:r>
              <w:rPr>
                <w:rFonts w:ascii="Times New Roman" w:cs="Times New Roman" w:eastAsia="Times New Roman" w:hAnsi="Times New Roman"/>
                <w:sz w:val="20"/>
                <w:szCs w:val="20"/>
                <w:b w:val="1"/>
                <w:bCs w:val="1"/>
                <w:color w:val="auto"/>
                <w:w w:val="96"/>
                <w:vertAlign w:val="superscript"/>
              </w:rPr>
              <w:t>(2)</w:t>
            </w:r>
          </w:p>
        </w:tc>
        <w:tc>
          <w:tcPr>
            <w:tcW w:w="0" w:type="dxa"/>
            <w:vAlign w:val="bottom"/>
          </w:tcPr>
          <w:p>
            <w:pPr>
              <w:spacing w:after="0"/>
              <w:rPr>
                <w:sz w:val="1"/>
                <w:szCs w:val="1"/>
                <w:color w:val="auto"/>
              </w:rPr>
            </w:pPr>
          </w:p>
        </w:tc>
      </w:tr>
      <w:tr>
        <w:trPr>
          <w:trHeight w:val="22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through April 30</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136,728</w:t>
            </w:r>
          </w:p>
        </w:tc>
        <w:tc>
          <w:tcPr>
            <w:tcW w:w="2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260.17</w:t>
            </w:r>
          </w:p>
        </w:tc>
        <w:tc>
          <w:tcPr>
            <w:tcW w:w="24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136,685</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2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through May 31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394,940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206.13</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2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through June 30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91,213</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24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622,881</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621,890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400" w:hanging="153"/>
        <w:spacing w:after="0" w:line="238" w:lineRule="auto"/>
        <w:tabs>
          <w:tab w:leader="none" w:pos="419"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991 shares of common stock we repurchased in April, May and June of 2022 to satisfy employee tax-withholding obligations in connection with the exercise of long-term incentive awards.</w:t>
      </w:r>
    </w:p>
    <w:p>
      <w:pPr>
        <w:spacing w:after="0" w:line="36" w:lineRule="exact"/>
        <w:rPr>
          <w:rFonts w:ascii="Times New Roman" w:cs="Times New Roman" w:eastAsia="Times New Roman" w:hAnsi="Times New Roman"/>
          <w:sz w:val="22"/>
          <w:szCs w:val="22"/>
          <w:color w:val="auto"/>
          <w:vertAlign w:val="superscript"/>
        </w:rPr>
      </w:pPr>
    </w:p>
    <w:p>
      <w:pPr>
        <w:ind w:left="400" w:hanging="153"/>
        <w:spacing w:after="0" w:line="267" w:lineRule="auto"/>
        <w:tabs>
          <w:tab w:leader="none" w:pos="417"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After $100.0 million related to the repurchase under the ASR agreement executed in May 2022. The stock repurchase was executed pursuant to a previously announced repurchase plan. See Note 5 in the Notes to the Consolidated Financial Statement for further details.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40" w:type="dxa"/>
            <w:vAlign w:val="bottom"/>
            <w:gridSpan w:val="21"/>
            <w:shd w:val="clear" w:color="auto" w:fill="CCEEFF"/>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Restated Certificate of Incorporation of Lennox International Inc. (“LII”) (filed as Exhibit 3.1 to LII's Annual Report on Form 10-K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44">
              <w:r>
                <w:rPr>
                  <w:rFonts w:ascii="Times New Roman" w:cs="Times New Roman" w:eastAsia="Times New Roman" w:hAnsi="Times New Roman"/>
                  <w:sz w:val="17"/>
                  <w:szCs w:val="17"/>
                  <w:color w:val="0000FF"/>
                </w:rPr>
                <w:t>February 15, 2022 and incorporated herein by reference).</w:t>
              </w:r>
            </w:hyperlink>
          </w:p>
        </w:tc>
        <w:tc>
          <w:tcPr>
            <w:tcW w:w="590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3.2</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Amended and Restated Bylaws of LII (filed as Exhibit 3.2 to LII's Annual Report on Form 10-K filed on February 15, 2022 and incorporated</w:t>
              </w:r>
            </w:hyperlink>
          </w:p>
        </w:tc>
      </w:tr>
      <w:tr>
        <w:trPr>
          <w:trHeight w:val="154"/>
        </w:trPr>
        <w:tc>
          <w:tcPr>
            <w:tcW w:w="92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45">
              <w:r>
                <w:rPr>
                  <w:rFonts w:ascii="Times New Roman" w:cs="Times New Roman" w:eastAsia="Times New Roman" w:hAnsi="Times New Roman"/>
                  <w:sz w:val="17"/>
                  <w:szCs w:val="17"/>
                  <w:color w:val="0000FF"/>
                </w:rPr>
                <w:t>herein by reference).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4.1</w:t>
            </w:r>
          </w:p>
        </w:tc>
        <w:tc>
          <w:tcPr>
            <w:tcW w:w="9920" w:type="dxa"/>
            <w:vAlign w:val="bottom"/>
            <w:tcBorders>
              <w:bottom w:val="single" w:sz="8" w:color="0000FF"/>
            </w:tcBorders>
            <w:gridSpan w:val="11"/>
            <w:shd w:val="clear" w:color="auto" w:fill="CCEEFF"/>
          </w:tcPr>
          <w:p>
            <w:pPr>
              <w:spacing w:after="0" w:line="187" w:lineRule="exact"/>
              <w:rPr>
                <w:rFonts w:ascii="Times New Roman" w:cs="Times New Roman" w:eastAsia="Times New Roman" w:hAnsi="Times New Roman"/>
                <w:sz w:val="18"/>
                <w:szCs w:val="18"/>
                <w:color w:val="0000FF"/>
                <w:w w:val="98"/>
              </w:rPr>
            </w:pPr>
            <w:hyperlink r:id="rId46">
              <w:r>
                <w:rPr>
                  <w:rFonts w:ascii="Times New Roman" w:cs="Times New Roman" w:eastAsia="Times New Roman" w:hAnsi="Times New Roman"/>
                  <w:sz w:val="18"/>
                  <w:szCs w:val="18"/>
                  <w:color w:val="0000FF"/>
                  <w:w w:val="98"/>
                </w:rPr>
                <w:t>Indenture, dated as of May 3, 2010, between LII and U.S. Bank National Association, as trustee (filed as Exhibit 4.3 to LII’s Post-Effective</w:t>
              </w:r>
            </w:hyperlink>
          </w:p>
        </w:tc>
        <w:tc>
          <w:tcPr>
            <w:tcW w:w="320" w:type="dxa"/>
            <w:vAlign w:val="bottom"/>
            <w:tcBorders>
              <w:bottom w:val="single" w:sz="8" w:color="CCEEFF"/>
            </w:tcBorders>
            <w:gridSpan w:val="10"/>
            <w:shd w:val="clear" w:color="auto" w:fill="CCEEFF"/>
          </w:tcPr>
          <w:p>
            <w:pPr>
              <w:spacing w:after="0"/>
              <w:rPr>
                <w:sz w:val="16"/>
                <w:szCs w:val="16"/>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10220" w:type="dxa"/>
            <w:vAlign w:val="bottom"/>
            <w:tcBorders>
              <w:bottom w:val="single" w:sz="8" w:color="0000FF"/>
            </w:tcBorders>
            <w:gridSpan w:val="20"/>
            <w:shd w:val="clear" w:color="auto" w:fill="CCEEFF"/>
          </w:tcPr>
          <w:p>
            <w:pPr>
              <w:spacing w:after="0" w:line="154"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Amendment No. 1 to Registration Statement on S-3 (Registration No. 333-155796) filed on May 3, 2010 and incorporated herein by reference)</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4.2</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Sixth Supplemental Indenture, dated as of November 3, 2016, among LII, each other existing Guarantor under the Indenture, dated as of May 3</w:t>
              </w:r>
            </w:hyperlink>
          </w:p>
        </w:tc>
      </w:tr>
      <w:tr>
        <w:trPr>
          <w:trHeight w:val="154"/>
        </w:trPr>
        <w:tc>
          <w:tcPr>
            <w:tcW w:w="9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2010, as subsequently supplemented, and U.S. Bank National Association, as trustee (filed as Exhibit 4.2 to LII’s Current Report on Form 8-K</w:t>
              </w:r>
            </w:hyperlink>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80" w:type="dxa"/>
            <w:vAlign w:val="bottom"/>
            <w:tcBorders>
              <w:top w:val="single" w:sz="8" w:color="0000FF"/>
            </w:tcBorders>
            <w:gridSpan w:val="18"/>
          </w:tcPr>
          <w:p>
            <w:pPr>
              <w:spacing w:after="0" w:line="167"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filed on November 3, 2016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4.3</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Form of 3.000% Notes due 2023 (filed as Exhibit A in Exhibit 4.2 to LII’s Current Report on Form 8-K filed on November 3, 2016 and</w:t>
              </w:r>
            </w:hyperlink>
          </w:p>
        </w:tc>
      </w:tr>
      <w:tr>
        <w:trPr>
          <w:trHeight w:val="154"/>
        </w:trPr>
        <w:tc>
          <w:tcPr>
            <w:tcW w:w="92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9"/>
            <w:shd w:val="clear" w:color="auto" w:fill="CCEEFF"/>
          </w:tcPr>
          <w:p>
            <w:pPr>
              <w:spacing w:after="0" w:line="154"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incorporated herein by reference).</w:t>
              </w:r>
            </w:hyperlink>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9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4.4</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Ninth Supplemental Indenture, dated as of July 30, 2020, among LII, each existing Guarantor under the Indenture, dated as of May 3, 2010, as</w:t>
              </w:r>
            </w:hyperlink>
          </w:p>
        </w:tc>
      </w:tr>
      <w:tr>
        <w:trPr>
          <w:trHeight w:val="154"/>
        </w:trPr>
        <w:tc>
          <w:tcPr>
            <w:tcW w:w="920" w:type="dxa"/>
            <w:vAlign w:val="bottom"/>
          </w:tcPr>
          <w:p>
            <w:pPr>
              <w:spacing w:after="0"/>
              <w:rPr>
                <w:sz w:val="13"/>
                <w:szCs w:val="13"/>
                <w:color w:val="auto"/>
              </w:rPr>
            </w:pPr>
          </w:p>
        </w:tc>
        <w:tc>
          <w:tcPr>
            <w:tcW w:w="101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subsequently supplemented, and U.S. Bank National Association, as trustee (filed as Exhibit 4.2 to LII’s Current Report on Form 8-K filed 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20" w:type="dxa"/>
            <w:vAlign w:val="bottom"/>
            <w:tcBorders>
              <w:top w:val="single" w:sz="8" w:color="0000FF"/>
            </w:tcBorders>
            <w:gridSpan w:val="15"/>
          </w:tcPr>
          <w:p>
            <w:pPr>
              <w:spacing w:after="0" w:line="167"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July 30, 2020 and incorporated herein by reference).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4.5</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Form of 1.350% Notes due 2025 (filed as Exhibit A in Exhibit 4.2 to LII’s Current Report on Form 8-K filed on July 30, 2020 and incorporate</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herein by reference).</w:t>
              </w:r>
            </w:hyperlink>
          </w:p>
        </w:tc>
        <w:tc>
          <w:tcPr>
            <w:tcW w:w="874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4.6</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8"/>
              </w:rPr>
            </w:pPr>
            <w:hyperlink r:id="rId48">
              <w:r>
                <w:rPr>
                  <w:rFonts w:ascii="Times New Roman" w:cs="Times New Roman" w:eastAsia="Times New Roman" w:hAnsi="Times New Roman"/>
                  <w:sz w:val="18"/>
                  <w:szCs w:val="18"/>
                  <w:color w:val="0000FF"/>
                  <w:w w:val="98"/>
                </w:rPr>
                <w:t>Form of 1.700% Notes due 2027 (filed as Exhibit B in Exhibit 4.2 to LII’s Current Report on Form 8-K filed on July 30, 2020 and incorporated</w:t>
              </w:r>
            </w:hyperlink>
          </w:p>
        </w:tc>
      </w:tr>
      <w:tr>
        <w:trPr>
          <w:trHeight w:val="154"/>
        </w:trPr>
        <w:tc>
          <w:tcPr>
            <w:tcW w:w="9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4.7</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Tenth Supplemental Indenture, dated as of July 14, 2021, among LII, each existing Guarantor under the Indenture, dated as of May 3, 2010, as</w:t>
              </w:r>
            </w:hyperlink>
          </w:p>
        </w:tc>
      </w:tr>
      <w:tr>
        <w:trPr>
          <w:trHeight w:val="154"/>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0140" w:type="dxa"/>
            <w:vAlign w:val="bottom"/>
            <w:tcBorders>
              <w:top w:val="single" w:sz="8" w:color="0000FF"/>
              <w:bottom w:val="single" w:sz="8" w:color="0000FF"/>
            </w:tcBorders>
            <w:gridSpan w:val="16"/>
            <w:shd w:val="clear" w:color="auto" w:fill="CCEEFF"/>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subsequently supplemented, and U.S. Bank National Association, as trustee (filed as Exhibit 4.7 to LII's Annual Report on Form 10-K filed on</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4080" w:type="dxa"/>
            <w:vAlign w:val="bottom"/>
            <w:tcBorders>
              <w:bottom w:val="single" w:sz="8" w:color="0000FF"/>
            </w:tcBorders>
            <w:gridSpan w:val="5"/>
            <w:shd w:val="clear" w:color="auto" w:fill="CCEEFF"/>
          </w:tcPr>
          <w:p>
            <w:pPr>
              <w:spacing w:after="0" w:line="167" w:lineRule="exact"/>
              <w:rPr>
                <w:rFonts w:ascii="Times New Roman" w:cs="Times New Roman" w:eastAsia="Times New Roman" w:hAnsi="Times New Roman"/>
                <w:sz w:val="18"/>
                <w:szCs w:val="18"/>
                <w:color w:val="0000FF"/>
                <w:w w:val="98"/>
              </w:rPr>
            </w:pPr>
            <w:hyperlink r:id="rId49">
              <w:r>
                <w:rPr>
                  <w:rFonts w:ascii="Times New Roman" w:cs="Times New Roman" w:eastAsia="Times New Roman" w:hAnsi="Times New Roman"/>
                  <w:sz w:val="18"/>
                  <w:szCs w:val="18"/>
                  <w:color w:val="0000FF"/>
                  <w:w w:val="98"/>
                </w:rPr>
                <w:t>February 15, 2022 and incorporated herein by reference).</w:t>
              </w:r>
            </w:hyperlink>
          </w:p>
        </w:tc>
        <w:tc>
          <w:tcPr>
            <w:tcW w:w="6120" w:type="dxa"/>
            <w:vAlign w:val="bottom"/>
            <w:tcBorders>
              <w:bottom w:val="single" w:sz="8" w:color="CCEEFF"/>
            </w:tcBorders>
            <w:gridSpan w:val="14"/>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22.1</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List of Guarantor Subsidiaries (filed as Exhibit 22.1 to LII's Annual Report on Form 10-K filed on February 15, 2022 and incorporated herein</w:t>
              </w:r>
            </w:hyperlink>
          </w:p>
        </w:tc>
      </w:tr>
      <w:tr>
        <w:trPr>
          <w:trHeight w:val="154"/>
        </w:trPr>
        <w:tc>
          <w:tcPr>
            <w:tcW w:w="920" w:type="dxa"/>
            <w:vAlign w:val="bottom"/>
          </w:tcPr>
          <w:p>
            <w:pPr>
              <w:spacing w:after="0"/>
              <w:rPr>
                <w:sz w:val="13"/>
                <w:szCs w:val="13"/>
                <w:color w:val="auto"/>
              </w:rPr>
            </w:pPr>
          </w:p>
        </w:tc>
        <w:tc>
          <w:tcPr>
            <w:tcW w:w="1010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by reference).</w:t>
              </w:r>
            </w:hyperlink>
          </w:p>
        </w:tc>
        <w:tc>
          <w:tcPr>
            <w:tcW w:w="140" w:type="dxa"/>
            <w:vAlign w:val="bottom"/>
            <w:gridSpan w:val="7"/>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31.1</w:t>
            </w:r>
          </w:p>
        </w:tc>
        <w:tc>
          <w:tcPr>
            <w:tcW w:w="4480" w:type="dxa"/>
            <w:vAlign w:val="bottom"/>
            <w:tcBorders>
              <w:bottom w:val="single" w:sz="8" w:color="0000FF"/>
            </w:tcBorders>
            <w:gridSpan w:val="7"/>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(filed herewith).</w:t>
            </w:r>
          </w:p>
        </w:tc>
        <w:tc>
          <w:tcPr>
            <w:tcW w:w="5760" w:type="dxa"/>
            <w:vAlign w:val="bottom"/>
            <w:tcBorders>
              <w:bottom w:val="single" w:sz="8" w:color="CCEEFF"/>
            </w:tcBorders>
            <w:gridSpan w:val="14"/>
            <w:shd w:val="clear" w:color="auto" w:fill="CCEEFF"/>
          </w:tcPr>
          <w:p>
            <w:pPr>
              <w:spacing w:after="0"/>
              <w:rPr>
                <w:sz w:val="18"/>
                <w:szCs w:val="18"/>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31.2</w:t>
            </w:r>
          </w:p>
        </w:tc>
        <w:tc>
          <w:tcPr>
            <w:tcW w:w="10240" w:type="dxa"/>
            <w:vAlign w:val="bottom"/>
            <w:gridSpan w:val="21"/>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financial officer (filed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32.1</w:t>
            </w:r>
          </w:p>
        </w:tc>
        <w:tc>
          <w:tcPr>
            <w:tcW w:w="9820" w:type="dxa"/>
            <w:vAlign w:val="bottom"/>
            <w:tcBorders>
              <w:bottom w:val="single" w:sz="8" w:color="0000FF"/>
            </w:tcBorders>
            <w:gridSpan w:val="10"/>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and the principal financial officer pursuant to 18 U.S.C. Section 1350 (furnished herewith).</w:t>
            </w:r>
          </w:p>
        </w:tc>
        <w:tc>
          <w:tcPr>
            <w:tcW w:w="420" w:type="dxa"/>
            <w:vAlign w:val="bottom"/>
            <w:tcBorders>
              <w:bottom w:val="single" w:sz="8" w:color="CCEEFF"/>
            </w:tcBorders>
            <w:gridSpan w:val="11"/>
            <w:shd w:val="clear" w:color="auto" w:fill="CCEEFF"/>
          </w:tcPr>
          <w:p>
            <w:pPr>
              <w:spacing w:after="0"/>
              <w:rPr>
                <w:sz w:val="18"/>
                <w:szCs w:val="18"/>
                <w:color w:val="auto"/>
              </w:rPr>
            </w:pP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INS XBRL Instance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ind w:left="1160" w:hanging="895"/>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879" w:right="239" w:bottom="1440" w:gutter="0" w:footer="0" w:header="0"/>
        </w:sectPr>
      </w:pPr>
    </w:p>
    <w:bookmarkStart w:id="33" w:name="page34"/>
    <w:bookmarkEnd w:id="33"/>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1" w:lineRule="exact"/>
        <w:rPr>
          <w:sz w:val="20"/>
          <w:szCs w:val="20"/>
          <w:color w:val="auto"/>
        </w:rPr>
      </w:pPr>
    </w:p>
    <w:p>
      <w:pPr>
        <w:ind w:firstLine="2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Joseph W. Reitmeier</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(on behalf of registrant and as principal financial officer)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420"/>
          </w:cols>
          <w:pgMar w:left="320" w:top="1119" w:right="11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Alok Maskara, certify that:</w:t>
      </w:r>
    </w:p>
    <w:p>
      <w:pPr>
        <w:spacing w:after="0" w:line="114" w:lineRule="exact"/>
        <w:rPr>
          <w:sz w:val="20"/>
          <w:szCs w:val="20"/>
          <w:color w:val="auto"/>
        </w:rPr>
      </w:pPr>
    </w:p>
    <w:p>
      <w:pPr>
        <w:ind w:left="640" w:hanging="63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640" w:right="22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ind w:left="960" w:right="180" w:hanging="312"/>
        <w:spacing w:after="0" w:line="262"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960" w:right="480" w:hanging="312"/>
        <w:spacing w:after="0" w:line="262"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960" w:right="640" w:hanging="312"/>
        <w:spacing w:after="0" w:line="308" w:lineRule="auto"/>
        <w:tabs>
          <w:tab w:leader="none" w:pos="9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960" w:right="180" w:hanging="312"/>
        <w:spacing w:after="0" w:line="262"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960" w:right="80" w:hanging="312"/>
        <w:spacing w:after="0" w:line="277"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960" w:right="40" w:hanging="312"/>
        <w:spacing w:after="0" w:line="277"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2022</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15875</wp:posOffset>
            </wp:positionV>
            <wp:extent cx="27819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Alok Maskara</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 Reitmeier, certify that:</w:t>
      </w:r>
    </w:p>
    <w:p>
      <w:pPr>
        <w:spacing w:after="0" w:line="114" w:lineRule="exact"/>
        <w:rPr>
          <w:sz w:val="20"/>
          <w:szCs w:val="20"/>
          <w:color w:val="auto"/>
        </w:rPr>
      </w:pPr>
    </w:p>
    <w:p>
      <w:pPr>
        <w:ind w:left="640" w:hanging="63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640" w:right="220" w:hanging="633"/>
        <w:spacing w:after="0" w:line="26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ind w:left="1280" w:right="40" w:hanging="632"/>
        <w:spacing w:after="0" w:line="262" w:lineRule="auto"/>
        <w:tabs>
          <w:tab w:leader="none" w:pos="12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280" w:right="160" w:hanging="632"/>
        <w:spacing w:after="0" w:line="262"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1280" w:right="320" w:hanging="632"/>
        <w:spacing w:after="0" w:line="308" w:lineRule="auto"/>
        <w:tabs>
          <w:tab w:leader="none" w:pos="12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280" w:right="40" w:hanging="632"/>
        <w:spacing w:after="0" w:line="262"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1280" w:right="580" w:hanging="632"/>
        <w:spacing w:after="0" w:line="308" w:lineRule="auto"/>
        <w:tabs>
          <w:tab w:leader="none" w:pos="12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 w:lineRule="exact"/>
        <w:rPr>
          <w:rFonts w:ascii="Times New Roman" w:cs="Times New Roman" w:eastAsia="Times New Roman" w:hAnsi="Times New Roman"/>
          <w:sz w:val="17"/>
          <w:szCs w:val="17"/>
          <w:color w:val="auto"/>
        </w:rPr>
      </w:pPr>
    </w:p>
    <w:p>
      <w:pPr>
        <w:ind w:left="1280" w:right="260" w:hanging="632"/>
        <w:spacing w:after="0" w:line="277"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2022</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15875</wp:posOffset>
            </wp:positionV>
            <wp:extent cx="27819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Lennox International Inc. (the “Company”) on Form 10-Q for the Quarter ended June 30, 2022 as filed with the Securities and Exchange Commission on the date hereof (the “Report”), each of the undersigned, Alok Maskara,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29"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819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Alok Maskara</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28, 2022</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819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28, 2022</w:t>
      </w:r>
    </w:p>
    <w:p>
      <w:pPr>
        <w:spacing w:after="0" w:line="167"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972"/>
    </w:lvl>
  </w:abstractNum>
  <w:abstractNum w:abstractNumId="3">
    <w:nsid w:val="4DB127F8"/>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4">
    <w:nsid w:val="216231B"/>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5">
    <w:nsid w:val="1F16E9E8"/>
    <w:multiLevelType w:val="hybridMultilevel"/>
    <w:lvl w:ilvl="0">
      <w:lvlJc w:val="left"/>
      <w:lvlText w:val="%1."/>
      <w:numFmt w:val="decimal"/>
      <w:start w:val="7"/>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44" Type="http://schemas.openxmlformats.org/officeDocument/2006/relationships/hyperlink" Target="https://www.sec.gov/Archives/edgar/data/0001069202/000162828022002664/lii-ex31_20211231x10k.htm" TargetMode="External"/><Relationship Id="rId45" Type="http://schemas.openxmlformats.org/officeDocument/2006/relationships/hyperlink" Target="https://www.sec.gov/Archives/edgar/data/0001069202/000162828022002664/lii-ex32_20211231x10k.htm" TargetMode="External"/><Relationship Id="rId46" Type="http://schemas.openxmlformats.org/officeDocument/2006/relationships/hyperlink" Target="https://www.sec.gov/Archives/edgar/data/1017609/000095012310042399/d72548exv4w3.htm" TargetMode="External"/><Relationship Id="rId47" Type="http://schemas.openxmlformats.org/officeDocument/2006/relationships/hyperlink" Target="https://www.sec.gov/Archives/edgar/data/1069202/000119312516758285/d284193dex42.htm" TargetMode="External"/><Relationship Id="rId48" Type="http://schemas.openxmlformats.org/officeDocument/2006/relationships/hyperlink" Target="https://www.sec.gov/Archives/edgar/data/1069202/000119312520203588/d22651dex42.htm" TargetMode="External"/><Relationship Id="rId49" Type="http://schemas.openxmlformats.org/officeDocument/2006/relationships/hyperlink" Target="https://www.sec.gov/Archives/edgar/data/1069202/000162828022002664/lii-ex47_20211231x10k.htm" TargetMode="External"/><Relationship Id="rId50" Type="http://schemas.openxmlformats.org/officeDocument/2006/relationships/hyperlink" Target="https://www.sec.gov/Archives/edgar/data/1069202/000162828022002664/lii-ex221_2021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2022-07-28T11:27:46Z</dcterms:created>
  <dcterms:modified xsi:type="dcterms:W3CDTF">2022-07-28T11:27:46Z</dcterms:modified>
</cp:coreProperties>
</file>