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487680</wp:posOffset>
            </wp:positionH>
            <wp:positionV relativeFrom="page">
              <wp:posOffset>674370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page">
              <wp:posOffset>487680</wp:posOffset>
            </wp:positionH>
            <wp:positionV relativeFrom="page">
              <wp:posOffset>699770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t>UNITED STATES</w:t>
      </w:r>
    </w:p>
    <w:p>
      <w:pPr>
        <w:spacing w:after="0" w:line="34" w:lineRule="exact"/>
        <w:rPr>
          <w:sz w:val="24"/>
          <w:szCs w:val="24"/>
          <w:color w:val="auto"/>
        </w:rPr>
      </w:pPr>
    </w:p>
    <w:p>
      <w:pPr>
        <w:ind w:left="3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300"/>
        <w:spacing w:after="0"/>
        <w:rPr>
          <w:sz w:val="20"/>
          <w:szCs w:val="20"/>
          <w:color w:val="auto"/>
        </w:rPr>
      </w:pPr>
      <w:r>
        <w:rPr>
          <w:rFonts w:ascii="Arial" w:cs="Arial" w:eastAsia="Arial" w:hAnsi="Arial"/>
          <w:sz w:val="25"/>
          <w:szCs w:val="25"/>
          <w:b w:val="1"/>
          <w:bCs w:val="1"/>
          <w:color w:val="auto"/>
        </w:rPr>
        <w:t>Washington, D. C. 20549</w:t>
      </w:r>
    </w:p>
    <w:p>
      <w:pPr>
        <w:spacing w:after="0" w:line="8"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_________________________________________________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51" w:lineRule="exact"/>
        <w:rPr>
          <w:sz w:val="24"/>
          <w:szCs w:val="24"/>
          <w:color w:val="auto"/>
        </w:rPr>
      </w:pPr>
    </w:p>
    <w:p>
      <w:pPr>
        <w:ind w:left="3900"/>
        <w:spacing w:after="0"/>
        <w:rPr>
          <w:sz w:val="20"/>
          <w:szCs w:val="20"/>
          <w:color w:val="auto"/>
        </w:rPr>
      </w:pPr>
      <w:r>
        <w:rPr>
          <w:rFonts w:ascii="Arial" w:cs="Arial" w:eastAsia="Arial" w:hAnsi="Arial"/>
          <w:sz w:val="14"/>
          <w:szCs w:val="14"/>
          <w:color w:val="auto"/>
        </w:rPr>
        <w:t>_________________________________________________</w:t>
      </w:r>
    </w:p>
    <w:p>
      <w:pPr>
        <w:spacing w:after="0" w:line="40"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720" w:hanging="419"/>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1934</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June 30, 2023</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62" w:lineRule="exact"/>
        <w:rPr>
          <w:sz w:val="24"/>
          <w:szCs w:val="24"/>
          <w:color w:val="auto"/>
        </w:rPr>
      </w:pPr>
    </w:p>
    <w:p>
      <w:pPr>
        <w:ind w:left="72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720" w:hanging="419"/>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95" w:lineRule="exact"/>
        <w:rPr>
          <w:sz w:val="24"/>
          <w:szCs w:val="24"/>
          <w:color w:val="auto"/>
        </w:rPr>
      </w:pPr>
    </w:p>
    <w:p>
      <w:pPr>
        <w:ind w:left="3520"/>
        <w:spacing w:after="0"/>
        <w:rPr>
          <w:sz w:val="20"/>
          <w:szCs w:val="20"/>
          <w:color w:val="auto"/>
        </w:rPr>
      </w:pPr>
      <w:r>
        <w:rPr>
          <w:rFonts w:ascii="Arial" w:cs="Arial" w:eastAsia="Arial" w:hAnsi="Arial"/>
          <w:sz w:val="21"/>
          <w:szCs w:val="21"/>
          <w:b w:val="1"/>
          <w:bCs w:val="1"/>
          <w:color w:val="auto"/>
        </w:rPr>
        <w:t>For the transition period from _____to ______</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001-15149</w:t>
      </w:r>
    </w:p>
    <w:p>
      <w:pPr>
        <w:spacing w:after="0" w:line="24"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LENNOX INTERNATIONAL INC</w:t>
      </w:r>
      <w:r>
        <w:rPr>
          <w:rFonts w:ascii="Arial" w:cs="Arial" w:eastAsia="Arial" w:hAnsi="Arial"/>
          <w:sz w:val="35"/>
          <w:szCs w:val="35"/>
          <w:b w:val="1"/>
          <w:bCs w:val="1"/>
          <w:color w:val="auto"/>
        </w:rPr>
        <w:t>.</w:t>
      </w:r>
    </w:p>
    <w:p>
      <w:pPr>
        <w:spacing w:after="0" w:line="53"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4"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4" w:lineRule="exact"/>
        <w:rPr>
          <w:sz w:val="24"/>
          <w:szCs w:val="24"/>
          <w:color w:val="auto"/>
        </w:rPr>
      </w:pPr>
    </w:p>
    <w:p>
      <w:pPr>
        <w:ind w:left="5500" w:hanging="432"/>
        <w:spacing w:after="0"/>
        <w:tabs>
          <w:tab w:leader="none" w:pos="5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497-5000</w:t>
      </w:r>
    </w:p>
    <w:p>
      <w:pPr>
        <w:spacing w:after="0" w:line="6" w:lineRule="exact"/>
        <w:rPr>
          <w:rFonts w:ascii="Arial" w:cs="Arial" w:eastAsia="Arial" w:hAnsi="Arial"/>
          <w:sz w:val="18"/>
          <w:szCs w:val="18"/>
          <w:b w:val="1"/>
          <w:bCs w:val="1"/>
          <w:color w:val="auto"/>
        </w:rPr>
      </w:pPr>
    </w:p>
    <w:p>
      <w:pPr>
        <w:ind w:left="3420"/>
        <w:spacing w:after="0"/>
        <w:rPr>
          <w:rFonts w:ascii="Arial" w:cs="Arial" w:eastAsia="Arial" w:hAnsi="Arial"/>
          <w:sz w:val="18"/>
          <w:szCs w:val="18"/>
          <w:b w:val="1"/>
          <w:bCs w:val="1"/>
          <w:color w:val="auto"/>
        </w:rPr>
      </w:pPr>
      <w:r>
        <w:rPr>
          <w:rFonts w:ascii="Arial" w:cs="Arial" w:eastAsia="Arial" w:hAnsi="Arial"/>
          <w:sz w:val="18"/>
          <w:szCs w:val="18"/>
          <w:color w:val="auto"/>
        </w:rPr>
        <w:t>_________________________________________________</w:t>
      </w:r>
    </w:p>
    <w:p>
      <w:pPr>
        <w:spacing w:after="0" w:line="6"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426" w:right="339" w:bottom="1440" w:gutter="0" w:footer="0" w:header="0"/>
        </w:sectPr>
      </w:pPr>
    </w:p>
    <w:p>
      <w:pPr>
        <w:spacing w:after="0" w:line="30" w:lineRule="exact"/>
        <w:rPr>
          <w:sz w:val="24"/>
          <w:szCs w:val="24"/>
          <w:color w:val="auto"/>
        </w:rPr>
      </w:pPr>
    </w:p>
    <w:p>
      <w:pPr>
        <w:jc w:val="center"/>
        <w:ind w:left="680"/>
        <w:spacing w:after="0"/>
        <w:rPr>
          <w:sz w:val="20"/>
          <w:szCs w:val="20"/>
          <w:color w:val="auto"/>
        </w:rPr>
      </w:pPr>
      <w:r>
        <w:rPr>
          <w:rFonts w:ascii="Arial" w:cs="Arial" w:eastAsia="Arial" w:hAnsi="Arial"/>
          <w:sz w:val="18"/>
          <w:szCs w:val="18"/>
          <w:b w:val="1"/>
          <w:bCs w:val="1"/>
          <w:color w:val="auto"/>
        </w:rPr>
        <w:t>Title of each class</w:t>
      </w:r>
    </w:p>
    <w:p>
      <w:pPr>
        <w:spacing w:after="0" w:line="24" w:lineRule="exact"/>
        <w:rPr>
          <w:sz w:val="24"/>
          <w:szCs w:val="24"/>
          <w:color w:val="auto"/>
        </w:rPr>
      </w:pPr>
    </w:p>
    <w:p>
      <w:pPr>
        <w:jc w:val="center"/>
        <w:ind w:left="680"/>
        <w:spacing w:after="0"/>
        <w:rPr>
          <w:sz w:val="20"/>
          <w:szCs w:val="20"/>
          <w:color w:val="auto"/>
        </w:rPr>
      </w:pPr>
      <w:r>
        <w:rPr>
          <w:rFonts w:ascii="Arial" w:cs="Arial" w:eastAsia="Arial" w:hAnsi="Arial"/>
          <w:sz w:val="14"/>
          <w:szCs w:val="14"/>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Trading Symbol(s)</w:t>
      </w:r>
    </w:p>
    <w:p>
      <w:pPr>
        <w:spacing w:after="0" w:line="7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LII</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700"/>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70"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New York Stock Exchange</w:t>
      </w:r>
    </w:p>
    <w:p>
      <w:pPr>
        <w:spacing w:after="0" w:line="154" w:lineRule="exact"/>
        <w:rPr>
          <w:sz w:val="24"/>
          <w:szCs w:val="24"/>
          <w:color w:val="auto"/>
        </w:rPr>
      </w:pPr>
    </w:p>
    <w:p>
      <w:pPr>
        <w:sectPr>
          <w:pgSz w:w="11900" w:h="16838" w:orient="portrait"/>
          <w:cols w:equalWidth="0" w:num="3">
            <w:col w:w="4380" w:space="720"/>
            <w:col w:w="1420" w:space="720"/>
            <w:col w:w="4000"/>
          </w:cols>
          <w:pgMar w:left="320" w:top="1426" w:right="339" w:bottom="1440" w:gutter="0" w:footer="0" w:header="0"/>
          <w:type w:val="continuous"/>
        </w:sectPr>
      </w:pPr>
    </w:p>
    <w:p>
      <w:pPr>
        <w:jc w:val="both"/>
        <w:ind w:firstLine="241"/>
        <w:spacing w:after="0" w:line="24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jc w:val="both"/>
        <w:ind w:firstLine="241"/>
        <w:spacing w:after="0" w:line="24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jc w:val="both"/>
        <w:ind w:firstLine="241"/>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60" w:type="dxa"/>
        <w:tblCellMar>
          <w:top w:w="0" w:type="dxa"/>
          <w:left w:w="0" w:type="dxa"/>
          <w:bottom w:w="0" w:type="dxa"/>
          <w:right w:w="0" w:type="dxa"/>
        </w:tblCellMar>
      </w:tblPr>
      <w:tr>
        <w:trPr>
          <w:trHeight w:val="276"/>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52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267"/>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520"/>
              <w:spacing w:after="0" w:line="211" w:lineRule="exact"/>
              <w:rPr>
                <w:sz w:val="20"/>
                <w:szCs w:val="20"/>
                <w:color w:val="auto"/>
              </w:rPr>
            </w:pPr>
            <w:r>
              <w:rPr>
                <w:rFonts w:ascii="MS PGothic" w:cs="MS PGothic" w:eastAsia="MS PGothic" w:hAnsi="MS PGothic"/>
                <w:sz w:val="21"/>
                <w:szCs w:val="21"/>
                <w:color w:val="auto"/>
              </w:rPr>
              <w:t>☐</w:t>
            </w:r>
          </w:p>
        </w:tc>
        <w:tc>
          <w:tcPr>
            <w:tcW w:w="4340" w:type="dxa"/>
            <w:vAlign w:val="bottom"/>
          </w:tcPr>
          <w:p>
            <w:pPr>
              <w:ind w:left="19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r>
        <w:trPr>
          <w:trHeight w:val="360"/>
        </w:trPr>
        <w:tc>
          <w:tcPr>
            <w:tcW w:w="22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ind w:left="19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20"/>
              <w:spacing w:after="0" w:line="211" w:lineRule="exact"/>
              <w:rPr>
                <w:sz w:val="20"/>
                <w:szCs w:val="20"/>
                <w:color w:val="auto"/>
              </w:rPr>
            </w:pPr>
            <w:r>
              <w:rPr>
                <w:rFonts w:ascii="MS PGothic" w:cs="MS PGothic" w:eastAsia="MS PGothic" w:hAnsi="MS PGothic"/>
                <w:sz w:val="21"/>
                <w:szCs w:val="21"/>
                <w:color w:val="auto"/>
                <w:w w:val="85"/>
              </w:rPr>
              <w:t>☐</w:t>
            </w:r>
          </w:p>
        </w:tc>
      </w:tr>
    </w:tbl>
    <w:p>
      <w:pPr>
        <w:spacing w:after="0" w:line="44" w:lineRule="exact"/>
        <w:rPr>
          <w:sz w:val="24"/>
          <w:szCs w:val="24"/>
          <w:color w:val="auto"/>
        </w:rPr>
      </w:pPr>
    </w:p>
    <w:p>
      <w:pPr>
        <w:ind w:firstLine="241"/>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1" w:lineRule="exact"/>
        <w:rPr>
          <w:sz w:val="24"/>
          <w:szCs w:val="24"/>
          <w:color w:val="auto"/>
        </w:rPr>
      </w:pPr>
    </w:p>
    <w:p>
      <w:pPr>
        <w:ind w:left="240"/>
        <w:spacing w:after="0" w:line="184" w:lineRule="exact"/>
        <w:tabs>
          <w:tab w:leader="none" w:pos="76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50" w:lineRule="exact"/>
        <w:rPr>
          <w:sz w:val="24"/>
          <w:szCs w:val="24"/>
          <w:color w:val="auto"/>
        </w:rPr>
      </w:pPr>
    </w:p>
    <w:p>
      <w:pPr>
        <w:ind w:left="240"/>
        <w:spacing w:after="0"/>
        <w:rPr>
          <w:sz w:val="20"/>
          <w:szCs w:val="20"/>
          <w:color w:val="auto"/>
        </w:rPr>
      </w:pPr>
      <w:r>
        <w:rPr>
          <w:rFonts w:ascii="Arial" w:cs="Arial" w:eastAsia="Arial" w:hAnsi="Arial"/>
          <w:sz w:val="16"/>
          <w:szCs w:val="16"/>
          <w:color w:val="auto"/>
        </w:rPr>
        <w:t>As of July 14, 2023, the number of shares outstanding of the registrant’s common stock, par value $0.01 per share, was 35,514,352.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826770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41910</wp:posOffset>
            </wp:positionV>
            <wp:extent cx="6998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wp:posOffset>
            </wp:positionV>
            <wp:extent cx="69983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8255"/>
                    </a:xfrm>
                    <a:prstGeom prst="rect">
                      <a:avLst/>
                    </a:prstGeom>
                    <a:noFill/>
                  </pic:spPr>
                </pic:pic>
              </a:graphicData>
            </a:graphic>
          </wp:anchor>
        </w:drawing>
      </w:r>
    </w:p>
    <w:p>
      <w:pPr>
        <w:sectPr>
          <w:pgSz w:w="11900" w:h="16838" w:orient="portrait"/>
          <w:cols w:equalWidth="0" w:num="1">
            <w:col w:w="11240"/>
          </w:cols>
          <w:pgMar w:left="320" w:top="142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gridSpan w:val="5"/>
          </w:tcPr>
          <w:p>
            <w:pPr>
              <w:ind w:left="160"/>
              <w:spacing w:after="0"/>
              <w:rPr>
                <w:sz w:val="20"/>
                <w:szCs w:val="20"/>
                <w:color w:val="auto"/>
              </w:rPr>
            </w:pPr>
            <w:r>
              <w:rPr>
                <w:rFonts w:ascii="Arial" w:cs="Arial" w:eastAsia="Arial" w:hAnsi="Arial"/>
                <w:sz w:val="17"/>
                <w:szCs w:val="17"/>
                <w:b w:val="1"/>
                <w:bCs w:val="1"/>
                <w:color w:val="auto"/>
              </w:rPr>
              <w:t>Page</w:t>
            </w:r>
          </w:p>
        </w:tc>
      </w:tr>
      <w:tr>
        <w:trPr>
          <w:trHeight w:val="180"/>
        </w:trPr>
        <w:tc>
          <w:tcPr>
            <w:tcW w:w="820" w:type="dxa"/>
            <w:vAlign w:val="bottom"/>
            <w:tcBorders>
              <w:bottom w:val="single" w:sz="8" w:color="CCEEFF"/>
            </w:tcBorders>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Part I</w:t>
            </w:r>
          </w:p>
        </w:tc>
        <w:tc>
          <w:tcPr>
            <w:tcW w:w="1420" w:type="dxa"/>
            <w:vAlign w:val="bottom"/>
            <w:tcBorders>
              <w:bottom w:val="single" w:sz="8" w:color="0000FF"/>
              <w:right w:val="single" w:sz="8" w:color="CCEEFF"/>
            </w:tcBorders>
            <w:gridSpan w:val="5"/>
            <w:shd w:val="clear" w:color="auto" w:fill="CCEEFF"/>
          </w:tcPr>
          <w:p>
            <w:pPr>
              <w:spacing w:after="0" w:line="161" w:lineRule="exact"/>
              <w:rPr>
                <w:sz w:val="20"/>
                <w:szCs w:val="20"/>
                <w:color w:val="auto"/>
              </w:rPr>
            </w:pPr>
            <w:r>
              <w:rPr>
                <w:rFonts w:ascii="Arial" w:cs="Arial" w:eastAsia="Arial" w:hAnsi="Arial"/>
                <w:sz w:val="16"/>
                <w:szCs w:val="16"/>
                <w:color w:val="0000FF"/>
                <w:w w:val="92"/>
              </w:rPr>
              <w:t>Financial Information</w:t>
            </w:r>
          </w:p>
        </w:tc>
        <w:tc>
          <w:tcPr>
            <w:tcW w:w="8300" w:type="dxa"/>
            <w:vAlign w:val="bottom"/>
            <w:tcBorders>
              <w:bottom w:val="single" w:sz="8" w:color="CCEEFF"/>
            </w:tcBorders>
            <w:gridSpan w:val="13"/>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r>
      <w:tr>
        <w:trPr>
          <w:trHeight w:val="174"/>
        </w:trPr>
        <w:tc>
          <w:tcPr>
            <w:tcW w:w="820" w:type="dxa"/>
            <w:vAlign w:val="bottom"/>
          </w:tcPr>
          <w:p>
            <w:pPr>
              <w:spacing w:after="0"/>
              <w:rPr>
                <w:sz w:val="15"/>
                <w:szCs w:val="15"/>
                <w:color w:val="auto"/>
              </w:rPr>
            </w:pPr>
          </w:p>
        </w:tc>
        <w:tc>
          <w:tcPr>
            <w:tcW w:w="9720" w:type="dxa"/>
            <w:vAlign w:val="bottom"/>
            <w:gridSpan w:val="18"/>
          </w:tcPr>
          <w:p>
            <w:pPr>
              <w:spacing w:after="0" w:line="174" w:lineRule="exact"/>
              <w:rPr>
                <w:sz w:val="20"/>
                <w:szCs w:val="20"/>
                <w:color w:val="auto"/>
              </w:rPr>
            </w:pPr>
            <w:r>
              <w:rPr>
                <w:rFonts w:ascii="Arial" w:cs="Arial" w:eastAsia="Arial" w:hAnsi="Arial"/>
                <w:sz w:val="16"/>
                <w:szCs w:val="16"/>
                <w:color w:val="0000FF"/>
              </w:rPr>
              <w:t>Item 1. Financial Statements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280" w:type="dxa"/>
            <w:vAlign w:val="bottom"/>
            <w:tcBorders>
              <w:bottom w:val="single" w:sz="8" w:color="0000FF"/>
            </w:tcBorders>
            <w:gridSpan w:val="11"/>
            <w:shd w:val="clear" w:color="auto" w:fill="CCEEFF"/>
          </w:tcPr>
          <w:p>
            <w:pPr>
              <w:spacing w:after="0"/>
              <w:rPr>
                <w:sz w:val="20"/>
                <w:szCs w:val="20"/>
                <w:color w:val="auto"/>
              </w:rPr>
            </w:pPr>
            <w:r>
              <w:rPr>
                <w:rFonts w:ascii="Arial" w:cs="Arial" w:eastAsia="Arial" w:hAnsi="Arial"/>
                <w:sz w:val="16"/>
                <w:szCs w:val="16"/>
                <w:color w:val="0000FF"/>
                <w:w w:val="89"/>
              </w:rPr>
              <w:t>Consolidated Balance Sheets - June 30, 2023 (Unaudited) and December 31, 2022</w:t>
            </w:r>
          </w:p>
        </w:tc>
        <w:tc>
          <w:tcPr>
            <w:tcW w:w="4240" w:type="dxa"/>
            <w:vAlign w:val="bottom"/>
            <w:tcBorders>
              <w:bottom w:val="single" w:sz="8" w:color="CCEEFF"/>
            </w:tcBorders>
            <w:gridSpan w:val="6"/>
            <w:shd w:val="clear" w:color="auto" w:fill="CCEEFF"/>
          </w:tcPr>
          <w:p>
            <w:pPr>
              <w:spacing w:after="0"/>
              <w:rPr>
                <w:sz w:val="18"/>
                <w:szCs w:val="18"/>
                <w:color w:val="auto"/>
              </w:rPr>
            </w:pPr>
          </w:p>
        </w:tc>
        <w:tc>
          <w:tcPr>
            <w:tcW w:w="28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87" w:lineRule="exact"/>
              <w:rPr>
                <w:sz w:val="20"/>
                <w:szCs w:val="20"/>
                <w:color w:val="auto"/>
              </w:rPr>
            </w:pPr>
            <w:r>
              <w:rPr>
                <w:rFonts w:ascii="Arial" w:cs="Arial" w:eastAsia="Arial" w:hAnsi="Arial"/>
                <w:sz w:val="18"/>
                <w:szCs w:val="18"/>
                <w:color w:val="0000FF"/>
                <w:w w:val="99"/>
              </w:rPr>
              <w:t>1</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207"/>
        </w:trPr>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00" w:type="dxa"/>
            <w:vAlign w:val="bottom"/>
            <w:tcBorders>
              <w:bottom w:val="single" w:sz="8" w:color="0000FF"/>
            </w:tcBorders>
            <w:gridSpan w:val="14"/>
          </w:tcPr>
          <w:p>
            <w:pPr>
              <w:spacing w:after="0" w:line="167" w:lineRule="exact"/>
              <w:rPr>
                <w:sz w:val="20"/>
                <w:szCs w:val="20"/>
                <w:color w:val="auto"/>
              </w:rPr>
            </w:pPr>
            <w:r>
              <w:rPr>
                <w:rFonts w:ascii="Arial" w:cs="Arial" w:eastAsia="Arial" w:hAnsi="Arial"/>
                <w:sz w:val="16"/>
                <w:szCs w:val="16"/>
                <w:color w:val="0000FF"/>
                <w:w w:val="89"/>
              </w:rPr>
              <w:t>Consolidated Statements of Operations (Unaudited) - Three and Six Months Ended June 30, 2023 and 2022</w:t>
            </w:r>
          </w:p>
        </w:tc>
        <w:tc>
          <w:tcPr>
            <w:tcW w:w="2620" w:type="dxa"/>
            <w:vAlign w:val="bottom"/>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line="167" w:lineRule="exact"/>
              <w:rPr>
                <w:sz w:val="20"/>
                <w:szCs w:val="20"/>
                <w:color w:val="auto"/>
              </w:rPr>
            </w:pPr>
            <w:r>
              <w:rPr>
                <w:rFonts w:ascii="Arial" w:cs="Arial" w:eastAsia="Arial" w:hAnsi="Arial"/>
                <w:sz w:val="18"/>
                <w:szCs w:val="18"/>
                <w:color w:val="0000FF"/>
                <w:w w:val="99"/>
              </w:rPr>
              <w:t>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1"/>
        </w:trPr>
        <w:tc>
          <w:tcPr>
            <w:tcW w:w="8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720" w:type="dxa"/>
            <w:vAlign w:val="bottom"/>
            <w:tcBorders>
              <w:bottom w:val="single" w:sz="8" w:color="0000FF"/>
            </w:tcBorders>
            <w:gridSpan w:val="15"/>
            <w:shd w:val="clear" w:color="auto" w:fill="CCEEFF"/>
          </w:tcPr>
          <w:p>
            <w:pPr>
              <w:spacing w:after="0"/>
              <w:rPr>
                <w:sz w:val="20"/>
                <w:szCs w:val="20"/>
                <w:color w:val="auto"/>
              </w:rPr>
            </w:pPr>
            <w:r>
              <w:rPr>
                <w:rFonts w:ascii="Arial" w:cs="Arial" w:eastAsia="Arial" w:hAnsi="Arial"/>
                <w:sz w:val="16"/>
                <w:szCs w:val="16"/>
                <w:color w:val="0000FF"/>
                <w:w w:val="89"/>
              </w:rPr>
              <w:t>Consolidated Statements of Comprehensive Income (Unaudited) - Three and Six Months Ended June 30, 2023 and 2022</w:t>
            </w:r>
          </w:p>
        </w:tc>
        <w:tc>
          <w:tcPr>
            <w:tcW w:w="1800" w:type="dxa"/>
            <w:vAlign w:val="bottom"/>
            <w:tcBorders>
              <w:bottom w:val="single" w:sz="8" w:color="CCEEFF"/>
            </w:tcBorders>
            <w:gridSpan w:val="2"/>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0000FF"/>
            </w:tcBorders>
            <w:shd w:val="clear" w:color="auto" w:fill="CCEEFF"/>
          </w:tcPr>
          <w:p>
            <w:pPr>
              <w:jc w:val="center"/>
              <w:spacing w:after="0" w:line="201" w:lineRule="exact"/>
              <w:rPr>
                <w:sz w:val="20"/>
                <w:szCs w:val="20"/>
                <w:color w:val="auto"/>
              </w:rPr>
            </w:pPr>
            <w:r>
              <w:rPr>
                <w:rFonts w:ascii="Arial" w:cs="Arial" w:eastAsia="Arial" w:hAnsi="Arial"/>
                <w:sz w:val="18"/>
                <w:szCs w:val="18"/>
                <w:color w:val="0000FF"/>
                <w:w w:val="99"/>
              </w:rPr>
              <w:t>3</w:t>
            </w: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r>
      <w:tr>
        <w:trPr>
          <w:trHeight w:val="187"/>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520" w:type="dxa"/>
            <w:vAlign w:val="bottom"/>
            <w:gridSpan w:val="17"/>
          </w:tcPr>
          <w:p>
            <w:pPr>
              <w:spacing w:after="0"/>
              <w:rPr>
                <w:sz w:val="20"/>
                <w:szCs w:val="20"/>
                <w:color w:val="auto"/>
              </w:rPr>
            </w:pPr>
            <w:r>
              <w:rPr>
                <w:rFonts w:ascii="Arial" w:cs="Arial" w:eastAsia="Arial" w:hAnsi="Arial"/>
                <w:sz w:val="16"/>
                <w:szCs w:val="16"/>
                <w:color w:val="0000FF"/>
              </w:rPr>
              <w:t>Consolidated Statements of Stockholders' Equity (Deficit) (Unaudited) - Three and Six Months Ended June 30, 2023 and 2022</w:t>
            </w:r>
          </w:p>
        </w:tc>
        <w:tc>
          <w:tcPr>
            <w:tcW w:w="380" w:type="dxa"/>
            <w:vAlign w:val="bottom"/>
            <w:gridSpan w:val="3"/>
          </w:tcPr>
          <w:p>
            <w:pPr>
              <w:jc w:val="center"/>
              <w:ind w:left="192"/>
              <w:spacing w:after="0" w:line="187" w:lineRule="exact"/>
              <w:rPr>
                <w:sz w:val="20"/>
                <w:szCs w:val="20"/>
                <w:color w:val="auto"/>
              </w:rPr>
            </w:pPr>
            <w:r>
              <w:rPr>
                <w:rFonts w:ascii="Arial" w:cs="Arial" w:eastAsia="Arial" w:hAnsi="Arial"/>
                <w:sz w:val="18"/>
                <w:szCs w:val="18"/>
                <w:color w:val="0000FF"/>
                <w:w w:val="99"/>
              </w:rPr>
              <w:t>4</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7"/>
        </w:trPr>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520" w:type="dxa"/>
            <w:vAlign w:val="bottom"/>
            <w:gridSpan w:val="17"/>
            <w:shd w:val="clear" w:color="auto" w:fill="CCEEFF"/>
          </w:tcPr>
          <w:p>
            <w:pPr>
              <w:spacing w:after="0" w:line="167" w:lineRule="exact"/>
              <w:rPr>
                <w:sz w:val="20"/>
                <w:szCs w:val="20"/>
                <w:color w:val="auto"/>
              </w:rPr>
            </w:pPr>
            <w:r>
              <w:rPr>
                <w:rFonts w:ascii="Arial" w:cs="Arial" w:eastAsia="Arial" w:hAnsi="Arial"/>
                <w:sz w:val="16"/>
                <w:szCs w:val="16"/>
                <w:color w:val="0000FF"/>
              </w:rPr>
              <w:t>Consolidated Statements of Cash Flows (Unaudited) - Six Months Ended June 30, 2023 and 2022</w:t>
            </w:r>
          </w:p>
        </w:tc>
        <w:tc>
          <w:tcPr>
            <w:tcW w:w="380" w:type="dxa"/>
            <w:vAlign w:val="bottom"/>
            <w:gridSpan w:val="3"/>
            <w:shd w:val="clear" w:color="auto" w:fill="CCEEFF"/>
          </w:tcPr>
          <w:p>
            <w:pPr>
              <w:jc w:val="center"/>
              <w:ind w:left="192"/>
              <w:spacing w:after="0" w:line="167" w:lineRule="exact"/>
              <w:rPr>
                <w:sz w:val="20"/>
                <w:szCs w:val="20"/>
                <w:color w:val="auto"/>
              </w:rPr>
            </w:pPr>
            <w:r>
              <w:rPr>
                <w:rFonts w:ascii="Arial" w:cs="Arial" w:eastAsia="Arial" w:hAnsi="Arial"/>
                <w:sz w:val="18"/>
                <w:szCs w:val="18"/>
                <w:color w:val="0000FF"/>
                <w:w w:val="99"/>
              </w:rPr>
              <w:t>6</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r>
      <w:tr>
        <w:trPr>
          <w:trHeight w:val="180"/>
        </w:trPr>
        <w:tc>
          <w:tcPr>
            <w:tcW w:w="8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260" w:type="dxa"/>
            <w:vAlign w:val="bottom"/>
            <w:tcBorders>
              <w:top w:val="single" w:sz="8" w:color="0000FF"/>
            </w:tcBorders>
            <w:gridSpan w:val="13"/>
          </w:tcPr>
          <w:p>
            <w:pPr>
              <w:spacing w:after="0" w:line="181" w:lineRule="exact"/>
              <w:rPr>
                <w:sz w:val="20"/>
                <w:szCs w:val="20"/>
                <w:color w:val="auto"/>
              </w:rPr>
            </w:pPr>
            <w:r>
              <w:rPr>
                <w:rFonts w:ascii="Arial" w:cs="Arial" w:eastAsia="Arial" w:hAnsi="Arial"/>
                <w:sz w:val="16"/>
                <w:szCs w:val="16"/>
                <w:color w:val="0000FF"/>
              </w:rPr>
              <w:t>Notes to Consolidated Financial Statements (Unaudited)</w:t>
            </w:r>
          </w:p>
        </w:tc>
        <w:tc>
          <w:tcPr>
            <w:tcW w:w="3260" w:type="dxa"/>
            <w:vAlign w:val="bottom"/>
            <w:tcBorders>
              <w:top w:val="single" w:sz="8" w:color="CCEEFF"/>
            </w:tcBorders>
            <w:gridSpan w:val="4"/>
          </w:tcPr>
          <w:p>
            <w:pPr>
              <w:spacing w:after="0"/>
              <w:rPr>
                <w:sz w:val="15"/>
                <w:szCs w:val="15"/>
                <w:color w:val="auto"/>
              </w:rPr>
            </w:pPr>
          </w:p>
        </w:tc>
        <w:tc>
          <w:tcPr>
            <w:tcW w:w="280" w:type="dxa"/>
            <w:vAlign w:val="bottom"/>
            <w:tcBorders>
              <w:top w:val="single" w:sz="8" w:color="CCEEFF"/>
            </w:tcBorders>
            <w:gridSpan w:val="2"/>
          </w:tcPr>
          <w:p>
            <w:pPr>
              <w:spacing w:after="0"/>
              <w:rPr>
                <w:sz w:val="15"/>
                <w:szCs w:val="15"/>
                <w:color w:val="auto"/>
              </w:rPr>
            </w:pPr>
          </w:p>
        </w:tc>
        <w:tc>
          <w:tcPr>
            <w:tcW w:w="100" w:type="dxa"/>
            <w:vAlign w:val="bottom"/>
            <w:tcBorders>
              <w:top w:val="single" w:sz="8" w:color="0000FF"/>
            </w:tcBorders>
          </w:tcPr>
          <w:p>
            <w:pPr>
              <w:jc w:val="center"/>
              <w:spacing w:after="0" w:line="181" w:lineRule="exact"/>
              <w:rPr>
                <w:sz w:val="20"/>
                <w:szCs w:val="20"/>
                <w:color w:val="auto"/>
              </w:rPr>
            </w:pPr>
            <w:r>
              <w:rPr>
                <w:rFonts w:ascii="Arial" w:cs="Arial" w:eastAsia="Arial" w:hAnsi="Arial"/>
                <w:sz w:val="18"/>
                <w:szCs w:val="18"/>
                <w:color w:val="0000FF"/>
                <w:w w:val="99"/>
              </w:rPr>
              <w:t>7</w:t>
            </w: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7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20" w:type="dxa"/>
            <w:vAlign w:val="bottom"/>
            <w:shd w:val="clear" w:color="auto" w:fill="CCEEFF"/>
          </w:tcPr>
          <w:p>
            <w:pPr>
              <w:spacing w:after="0"/>
              <w:rPr>
                <w:sz w:val="16"/>
                <w:szCs w:val="16"/>
                <w:color w:val="auto"/>
              </w:rPr>
            </w:pPr>
          </w:p>
        </w:tc>
        <w:tc>
          <w:tcPr>
            <w:tcW w:w="6220" w:type="dxa"/>
            <w:vAlign w:val="bottom"/>
            <w:gridSpan w:val="13"/>
            <w:shd w:val="clear" w:color="auto" w:fill="CCEEFF"/>
          </w:tcPr>
          <w:p>
            <w:pPr>
              <w:spacing w:after="0"/>
              <w:rPr>
                <w:sz w:val="20"/>
                <w:szCs w:val="20"/>
                <w:color w:val="auto"/>
              </w:rPr>
            </w:pPr>
            <w:r>
              <w:rPr>
                <w:rFonts w:ascii="Arial" w:cs="Arial" w:eastAsia="Arial" w:hAnsi="Arial"/>
                <w:sz w:val="16"/>
                <w:szCs w:val="16"/>
                <w:color w:val="0000FF"/>
                <w:w w:val="90"/>
              </w:rPr>
              <w:t>Item 2. Management's Discussion and Analysis of Financial Condition and Results of Operations</w:t>
            </w:r>
          </w:p>
        </w:tc>
        <w:tc>
          <w:tcPr>
            <w:tcW w:w="3500" w:type="dxa"/>
            <w:vAlign w:val="bottom"/>
            <w:gridSpan w:val="5"/>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gridSpan w:val="4"/>
            <w:shd w:val="clear" w:color="auto" w:fill="CCEEFF"/>
          </w:tcPr>
          <w:p>
            <w:pPr>
              <w:jc w:val="center"/>
              <w:ind w:right="240"/>
              <w:spacing w:after="0" w:line="187" w:lineRule="exact"/>
              <w:rPr>
                <w:sz w:val="20"/>
                <w:szCs w:val="20"/>
                <w:color w:val="auto"/>
              </w:rPr>
            </w:pPr>
            <w:r>
              <w:rPr>
                <w:rFonts w:ascii="Arial" w:cs="Arial" w:eastAsia="Arial" w:hAnsi="Arial"/>
                <w:sz w:val="18"/>
                <w:szCs w:val="18"/>
                <w:color w:val="0000FF"/>
                <w:w w:val="89"/>
              </w:rPr>
              <w:t>20</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20" w:type="dxa"/>
            <w:vAlign w:val="bottom"/>
          </w:tcPr>
          <w:p>
            <w:pPr>
              <w:spacing w:after="0"/>
              <w:rPr>
                <w:sz w:val="16"/>
                <w:szCs w:val="16"/>
                <w:color w:val="auto"/>
              </w:rPr>
            </w:pPr>
          </w:p>
        </w:tc>
        <w:tc>
          <w:tcPr>
            <w:tcW w:w="6220" w:type="dxa"/>
            <w:vAlign w:val="bottom"/>
            <w:gridSpan w:val="13"/>
          </w:tcPr>
          <w:p>
            <w:pPr>
              <w:spacing w:after="0" w:line="167" w:lineRule="exact"/>
              <w:rPr>
                <w:sz w:val="20"/>
                <w:szCs w:val="20"/>
                <w:color w:val="auto"/>
              </w:rPr>
            </w:pPr>
            <w:r>
              <w:rPr>
                <w:rFonts w:ascii="Arial" w:cs="Arial" w:eastAsia="Arial" w:hAnsi="Arial"/>
                <w:sz w:val="16"/>
                <w:szCs w:val="16"/>
                <w:color w:val="0000FF"/>
              </w:rPr>
              <w:t>Item 3. Quantitative and Qualitative Disclosures About Market Risk</w:t>
            </w:r>
          </w:p>
        </w:tc>
        <w:tc>
          <w:tcPr>
            <w:tcW w:w="3500" w:type="dxa"/>
            <w:vAlign w:val="bottom"/>
            <w:gridSpan w:val="5"/>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center"/>
              <w:ind w:right="240"/>
              <w:spacing w:after="0" w:line="167" w:lineRule="exact"/>
              <w:rPr>
                <w:sz w:val="20"/>
                <w:szCs w:val="20"/>
                <w:color w:val="auto"/>
              </w:rPr>
            </w:pPr>
            <w:r>
              <w:rPr>
                <w:rFonts w:ascii="Arial" w:cs="Arial" w:eastAsia="Arial" w:hAnsi="Arial"/>
                <w:sz w:val="18"/>
                <w:szCs w:val="18"/>
                <w:color w:val="0000FF"/>
                <w:w w:val="89"/>
              </w:rPr>
              <w:t>29</w:t>
            </w:r>
          </w:p>
        </w:tc>
      </w:tr>
      <w:tr>
        <w:trPr>
          <w:trHeight w:val="20"/>
        </w:trPr>
        <w:tc>
          <w:tcPr>
            <w:tcW w:w="820" w:type="dxa"/>
            <w:vAlign w:val="bottom"/>
          </w:tcPr>
          <w:p>
            <w:pPr>
              <w:spacing w:after="0" w:line="20" w:lineRule="exact"/>
              <w:rPr>
                <w:sz w:val="1"/>
                <w:szCs w:val="1"/>
                <w:color w:val="auto"/>
              </w:rPr>
            </w:pPr>
          </w:p>
        </w:tc>
        <w:tc>
          <w:tcPr>
            <w:tcW w:w="200" w:type="dxa"/>
            <w:vAlign w:val="bottom"/>
            <w:tcBorders>
              <w:top w:val="single" w:sz="8" w:color="0000FF"/>
            </w:tcBorders>
            <w:shd w:val="clear" w:color="auto" w:fill="0000FF"/>
          </w:tcPr>
          <w:p>
            <w:pPr>
              <w:spacing w:after="0" w:line="20" w:lineRule="exact"/>
              <w:rPr>
                <w:sz w:val="1"/>
                <w:szCs w:val="1"/>
                <w:color w:val="auto"/>
              </w:rPr>
            </w:pPr>
          </w:p>
        </w:tc>
        <w:tc>
          <w:tcPr>
            <w:tcW w:w="280" w:type="dxa"/>
            <w:vAlign w:val="bottom"/>
            <w:tcBorders>
              <w:top w:val="single" w:sz="8" w:color="0000FF"/>
            </w:tcBorders>
            <w:shd w:val="clear" w:color="auto" w:fill="0000FF"/>
          </w:tcPr>
          <w:p>
            <w:pPr>
              <w:spacing w:after="0" w:line="20" w:lineRule="exact"/>
              <w:rPr>
                <w:sz w:val="1"/>
                <w:szCs w:val="1"/>
                <w:color w:val="auto"/>
              </w:rPr>
            </w:pPr>
          </w:p>
        </w:tc>
        <w:tc>
          <w:tcPr>
            <w:tcW w:w="540" w:type="dxa"/>
            <w:vAlign w:val="bottom"/>
            <w:tcBorders>
              <w:top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160" w:type="dxa"/>
            <w:vAlign w:val="bottom"/>
            <w:tcBorders>
              <w:top w:val="single" w:sz="8" w:color="0000FF"/>
            </w:tcBorders>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1760" w:type="dxa"/>
            <w:vAlign w:val="bottom"/>
            <w:tcBorders>
              <w:top w:val="single" w:sz="8" w:color="0000FF"/>
            </w:tcBorders>
            <w:shd w:val="clear" w:color="auto" w:fill="0000FF"/>
          </w:tcPr>
          <w:p>
            <w:pPr>
              <w:spacing w:after="0" w:line="20" w:lineRule="exact"/>
              <w:rPr>
                <w:sz w:val="1"/>
                <w:szCs w:val="1"/>
                <w:color w:val="auto"/>
              </w:rPr>
            </w:pPr>
          </w:p>
        </w:tc>
        <w:tc>
          <w:tcPr>
            <w:tcW w:w="540" w:type="dxa"/>
            <w:vAlign w:val="bottom"/>
            <w:tcBorders>
              <w:top w:val="single" w:sz="8" w:color="0000FF"/>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1"/>
        </w:trPr>
        <w:tc>
          <w:tcPr>
            <w:tcW w:w="820" w:type="dxa"/>
            <w:vAlign w:val="bottom"/>
            <w:shd w:val="clear" w:color="auto" w:fill="CCEEFF"/>
          </w:tcPr>
          <w:p>
            <w:pPr>
              <w:spacing w:after="0"/>
              <w:rPr>
                <w:sz w:val="19"/>
                <w:szCs w:val="19"/>
                <w:color w:val="auto"/>
              </w:rPr>
            </w:pPr>
          </w:p>
        </w:tc>
        <w:tc>
          <w:tcPr>
            <w:tcW w:w="4360" w:type="dxa"/>
            <w:vAlign w:val="bottom"/>
            <w:gridSpan w:val="11"/>
            <w:shd w:val="clear" w:color="auto" w:fill="CCEEFF"/>
          </w:tcPr>
          <w:p>
            <w:pPr>
              <w:spacing w:after="0"/>
              <w:rPr>
                <w:sz w:val="20"/>
                <w:szCs w:val="20"/>
                <w:color w:val="auto"/>
              </w:rPr>
            </w:pPr>
            <w:r>
              <w:rPr>
                <w:rFonts w:ascii="Arial" w:cs="Arial" w:eastAsia="Arial" w:hAnsi="Arial"/>
                <w:sz w:val="16"/>
                <w:szCs w:val="16"/>
                <w:color w:val="0000FF"/>
              </w:rPr>
              <w:t>Item 4. Controls and Procedures</w:t>
            </w:r>
          </w:p>
        </w:tc>
        <w:tc>
          <w:tcPr>
            <w:tcW w:w="5360" w:type="dxa"/>
            <w:vAlign w:val="bottom"/>
            <w:gridSpan w:val="7"/>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20" w:type="dxa"/>
            <w:vAlign w:val="bottom"/>
            <w:gridSpan w:val="4"/>
            <w:shd w:val="clear" w:color="auto" w:fill="CCEEFF"/>
          </w:tcPr>
          <w:p>
            <w:pPr>
              <w:jc w:val="center"/>
              <w:ind w:right="240"/>
              <w:spacing w:after="0" w:line="201" w:lineRule="exact"/>
              <w:rPr>
                <w:sz w:val="20"/>
                <w:szCs w:val="20"/>
                <w:color w:val="auto"/>
              </w:rPr>
            </w:pPr>
            <w:r>
              <w:rPr>
                <w:rFonts w:ascii="Arial" w:cs="Arial" w:eastAsia="Arial" w:hAnsi="Arial"/>
                <w:sz w:val="18"/>
                <w:szCs w:val="18"/>
                <w:color w:val="0000FF"/>
                <w:w w:val="89"/>
              </w:rPr>
              <w:t>29</w:t>
            </w:r>
          </w:p>
        </w:tc>
      </w:tr>
      <w:tr>
        <w:trPr>
          <w:trHeight w:val="174"/>
        </w:trPr>
        <w:tc>
          <w:tcPr>
            <w:tcW w:w="820" w:type="dxa"/>
            <w:vAlign w:val="bottom"/>
            <w:tcBorders>
              <w:top w:val="single" w:sz="8" w:color="CCEEFF"/>
            </w:tcBorders>
          </w:tcPr>
          <w:p>
            <w:pPr>
              <w:jc w:val="center"/>
              <w:spacing w:after="0" w:line="174" w:lineRule="exact"/>
              <w:rPr>
                <w:sz w:val="20"/>
                <w:szCs w:val="20"/>
                <w:color w:val="auto"/>
              </w:rPr>
            </w:pPr>
            <w:r>
              <w:rPr>
                <w:rFonts w:ascii="Arial" w:cs="Arial" w:eastAsia="Arial" w:hAnsi="Arial"/>
                <w:sz w:val="16"/>
                <w:szCs w:val="16"/>
                <w:b w:val="1"/>
                <w:bCs w:val="1"/>
                <w:color w:val="auto"/>
              </w:rPr>
              <w:t>Part II</w:t>
            </w:r>
          </w:p>
        </w:tc>
        <w:tc>
          <w:tcPr>
            <w:tcW w:w="2060" w:type="dxa"/>
            <w:vAlign w:val="bottom"/>
            <w:tcBorders>
              <w:top w:val="single" w:sz="8" w:color="0000FF"/>
            </w:tcBorders>
            <w:gridSpan w:val="9"/>
          </w:tcPr>
          <w:p>
            <w:pPr>
              <w:spacing w:after="0" w:line="174" w:lineRule="exact"/>
              <w:rPr>
                <w:sz w:val="20"/>
                <w:szCs w:val="20"/>
                <w:color w:val="auto"/>
              </w:rPr>
            </w:pPr>
            <w:r>
              <w:rPr>
                <w:rFonts w:ascii="Arial" w:cs="Arial" w:eastAsia="Arial" w:hAnsi="Arial"/>
                <w:sz w:val="16"/>
                <w:szCs w:val="16"/>
                <w:color w:val="0000FF"/>
              </w:rPr>
              <w:t>Other Information</w:t>
            </w:r>
          </w:p>
        </w:tc>
        <w:tc>
          <w:tcPr>
            <w:tcW w:w="7660" w:type="dxa"/>
            <w:vAlign w:val="bottom"/>
            <w:tcBorders>
              <w:top w:val="single" w:sz="8" w:color="CCEEFF"/>
            </w:tcBorders>
            <w:gridSpan w:val="9"/>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7"/>
        </w:trPr>
        <w:tc>
          <w:tcPr>
            <w:tcW w:w="8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0000FF"/>
                <w:w w:val="93"/>
              </w:rPr>
              <w:t>Item 1.</w:t>
            </w:r>
          </w:p>
        </w:tc>
        <w:tc>
          <w:tcPr>
            <w:tcW w:w="924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0000FF"/>
              </w:rPr>
              <w:t>Legal Proceedings</w:t>
            </w:r>
          </w:p>
        </w:tc>
        <w:tc>
          <w:tcPr>
            <w:tcW w:w="660" w:type="dxa"/>
            <w:vAlign w:val="bottom"/>
            <w:gridSpan w:val="5"/>
            <w:shd w:val="clear" w:color="auto" w:fill="CCEEFF"/>
          </w:tcPr>
          <w:p>
            <w:pPr>
              <w:jc w:val="center"/>
              <w:spacing w:after="0" w:line="187" w:lineRule="exact"/>
              <w:rPr>
                <w:sz w:val="20"/>
                <w:szCs w:val="20"/>
                <w:color w:val="auto"/>
              </w:rPr>
            </w:pPr>
            <w:r>
              <w:rPr>
                <w:rFonts w:ascii="Arial" w:cs="Arial" w:eastAsia="Arial" w:hAnsi="Arial"/>
                <w:sz w:val="18"/>
                <w:szCs w:val="18"/>
                <w:color w:val="0000FF"/>
                <w:w w:val="89"/>
              </w:rPr>
              <w:t>29</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20" w:type="dxa"/>
            <w:vAlign w:val="bottom"/>
          </w:tcPr>
          <w:p>
            <w:pPr>
              <w:spacing w:after="0"/>
              <w:rPr>
                <w:sz w:val="16"/>
                <w:szCs w:val="16"/>
                <w:color w:val="auto"/>
              </w:rPr>
            </w:pPr>
          </w:p>
        </w:tc>
        <w:tc>
          <w:tcPr>
            <w:tcW w:w="1420" w:type="dxa"/>
            <w:vAlign w:val="bottom"/>
            <w:gridSpan w:val="5"/>
          </w:tcPr>
          <w:p>
            <w:pPr>
              <w:spacing w:after="0" w:line="167" w:lineRule="exact"/>
              <w:rPr>
                <w:sz w:val="20"/>
                <w:szCs w:val="20"/>
                <w:color w:val="auto"/>
              </w:rPr>
            </w:pPr>
            <w:r>
              <w:rPr>
                <w:rFonts w:ascii="Arial" w:cs="Arial" w:eastAsia="Arial" w:hAnsi="Arial"/>
                <w:sz w:val="16"/>
                <w:szCs w:val="16"/>
                <w:color w:val="0000FF"/>
                <w:w w:val="90"/>
              </w:rPr>
              <w:t>Item 1A. Risk Factors</w:t>
            </w:r>
          </w:p>
        </w:tc>
        <w:tc>
          <w:tcPr>
            <w:tcW w:w="260" w:type="dxa"/>
            <w:vAlign w:val="bottom"/>
            <w:gridSpan w:val="2"/>
          </w:tcPr>
          <w:p>
            <w:pPr>
              <w:spacing w:after="0"/>
              <w:rPr>
                <w:sz w:val="16"/>
                <w:szCs w:val="16"/>
                <w:color w:val="auto"/>
              </w:rPr>
            </w:pPr>
          </w:p>
        </w:tc>
        <w:tc>
          <w:tcPr>
            <w:tcW w:w="8040" w:type="dxa"/>
            <w:vAlign w:val="bottom"/>
            <w:gridSpan w:val="11"/>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center"/>
              <w:ind w:right="240"/>
              <w:spacing w:after="0" w:line="167" w:lineRule="exact"/>
              <w:rPr>
                <w:sz w:val="20"/>
                <w:szCs w:val="20"/>
                <w:color w:val="auto"/>
              </w:rPr>
            </w:pPr>
            <w:r>
              <w:rPr>
                <w:rFonts w:ascii="Arial" w:cs="Arial" w:eastAsia="Arial" w:hAnsi="Arial"/>
                <w:sz w:val="18"/>
                <w:szCs w:val="18"/>
                <w:color w:val="0000FF"/>
                <w:w w:val="89"/>
              </w:rPr>
              <w:t>30</w:t>
            </w:r>
          </w:p>
        </w:tc>
      </w:tr>
      <w:tr>
        <w:trPr>
          <w:trHeight w:val="20"/>
        </w:trPr>
        <w:tc>
          <w:tcPr>
            <w:tcW w:w="8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0"/>
        </w:trPr>
        <w:tc>
          <w:tcPr>
            <w:tcW w:w="8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Arial" w:cs="Arial" w:eastAsia="Arial" w:hAnsi="Arial"/>
                <w:sz w:val="16"/>
                <w:szCs w:val="16"/>
                <w:color w:val="0000FF"/>
                <w:w w:val="93"/>
              </w:rPr>
              <w:t>Item 2.</w:t>
            </w:r>
          </w:p>
        </w:tc>
        <w:tc>
          <w:tcPr>
            <w:tcW w:w="9240" w:type="dxa"/>
            <w:vAlign w:val="bottom"/>
            <w:gridSpan w:val="16"/>
            <w:shd w:val="clear" w:color="auto" w:fill="CCEEFF"/>
          </w:tcPr>
          <w:p>
            <w:pPr>
              <w:ind w:left="20"/>
              <w:spacing w:after="0"/>
              <w:rPr>
                <w:sz w:val="20"/>
                <w:szCs w:val="20"/>
                <w:color w:val="auto"/>
              </w:rPr>
            </w:pPr>
            <w:r>
              <w:rPr>
                <w:rFonts w:ascii="Arial" w:cs="Arial" w:eastAsia="Arial" w:hAnsi="Arial"/>
                <w:sz w:val="16"/>
                <w:szCs w:val="16"/>
                <w:color w:val="0000FF"/>
              </w:rPr>
              <w:t>Unregistered Sales of Equity Securities and Use of Proceeds</w:t>
            </w:r>
          </w:p>
        </w:tc>
        <w:tc>
          <w:tcPr>
            <w:tcW w:w="660" w:type="dxa"/>
            <w:vAlign w:val="bottom"/>
            <w:gridSpan w:val="5"/>
            <w:shd w:val="clear" w:color="auto" w:fill="CCEEFF"/>
          </w:tcPr>
          <w:p>
            <w:pPr>
              <w:jc w:val="center"/>
              <w:spacing w:after="0" w:line="201" w:lineRule="exact"/>
              <w:rPr>
                <w:sz w:val="20"/>
                <w:szCs w:val="20"/>
                <w:color w:val="auto"/>
              </w:rPr>
            </w:pPr>
            <w:r>
              <w:rPr>
                <w:rFonts w:ascii="Arial" w:cs="Arial" w:eastAsia="Arial" w:hAnsi="Arial"/>
                <w:sz w:val="18"/>
                <w:szCs w:val="18"/>
                <w:color w:val="0000FF"/>
                <w:w w:val="89"/>
              </w:rPr>
              <w:t>30</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7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82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Arial" w:cs="Arial" w:eastAsia="Arial" w:hAnsi="Arial"/>
                <w:sz w:val="16"/>
                <w:szCs w:val="16"/>
                <w:color w:val="0000FF"/>
                <w:w w:val="93"/>
              </w:rPr>
              <w:t>Item 5.</w:t>
            </w:r>
          </w:p>
        </w:tc>
        <w:tc>
          <w:tcPr>
            <w:tcW w:w="3880" w:type="dxa"/>
            <w:vAlign w:val="bottom"/>
            <w:gridSpan w:val="9"/>
          </w:tcPr>
          <w:p>
            <w:pPr>
              <w:ind w:left="20"/>
              <w:spacing w:after="0"/>
              <w:rPr>
                <w:sz w:val="20"/>
                <w:szCs w:val="20"/>
                <w:color w:val="auto"/>
              </w:rPr>
            </w:pPr>
            <w:r>
              <w:rPr>
                <w:rFonts w:ascii="Arial" w:cs="Arial" w:eastAsia="Arial" w:hAnsi="Arial"/>
                <w:sz w:val="16"/>
                <w:szCs w:val="16"/>
                <w:color w:val="0000FF"/>
              </w:rPr>
              <w:t>Other Information</w:t>
            </w:r>
          </w:p>
        </w:tc>
        <w:tc>
          <w:tcPr>
            <w:tcW w:w="5360" w:type="dxa"/>
            <w:vAlign w:val="bottom"/>
            <w:gridSpan w:val="7"/>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4"/>
          </w:tcPr>
          <w:p>
            <w:pPr>
              <w:jc w:val="center"/>
              <w:ind w:right="240"/>
              <w:spacing w:after="0" w:line="187" w:lineRule="exact"/>
              <w:rPr>
                <w:sz w:val="20"/>
                <w:szCs w:val="20"/>
                <w:color w:val="auto"/>
              </w:rPr>
            </w:pPr>
            <w:r>
              <w:rPr>
                <w:rFonts w:ascii="Arial" w:cs="Arial" w:eastAsia="Arial" w:hAnsi="Arial"/>
                <w:sz w:val="18"/>
                <w:szCs w:val="18"/>
                <w:color w:val="0000FF"/>
                <w:w w:val="89"/>
              </w:rPr>
              <w:t>30</w:t>
            </w:r>
          </w:p>
        </w:tc>
      </w:tr>
      <w:tr>
        <w:trPr>
          <w:trHeight w:val="20"/>
        </w:trPr>
        <w:tc>
          <w:tcPr>
            <w:tcW w:w="8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7"/>
        </w:trPr>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6"/>
                <w:szCs w:val="16"/>
                <w:color w:val="0000FF"/>
                <w:w w:val="93"/>
              </w:rPr>
              <w:t>Item 6.</w:t>
            </w:r>
          </w:p>
        </w:tc>
        <w:tc>
          <w:tcPr>
            <w:tcW w:w="9240" w:type="dxa"/>
            <w:vAlign w:val="bottom"/>
            <w:gridSpan w:val="16"/>
            <w:shd w:val="clear" w:color="auto" w:fill="CCEEFF"/>
          </w:tcPr>
          <w:p>
            <w:pPr>
              <w:ind w:left="20"/>
              <w:spacing w:after="0" w:line="167" w:lineRule="exact"/>
              <w:rPr>
                <w:sz w:val="20"/>
                <w:szCs w:val="20"/>
                <w:color w:val="auto"/>
              </w:rPr>
            </w:pPr>
            <w:r>
              <w:rPr>
                <w:rFonts w:ascii="Arial" w:cs="Arial" w:eastAsia="Arial" w:hAnsi="Arial"/>
                <w:sz w:val="16"/>
                <w:szCs w:val="16"/>
                <w:color w:val="0000FF"/>
              </w:rPr>
              <w:t>Exhibits</w:t>
            </w:r>
          </w:p>
        </w:tc>
        <w:tc>
          <w:tcPr>
            <w:tcW w:w="660" w:type="dxa"/>
            <w:vAlign w:val="bottom"/>
            <w:gridSpan w:val="5"/>
            <w:shd w:val="clear" w:color="auto" w:fill="CCEEFF"/>
          </w:tcPr>
          <w:p>
            <w:pPr>
              <w:jc w:val="center"/>
              <w:spacing w:after="0" w:line="167" w:lineRule="exact"/>
              <w:rPr>
                <w:sz w:val="20"/>
                <w:szCs w:val="20"/>
                <w:color w:val="auto"/>
              </w:rPr>
            </w:pPr>
            <w:r>
              <w:rPr>
                <w:rFonts w:ascii="Arial" w:cs="Arial" w:eastAsia="Arial" w:hAnsi="Arial"/>
                <w:sz w:val="18"/>
                <w:szCs w:val="18"/>
                <w:color w:val="0000FF"/>
                <w:w w:val="89"/>
              </w:rPr>
              <w:t>31</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68580</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40" w:top="1123"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6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As of June 30, 2023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4"/>
              </w:rPr>
              <w:t>As of December 31, 2022</w:t>
            </w:r>
          </w:p>
        </w:tc>
      </w:tr>
      <w:tr>
        <w:trPr>
          <w:trHeight w:val="181"/>
        </w:trPr>
        <w:tc>
          <w:tcPr>
            <w:tcW w:w="6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Pr>
          <w:p>
            <w:pPr>
              <w:jc w:val="right"/>
              <w:ind w:right="576"/>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6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Current Assets:</w:t>
            </w: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w:t>
            </w:r>
          </w:p>
        </w:tc>
      </w:tr>
      <w:tr>
        <w:trPr>
          <w:trHeight w:val="221"/>
        </w:trPr>
        <w:tc>
          <w:tcPr>
            <w:tcW w:w="6940" w:type="dxa"/>
            <w:vAlign w:val="bottom"/>
          </w:tcPr>
          <w:p>
            <w:pPr>
              <w:ind w:left="140"/>
              <w:spacing w:after="0"/>
              <w:rPr>
                <w:sz w:val="20"/>
                <w:szCs w:val="20"/>
                <w:color w:val="auto"/>
              </w:rPr>
            </w:pPr>
            <w:r>
              <w:rPr>
                <w:rFonts w:ascii="Arial" w:cs="Arial" w:eastAsia="Arial" w:hAnsi="Arial"/>
                <w:sz w:val="17"/>
                <w:szCs w:val="17"/>
                <w:color w:val="auto"/>
              </w:rPr>
              <w:t>Short-term investments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8.5</w:t>
            </w:r>
          </w:p>
        </w:tc>
      </w:tr>
      <w:tr>
        <w:trPr>
          <w:trHeight w:val="220"/>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89"/>
              </w:rPr>
              <w:t>Accounts and notes receivable, net of allowances of $17.0 and $15.5 in 2023 and 2022, respectively</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w:t>
            </w:r>
          </w:p>
        </w:tc>
      </w:tr>
      <w:tr>
        <w:trPr>
          <w:trHeight w:val="221"/>
        </w:trPr>
        <w:tc>
          <w:tcPr>
            <w:tcW w:w="6940" w:type="dxa"/>
            <w:vAlign w:val="bottom"/>
          </w:tcPr>
          <w:p>
            <w:pPr>
              <w:ind w:left="140"/>
              <w:spacing w:after="0"/>
              <w:rPr>
                <w:sz w:val="20"/>
                <w:szCs w:val="20"/>
                <w:color w:val="auto"/>
              </w:rPr>
            </w:pPr>
            <w:r>
              <w:rPr>
                <w:rFonts w:ascii="Arial" w:cs="Arial" w:eastAsia="Arial" w:hAnsi="Arial"/>
                <w:sz w:val="17"/>
                <w:szCs w:val="17"/>
                <w:color w:val="auto"/>
              </w:rPr>
              <w:t>Inventories, net</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856.0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753.0</w:t>
            </w:r>
          </w:p>
        </w:tc>
      </w:tr>
      <w:tr>
        <w:trPr>
          <w:trHeight w:val="233"/>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68.6</w:t>
            </w:r>
          </w:p>
        </w:tc>
        <w:tc>
          <w:tcPr>
            <w:tcW w:w="1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w:t>
            </w:r>
          </w:p>
        </w:tc>
      </w:tr>
      <w:tr>
        <w:trPr>
          <w:trHeight w:val="207"/>
        </w:trPr>
        <w:tc>
          <w:tcPr>
            <w:tcW w:w="6940" w:type="dxa"/>
            <w:vAlign w:val="bottom"/>
          </w:tcPr>
          <w:p>
            <w:pPr>
              <w:ind w:left="340"/>
              <w:spacing w:after="0"/>
              <w:rPr>
                <w:sz w:val="20"/>
                <w:szCs w:val="20"/>
                <w:color w:val="auto"/>
              </w:rPr>
            </w:pPr>
            <w:r>
              <w:rPr>
                <w:rFonts w:ascii="Arial" w:cs="Arial" w:eastAsia="Arial" w:hAnsi="Arial"/>
                <w:sz w:val="17"/>
                <w:szCs w:val="17"/>
                <w:color w:val="auto"/>
              </w:rPr>
              <w:t>Total current assets</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1,826.8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1,496.5</w:t>
            </w:r>
          </w:p>
        </w:tc>
      </w:tr>
      <w:tr>
        <w:trPr>
          <w:trHeight w:val="169"/>
        </w:trPr>
        <w:tc>
          <w:tcPr>
            <w:tcW w:w="69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3"/>
              </w:rPr>
              <w:t>Property, plant and equipment, net of accumulated depreciation of $953.4 and $920.8 in 2023 and</w:t>
            </w:r>
          </w:p>
        </w:tc>
        <w:tc>
          <w:tcPr>
            <w:tcW w:w="2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r>
      <w:tr>
        <w:trPr>
          <w:trHeight w:val="231"/>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 respectively</w:t>
            </w:r>
          </w:p>
        </w:tc>
        <w:tc>
          <w:tcPr>
            <w:tcW w:w="2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548.9</w:t>
            </w:r>
          </w:p>
        </w:tc>
      </w:tr>
      <w:tr>
        <w:trPr>
          <w:trHeight w:val="214"/>
        </w:trPr>
        <w:tc>
          <w:tcPr>
            <w:tcW w:w="6940" w:type="dxa"/>
            <w:vAlign w:val="bottom"/>
          </w:tcPr>
          <w:p>
            <w:pPr>
              <w:ind w:left="20"/>
              <w:spacing w:after="0"/>
              <w:rPr>
                <w:sz w:val="20"/>
                <w:szCs w:val="20"/>
                <w:color w:val="auto"/>
              </w:rPr>
            </w:pPr>
            <w:r>
              <w:rPr>
                <w:rFonts w:ascii="Arial" w:cs="Arial" w:eastAsia="Arial" w:hAnsi="Arial"/>
                <w:sz w:val="17"/>
                <w:szCs w:val="17"/>
                <w:color w:val="auto"/>
              </w:rPr>
              <w:t>Right-of-use assets from operating leases</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214.2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219.9</w:t>
            </w:r>
          </w:p>
        </w:tc>
      </w:tr>
      <w:tr>
        <w:trPr>
          <w:trHeight w:val="227"/>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w:t>
            </w:r>
          </w:p>
        </w:tc>
      </w:tr>
      <w:tr>
        <w:trPr>
          <w:trHeight w:val="221"/>
        </w:trPr>
        <w:tc>
          <w:tcPr>
            <w:tcW w:w="694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46.3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27.5</w:t>
            </w:r>
          </w:p>
        </w:tc>
      </w:tr>
      <w:tr>
        <w:trPr>
          <w:trHeight w:val="22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 net</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w:t>
            </w:r>
          </w:p>
        </w:tc>
      </w:tr>
      <w:tr>
        <w:trPr>
          <w:trHeight w:val="220"/>
        </w:trPr>
        <w:tc>
          <w:tcPr>
            <w:tcW w:w="694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7"/>
                <w:szCs w:val="17"/>
                <w:b w:val="1"/>
                <w:bCs w:val="1"/>
                <w:color w:val="auto"/>
              </w:rPr>
              <w:t>2,981.3</w:t>
            </w:r>
          </w:p>
        </w:tc>
        <w:tc>
          <w:tcPr>
            <w:tcW w:w="34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2,567.6</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r>
        <w:trPr>
          <w:trHeight w:val="221"/>
        </w:trPr>
        <w:tc>
          <w:tcPr>
            <w:tcW w:w="6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14"/>
        </w:trPr>
        <w:tc>
          <w:tcPr>
            <w:tcW w:w="6940" w:type="dxa"/>
            <w:vAlign w:val="bottom"/>
          </w:tcPr>
          <w:p>
            <w:pPr>
              <w:ind w:left="20"/>
              <w:spacing w:after="0"/>
              <w:rPr>
                <w:sz w:val="20"/>
                <w:szCs w:val="20"/>
                <w:color w:val="auto"/>
              </w:rPr>
            </w:pPr>
            <w:r>
              <w:rPr>
                <w:rFonts w:ascii="Arial" w:cs="Arial" w:eastAsia="Arial" w:hAnsi="Arial"/>
                <w:sz w:val="17"/>
                <w:szCs w:val="17"/>
                <w:b w:val="1"/>
                <w:bCs w:val="1"/>
                <w:color w:val="auto"/>
              </w:rPr>
              <w:t>LIABILITIES AND STOCKHOLDERS’ EQUITY (DEFICIT)</w:t>
            </w: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b w:val="1"/>
                <w:bCs w:val="1"/>
                <w:i w:val="1"/>
                <w:iCs w:val="1"/>
                <w:color w:val="auto"/>
              </w:rPr>
              <w:t>Current Liabilities: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1"/>
        </w:trPr>
        <w:tc>
          <w:tcPr>
            <w:tcW w:w="6940" w:type="dxa"/>
            <w:vAlign w:val="bottom"/>
          </w:tcPr>
          <w:p>
            <w:pPr>
              <w:ind w:left="140"/>
              <w:spacing w:after="0"/>
              <w:rPr>
                <w:sz w:val="20"/>
                <w:szCs w:val="20"/>
                <w:color w:val="auto"/>
              </w:rPr>
            </w:pPr>
            <w:r>
              <w:rPr>
                <w:rFonts w:ascii="Arial" w:cs="Arial" w:eastAsia="Arial" w:hAnsi="Arial"/>
                <w:sz w:val="17"/>
                <w:szCs w:val="17"/>
                <w:color w:val="auto"/>
              </w:rPr>
              <w:t>Current maturities of long-term debt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761.3</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60" w:type="dxa"/>
            <w:vAlign w:val="bottom"/>
          </w:tcPr>
          <w:p>
            <w:pPr>
              <w:jc w:val="right"/>
              <w:spacing w:after="0"/>
              <w:rPr>
                <w:sz w:val="20"/>
                <w:szCs w:val="20"/>
                <w:color w:val="auto"/>
              </w:rPr>
            </w:pPr>
            <w:r>
              <w:rPr>
                <w:rFonts w:ascii="Arial" w:cs="Arial" w:eastAsia="Arial" w:hAnsi="Arial"/>
                <w:sz w:val="17"/>
                <w:szCs w:val="17"/>
                <w:color w:val="auto"/>
              </w:rPr>
              <w:t>710.6</w:t>
            </w:r>
          </w:p>
        </w:tc>
      </w:tr>
      <w:tr>
        <w:trPr>
          <w:trHeight w:val="220"/>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Current operating lease liabilities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r>
      <w:tr>
        <w:trPr>
          <w:trHeight w:val="221"/>
        </w:trPr>
        <w:tc>
          <w:tcPr>
            <w:tcW w:w="69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470.1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427.3</w:t>
            </w:r>
          </w:p>
        </w:tc>
      </w:tr>
      <w:tr>
        <w:trPr>
          <w:trHeight w:val="220"/>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expenses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376.9</w:t>
            </w:r>
          </w:p>
        </w:tc>
      </w:tr>
      <w:tr>
        <w:trPr>
          <w:trHeight w:val="225"/>
        </w:trPr>
        <w:tc>
          <w:tcPr>
            <w:tcW w:w="6940" w:type="dxa"/>
            <w:vAlign w:val="bottom"/>
          </w:tcPr>
          <w:p>
            <w:pPr>
              <w:ind w:left="140"/>
              <w:spacing w:after="0"/>
              <w:rPr>
                <w:sz w:val="20"/>
                <w:szCs w:val="20"/>
                <w:color w:val="auto"/>
              </w:rPr>
            </w:pPr>
            <w:r>
              <w:rPr>
                <w:rFonts w:ascii="Arial" w:cs="Arial" w:eastAsia="Arial" w:hAnsi="Arial"/>
                <w:sz w:val="17"/>
                <w:szCs w:val="17"/>
                <w:color w:val="auto"/>
              </w:rPr>
              <w:t>Income taxes payable</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w:t>
            </w:r>
          </w:p>
        </w:tc>
      </w:tr>
      <w:tr>
        <w:trPr>
          <w:trHeight w:val="222"/>
        </w:trPr>
        <w:tc>
          <w:tcPr>
            <w:tcW w:w="69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1,741.9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1,595.7</w:t>
            </w:r>
          </w:p>
        </w:tc>
      </w:tr>
      <w:tr>
        <w:trPr>
          <w:trHeight w:val="214"/>
        </w:trPr>
        <w:tc>
          <w:tcPr>
            <w:tcW w:w="694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817.7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814.2</w:t>
            </w:r>
          </w:p>
        </w:tc>
      </w:tr>
      <w:tr>
        <w:trPr>
          <w:trHeight w:val="227"/>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operating lease liabilities</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161.8</w:t>
            </w:r>
          </w:p>
        </w:tc>
      </w:tr>
      <w:tr>
        <w:trPr>
          <w:trHeight w:val="221"/>
        </w:trPr>
        <w:tc>
          <w:tcPr>
            <w:tcW w:w="6940" w:type="dxa"/>
            <w:vAlign w:val="bottom"/>
          </w:tcPr>
          <w:p>
            <w:pPr>
              <w:ind w:left="20"/>
              <w:spacing w:after="0"/>
              <w:rPr>
                <w:sz w:val="20"/>
                <w:szCs w:val="20"/>
                <w:color w:val="auto"/>
              </w:rPr>
            </w:pPr>
            <w:r>
              <w:rPr>
                <w:rFonts w:ascii="Arial" w:cs="Arial" w:eastAsia="Arial" w:hAnsi="Arial"/>
                <w:sz w:val="17"/>
                <w:szCs w:val="17"/>
                <w:color w:val="auto"/>
              </w:rPr>
              <w:t>Pensions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39.6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40.1</w:t>
            </w:r>
          </w:p>
        </w:tc>
      </w:tr>
      <w:tr>
        <w:trPr>
          <w:trHeight w:val="22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159.9</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158.9</w:t>
            </w:r>
          </w:p>
        </w:tc>
      </w:tr>
      <w:tr>
        <w:trPr>
          <w:trHeight w:val="216"/>
        </w:trPr>
        <w:tc>
          <w:tcPr>
            <w:tcW w:w="6940" w:type="dxa"/>
            <w:vAlign w:val="bottom"/>
          </w:tcPr>
          <w:p>
            <w:pPr>
              <w:ind w:left="20"/>
              <w:spacing w:after="0"/>
              <w:rPr>
                <w:sz w:val="20"/>
                <w:szCs w:val="20"/>
                <w:color w:val="auto"/>
              </w:rPr>
            </w:pPr>
            <w:r>
              <w:rPr>
                <w:rFonts w:ascii="Arial" w:cs="Arial" w:eastAsia="Arial" w:hAnsi="Arial"/>
                <w:sz w:val="17"/>
                <w:szCs w:val="17"/>
                <w:b w:val="1"/>
                <w:bCs w:val="1"/>
                <w:color w:val="auto"/>
              </w:rPr>
              <w:t>Total liabilities</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b w:val="1"/>
                <w:bCs w:val="1"/>
                <w:color w:val="auto"/>
              </w:rPr>
              <w:t>2,918.7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7"/>
                <w:szCs w:val="17"/>
                <w:b w:val="1"/>
                <w:bCs w:val="1"/>
                <w:color w:val="auto"/>
              </w:rPr>
              <w:t>2,770.7</w:t>
            </w:r>
          </w:p>
        </w:tc>
      </w:tr>
      <w:tr>
        <w:trPr>
          <w:trHeight w:val="231"/>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w:t>
            </w:r>
          </w:p>
        </w:tc>
        <w:tc>
          <w:tcPr>
            <w:tcW w:w="2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r>
      <w:tr>
        <w:trPr>
          <w:trHeight w:val="214"/>
        </w:trPr>
        <w:tc>
          <w:tcPr>
            <w:tcW w:w="6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Stockholders' equity (deficit):</w:t>
            </w: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27"/>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3"/>
              </w:rPr>
              <w:t>Preferred stock, $0.01 par value, 25,000,000 shares authorized, no shares issued or outstanding</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1"/>
        </w:trPr>
        <w:tc>
          <w:tcPr>
            <w:tcW w:w="6940" w:type="dxa"/>
            <w:vAlign w:val="bottom"/>
          </w:tcPr>
          <w:p>
            <w:pPr>
              <w:ind w:left="140"/>
              <w:spacing w:after="0"/>
              <w:rPr>
                <w:sz w:val="20"/>
                <w:szCs w:val="20"/>
                <w:color w:val="auto"/>
              </w:rPr>
            </w:pPr>
            <w:r>
              <w:rPr>
                <w:rFonts w:ascii="Arial" w:cs="Arial" w:eastAsia="Arial" w:hAnsi="Arial"/>
                <w:sz w:val="17"/>
                <w:szCs w:val="17"/>
                <w:color w:val="auto"/>
                <w:w w:val="98"/>
              </w:rPr>
              <w:t>Common stock, $0.01 par value, 200,000,000 shares authorized, 87,170,197 shares issued</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0"/>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Additional paid-in capital</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1,155.2</w:t>
            </w:r>
          </w:p>
        </w:tc>
      </w:tr>
      <w:tr>
        <w:trPr>
          <w:trHeight w:val="221"/>
        </w:trPr>
        <w:tc>
          <w:tcPr>
            <w:tcW w:w="694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3,309.0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7"/>
                <w:szCs w:val="17"/>
                <w:color w:val="auto"/>
              </w:rPr>
              <w:t>3,070.6</w:t>
            </w:r>
          </w:p>
        </w:tc>
      </w:tr>
      <w:tr>
        <w:trPr>
          <w:trHeight w:val="233"/>
        </w:trPr>
        <w:tc>
          <w:tcPr>
            <w:tcW w:w="6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Accumulated other comprehensive loss</w:t>
            </w:r>
          </w:p>
        </w:tc>
        <w:tc>
          <w:tcPr>
            <w:tcW w:w="2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w:t>
            </w:r>
          </w:p>
        </w:tc>
      </w:tr>
      <w:tr>
        <w:trPr>
          <w:trHeight w:val="214"/>
        </w:trPr>
        <w:tc>
          <w:tcPr>
            <w:tcW w:w="6940" w:type="dxa"/>
            <w:vAlign w:val="bottom"/>
          </w:tcPr>
          <w:p>
            <w:pPr>
              <w:ind w:left="140"/>
              <w:spacing w:after="0"/>
              <w:rPr>
                <w:sz w:val="20"/>
                <w:szCs w:val="20"/>
                <w:color w:val="auto"/>
              </w:rPr>
            </w:pPr>
            <w:r>
              <w:rPr>
                <w:rFonts w:ascii="Arial" w:cs="Arial" w:eastAsia="Arial" w:hAnsi="Arial"/>
                <w:sz w:val="17"/>
                <w:szCs w:val="17"/>
                <w:color w:val="auto"/>
                <w:w w:val="91"/>
              </w:rPr>
              <w:t>Treasury stock, at cost, 51,658,951 shares and 51,700,260 shares for 2023 and 2022, respectively</w:t>
            </w: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(4,340.8)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(4,339.2)</w:t>
            </w:r>
          </w:p>
        </w:tc>
      </w:tr>
      <w:tr>
        <w:trPr>
          <w:trHeight w:val="220"/>
        </w:trPr>
        <w:tc>
          <w:tcPr>
            <w:tcW w:w="69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stockholders' equity (deficit)</w:t>
            </w: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62.6</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(203.1)</w:t>
            </w:r>
          </w:p>
        </w:tc>
      </w:tr>
      <w:tr>
        <w:trPr>
          <w:trHeight w:val="220"/>
        </w:trPr>
        <w:tc>
          <w:tcPr>
            <w:tcW w:w="6940" w:type="dxa"/>
            <w:vAlign w:val="bottom"/>
          </w:tcPr>
          <w:p>
            <w:pPr>
              <w:ind w:left="20"/>
              <w:spacing w:after="0"/>
              <w:rPr>
                <w:sz w:val="20"/>
                <w:szCs w:val="20"/>
                <w:color w:val="auto"/>
              </w:rPr>
            </w:pPr>
            <w:r>
              <w:rPr>
                <w:rFonts w:ascii="Arial" w:cs="Arial" w:eastAsia="Arial" w:hAnsi="Arial"/>
                <w:sz w:val="17"/>
                <w:szCs w:val="17"/>
                <w:b w:val="1"/>
                <w:bCs w:val="1"/>
                <w:color w:val="auto"/>
              </w:rPr>
              <w:t>Total liabilities and stockholders' equity (deficit)</w:t>
            </w: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2,981.3</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2,567.6</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883"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ind w:left="20"/>
              <w:spacing w:after="0"/>
              <w:rPr>
                <w:sz w:val="20"/>
                <w:szCs w:val="20"/>
                <w:color w:val="auto"/>
              </w:rPr>
            </w:pPr>
            <w:r>
              <w:rPr>
                <w:rFonts w:ascii="Arial" w:cs="Arial" w:eastAsia="Arial" w:hAnsi="Arial"/>
                <w:sz w:val="16"/>
                <w:szCs w:val="16"/>
                <w:b w:val="1"/>
                <w:bCs w:val="1"/>
                <w:color w:val="auto"/>
                <w:w w:val="91"/>
              </w:rPr>
              <w:t>For the Three Months Ended June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00" w:type="dxa"/>
            <w:vAlign w:val="bottom"/>
            <w:gridSpan w:val="5"/>
            <w:shd w:val="clear" w:color="auto" w:fill="CCEEFF"/>
          </w:tcPr>
          <w:p>
            <w:pPr>
              <w:jc w:val="right"/>
              <w:ind w:right="31"/>
              <w:spacing w:after="0"/>
              <w:rPr>
                <w:sz w:val="20"/>
                <w:szCs w:val="20"/>
                <w:color w:val="auto"/>
              </w:rPr>
            </w:pPr>
            <w:r>
              <w:rPr>
                <w:rFonts w:ascii="Arial" w:cs="Arial" w:eastAsia="Arial" w:hAnsi="Arial"/>
                <w:sz w:val="16"/>
                <w:szCs w:val="16"/>
                <w:b w:val="1"/>
                <w:bCs w:val="1"/>
                <w:color w:val="auto"/>
                <w:w w:val="90"/>
              </w:rPr>
              <w:t>For the Six Months Ended June</w:t>
            </w:r>
          </w:p>
        </w:tc>
      </w:tr>
      <w:tr>
        <w:trPr>
          <w:trHeight w:val="214"/>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89"/>
              </w:rPr>
              <w:t>30,</w:t>
            </w:r>
          </w:p>
        </w:tc>
        <w:tc>
          <w:tcPr>
            <w:tcW w:w="900" w:type="dxa"/>
            <w:vAlign w:val="bottom"/>
            <w:tcBorders>
              <w:bottom w:val="single" w:sz="8" w:color="auto"/>
            </w:tcBorders>
            <w:shd w:val="clear" w:color="auto" w:fill="CCEEFF"/>
          </w:tcPr>
          <w:p>
            <w:pPr>
              <w:spacing w:after="0"/>
              <w:rPr>
                <w:sz w:val="18"/>
                <w:szCs w:val="18"/>
                <w:color w:val="auto"/>
              </w:rPr>
            </w:pPr>
          </w:p>
        </w:tc>
      </w:tr>
      <w:tr>
        <w:trPr>
          <w:trHeight w:val="205"/>
        </w:trPr>
        <w:tc>
          <w:tcPr>
            <w:tcW w:w="6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2022</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1,411.4</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2,460.7</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2,379.7</w:t>
            </w:r>
          </w:p>
        </w:tc>
      </w:tr>
      <w:tr>
        <w:trPr>
          <w:trHeight w:val="240"/>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1,714.4</w:t>
            </w:r>
          </w:p>
        </w:tc>
      </w:tr>
      <w:tr>
        <w:trPr>
          <w:trHeight w:val="221"/>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r>
      <w:tr>
        <w:trPr>
          <w:trHeight w:val="227"/>
        </w:trPr>
        <w:tc>
          <w:tcPr>
            <w:tcW w:w="62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1"/>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27"/>
        </w:trPr>
        <w:tc>
          <w:tcPr>
            <w:tcW w:w="6280" w:type="dxa"/>
            <w:vAlign w:val="bottom"/>
          </w:tcPr>
          <w:p>
            <w:pPr>
              <w:ind w:left="14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7"/>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charges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0"/>
        </w:trPr>
        <w:tc>
          <w:tcPr>
            <w:tcW w:w="6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338.8</w:t>
            </w:r>
          </w:p>
        </w:tc>
      </w:tr>
      <w:tr>
        <w:trPr>
          <w:trHeight w:val="227"/>
        </w:trPr>
        <w:tc>
          <w:tcPr>
            <w:tcW w:w="6280" w:type="dxa"/>
            <w:vAlign w:val="bottom"/>
          </w:tcPr>
          <w:p>
            <w:pPr>
              <w:ind w:left="20"/>
              <w:spacing w:after="0"/>
              <w:rPr>
                <w:sz w:val="20"/>
                <w:szCs w:val="20"/>
                <w:color w:val="auto"/>
              </w:rPr>
            </w:pPr>
            <w:r>
              <w:rPr>
                <w:rFonts w:ascii="Arial" w:cs="Arial" w:eastAsia="Arial" w:hAnsi="Arial"/>
                <w:sz w:val="18"/>
                <w:szCs w:val="18"/>
                <w:color w:val="auto"/>
              </w:rPr>
              <w:t>Pension settlements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1"/>
        </w:trPr>
        <w:tc>
          <w:tcPr>
            <w:tcW w:w="6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income before income taxes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r>
      <w:tr>
        <w:trPr>
          <w:trHeight w:val="227"/>
        </w:trPr>
        <w:tc>
          <w:tcPr>
            <w:tcW w:w="62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41"/>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217.2</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315.2</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0"/>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7"/>
        </w:trPr>
        <w:tc>
          <w:tcPr>
            <w:tcW w:w="628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7"/>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r>
      <w:tr>
        <w:trPr>
          <w:trHeight w:val="231"/>
        </w:trPr>
        <w:tc>
          <w:tcPr>
            <w:tcW w:w="628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36.1</w:t>
            </w: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2180" w:type="dxa"/>
            <w:vAlign w:val="bottom"/>
            <w:gridSpan w:val="5"/>
          </w:tcPr>
          <w:p>
            <w:pPr>
              <w:jc w:val="right"/>
              <w:ind w:right="12"/>
              <w:spacing w:after="0"/>
              <w:rPr>
                <w:sz w:val="20"/>
                <w:szCs w:val="20"/>
                <w:color w:val="auto"/>
              </w:rPr>
            </w:pPr>
            <w:r>
              <w:rPr>
                <w:rFonts w:ascii="Arial" w:cs="Arial" w:eastAsia="Arial" w:hAnsi="Arial"/>
                <w:sz w:val="16"/>
                <w:szCs w:val="16"/>
                <w:b w:val="1"/>
                <w:bCs w:val="1"/>
                <w:color w:val="auto"/>
                <w:w w:val="94"/>
              </w:rPr>
              <w:t>For the 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4"/>
          </w:tcPr>
          <w:p>
            <w:pPr>
              <w:jc w:val="right"/>
              <w:ind w:right="92"/>
              <w:spacing w:after="0"/>
              <w:rPr>
                <w:sz w:val="20"/>
                <w:szCs w:val="20"/>
                <w:color w:val="auto"/>
              </w:rPr>
            </w:pPr>
            <w:r>
              <w:rPr>
                <w:rFonts w:ascii="Arial" w:cs="Arial" w:eastAsia="Arial" w:hAnsi="Arial"/>
                <w:sz w:val="16"/>
                <w:szCs w:val="16"/>
                <w:b w:val="1"/>
                <w:bCs w:val="1"/>
                <w:color w:val="auto"/>
                <w:w w:val="92"/>
              </w:rPr>
              <w:t>For the Six Months Ended</w:t>
            </w:r>
          </w:p>
        </w:tc>
      </w:tr>
      <w:tr>
        <w:trPr>
          <w:trHeight w:val="214"/>
        </w:trPr>
        <w:tc>
          <w:tcPr>
            <w:tcW w:w="68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r>
      <w:tr>
        <w:trPr>
          <w:trHeight w:val="205"/>
        </w:trPr>
        <w:tc>
          <w:tcPr>
            <w:tcW w:w="6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2022</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260.8</w:t>
            </w:r>
          </w:p>
        </w:tc>
      </w:tr>
      <w:tr>
        <w:trPr>
          <w:trHeight w:val="220"/>
        </w:trPr>
        <w:tc>
          <w:tcPr>
            <w:tcW w:w="680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Other comprehensive income (loss):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27"/>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4"/>
        </w:trPr>
        <w:tc>
          <w:tcPr>
            <w:tcW w:w="6800" w:type="dxa"/>
            <w:vAlign w:val="bottom"/>
          </w:tcPr>
          <w:p>
            <w:pPr>
              <w:ind w:left="220"/>
              <w:spacing w:after="0"/>
              <w:rPr>
                <w:sz w:val="20"/>
                <w:szCs w:val="20"/>
                <w:color w:val="auto"/>
              </w:rPr>
            </w:pPr>
            <w:r>
              <w:rPr>
                <w:rFonts w:ascii="Arial" w:cs="Arial" w:eastAsia="Arial" w:hAnsi="Arial"/>
                <w:sz w:val="18"/>
                <w:szCs w:val="18"/>
                <w:color w:val="auto"/>
              </w:rPr>
              <w:t>Net change in pension and post-retirement liabilities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4"/>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of pension and post-retirement benefit losses into earnings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7"/>
        </w:trPr>
        <w:tc>
          <w:tcPr>
            <w:tcW w:w="6800" w:type="dxa"/>
            <w:vAlign w:val="bottom"/>
          </w:tcPr>
          <w:p>
            <w:pPr>
              <w:ind w:left="220"/>
              <w:spacing w:after="0"/>
              <w:rPr>
                <w:sz w:val="20"/>
                <w:szCs w:val="20"/>
                <w:color w:val="auto"/>
              </w:rPr>
            </w:pPr>
            <w:r>
              <w:rPr>
                <w:rFonts w:ascii="Arial" w:cs="Arial" w:eastAsia="Arial" w:hAnsi="Arial"/>
                <w:sz w:val="18"/>
                <w:szCs w:val="18"/>
                <w:color w:val="auto"/>
              </w:rPr>
              <w:t>Pension settlements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41"/>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 of equity method investments other comprehensive income</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7"/>
        </w:trPr>
        <w:tc>
          <w:tcPr>
            <w:tcW w:w="6800" w:type="dxa"/>
            <w:vAlign w:val="bottom"/>
          </w:tcPr>
          <w:p>
            <w:pPr>
              <w:ind w:left="220"/>
              <w:spacing w:after="0"/>
              <w:rPr>
                <w:sz w:val="20"/>
                <w:szCs w:val="20"/>
                <w:color w:val="auto"/>
              </w:rPr>
            </w:pPr>
            <w:r>
              <w:rPr>
                <w:rFonts w:ascii="Arial" w:cs="Arial" w:eastAsia="Arial" w:hAnsi="Arial"/>
                <w:sz w:val="18"/>
                <w:szCs w:val="18"/>
                <w:color w:val="auto"/>
              </w:rPr>
              <w:t>Net change in fair value of cash flow hedges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27"/>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Reclassification of cash flow hedge (gains) losses into earnings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3"/>
        </w:trPr>
        <w:tc>
          <w:tcPr>
            <w:tcW w:w="6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 before taxes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21"/>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1"/>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r>
      <w:tr>
        <w:trPr>
          <w:trHeight w:val="254"/>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2023 and 2022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4"/>
          </w:tcPr>
          <w:p>
            <w:pPr>
              <w:jc w:val="center"/>
              <w:ind w:right="160"/>
              <w:spacing w:after="0"/>
              <w:rPr>
                <w:sz w:val="20"/>
                <w:szCs w:val="20"/>
                <w:color w:val="auto"/>
              </w:rPr>
            </w:pPr>
            <w:r>
              <w:rPr>
                <w:rFonts w:ascii="Arial" w:cs="Arial" w:eastAsia="Arial" w:hAnsi="Arial"/>
                <w:sz w:val="15"/>
                <w:szCs w:val="15"/>
                <w:b w:val="1"/>
                <w:bCs w:val="1"/>
                <w:color w:val="auto"/>
                <w:w w:val="89"/>
              </w:rPr>
              <w:t>Accumulated</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8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151"/>
        </w:trPr>
        <w:tc>
          <w:tcPr>
            <w:tcW w:w="4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gridSpan w:val="2"/>
          </w:tcPr>
          <w:p>
            <w:pPr>
              <w:jc w:val="right"/>
              <w:ind w:right="24"/>
              <w:spacing w:after="0" w:line="151" w:lineRule="exact"/>
              <w:rPr>
                <w:sz w:val="20"/>
                <w:szCs w:val="20"/>
                <w:color w:val="auto"/>
              </w:rPr>
            </w:pPr>
            <w:r>
              <w:rPr>
                <w:rFonts w:ascii="Arial" w:cs="Arial" w:eastAsia="Arial" w:hAnsi="Arial"/>
                <w:sz w:val="15"/>
                <w:szCs w:val="15"/>
                <w:b w:val="1"/>
                <w:bCs w:val="1"/>
                <w:color w:val="auto"/>
                <w:w w:val="98"/>
              </w:rPr>
              <w:t>Additional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280"/>
              <w:spacing w:after="0" w:line="151" w:lineRule="exact"/>
              <w:rPr>
                <w:sz w:val="20"/>
                <w:szCs w:val="20"/>
                <w:color w:val="auto"/>
              </w:rPr>
            </w:pPr>
            <w:r>
              <w:rPr>
                <w:rFonts w:ascii="Arial" w:cs="Arial" w:eastAsia="Arial" w:hAnsi="Arial"/>
                <w:sz w:val="15"/>
                <w:szCs w:val="15"/>
                <w:b w:val="1"/>
                <w:bCs w:val="1"/>
                <w:color w:val="auto"/>
                <w:w w:val="99"/>
              </w:rPr>
              <w:t>Other</w:t>
            </w:r>
          </w:p>
        </w:tc>
        <w:tc>
          <w:tcPr>
            <w:tcW w:w="40" w:type="dxa"/>
            <w:vAlign w:val="bottom"/>
          </w:tcPr>
          <w:p>
            <w:pPr>
              <w:spacing w:after="0"/>
              <w:rPr>
                <w:sz w:val="13"/>
                <w:szCs w:val="13"/>
                <w:color w:val="auto"/>
              </w:rPr>
            </w:pPr>
          </w:p>
        </w:tc>
        <w:tc>
          <w:tcPr>
            <w:tcW w:w="1900" w:type="dxa"/>
            <w:vAlign w:val="bottom"/>
            <w:gridSpan w:val="8"/>
            <w:vMerge w:val="restart"/>
          </w:tcPr>
          <w:p>
            <w:pPr>
              <w:jc w:val="right"/>
              <w:ind w:right="300"/>
              <w:spacing w:after="0"/>
              <w:rPr>
                <w:sz w:val="20"/>
                <w:szCs w:val="20"/>
                <w:color w:val="auto"/>
              </w:rPr>
            </w:pPr>
            <w:r>
              <w:rPr>
                <w:rFonts w:ascii="Arial" w:cs="Arial" w:eastAsia="Arial" w:hAnsi="Arial"/>
                <w:sz w:val="15"/>
                <w:szCs w:val="15"/>
                <w:b w:val="1"/>
                <w:bCs w:val="1"/>
                <w:color w:val="auto"/>
                <w:w w:val="96"/>
              </w:rPr>
              <w:t>Treasury Stock at Cost</w:t>
            </w:r>
          </w:p>
        </w:tc>
        <w:tc>
          <w:tcPr>
            <w:tcW w:w="940" w:type="dxa"/>
            <w:vAlign w:val="bottom"/>
            <w:gridSpan w:val="2"/>
          </w:tcPr>
          <w:p>
            <w:pPr>
              <w:ind w:left="20"/>
              <w:spacing w:after="0" w:line="151"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100"/>
        </w:trPr>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restart"/>
          </w:tcPr>
          <w:p>
            <w:pPr>
              <w:jc w:val="right"/>
              <w:ind w:right="44"/>
              <w:spacing w:after="0" w:line="147" w:lineRule="exact"/>
              <w:rPr>
                <w:sz w:val="20"/>
                <w:szCs w:val="20"/>
                <w:color w:val="auto"/>
              </w:rPr>
            </w:pPr>
            <w:r>
              <w:rPr>
                <w:rFonts w:ascii="Arial" w:cs="Arial" w:eastAsia="Arial" w:hAnsi="Arial"/>
                <w:sz w:val="15"/>
                <w:szCs w:val="15"/>
                <w:b w:val="1"/>
                <w:bCs w:val="1"/>
                <w:color w:val="auto"/>
                <w:w w:val="92"/>
              </w:rPr>
              <w:t>Common</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right"/>
              <w:ind w:right="124"/>
              <w:spacing w:after="0" w:line="147" w:lineRule="exact"/>
              <w:rPr>
                <w:sz w:val="20"/>
                <w:szCs w:val="20"/>
                <w:color w:val="auto"/>
              </w:rPr>
            </w:pPr>
            <w:r>
              <w:rPr>
                <w:rFonts w:ascii="Arial" w:cs="Arial" w:eastAsia="Arial" w:hAnsi="Arial"/>
                <w:sz w:val="15"/>
                <w:szCs w:val="15"/>
                <w:b w:val="1"/>
                <w:bCs w:val="1"/>
                <w:color w:val="auto"/>
              </w:rPr>
              <w:t>Paid-In</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ind w:left="20"/>
              <w:spacing w:after="0" w:line="147" w:lineRule="exact"/>
              <w:rPr>
                <w:sz w:val="20"/>
                <w:szCs w:val="20"/>
                <w:color w:val="auto"/>
              </w:rPr>
            </w:pPr>
            <w:r>
              <w:rPr>
                <w:rFonts w:ascii="Arial" w:cs="Arial" w:eastAsia="Arial" w:hAnsi="Arial"/>
                <w:sz w:val="15"/>
                <w:szCs w:val="15"/>
                <w:b w:val="1"/>
                <w:bCs w:val="1"/>
                <w:color w:val="auto"/>
              </w:rPr>
              <w:t>Retained</w:t>
            </w:r>
          </w:p>
        </w:tc>
        <w:tc>
          <w:tcPr>
            <w:tcW w:w="80" w:type="dxa"/>
            <w:vAlign w:val="bottom"/>
          </w:tcPr>
          <w:p>
            <w:pPr>
              <w:spacing w:after="0"/>
              <w:rPr>
                <w:sz w:val="8"/>
                <w:szCs w:val="8"/>
                <w:color w:val="auto"/>
              </w:rPr>
            </w:pPr>
          </w:p>
        </w:tc>
        <w:tc>
          <w:tcPr>
            <w:tcW w:w="1200" w:type="dxa"/>
            <w:vAlign w:val="bottom"/>
            <w:gridSpan w:val="4"/>
            <w:vMerge w:val="restart"/>
          </w:tcPr>
          <w:p>
            <w:pPr>
              <w:jc w:val="center"/>
              <w:ind w:right="160"/>
              <w:spacing w:after="0" w:line="147" w:lineRule="exact"/>
              <w:rPr>
                <w:sz w:val="20"/>
                <w:szCs w:val="20"/>
                <w:color w:val="auto"/>
              </w:rPr>
            </w:pPr>
            <w:r>
              <w:rPr>
                <w:rFonts w:ascii="Arial" w:cs="Arial" w:eastAsia="Arial" w:hAnsi="Arial"/>
                <w:sz w:val="15"/>
                <w:szCs w:val="15"/>
                <w:b w:val="1"/>
                <w:bCs w:val="1"/>
                <w:color w:val="auto"/>
                <w:w w:val="88"/>
              </w:rPr>
              <w:t>Comprehensive</w:t>
            </w:r>
          </w:p>
        </w:tc>
        <w:tc>
          <w:tcPr>
            <w:tcW w:w="40" w:type="dxa"/>
            <w:vAlign w:val="bottom"/>
          </w:tcPr>
          <w:p>
            <w:pPr>
              <w:spacing w:after="0"/>
              <w:rPr>
                <w:sz w:val="8"/>
                <w:szCs w:val="8"/>
                <w:color w:val="auto"/>
              </w:rPr>
            </w:pPr>
          </w:p>
        </w:tc>
        <w:tc>
          <w:tcPr>
            <w:tcW w:w="1900" w:type="dxa"/>
            <w:vAlign w:val="bottom"/>
            <w:gridSpan w:val="8"/>
            <w:vMerge w:val="continue"/>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vMerge w:val="restart"/>
          </w:tcPr>
          <w:p>
            <w:pPr>
              <w:jc w:val="center"/>
              <w:ind w:right="84"/>
              <w:spacing w:after="0" w:line="147" w:lineRule="exact"/>
              <w:rPr>
                <w:sz w:val="20"/>
                <w:szCs w:val="20"/>
                <w:color w:val="auto"/>
              </w:rPr>
            </w:pPr>
            <w:r>
              <w:rPr>
                <w:rFonts w:ascii="Arial" w:cs="Arial" w:eastAsia="Arial" w:hAnsi="Arial"/>
                <w:sz w:val="15"/>
                <w:szCs w:val="15"/>
                <w:b w:val="1"/>
                <w:bCs w:val="1"/>
                <w:color w:val="auto"/>
                <w:w w:val="95"/>
              </w:rPr>
              <w:t>Equity</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4"/>
            <w:vMerge w:val="continue"/>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(For the three months ended June 30, 2023)</w:t>
            </w:r>
          </w:p>
        </w:tc>
        <w:tc>
          <w:tcPr>
            <w:tcW w:w="20" w:type="dxa"/>
            <w:vAlign w:val="bottom"/>
          </w:tcPr>
          <w:p>
            <w:pPr>
              <w:spacing w:after="0"/>
              <w:rPr>
                <w:sz w:val="18"/>
                <w:szCs w:val="18"/>
                <w:color w:val="auto"/>
              </w:rPr>
            </w:pPr>
          </w:p>
        </w:tc>
        <w:tc>
          <w:tcPr>
            <w:tcW w:w="860" w:type="dxa"/>
            <w:vAlign w:val="bottom"/>
            <w:gridSpan w:val="2"/>
          </w:tcPr>
          <w:p>
            <w:pPr>
              <w:ind w:left="20"/>
              <w:spacing w:after="0"/>
              <w:rPr>
                <w:sz w:val="20"/>
                <w:szCs w:val="20"/>
                <w:color w:val="auto"/>
              </w:rPr>
            </w:pPr>
            <w:r>
              <w:rPr>
                <w:rFonts w:ascii="Arial" w:cs="Arial" w:eastAsia="Arial" w:hAnsi="Arial"/>
                <w:sz w:val="15"/>
                <w:szCs w:val="15"/>
                <w:b w:val="1"/>
                <w:bCs w:val="1"/>
                <w:color w:val="auto"/>
                <w:w w:val="88"/>
              </w:rPr>
              <w:t>Stock Issued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124"/>
              <w:spacing w:after="0"/>
              <w:rPr>
                <w:sz w:val="20"/>
                <w:szCs w:val="20"/>
                <w:color w:val="auto"/>
              </w:rPr>
            </w:pPr>
            <w:r>
              <w:rPr>
                <w:rFonts w:ascii="Arial" w:cs="Arial" w:eastAsia="Arial" w:hAnsi="Arial"/>
                <w:sz w:val="15"/>
                <w:szCs w:val="15"/>
                <w:b w:val="1"/>
                <w:bCs w:val="1"/>
                <w:color w:val="auto"/>
              </w:rPr>
              <w:t>Capital</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Arial" w:cs="Arial" w:eastAsia="Arial" w:hAnsi="Arial"/>
                <w:sz w:val="15"/>
                <w:szCs w:val="15"/>
                <w:b w:val="1"/>
                <w:bCs w:val="1"/>
                <w:color w:val="auto"/>
              </w:rPr>
              <w:t>Earnings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5"/>
                <w:szCs w:val="15"/>
                <w:b w:val="1"/>
                <w:bCs w:val="1"/>
                <w:color w:val="auto"/>
                <w:w w:val="79"/>
              </w:rPr>
              <w:t>Loss</w:t>
            </w:r>
          </w:p>
        </w:tc>
        <w:tc>
          <w:tcPr>
            <w:tcW w:w="40" w:type="dxa"/>
            <w:vAlign w:val="bottom"/>
          </w:tcPr>
          <w:p>
            <w:pPr>
              <w:spacing w:after="0"/>
              <w:rPr>
                <w:sz w:val="18"/>
                <w:szCs w:val="18"/>
                <w:color w:val="auto"/>
              </w:rPr>
            </w:pPr>
          </w:p>
        </w:tc>
        <w:tc>
          <w:tcPr>
            <w:tcW w:w="820" w:type="dxa"/>
            <w:vAlign w:val="bottom"/>
          </w:tcPr>
          <w:p>
            <w:pPr>
              <w:jc w:val="right"/>
              <w:ind w:right="144"/>
              <w:spacing w:after="0"/>
              <w:rPr>
                <w:sz w:val="20"/>
                <w:szCs w:val="20"/>
                <w:color w:val="auto"/>
              </w:rPr>
            </w:pPr>
            <w:r>
              <w:rPr>
                <w:rFonts w:ascii="Arial" w:cs="Arial" w:eastAsia="Arial" w:hAnsi="Arial"/>
                <w:sz w:val="15"/>
                <w:szCs w:val="15"/>
                <w:b w:val="1"/>
                <w:bCs w:val="1"/>
                <w:color w:val="auto"/>
              </w:rPr>
              <w:t>Shares</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5"/>
                <w:szCs w:val="15"/>
                <w:b w:val="1"/>
                <w:bCs w:val="1"/>
                <w:color w:val="auto"/>
                <w:w w:val="91"/>
              </w:rPr>
              <w:t>Amount</w:t>
            </w:r>
          </w:p>
        </w:tc>
        <w:tc>
          <w:tcPr>
            <w:tcW w:w="140" w:type="dxa"/>
            <w:vAlign w:val="bottom"/>
          </w:tcPr>
          <w:p>
            <w:pPr>
              <w:spacing w:after="0"/>
              <w:rPr>
                <w:sz w:val="18"/>
                <w:szCs w:val="18"/>
                <w:color w:val="auto"/>
              </w:rPr>
            </w:pPr>
          </w:p>
        </w:tc>
        <w:tc>
          <w:tcPr>
            <w:tcW w:w="800" w:type="dxa"/>
            <w:vAlign w:val="bottom"/>
          </w:tcPr>
          <w:p>
            <w:pPr>
              <w:jc w:val="center"/>
              <w:ind w:right="84"/>
              <w:spacing w:after="0"/>
              <w:rPr>
                <w:sz w:val="20"/>
                <w:szCs w:val="20"/>
                <w:color w:val="auto"/>
              </w:rPr>
            </w:pPr>
            <w:r>
              <w:rPr>
                <w:rFonts w:ascii="Arial" w:cs="Arial" w:eastAsia="Arial" w:hAnsi="Arial"/>
                <w:sz w:val="15"/>
                <w:szCs w:val="15"/>
                <w:b w:val="1"/>
                <w:bCs w:val="1"/>
                <w:color w:val="auto"/>
                <w:w w:val="93"/>
              </w:rPr>
              <w:t>(Deficit)</w:t>
            </w:r>
          </w:p>
        </w:tc>
        <w:tc>
          <w:tcPr>
            <w:tcW w:w="0" w:type="dxa"/>
            <w:vAlign w:val="bottom"/>
          </w:tcPr>
          <w:p>
            <w:pPr>
              <w:spacing w:after="0"/>
              <w:rPr>
                <w:sz w:val="1"/>
                <w:szCs w:val="1"/>
                <w:color w:val="auto"/>
              </w:rPr>
            </w:pP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2023</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1,161.1</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3,130.9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(78.6)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51.7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(4,340.2)</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(125.9)</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217.2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217.2</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Dividends, $1.10 per share</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7.5</w:t>
            </w:r>
          </w:p>
        </w:tc>
        <w:tc>
          <w:tcPr>
            <w:tcW w:w="0" w:type="dxa"/>
            <w:vAlign w:val="bottom"/>
          </w:tcPr>
          <w:p>
            <w:pPr>
              <w:spacing w:after="0"/>
              <w:rPr>
                <w:sz w:val="1"/>
                <w:szCs w:val="1"/>
                <w:color w:val="auto"/>
              </w:rPr>
            </w:pPr>
          </w:p>
        </w:tc>
      </w:tr>
      <w:tr>
        <w:trPr>
          <w:trHeight w:val="152"/>
        </w:trPr>
        <w:tc>
          <w:tcPr>
            <w:tcW w:w="4180" w:type="dxa"/>
            <w:vAlign w:val="bottom"/>
            <w:shd w:val="clear" w:color="auto" w:fill="CCEEFF"/>
          </w:tcPr>
          <w:p>
            <w:pPr>
              <w:ind w:left="220"/>
              <w:spacing w:after="0" w:line="152" w:lineRule="exact"/>
              <w:rPr>
                <w:sz w:val="20"/>
                <w:szCs w:val="20"/>
                <w:color w:val="auto"/>
              </w:rPr>
            </w:pPr>
            <w:r>
              <w:rPr>
                <w:rFonts w:ascii="Arial" w:cs="Arial" w:eastAsia="Arial" w:hAnsi="Arial"/>
                <w:sz w:val="15"/>
                <w:szCs w:val="15"/>
                <w:color w:val="auto"/>
              </w:rPr>
              <w:t>Pension and post-retirement liability changes, net of tax</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94"/>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expense of $0.0</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3"/>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Stock-based compensation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Change in cash flow hedges, net of tax benefit of $1.4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w:t>
            </w:r>
          </w:p>
        </w:tc>
        <w:tc>
          <w:tcPr>
            <w:tcW w:w="0" w:type="dxa"/>
            <w:vAlign w:val="bottom"/>
          </w:tcPr>
          <w:p>
            <w:pPr>
              <w:spacing w:after="0"/>
              <w:rPr>
                <w:sz w:val="1"/>
                <w:szCs w:val="1"/>
                <w:color w:val="auto"/>
              </w:rPr>
            </w:pPr>
          </w:p>
        </w:tc>
      </w:tr>
      <w:tr>
        <w:trPr>
          <w:trHeight w:val="191"/>
        </w:trPr>
        <w:tc>
          <w:tcPr>
            <w:tcW w:w="4180" w:type="dxa"/>
            <w:vAlign w:val="bottom"/>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4"/>
              <w:spacing w:after="0"/>
              <w:rPr>
                <w:sz w:val="20"/>
                <w:szCs w:val="20"/>
                <w:color w:val="auto"/>
              </w:rPr>
            </w:pPr>
            <w:r>
              <w:rPr>
                <w:rFonts w:ascii="Arial" w:cs="Arial" w:eastAsia="Arial" w:hAnsi="Arial"/>
                <w:sz w:val="15"/>
                <w:szCs w:val="15"/>
                <w:color w:val="auto"/>
              </w:rPr>
              <w:t>0.6</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Treasury stock purchases</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2023</w:t>
            </w: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w:t>
            </w:r>
          </w:p>
        </w:tc>
        <w:tc>
          <w:tcPr>
            <w:tcW w:w="10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1,169.3</w:t>
            </w:r>
          </w:p>
        </w:tc>
        <w:tc>
          <w:tcPr>
            <w:tcW w:w="100" w:type="dxa"/>
            <w:vAlign w:val="bottom"/>
            <w:gridSpan w:val="2"/>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3,309.0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Borders>
              <w:bottom w:val="single" w:sz="8" w:color="auto"/>
            </w:tcBorders>
            <w:gridSpan w:val="2"/>
          </w:tcPr>
          <w:p>
            <w:pPr>
              <w:jc w:val="right"/>
              <w:ind w:right="4"/>
              <w:spacing w:after="0"/>
              <w:rPr>
                <w:sz w:val="20"/>
                <w:szCs w:val="20"/>
                <w:color w:val="auto"/>
              </w:rPr>
            </w:pPr>
            <w:r>
              <w:rPr>
                <w:rFonts w:ascii="Arial" w:cs="Arial" w:eastAsia="Arial" w:hAnsi="Arial"/>
                <w:sz w:val="15"/>
                <w:szCs w:val="15"/>
                <w:b w:val="1"/>
                <w:bCs w:val="1"/>
                <w:color w:val="auto"/>
              </w:rPr>
              <w:t>51.7</w:t>
            </w:r>
          </w:p>
        </w:tc>
        <w:tc>
          <w:tcPr>
            <w:tcW w:w="80" w:type="dxa"/>
            <w:vAlign w:val="bottom"/>
            <w:gridSpan w:val="2"/>
          </w:tcPr>
          <w:p>
            <w:pPr>
              <w:spacing w:after="0"/>
              <w:rPr>
                <w:sz w:val="17"/>
                <w:szCs w:val="17"/>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(4,340.8)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4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89"/>
              </w:rPr>
              <w:t>Additional</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89"/>
              </w:rPr>
              <w:t>Accumulated</w:t>
            </w: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vMerge w:val="restart"/>
          </w:tcPr>
          <w:p>
            <w:pPr>
              <w:jc w:val="center"/>
              <w:ind w:right="6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200"/>
              <w:spacing w:after="0" w:line="147" w:lineRule="exact"/>
              <w:rPr>
                <w:sz w:val="20"/>
                <w:szCs w:val="20"/>
                <w:color w:val="auto"/>
              </w:rPr>
            </w:pPr>
            <w:r>
              <w:rPr>
                <w:rFonts w:ascii="Arial" w:cs="Arial" w:eastAsia="Arial" w:hAnsi="Arial"/>
                <w:sz w:val="15"/>
                <w:szCs w:val="15"/>
                <w:b w:val="1"/>
                <w:bCs w:val="1"/>
                <w:color w:val="auto"/>
                <w:w w:val="99"/>
              </w:rPr>
              <w:t>Other</w:t>
            </w:r>
          </w:p>
        </w:tc>
        <w:tc>
          <w:tcPr>
            <w:tcW w:w="40" w:type="dxa"/>
            <w:vAlign w:val="bottom"/>
          </w:tcPr>
          <w:p>
            <w:pPr>
              <w:spacing w:after="0"/>
              <w:rPr>
                <w:sz w:val="12"/>
                <w:szCs w:val="12"/>
                <w:color w:val="auto"/>
              </w:rPr>
            </w:pPr>
          </w:p>
        </w:tc>
        <w:tc>
          <w:tcPr>
            <w:tcW w:w="1900" w:type="dxa"/>
            <w:vAlign w:val="bottom"/>
            <w:gridSpan w:val="8"/>
            <w:vMerge w:val="restart"/>
          </w:tcPr>
          <w:p>
            <w:pPr>
              <w:jc w:val="right"/>
              <w:ind w:right="260"/>
              <w:spacing w:after="0"/>
              <w:rPr>
                <w:sz w:val="20"/>
                <w:szCs w:val="20"/>
                <w:color w:val="auto"/>
              </w:rPr>
            </w:pPr>
            <w:r>
              <w:rPr>
                <w:rFonts w:ascii="Arial" w:cs="Arial" w:eastAsia="Arial" w:hAnsi="Arial"/>
                <w:sz w:val="15"/>
                <w:szCs w:val="15"/>
                <w:b w:val="1"/>
                <w:bCs w:val="1"/>
                <w:color w:val="auto"/>
                <w:w w:val="99"/>
              </w:rPr>
              <w:t>Treasury Stock at Cost</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4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restart"/>
          </w:tcPr>
          <w:p>
            <w:pPr>
              <w:jc w:val="right"/>
              <w:ind w:right="44"/>
              <w:spacing w:after="0" w:line="156" w:lineRule="exact"/>
              <w:rPr>
                <w:sz w:val="20"/>
                <w:szCs w:val="20"/>
                <w:color w:val="auto"/>
              </w:rPr>
            </w:pPr>
            <w:r>
              <w:rPr>
                <w:rFonts w:ascii="Arial" w:cs="Arial" w:eastAsia="Arial" w:hAnsi="Arial"/>
                <w:sz w:val="15"/>
                <w:szCs w:val="15"/>
                <w:b w:val="1"/>
                <w:bCs w:val="1"/>
                <w:color w:val="auto"/>
                <w:w w:val="92"/>
              </w:rPr>
              <w:t>Common</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vMerge w:val="restart"/>
          </w:tcPr>
          <w:p>
            <w:pPr>
              <w:jc w:val="right"/>
              <w:ind w:right="84"/>
              <w:spacing w:after="0" w:line="156" w:lineRule="exact"/>
              <w:rPr>
                <w:sz w:val="20"/>
                <w:szCs w:val="20"/>
                <w:color w:val="auto"/>
              </w:rPr>
            </w:pPr>
            <w:r>
              <w:rPr>
                <w:rFonts w:ascii="Arial" w:cs="Arial" w:eastAsia="Arial" w:hAnsi="Arial"/>
                <w:sz w:val="15"/>
                <w:szCs w:val="15"/>
                <w:b w:val="1"/>
                <w:bCs w:val="1"/>
                <w:color w:val="auto"/>
              </w:rPr>
              <w:t>Paid-In</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3"/>
            <w:vMerge w:val="restart"/>
          </w:tcPr>
          <w:p>
            <w:pPr>
              <w:ind w:left="60"/>
              <w:spacing w:after="0" w:line="156" w:lineRule="exact"/>
              <w:rPr>
                <w:sz w:val="20"/>
                <w:szCs w:val="20"/>
                <w:color w:val="auto"/>
              </w:rPr>
            </w:pPr>
            <w:r>
              <w:rPr>
                <w:rFonts w:ascii="Arial" w:cs="Arial" w:eastAsia="Arial" w:hAnsi="Arial"/>
                <w:sz w:val="15"/>
                <w:szCs w:val="15"/>
                <w:b w:val="1"/>
                <w:bCs w:val="1"/>
                <w:color w:val="auto"/>
              </w:rPr>
              <w:t>Retained</w:t>
            </w:r>
          </w:p>
        </w:tc>
        <w:tc>
          <w:tcPr>
            <w:tcW w:w="80" w:type="dxa"/>
            <w:vAlign w:val="bottom"/>
          </w:tcPr>
          <w:p>
            <w:pPr>
              <w:spacing w:after="0"/>
              <w:rPr>
                <w:sz w:val="8"/>
                <w:szCs w:val="8"/>
                <w:color w:val="auto"/>
              </w:rPr>
            </w:pPr>
          </w:p>
        </w:tc>
        <w:tc>
          <w:tcPr>
            <w:tcW w:w="1200" w:type="dxa"/>
            <w:vAlign w:val="bottom"/>
            <w:gridSpan w:val="4"/>
            <w:vMerge w:val="restart"/>
          </w:tcPr>
          <w:p>
            <w:pPr>
              <w:jc w:val="center"/>
              <w:ind w:right="80"/>
              <w:spacing w:after="0" w:line="156" w:lineRule="exact"/>
              <w:rPr>
                <w:sz w:val="20"/>
                <w:szCs w:val="20"/>
                <w:color w:val="auto"/>
              </w:rPr>
            </w:pPr>
            <w:r>
              <w:rPr>
                <w:rFonts w:ascii="Arial" w:cs="Arial" w:eastAsia="Arial" w:hAnsi="Arial"/>
                <w:sz w:val="15"/>
                <w:szCs w:val="15"/>
                <w:b w:val="1"/>
                <w:bCs w:val="1"/>
                <w:color w:val="auto"/>
                <w:w w:val="88"/>
              </w:rPr>
              <w:t>Comprehensive</w:t>
            </w:r>
          </w:p>
        </w:tc>
        <w:tc>
          <w:tcPr>
            <w:tcW w:w="40" w:type="dxa"/>
            <w:vAlign w:val="bottom"/>
          </w:tcPr>
          <w:p>
            <w:pPr>
              <w:spacing w:after="0"/>
              <w:rPr>
                <w:sz w:val="8"/>
                <w:szCs w:val="8"/>
                <w:color w:val="auto"/>
              </w:rPr>
            </w:pPr>
          </w:p>
        </w:tc>
        <w:tc>
          <w:tcPr>
            <w:tcW w:w="1900" w:type="dxa"/>
            <w:vAlign w:val="bottom"/>
            <w:gridSpan w:val="8"/>
            <w:vMerge w:val="continue"/>
          </w:tcPr>
          <w:p>
            <w:pPr>
              <w:spacing w:after="0"/>
              <w:rPr>
                <w:sz w:val="8"/>
                <w:szCs w:val="8"/>
                <w:color w:val="auto"/>
              </w:rPr>
            </w:pPr>
          </w:p>
        </w:tc>
        <w:tc>
          <w:tcPr>
            <w:tcW w:w="940" w:type="dxa"/>
            <w:vAlign w:val="bottom"/>
            <w:gridSpan w:val="2"/>
            <w:vMerge w:val="restart"/>
          </w:tcPr>
          <w:p>
            <w:pPr>
              <w:ind w:left="20"/>
              <w:spacing w:after="0" w:line="156" w:lineRule="exact"/>
              <w:rPr>
                <w:sz w:val="20"/>
                <w:szCs w:val="20"/>
                <w:color w:val="auto"/>
              </w:rPr>
            </w:pPr>
            <w:r>
              <w:rPr>
                <w:rFonts w:ascii="Arial" w:cs="Arial" w:eastAsia="Arial" w:hAnsi="Arial"/>
                <w:sz w:val="15"/>
                <w:szCs w:val="15"/>
                <w:b w:val="1"/>
                <w:bCs w:val="1"/>
                <w:color w:val="auto"/>
                <w:w w:val="91"/>
              </w:rPr>
              <w:t>Stockholders'</w:t>
            </w:r>
          </w:p>
        </w:tc>
        <w:tc>
          <w:tcPr>
            <w:tcW w:w="0" w:type="dxa"/>
            <w:vAlign w:val="bottom"/>
          </w:tcPr>
          <w:p>
            <w:pPr>
              <w:spacing w:after="0"/>
              <w:rPr>
                <w:sz w:val="1"/>
                <w:szCs w:val="1"/>
                <w:color w:val="auto"/>
              </w:rPr>
            </w:pPr>
          </w:p>
        </w:tc>
      </w:tr>
      <w:tr>
        <w:trPr>
          <w:trHeight w:val="36"/>
        </w:trPr>
        <w:tc>
          <w:tcPr>
            <w:tcW w:w="4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0"/>
        </w:trPr>
        <w:tc>
          <w:tcPr>
            <w:tcW w:w="418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(For the three months ended June 30, 2022)</w:t>
            </w:r>
          </w:p>
        </w:tc>
        <w:tc>
          <w:tcPr>
            <w:tcW w:w="20" w:type="dxa"/>
            <w:vAlign w:val="bottom"/>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86"/>
              </w:rPr>
              <w:t>Stock Issued</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Capital</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5"/>
                <w:szCs w:val="15"/>
                <w:b w:val="1"/>
                <w:bCs w:val="1"/>
                <w:color w:val="auto"/>
                <w:w w:val="79"/>
              </w:rPr>
              <w:t>Loss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Shares</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w w:val="98"/>
              </w:rPr>
              <w:t>Amount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1"/>
              </w:rPr>
              <w:t>Deficit</w:t>
            </w:r>
          </w:p>
        </w:tc>
        <w:tc>
          <w:tcPr>
            <w:tcW w:w="0" w:type="dxa"/>
            <w:vAlign w:val="bottom"/>
          </w:tcPr>
          <w:p>
            <w:pPr>
              <w:spacing w:after="0"/>
              <w:rPr>
                <w:sz w:val="1"/>
                <w:szCs w:val="1"/>
                <w:color w:val="auto"/>
              </w:rPr>
            </w:pPr>
          </w:p>
        </w:tc>
      </w:tr>
      <w:tr>
        <w:trPr>
          <w:trHeight w:val="198"/>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1,110.4</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2,769.8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51.1</w:t>
            </w:r>
          </w:p>
        </w:tc>
        <w:tc>
          <w:tcPr>
            <w:tcW w:w="24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(4,210.8)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(410.2)</w:t>
            </w:r>
          </w:p>
        </w:tc>
        <w:tc>
          <w:tcPr>
            <w:tcW w:w="0" w:type="dxa"/>
            <w:vAlign w:val="bottom"/>
          </w:tcPr>
          <w:p>
            <w:pPr>
              <w:spacing w:after="0"/>
              <w:rPr>
                <w:sz w:val="1"/>
                <w:szCs w:val="1"/>
                <w:color w:val="auto"/>
              </w:rPr>
            </w:pPr>
          </w:p>
        </w:tc>
      </w:tr>
      <w:tr>
        <w:trPr>
          <w:trHeight w:val="191"/>
        </w:trPr>
        <w:tc>
          <w:tcPr>
            <w:tcW w:w="41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177.2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177.2</w:t>
            </w: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$1.06 per share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96"/>
              </w:rPr>
              <w:t>(37.5)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20"/>
              <w:spacing w:after="0" w:line="165" w:lineRule="exact"/>
              <w:rPr>
                <w:sz w:val="20"/>
                <w:szCs w:val="20"/>
                <w:color w:val="auto"/>
              </w:rPr>
            </w:pPr>
            <w:r>
              <w:rPr>
                <w:rFonts w:ascii="Arial" w:cs="Arial" w:eastAsia="Arial" w:hAnsi="Arial"/>
                <w:sz w:val="15"/>
                <w:szCs w:val="15"/>
                <w:color w:val="auto"/>
              </w:rPr>
              <w:t>Pension and post-retirement liability changes, net of tax</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 of $0.2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47"/>
        </w:trPr>
        <w:tc>
          <w:tcPr>
            <w:tcW w:w="4180" w:type="dxa"/>
            <w:vAlign w:val="bottom"/>
          </w:tcPr>
          <w:p>
            <w:pPr>
              <w:ind w:left="220"/>
              <w:spacing w:after="0" w:line="147" w:lineRule="exact"/>
              <w:rPr>
                <w:sz w:val="20"/>
                <w:szCs w:val="20"/>
                <w:color w:val="auto"/>
              </w:rPr>
            </w:pPr>
            <w:r>
              <w:rPr>
                <w:rFonts w:ascii="Arial" w:cs="Arial" w:eastAsia="Arial" w:hAnsi="Arial"/>
                <w:sz w:val="15"/>
                <w:szCs w:val="15"/>
                <w:color w:val="auto"/>
              </w:rPr>
              <w:t>Share of equity method investments other comprehensive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3"/>
            <w:vMerge w:val="restart"/>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0.7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191"/>
        </w:trPr>
        <w:tc>
          <w:tcPr>
            <w:tcW w:w="4180" w:type="dxa"/>
            <w:vAlign w:val="bottom"/>
          </w:tcPr>
          <w:p>
            <w:pPr>
              <w:ind w:left="220"/>
              <w:spacing w:after="0"/>
              <w:rPr>
                <w:sz w:val="20"/>
                <w:szCs w:val="20"/>
                <w:color w:val="auto"/>
              </w:rPr>
            </w:pPr>
            <w:r>
              <w:rPr>
                <w:rFonts w:ascii="Arial" w:cs="Arial" w:eastAsia="Arial" w:hAnsi="Arial"/>
                <w:sz w:val="15"/>
                <w:szCs w:val="15"/>
                <w:color w:val="auto"/>
              </w:rPr>
              <w:t>income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Change in cash flow hedges, net of tax benefit of $9.2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0.7</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0.2</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Treasury stock purchases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0.6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(127.2)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(100.2)</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1,144.0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2,909.5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51.7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(4,337.8)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(401.3)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LENNOX INTERNATIONAL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and six months ended June 30, 2023 and 2022 (Unaudited)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restart"/>
          </w:tcPr>
          <w:p>
            <w:pPr>
              <w:jc w:val="right"/>
              <w:ind w:right="25"/>
              <w:spacing w:after="0"/>
              <w:rPr>
                <w:sz w:val="20"/>
                <w:szCs w:val="20"/>
                <w:color w:val="auto"/>
              </w:rPr>
            </w:pPr>
            <w:r>
              <w:rPr>
                <w:rFonts w:ascii="Arial" w:cs="Arial" w:eastAsia="Arial" w:hAnsi="Arial"/>
                <w:sz w:val="15"/>
                <w:szCs w:val="15"/>
                <w:b w:val="1"/>
                <w:bCs w:val="1"/>
                <w:color w:val="auto"/>
              </w:rPr>
              <w:t>Additional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47"/>
        </w:trPr>
        <w:tc>
          <w:tcPr>
            <w:tcW w:w="4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200"/>
              <w:spacing w:after="0" w:line="147" w:lineRule="exact"/>
              <w:rPr>
                <w:sz w:val="20"/>
                <w:szCs w:val="20"/>
                <w:color w:val="auto"/>
              </w:rPr>
            </w:pPr>
            <w:r>
              <w:rPr>
                <w:rFonts w:ascii="Arial" w:cs="Arial" w:eastAsia="Arial" w:hAnsi="Arial"/>
                <w:sz w:val="15"/>
                <w:szCs w:val="15"/>
                <w:b w:val="1"/>
                <w:bCs w:val="1"/>
                <w:color w:val="auto"/>
                <w:w w:val="99"/>
              </w:rPr>
              <w:t>Other</w:t>
            </w:r>
          </w:p>
        </w:tc>
        <w:tc>
          <w:tcPr>
            <w:tcW w:w="20" w:type="dxa"/>
            <w:vAlign w:val="bottom"/>
          </w:tcPr>
          <w:p>
            <w:pPr>
              <w:spacing w:after="0"/>
              <w:rPr>
                <w:sz w:val="12"/>
                <w:szCs w:val="12"/>
                <w:color w:val="auto"/>
              </w:rPr>
            </w:pPr>
          </w:p>
        </w:tc>
        <w:tc>
          <w:tcPr>
            <w:tcW w:w="1800" w:type="dxa"/>
            <w:vAlign w:val="bottom"/>
            <w:gridSpan w:val="6"/>
            <w:vMerge w:val="restart"/>
          </w:tcPr>
          <w:p>
            <w:pPr>
              <w:jc w:val="right"/>
              <w:ind w:right="84"/>
              <w:spacing w:after="0"/>
              <w:rPr>
                <w:sz w:val="20"/>
                <w:szCs w:val="20"/>
                <w:color w:val="auto"/>
              </w:rPr>
            </w:pPr>
            <w:r>
              <w:rPr>
                <w:rFonts w:ascii="Arial" w:cs="Arial" w:eastAsia="Arial" w:hAnsi="Arial"/>
                <w:sz w:val="15"/>
                <w:szCs w:val="15"/>
                <w:b w:val="1"/>
                <w:bCs w:val="1"/>
                <w:color w:val="auto"/>
                <w:w w:val="99"/>
              </w:rPr>
              <w:t>Treasury Stock at Cost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4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vMerge w:val="restart"/>
          </w:tcPr>
          <w:p>
            <w:pPr>
              <w:jc w:val="center"/>
              <w:ind w:right="45"/>
              <w:spacing w:after="0" w:line="127" w:lineRule="exact"/>
              <w:rPr>
                <w:sz w:val="20"/>
                <w:szCs w:val="20"/>
                <w:color w:val="auto"/>
              </w:rPr>
            </w:pPr>
            <w:r>
              <w:rPr>
                <w:rFonts w:ascii="Arial" w:cs="Arial" w:eastAsia="Arial" w:hAnsi="Arial"/>
                <w:sz w:val="14"/>
                <w:szCs w:val="14"/>
                <w:b w:val="1"/>
                <w:bCs w:val="1"/>
                <w:color w:val="auto"/>
                <w:w w:val="95"/>
              </w:rPr>
              <w:t>Common</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ind w:right="125"/>
              <w:spacing w:after="0" w:line="127"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vMerge w:val="restart"/>
          </w:tcPr>
          <w:p>
            <w:pPr>
              <w:jc w:val="right"/>
              <w:ind w:right="85"/>
              <w:spacing w:after="0" w:line="127" w:lineRule="exact"/>
              <w:rPr>
                <w:sz w:val="20"/>
                <w:szCs w:val="20"/>
                <w:color w:val="auto"/>
              </w:rPr>
            </w:pPr>
            <w:r>
              <w:rPr>
                <w:rFonts w:ascii="Arial" w:cs="Arial" w:eastAsia="Arial" w:hAnsi="Arial"/>
                <w:sz w:val="14"/>
                <w:szCs w:val="14"/>
                <w:b w:val="1"/>
                <w:bCs w:val="1"/>
                <w:color w:val="auto"/>
                <w:w w:val="94"/>
              </w:rPr>
              <w:t>Retained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gridSpan w:val="4"/>
            <w:vMerge w:val="restart"/>
          </w:tcPr>
          <w:p>
            <w:pPr>
              <w:jc w:val="center"/>
              <w:ind w:right="120"/>
              <w:spacing w:after="0" w:line="127" w:lineRule="exact"/>
              <w:rPr>
                <w:sz w:val="20"/>
                <w:szCs w:val="20"/>
                <w:color w:val="auto"/>
              </w:rPr>
            </w:pPr>
            <w:r>
              <w:rPr>
                <w:rFonts w:ascii="Arial" w:cs="Arial" w:eastAsia="Arial" w:hAnsi="Arial"/>
                <w:sz w:val="14"/>
                <w:szCs w:val="14"/>
                <w:b w:val="1"/>
                <w:bCs w:val="1"/>
                <w:color w:val="auto"/>
                <w:w w:val="95"/>
              </w:rPr>
              <w:t>Comprehensive</w:t>
            </w:r>
          </w:p>
        </w:tc>
        <w:tc>
          <w:tcPr>
            <w:tcW w:w="20" w:type="dxa"/>
            <w:vAlign w:val="bottom"/>
          </w:tcPr>
          <w:p>
            <w:pPr>
              <w:spacing w:after="0"/>
              <w:rPr>
                <w:sz w:val="9"/>
                <w:szCs w:val="9"/>
                <w:color w:val="auto"/>
              </w:rPr>
            </w:pPr>
          </w:p>
        </w:tc>
        <w:tc>
          <w:tcPr>
            <w:tcW w:w="1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center"/>
              <w:spacing w:after="0" w:line="127" w:lineRule="exact"/>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(For the six months ended June 30, 2023)</w:t>
            </w:r>
          </w:p>
        </w:tc>
        <w:tc>
          <w:tcPr>
            <w:tcW w:w="880" w:type="dxa"/>
            <w:vAlign w:val="bottom"/>
            <w:gridSpan w:val="2"/>
          </w:tcPr>
          <w:p>
            <w:pPr>
              <w:jc w:val="center"/>
              <w:spacing w:after="0"/>
              <w:rPr>
                <w:sz w:val="20"/>
                <w:szCs w:val="20"/>
                <w:color w:val="auto"/>
              </w:rPr>
            </w:pPr>
            <w:r>
              <w:rPr>
                <w:rFonts w:ascii="Arial" w:cs="Arial" w:eastAsia="Arial" w:hAnsi="Arial"/>
                <w:sz w:val="15"/>
                <w:szCs w:val="15"/>
                <w:b w:val="1"/>
                <w:bCs w:val="1"/>
                <w:color w:val="auto"/>
                <w:w w:val="88"/>
              </w:rPr>
              <w:t>Stock Issued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125"/>
              <w:spacing w:after="0"/>
              <w:rPr>
                <w:sz w:val="20"/>
                <w:szCs w:val="20"/>
                <w:color w:val="auto"/>
              </w:rPr>
            </w:pPr>
            <w:r>
              <w:rPr>
                <w:rFonts w:ascii="Arial" w:cs="Arial" w:eastAsia="Arial" w:hAnsi="Arial"/>
                <w:sz w:val="15"/>
                <w:szCs w:val="15"/>
                <w:b w:val="1"/>
                <w:bCs w:val="1"/>
                <w:color w:val="auto"/>
              </w:rPr>
              <w:t>Capital</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65"/>
              <w:spacing w:after="0"/>
              <w:rPr>
                <w:sz w:val="20"/>
                <w:szCs w:val="20"/>
                <w:color w:val="auto"/>
              </w:rPr>
            </w:pPr>
            <w:r>
              <w:rPr>
                <w:rFonts w:ascii="Arial" w:cs="Arial" w:eastAsia="Arial" w:hAnsi="Arial"/>
                <w:sz w:val="15"/>
                <w:szCs w:val="15"/>
                <w:b w:val="1"/>
                <w:bCs w:val="1"/>
                <w:color w:val="auto"/>
                <w:w w:val="90"/>
              </w:rPr>
              <w:t>Earnings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5"/>
                <w:szCs w:val="15"/>
                <w:b w:val="1"/>
                <w:bCs w:val="1"/>
                <w:color w:val="auto"/>
                <w:w w:val="79"/>
              </w:rPr>
              <w:t>Loss</w:t>
            </w:r>
          </w:p>
        </w:tc>
        <w:tc>
          <w:tcPr>
            <w:tcW w:w="20" w:type="dxa"/>
            <w:vAlign w:val="bottom"/>
          </w:tcPr>
          <w:p>
            <w:pPr>
              <w:spacing w:after="0"/>
              <w:rPr>
                <w:sz w:val="17"/>
                <w:szCs w:val="17"/>
                <w:color w:val="auto"/>
              </w:rPr>
            </w:pPr>
          </w:p>
        </w:tc>
        <w:tc>
          <w:tcPr>
            <w:tcW w:w="840" w:type="dxa"/>
            <w:vAlign w:val="bottom"/>
          </w:tcPr>
          <w:p>
            <w:pPr>
              <w:jc w:val="right"/>
              <w:ind w:right="124"/>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04"/>
              <w:spacing w:after="0"/>
              <w:rPr>
                <w:sz w:val="20"/>
                <w:szCs w:val="20"/>
                <w:color w:val="auto"/>
              </w:rPr>
            </w:pPr>
            <w:r>
              <w:rPr>
                <w:rFonts w:ascii="Arial" w:cs="Arial" w:eastAsia="Arial" w:hAnsi="Arial"/>
                <w:sz w:val="15"/>
                <w:szCs w:val="15"/>
                <w:b w:val="1"/>
                <w:bCs w:val="1"/>
                <w:color w:val="auto"/>
                <w:w w:val="95"/>
              </w:rPr>
              <w:t>Amount</w:t>
            </w:r>
          </w:p>
        </w:tc>
        <w:tc>
          <w:tcPr>
            <w:tcW w:w="80" w:type="dxa"/>
            <w:vAlign w:val="bottom"/>
          </w:tcPr>
          <w:p>
            <w:pPr>
              <w:spacing w:after="0"/>
              <w:rPr>
                <w:sz w:val="17"/>
                <w:szCs w:val="17"/>
                <w:color w:val="auto"/>
              </w:rPr>
            </w:pPr>
          </w:p>
        </w:tc>
        <w:tc>
          <w:tcPr>
            <w:tcW w:w="10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6"/>
              </w:rPr>
              <w:t>Equity (Deficit)</w:t>
            </w:r>
          </w:p>
        </w:tc>
        <w:tc>
          <w:tcPr>
            <w:tcW w:w="0" w:type="dxa"/>
            <w:vAlign w:val="bottom"/>
          </w:tcPr>
          <w:p>
            <w:pPr>
              <w:spacing w:after="0"/>
              <w:rPr>
                <w:sz w:val="1"/>
                <w:szCs w:val="1"/>
                <w:color w:val="auto"/>
              </w:rPr>
            </w:pPr>
          </w:p>
        </w:tc>
      </w:tr>
      <w:tr>
        <w:trPr>
          <w:trHeight w:val="198"/>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1,155.2</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3,070.6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(90.6)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51.7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(4,339.2)</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(203.1)</w:t>
            </w:r>
          </w:p>
        </w:tc>
        <w:tc>
          <w:tcPr>
            <w:tcW w:w="0" w:type="dxa"/>
            <w:vAlign w:val="bottom"/>
          </w:tcPr>
          <w:p>
            <w:pPr>
              <w:spacing w:after="0"/>
              <w:rPr>
                <w:sz w:val="1"/>
                <w:szCs w:val="1"/>
                <w:color w:val="auto"/>
              </w:rPr>
            </w:pPr>
          </w:p>
        </w:tc>
      </w:tr>
      <w:tr>
        <w:trPr>
          <w:trHeight w:val="191"/>
        </w:trPr>
        <w:tc>
          <w:tcPr>
            <w:tcW w:w="41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315.2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315.2</w:t>
            </w: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$2.16 per share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(76.8)</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14.3</w:t>
            </w:r>
          </w:p>
        </w:tc>
        <w:tc>
          <w:tcPr>
            <w:tcW w:w="0" w:type="dxa"/>
            <w:vAlign w:val="bottom"/>
          </w:tcPr>
          <w:p>
            <w:pPr>
              <w:spacing w:after="0"/>
              <w:rPr>
                <w:sz w:val="1"/>
                <w:szCs w:val="1"/>
                <w:color w:val="auto"/>
              </w:rPr>
            </w:pPr>
          </w:p>
        </w:tc>
      </w:tr>
      <w:tr>
        <w:trPr>
          <w:trHeight w:val="165"/>
        </w:trPr>
        <w:tc>
          <w:tcPr>
            <w:tcW w:w="4180" w:type="dxa"/>
            <w:vAlign w:val="bottom"/>
            <w:shd w:val="clear" w:color="auto" w:fill="CCEEFF"/>
          </w:tcPr>
          <w:p>
            <w:pPr>
              <w:ind w:left="220"/>
              <w:spacing w:after="0" w:line="165" w:lineRule="exact"/>
              <w:rPr>
                <w:sz w:val="20"/>
                <w:szCs w:val="20"/>
                <w:color w:val="auto"/>
              </w:rPr>
            </w:pPr>
            <w:r>
              <w:rPr>
                <w:rFonts w:ascii="Arial" w:cs="Arial" w:eastAsia="Arial" w:hAnsi="Arial"/>
                <w:sz w:val="15"/>
                <w:szCs w:val="15"/>
                <w:color w:val="auto"/>
              </w:rPr>
              <w:t>Pension and post-retirement liability changes, net of tax</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 of $0.0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Stock-based compensation expense</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198"/>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Change in cash flow hedges, net of tax expense of $0.4</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0.3</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0"/>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5"/>
                <w:szCs w:val="15"/>
                <w:color w:val="auto"/>
              </w:rPr>
              <w:t>Treasury stock purchases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8"/>
        </w:trPr>
        <w:tc>
          <w:tcPr>
            <w:tcW w:w="4180" w:type="dxa"/>
            <w:vAlign w:val="bottom"/>
          </w:tcPr>
          <w:p>
            <w:pPr>
              <w:ind w:left="20"/>
              <w:spacing w:after="0"/>
              <w:rPr>
                <w:sz w:val="20"/>
                <w:szCs w:val="20"/>
                <w:color w:val="auto"/>
              </w:rPr>
            </w:pPr>
            <w:r>
              <w:rPr>
                <w:rFonts w:ascii="Arial" w:cs="Arial" w:eastAsia="Arial" w:hAnsi="Arial"/>
                <w:sz w:val="15"/>
                <w:szCs w:val="15"/>
                <w:b w:val="1"/>
                <w:bCs w:val="1"/>
                <w:color w:val="auto"/>
              </w:rPr>
              <w:t>Balance as of June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0.9</w:t>
            </w:r>
          </w:p>
        </w:tc>
        <w:tc>
          <w:tcPr>
            <w:tcW w:w="100" w:type="dxa"/>
            <w:vAlign w:val="bottom"/>
            <w:gridSpan w:val="2"/>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1,169.3</w:t>
            </w:r>
          </w:p>
        </w:tc>
        <w:tc>
          <w:tcPr>
            <w:tcW w:w="8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3,309.0</w:t>
            </w:r>
          </w:p>
        </w:tc>
        <w:tc>
          <w:tcPr>
            <w:tcW w:w="80" w:type="dxa"/>
            <w:vAlign w:val="bottom"/>
            <w:gridSpan w:val="2"/>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51.7</w:t>
            </w:r>
          </w:p>
        </w:tc>
        <w:tc>
          <w:tcPr>
            <w:tcW w:w="8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w w:val="95"/>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(4,340.8)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b w:val="1"/>
                <w:bCs w:val="1"/>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62.6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4"/>
        </w:trPr>
        <w:tc>
          <w:tcPr>
            <w:tcW w:w="4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Accumulated</w:t>
            </w: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w w:val="92"/>
              </w:rPr>
              <w:t>Additional</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4"/>
              </w:rPr>
              <w:t>Other</w:t>
            </w:r>
          </w:p>
        </w:tc>
        <w:tc>
          <w:tcPr>
            <w:tcW w:w="20" w:type="dxa"/>
            <w:vAlign w:val="bottom"/>
          </w:tcPr>
          <w:p>
            <w:pPr>
              <w:spacing w:after="0"/>
              <w:rPr>
                <w:sz w:val="16"/>
                <w:szCs w:val="16"/>
                <w:color w:val="auto"/>
              </w:rPr>
            </w:pPr>
          </w:p>
        </w:tc>
        <w:tc>
          <w:tcPr>
            <w:tcW w:w="1800" w:type="dxa"/>
            <w:vAlign w:val="bottom"/>
            <w:gridSpan w:val="6"/>
          </w:tcPr>
          <w:p>
            <w:pPr>
              <w:jc w:val="right"/>
              <w:ind w:right="84"/>
              <w:spacing w:after="0"/>
              <w:rPr>
                <w:sz w:val="20"/>
                <w:szCs w:val="20"/>
                <w:color w:val="auto"/>
              </w:rPr>
            </w:pPr>
            <w:r>
              <w:rPr>
                <w:rFonts w:ascii="Arial" w:cs="Arial" w:eastAsia="Arial" w:hAnsi="Arial"/>
                <w:sz w:val="15"/>
                <w:szCs w:val="15"/>
                <w:b w:val="1"/>
                <w:bCs w:val="1"/>
                <w:color w:val="auto"/>
                <w:w w:val="99"/>
              </w:rPr>
              <w:t>Treasury Stock at Cost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right="124"/>
              <w:spacing w:after="0"/>
              <w:rPr>
                <w:sz w:val="20"/>
                <w:szCs w:val="20"/>
                <w:color w:val="auto"/>
              </w:rPr>
            </w:pPr>
            <w:r>
              <w:rPr>
                <w:rFonts w:ascii="Arial" w:cs="Arial" w:eastAsia="Arial" w:hAnsi="Arial"/>
                <w:sz w:val="15"/>
                <w:szCs w:val="15"/>
                <w:b w:val="1"/>
                <w:bCs w:val="1"/>
                <w:color w:val="auto"/>
                <w:w w:val="89"/>
              </w:rPr>
              <w:t>Total</w:t>
            </w:r>
          </w:p>
        </w:tc>
        <w:tc>
          <w:tcPr>
            <w:tcW w:w="0" w:type="dxa"/>
            <w:vAlign w:val="bottom"/>
          </w:tcPr>
          <w:p>
            <w:pPr>
              <w:spacing w:after="0"/>
              <w:rPr>
                <w:sz w:val="1"/>
                <w:szCs w:val="1"/>
                <w:color w:val="auto"/>
              </w:rPr>
            </w:pPr>
          </w:p>
        </w:tc>
      </w:tr>
      <w:tr>
        <w:trPr>
          <w:trHeight w:val="53"/>
        </w:trPr>
        <w:tc>
          <w:tcPr>
            <w:tcW w:w="4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vMerge w:val="restart"/>
          </w:tcPr>
          <w:p>
            <w:pPr>
              <w:jc w:val="center"/>
              <w:ind w:right="25"/>
              <w:spacing w:after="0" w:line="121" w:lineRule="exact"/>
              <w:rPr>
                <w:sz w:val="20"/>
                <w:szCs w:val="20"/>
                <w:color w:val="auto"/>
              </w:rPr>
            </w:pPr>
            <w:r>
              <w:rPr>
                <w:rFonts w:ascii="Arial" w:cs="Arial" w:eastAsia="Arial" w:hAnsi="Arial"/>
                <w:sz w:val="13"/>
                <w:szCs w:val="13"/>
                <w:b w:val="1"/>
                <w:bCs w:val="1"/>
                <w:color w:val="auto"/>
              </w:rPr>
              <w:t>Common</w:t>
            </w: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restart"/>
          </w:tcPr>
          <w:p>
            <w:pPr>
              <w:jc w:val="right"/>
              <w:ind w:right="85"/>
              <w:spacing w:after="0" w:line="121" w:lineRule="exact"/>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restart"/>
          </w:tcPr>
          <w:p>
            <w:pPr>
              <w:jc w:val="right"/>
              <w:ind w:right="45"/>
              <w:spacing w:after="0" w:line="121" w:lineRule="exact"/>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160" w:type="dxa"/>
            <w:vAlign w:val="bottom"/>
            <w:gridSpan w:val="4"/>
            <w:vMerge w:val="restart"/>
          </w:tcPr>
          <w:p>
            <w:pPr>
              <w:jc w:val="center"/>
              <w:ind w:right="80"/>
              <w:spacing w:after="0" w:line="121" w:lineRule="exact"/>
              <w:rPr>
                <w:sz w:val="20"/>
                <w:szCs w:val="20"/>
                <w:color w:val="auto"/>
              </w:rPr>
            </w:pPr>
            <w:r>
              <w:rPr>
                <w:rFonts w:ascii="Arial" w:cs="Arial" w:eastAsia="Arial" w:hAnsi="Arial"/>
                <w:sz w:val="13"/>
                <w:szCs w:val="13"/>
                <w:b w:val="1"/>
                <w:bCs w:val="1"/>
                <w:color w:val="auto"/>
              </w:rPr>
              <w:t>Comprehensive</w:t>
            </w:r>
          </w:p>
        </w:tc>
        <w:tc>
          <w:tcPr>
            <w:tcW w:w="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vMerge w:val="restart"/>
          </w:tcPr>
          <w:p>
            <w:pPr>
              <w:jc w:val="center"/>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47"/>
        </w:trPr>
        <w:tc>
          <w:tcPr>
            <w:tcW w:w="4180" w:type="dxa"/>
            <w:vAlign w:val="bottom"/>
            <w:vMerge w:val="restart"/>
          </w:tcPr>
          <w:p>
            <w:pPr>
              <w:ind w:left="20"/>
              <w:spacing w:after="0"/>
              <w:rPr>
                <w:sz w:val="20"/>
                <w:szCs w:val="20"/>
                <w:color w:val="auto"/>
              </w:rPr>
            </w:pPr>
            <w:r>
              <w:rPr>
                <w:rFonts w:ascii="Arial" w:cs="Arial" w:eastAsia="Arial" w:hAnsi="Arial"/>
                <w:sz w:val="15"/>
                <w:szCs w:val="15"/>
                <w:b w:val="1"/>
                <w:bCs w:val="1"/>
                <w:i w:val="1"/>
                <w:iCs w:val="1"/>
                <w:color w:val="auto"/>
              </w:rPr>
              <w:t>(For the six months ended June 30, 2022)</w:t>
            </w:r>
          </w:p>
        </w:tc>
        <w:tc>
          <w:tcPr>
            <w:tcW w:w="14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rPr>
              <w:t>Shares</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restart"/>
          </w:tcPr>
          <w:p>
            <w:pPr>
              <w:jc w:val="right"/>
              <w:ind w:right="84"/>
              <w:spacing w:after="0"/>
              <w:rPr>
                <w:sz w:val="20"/>
                <w:szCs w:val="20"/>
                <w:color w:val="auto"/>
              </w:rPr>
            </w:pPr>
            <w:r>
              <w:rPr>
                <w:rFonts w:ascii="Arial" w:cs="Arial" w:eastAsia="Arial" w:hAnsi="Arial"/>
                <w:sz w:val="15"/>
                <w:szCs w:val="15"/>
                <w:b w:val="1"/>
                <w:bCs w:val="1"/>
                <w:color w:val="auto"/>
                <w:w w:val="98"/>
              </w:rPr>
              <w:t>Amount</w:t>
            </w:r>
          </w:p>
        </w:tc>
        <w:tc>
          <w:tcPr>
            <w:tcW w:w="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4180" w:type="dxa"/>
            <w:vAlign w:val="bottom"/>
            <w:vMerge w:val="continue"/>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6"/>
              </w:rPr>
              <w:t>Stock Issued</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Capital</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93"/>
              </w:rPr>
              <w:t>Earnings</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5"/>
                <w:szCs w:val="15"/>
                <w:b w:val="1"/>
                <w:bCs w:val="1"/>
                <w:color w:val="auto"/>
                <w:w w:val="85"/>
              </w:rPr>
              <w:t>Loss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w w:val="95"/>
              </w:rPr>
              <w:t>Deficit</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1,133.7</w:t>
            </w: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2,719.3</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(88.1)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50.5</w:t>
            </w: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(4,034.8)</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(269.0)</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Net income</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260.8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260.8</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Dividends, $1.98 per share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(70.6)</w:t>
            </w:r>
          </w:p>
        </w:tc>
        <w:tc>
          <w:tcPr>
            <w:tcW w:w="0" w:type="dxa"/>
            <w:vAlign w:val="bottom"/>
          </w:tcPr>
          <w:p>
            <w:pPr>
              <w:spacing w:after="0"/>
              <w:rPr>
                <w:sz w:val="1"/>
                <w:szCs w:val="1"/>
                <w:color w:val="auto"/>
              </w:rPr>
            </w:pPr>
          </w:p>
        </w:tc>
      </w:tr>
      <w:tr>
        <w:trPr>
          <w:trHeight w:val="191"/>
        </w:trPr>
        <w:tc>
          <w:tcPr>
            <w:tcW w:w="4180" w:type="dxa"/>
            <w:vAlign w:val="bottom"/>
          </w:tcPr>
          <w:p>
            <w:pPr>
              <w:ind w:left="220"/>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4180" w:type="dxa"/>
            <w:vAlign w:val="bottom"/>
            <w:shd w:val="clear" w:color="auto" w:fill="CCEEFF"/>
          </w:tcPr>
          <w:p>
            <w:pPr>
              <w:ind w:left="220"/>
              <w:spacing w:after="0" w:line="147" w:lineRule="exact"/>
              <w:rPr>
                <w:sz w:val="20"/>
                <w:szCs w:val="20"/>
                <w:color w:val="auto"/>
              </w:rPr>
            </w:pPr>
            <w:r>
              <w:rPr>
                <w:rFonts w:ascii="Arial" w:cs="Arial" w:eastAsia="Arial" w:hAnsi="Arial"/>
                <w:sz w:val="15"/>
                <w:szCs w:val="15"/>
                <w:color w:val="auto"/>
              </w:rPr>
              <w:t>Pension and post-retirement liability changes, net of tax</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expense of $0.6</w:t>
            </w: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180" w:type="dxa"/>
            <w:vAlign w:val="bottom"/>
          </w:tcPr>
          <w:p>
            <w:pPr>
              <w:ind w:left="220"/>
              <w:spacing w:after="0" w:line="161" w:lineRule="exact"/>
              <w:rPr>
                <w:sz w:val="20"/>
                <w:szCs w:val="20"/>
                <w:color w:val="auto"/>
              </w:rPr>
            </w:pPr>
            <w:r>
              <w:rPr>
                <w:rFonts w:ascii="Arial" w:cs="Arial" w:eastAsia="Arial" w:hAnsi="Arial"/>
                <w:sz w:val="15"/>
                <w:szCs w:val="15"/>
                <w:color w:val="auto"/>
              </w:rPr>
              <w:t>Share of equity method investments other comprehensive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income</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05"/>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Stock-based compensation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191"/>
        </w:trPr>
        <w:tc>
          <w:tcPr>
            <w:tcW w:w="4180" w:type="dxa"/>
            <w:vAlign w:val="bottom"/>
          </w:tcPr>
          <w:p>
            <w:pPr>
              <w:ind w:left="220"/>
              <w:spacing w:after="0"/>
              <w:rPr>
                <w:sz w:val="20"/>
                <w:szCs w:val="20"/>
                <w:color w:val="auto"/>
              </w:rPr>
            </w:pPr>
            <w:r>
              <w:rPr>
                <w:rFonts w:ascii="Arial" w:cs="Arial" w:eastAsia="Arial" w:hAnsi="Arial"/>
                <w:sz w:val="15"/>
                <w:szCs w:val="15"/>
                <w:color w:val="auto"/>
              </w:rPr>
              <w:t>Change in cash flow hedges, net of tax benefit of $6.2</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(21.4)</w:t>
            </w:r>
          </w:p>
        </w:tc>
        <w:tc>
          <w:tcPr>
            <w:tcW w:w="0" w:type="dxa"/>
            <w:vAlign w:val="bottom"/>
          </w:tcPr>
          <w:p>
            <w:pPr>
              <w:spacing w:after="0"/>
              <w:rPr>
                <w:sz w:val="1"/>
                <w:szCs w:val="1"/>
                <w:color w:val="auto"/>
              </w:rPr>
            </w:pPr>
          </w:p>
        </w:tc>
      </w:tr>
      <w:tr>
        <w:trPr>
          <w:trHeight w:val="23"/>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Treasury shares reissued for common stock</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(0.1)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96"/>
        </w:trPr>
        <w:tc>
          <w:tcPr>
            <w:tcW w:w="4180" w:type="dxa"/>
            <w:vAlign w:val="bottom"/>
          </w:tcPr>
          <w:p>
            <w:pPr>
              <w:ind w:left="220"/>
              <w:spacing w:after="0"/>
              <w:rPr>
                <w:sz w:val="20"/>
                <w:szCs w:val="20"/>
                <w:color w:val="auto"/>
              </w:rPr>
            </w:pPr>
            <w:r>
              <w:rPr>
                <w:rFonts w:ascii="Arial" w:cs="Arial" w:eastAsia="Arial" w:hAnsi="Arial"/>
                <w:sz w:val="15"/>
                <w:szCs w:val="15"/>
                <w:color w:val="auto"/>
              </w:rPr>
              <w:t>Treasury stock purchases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(305.1)</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(305.1)</w:t>
            </w:r>
          </w:p>
        </w:tc>
        <w:tc>
          <w:tcPr>
            <w:tcW w:w="0" w:type="dxa"/>
            <w:vAlign w:val="bottom"/>
          </w:tcPr>
          <w:p>
            <w:pPr>
              <w:spacing w:after="0"/>
              <w:rPr>
                <w:sz w:val="1"/>
                <w:szCs w:val="1"/>
                <w:color w:val="auto"/>
              </w:rPr>
            </w:pPr>
          </w:p>
        </w:tc>
      </w:tr>
      <w:tr>
        <w:trPr>
          <w:trHeight w:val="232"/>
        </w:trPr>
        <w:tc>
          <w:tcPr>
            <w:tcW w:w="4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June 30, 2022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w:t>
            </w:r>
          </w:p>
        </w:tc>
        <w:tc>
          <w:tcPr>
            <w:tcW w:w="22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1,144.0</w:t>
            </w: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2,909.5</w:t>
            </w: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(117.9)</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51.7</w:t>
            </w:r>
          </w:p>
        </w:tc>
        <w:tc>
          <w:tcPr>
            <w:tcW w:w="220" w:type="dxa"/>
            <w:vAlign w:val="bottom"/>
            <w:gridSpan w:val="4"/>
            <w:shd w:val="clear" w:color="auto" w:fill="CCEEFF"/>
          </w:tcPr>
          <w:p>
            <w:pPr>
              <w:jc w:val="right"/>
              <w:ind w:right="20"/>
              <w:spacing w:after="0"/>
              <w:rPr>
                <w:sz w:val="20"/>
                <w:szCs w:val="20"/>
                <w:color w:val="auto"/>
              </w:rPr>
            </w:pPr>
            <w:r>
              <w:rPr>
                <w:rFonts w:ascii="Arial" w:cs="Arial" w:eastAsia="Arial" w:hAnsi="Arial"/>
                <w:sz w:val="15"/>
                <w:szCs w:val="15"/>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(4,337.8)</w:t>
            </w:r>
          </w:p>
        </w:tc>
        <w:tc>
          <w:tcPr>
            <w:tcW w:w="300" w:type="dxa"/>
            <w:vAlign w:val="bottom"/>
            <w:gridSpan w:val="2"/>
            <w:shd w:val="clear" w:color="auto" w:fill="CCEEFF"/>
          </w:tcPr>
          <w:p>
            <w:pPr>
              <w:jc w:val="right"/>
              <w:ind w:right="48"/>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(401.3)</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Arial" w:cs="Arial" w:eastAsia="Arial" w:hAnsi="Arial"/>
                <w:sz w:val="17"/>
                <w:szCs w:val="17"/>
                <w:b w:val="1"/>
                <w:bCs w:val="1"/>
                <w:i w:val="1"/>
                <w:iCs w:val="1"/>
                <w:color w:val="auto"/>
              </w:rPr>
              <w:t>(Amounts in millions)</w:t>
            </w: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7"/>
                <w:szCs w:val="17"/>
                <w:b w:val="1"/>
                <w:bCs w:val="1"/>
                <w:color w:val="auto"/>
                <w:w w:val="94"/>
              </w:rPr>
              <w:t>For the Six Months Ended June 30,</w:t>
            </w:r>
          </w:p>
        </w:tc>
      </w:tr>
      <w:tr>
        <w:trPr>
          <w:trHeight w:val="209"/>
        </w:trPr>
        <w:tc>
          <w:tcPr>
            <w:tcW w:w="7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2022</w:t>
            </w:r>
          </w:p>
        </w:tc>
      </w:tr>
      <w:tr>
        <w:trPr>
          <w:trHeight w:val="207"/>
        </w:trPr>
        <w:tc>
          <w:tcPr>
            <w:tcW w:w="782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 flows from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1"/>
        </w:trPr>
        <w:tc>
          <w:tcPr>
            <w:tcW w:w="7820" w:type="dxa"/>
            <w:vAlign w:val="bottom"/>
          </w:tcPr>
          <w:p>
            <w:pPr>
              <w:ind w:left="200"/>
              <w:spacing w:after="0"/>
              <w:rPr>
                <w:sz w:val="20"/>
                <w:szCs w:val="20"/>
                <w:color w:val="auto"/>
              </w:rPr>
            </w:pPr>
            <w:r>
              <w:rPr>
                <w:rFonts w:ascii="Arial" w:cs="Arial" w:eastAsia="Arial" w:hAnsi="Arial"/>
                <w:sz w:val="17"/>
                <w:szCs w:val="17"/>
                <w:color w:val="auto"/>
              </w:rPr>
              <w:t>Net income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315.2</w:t>
            </w:r>
          </w:p>
        </w:tc>
        <w:tc>
          <w:tcPr>
            <w:tcW w:w="480" w:type="dxa"/>
            <w:vAlign w:val="bottom"/>
            <w:gridSpan w:val="2"/>
          </w:tcPr>
          <w:p>
            <w:pPr>
              <w:jc w:val="right"/>
              <w:ind w:right="20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260.8</w:t>
            </w:r>
          </w:p>
        </w:tc>
      </w:tr>
      <w:tr>
        <w:trPr>
          <w:trHeight w:val="233"/>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4"/>
        </w:trPr>
        <w:tc>
          <w:tcPr>
            <w:tcW w:w="7820" w:type="dxa"/>
            <w:vAlign w:val="bottom"/>
          </w:tcPr>
          <w:p>
            <w:pPr>
              <w:ind w:left="460"/>
              <w:spacing w:after="0"/>
              <w:rPr>
                <w:sz w:val="20"/>
                <w:szCs w:val="20"/>
                <w:color w:val="auto"/>
              </w:rPr>
            </w:pPr>
            <w:r>
              <w:rPr>
                <w:rFonts w:ascii="Arial" w:cs="Arial" w:eastAsia="Arial" w:hAnsi="Arial"/>
                <w:sz w:val="17"/>
                <w:szCs w:val="17"/>
                <w:color w:val="auto"/>
              </w:rPr>
              <w:t>Income from equity method investments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27"/>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Restructuring charges, net of cash paid</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Provision for credit losses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20"/>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Unrealized losses, net on derivative contracts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Stock-based compensation expense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w:t>
            </w:r>
          </w:p>
        </w:tc>
      </w:tr>
      <w:tr>
        <w:trPr>
          <w:trHeight w:val="214"/>
        </w:trPr>
        <w:tc>
          <w:tcPr>
            <w:tcW w:w="7820" w:type="dxa"/>
            <w:vAlign w:val="bottom"/>
          </w:tcPr>
          <w:p>
            <w:pPr>
              <w:ind w:left="460"/>
              <w:spacing w:after="0"/>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(11.6)</w:t>
            </w:r>
          </w:p>
        </w:tc>
      </w:tr>
      <w:tr>
        <w:trPr>
          <w:trHeight w:val="227"/>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Pension expense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Pension contributions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220"/>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items,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21"/>
        </w:trPr>
        <w:tc>
          <w:tcPr>
            <w:tcW w:w="7820" w:type="dxa"/>
            <w:vAlign w:val="bottom"/>
          </w:tcPr>
          <w:p>
            <w:pPr>
              <w:ind w:left="200"/>
              <w:spacing w:after="0"/>
              <w:rPr>
                <w:sz w:val="20"/>
                <w:szCs w:val="20"/>
                <w:color w:val="auto"/>
              </w:rPr>
            </w:pPr>
            <w:r>
              <w:rPr>
                <w:rFonts w:ascii="Arial" w:cs="Arial" w:eastAsia="Arial" w:hAnsi="Arial"/>
                <w:sz w:val="17"/>
                <w:szCs w:val="17"/>
                <w:color w:val="auto"/>
              </w:rPr>
              <w:t>Changes in assets and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Accounts and notes receivable</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w:t>
            </w:r>
          </w:p>
        </w:tc>
      </w:tr>
      <w:tr>
        <w:trPr>
          <w:trHeight w:val="214"/>
        </w:trPr>
        <w:tc>
          <w:tcPr>
            <w:tcW w:w="7820" w:type="dxa"/>
            <w:vAlign w:val="bottom"/>
          </w:tcPr>
          <w:p>
            <w:pPr>
              <w:ind w:left="460"/>
              <w:spacing w:after="0"/>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(187.3)</w:t>
            </w:r>
          </w:p>
        </w:tc>
      </w:tr>
      <w:tr>
        <w:trPr>
          <w:trHeight w:val="227"/>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Other current assets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Accounts payable</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93.7</w:t>
            </w:r>
          </w:p>
        </w:tc>
      </w:tr>
      <w:tr>
        <w:trPr>
          <w:trHeight w:val="220"/>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w:t>
            </w:r>
          </w:p>
        </w:tc>
      </w:tr>
      <w:tr>
        <w:trPr>
          <w:trHeight w:val="221"/>
        </w:trPr>
        <w:tc>
          <w:tcPr>
            <w:tcW w:w="7820" w:type="dxa"/>
            <w:vAlign w:val="bottom"/>
          </w:tcPr>
          <w:p>
            <w:pPr>
              <w:ind w:left="460"/>
              <w:spacing w:after="0"/>
              <w:rPr>
                <w:sz w:val="20"/>
                <w:szCs w:val="20"/>
                <w:color w:val="auto"/>
              </w:rPr>
            </w:pPr>
            <w:r>
              <w:rPr>
                <w:rFonts w:ascii="Arial" w:cs="Arial" w:eastAsia="Arial" w:hAnsi="Arial"/>
                <w:sz w:val="17"/>
                <w:szCs w:val="17"/>
                <w:color w:val="auto"/>
              </w:rPr>
              <w:t>Income taxes payable and receivable,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39.4</w:t>
            </w:r>
          </w:p>
        </w:tc>
      </w:tr>
      <w:tr>
        <w:trPr>
          <w:trHeight w:val="233"/>
        </w:trPr>
        <w:tc>
          <w:tcPr>
            <w:tcW w:w="78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Leases, net</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r>
      <w:tr>
        <w:trPr>
          <w:trHeight w:val="214"/>
        </w:trPr>
        <w:tc>
          <w:tcPr>
            <w:tcW w:w="78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Other, net</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w:t>
            </w:r>
          </w:p>
        </w:tc>
      </w:tr>
      <w:tr>
        <w:trPr>
          <w:trHeight w:val="207"/>
        </w:trPr>
        <w:tc>
          <w:tcPr>
            <w:tcW w:w="7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(0.8)</w:t>
            </w:r>
          </w:p>
        </w:tc>
      </w:tr>
      <w:tr>
        <w:trPr>
          <w:trHeight w:val="221"/>
        </w:trPr>
        <w:tc>
          <w:tcPr>
            <w:tcW w:w="7820" w:type="dxa"/>
            <w:vAlign w:val="bottom"/>
          </w:tcPr>
          <w:p>
            <w:pPr>
              <w:spacing w:after="0"/>
              <w:rPr>
                <w:sz w:val="20"/>
                <w:szCs w:val="20"/>
                <w:color w:val="auto"/>
              </w:rPr>
            </w:pPr>
            <w:r>
              <w:rPr>
                <w:rFonts w:ascii="Arial" w:cs="Arial" w:eastAsia="Arial" w:hAnsi="Arial"/>
                <w:sz w:val="17"/>
                <w:szCs w:val="17"/>
                <w:b w:val="1"/>
                <w:bCs w:val="1"/>
                <w:i w:val="1"/>
                <w:iCs w:val="1"/>
                <w:color w:val="auto"/>
              </w:rPr>
              <w:t>Cash flows from investing activities: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3"/>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the disposal of property, plant and equipment</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r>
      <w:tr>
        <w:trPr>
          <w:trHeight w:val="214"/>
        </w:trPr>
        <w:tc>
          <w:tcPr>
            <w:tcW w:w="7820" w:type="dxa"/>
            <w:vAlign w:val="bottom"/>
          </w:tcPr>
          <w:p>
            <w:pPr>
              <w:ind w:left="200"/>
              <w:spacing w:after="0"/>
              <w:rPr>
                <w:sz w:val="20"/>
                <w:szCs w:val="20"/>
                <w:color w:val="auto"/>
              </w:rPr>
            </w:pPr>
            <w:r>
              <w:rPr>
                <w:rFonts w:ascii="Arial" w:cs="Arial" w:eastAsia="Arial" w:hAnsi="Arial"/>
                <w:sz w:val="17"/>
                <w:szCs w:val="17"/>
                <w:color w:val="auto"/>
              </w:rPr>
              <w:t>Purchases of property, plant and equipment</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(85.3)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(46.7)</w:t>
            </w:r>
          </w:p>
        </w:tc>
      </w:tr>
      <w:tr>
        <w:trPr>
          <w:trHeight w:val="227"/>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short-term investments, net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7"/>
        </w:trPr>
        <w:tc>
          <w:tcPr>
            <w:tcW w:w="7820" w:type="dxa"/>
            <w:vAlign w:val="bottom"/>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b w:val="1"/>
                <w:bCs w:val="1"/>
                <w:color w:val="auto"/>
              </w:rPr>
              <w:t>(82.3)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(46.2)</w:t>
            </w:r>
          </w:p>
        </w:tc>
      </w:tr>
      <w:tr>
        <w:trPr>
          <w:trHeight w:val="227"/>
        </w:trPr>
        <w:tc>
          <w:tcPr>
            <w:tcW w:w="782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Cash flows from financing activities: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1"/>
        </w:trPr>
        <w:tc>
          <w:tcPr>
            <w:tcW w:w="7820" w:type="dxa"/>
            <w:vAlign w:val="bottom"/>
          </w:tcPr>
          <w:p>
            <w:pPr>
              <w:ind w:left="200"/>
              <w:spacing w:after="0"/>
              <w:rPr>
                <w:sz w:val="20"/>
                <w:szCs w:val="20"/>
                <w:color w:val="auto"/>
              </w:rPr>
            </w:pPr>
            <w:r>
              <w:rPr>
                <w:rFonts w:ascii="Arial" w:cs="Arial" w:eastAsia="Arial" w:hAnsi="Arial"/>
                <w:sz w:val="17"/>
                <w:szCs w:val="17"/>
                <w:color w:val="auto"/>
              </w:rPr>
              <w:t>Asset securitization borrowings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140.0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211.0</w:t>
            </w: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Asset securitization payments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w:t>
            </w:r>
          </w:p>
        </w:tc>
      </w:tr>
      <w:tr>
        <w:trPr>
          <w:trHeight w:val="221"/>
        </w:trPr>
        <w:tc>
          <w:tcPr>
            <w:tcW w:w="7820" w:type="dxa"/>
            <w:vAlign w:val="bottom"/>
          </w:tcPr>
          <w:p>
            <w:pPr>
              <w:ind w:left="200"/>
              <w:spacing w:after="0"/>
              <w:rPr>
                <w:sz w:val="20"/>
                <w:szCs w:val="20"/>
                <w:color w:val="auto"/>
              </w:rPr>
            </w:pPr>
            <w:r>
              <w:rPr>
                <w:rFonts w:ascii="Arial" w:cs="Arial" w:eastAsia="Arial" w:hAnsi="Arial"/>
                <w:sz w:val="17"/>
                <w:szCs w:val="17"/>
                <w:color w:val="auto"/>
              </w:rPr>
              <w:t>Long-term debt payments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20"/>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Borrowings from credit facility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1,331.0</w:t>
            </w:r>
          </w:p>
        </w:tc>
      </w:tr>
      <w:tr>
        <w:trPr>
          <w:trHeight w:val="221"/>
        </w:trPr>
        <w:tc>
          <w:tcPr>
            <w:tcW w:w="7820" w:type="dxa"/>
            <w:vAlign w:val="bottom"/>
          </w:tcPr>
          <w:p>
            <w:pPr>
              <w:ind w:left="200"/>
              <w:spacing w:after="0"/>
              <w:rPr>
                <w:sz w:val="20"/>
                <w:szCs w:val="20"/>
                <w:color w:val="auto"/>
              </w:rPr>
            </w:pPr>
            <w:r>
              <w:rPr>
                <w:rFonts w:ascii="Arial" w:cs="Arial" w:eastAsia="Arial" w:hAnsi="Arial"/>
                <w:sz w:val="17"/>
                <w:szCs w:val="17"/>
                <w:color w:val="auto"/>
              </w:rPr>
              <w:t>Payments on credit facility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(1,182.0)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(1,029.0)</w:t>
            </w:r>
          </w:p>
        </w:tc>
      </w:tr>
      <w:tr>
        <w:trPr>
          <w:trHeight w:val="233"/>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Proceeds from employee stock purchases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4"/>
        </w:trPr>
        <w:tc>
          <w:tcPr>
            <w:tcW w:w="7820" w:type="dxa"/>
            <w:vAlign w:val="bottom"/>
          </w:tcPr>
          <w:p>
            <w:pPr>
              <w:ind w:left="200"/>
              <w:spacing w:after="0"/>
              <w:rPr>
                <w:sz w:val="20"/>
                <w:szCs w:val="20"/>
                <w:color w:val="auto"/>
              </w:rPr>
            </w:pPr>
            <w:r>
              <w:rPr>
                <w:rFonts w:ascii="Arial" w:cs="Arial" w:eastAsia="Arial" w:hAnsi="Arial"/>
                <w:sz w:val="17"/>
                <w:szCs w:val="17"/>
                <w:color w:val="auto"/>
              </w:rPr>
              <w:t>Repurchases of common stock</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(300.0)</w:t>
            </w:r>
          </w:p>
        </w:tc>
      </w:tr>
      <w:tr>
        <w:trPr>
          <w:trHeight w:val="227"/>
        </w:trPr>
        <w:tc>
          <w:tcPr>
            <w:tcW w:w="78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Repurchases of common stock to satisfy employee withholding tax obligations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25"/>
        </w:trPr>
        <w:tc>
          <w:tcPr>
            <w:tcW w:w="78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Cash dividends paid</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(66.9)</w:t>
            </w:r>
          </w:p>
        </w:tc>
      </w:tr>
      <w:tr>
        <w:trPr>
          <w:trHeight w:val="209"/>
        </w:trPr>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Net cash (used in)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(33.8)</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75.4</w:t>
            </w:r>
          </w:p>
        </w:tc>
      </w:tr>
      <w:tr>
        <w:trPr>
          <w:trHeight w:val="214"/>
        </w:trPr>
        <w:tc>
          <w:tcPr>
            <w:tcW w:w="7820" w:type="dxa"/>
            <w:vAlign w:val="bottom"/>
          </w:tcPr>
          <w:p>
            <w:pPr>
              <w:spacing w:after="0"/>
              <w:rPr>
                <w:sz w:val="20"/>
                <w:szCs w:val="20"/>
                <w:color w:val="auto"/>
              </w:rPr>
            </w:pPr>
            <w:r>
              <w:rPr>
                <w:rFonts w:ascii="Arial" w:cs="Arial" w:eastAsia="Arial" w:hAnsi="Arial"/>
                <w:sz w:val="17"/>
                <w:szCs w:val="17"/>
                <w:color w:val="auto"/>
              </w:rPr>
              <w:t>Increase in cash and cash equivalents</w:t>
            </w:r>
          </w:p>
        </w:tc>
        <w:tc>
          <w:tcPr>
            <w:tcW w:w="2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28.4</w:t>
            </w:r>
          </w:p>
        </w:tc>
      </w:tr>
      <w:tr>
        <w:trPr>
          <w:trHeight w:val="233"/>
        </w:trPr>
        <w:tc>
          <w:tcPr>
            <w:tcW w:w="782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rates on cash and cash equivalents</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4"/>
        </w:trPr>
        <w:tc>
          <w:tcPr>
            <w:tcW w:w="782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r>
      <w:tr>
        <w:trPr>
          <w:trHeight w:val="240"/>
        </w:trPr>
        <w:tc>
          <w:tcPr>
            <w:tcW w:w="7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end of period</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51.4</w:t>
            </w:r>
          </w:p>
        </w:tc>
        <w:tc>
          <w:tcPr>
            <w:tcW w:w="480" w:type="dxa"/>
            <w:vAlign w:val="bottom"/>
            <w:gridSpan w:val="2"/>
            <w:shd w:val="clear" w:color="auto" w:fill="CCEEFF"/>
          </w:tcPr>
          <w:p>
            <w:pPr>
              <w:jc w:val="right"/>
              <w:ind w:right="206"/>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57.4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60"/>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27"/>
        </w:trPr>
        <w:tc>
          <w:tcPr>
            <w:tcW w:w="7820" w:type="dxa"/>
            <w:vAlign w:val="bottom"/>
            <w:shd w:val="clear" w:color="auto" w:fill="CCEEFF"/>
          </w:tcPr>
          <w:p>
            <w:pPr>
              <w:spacing w:after="0"/>
              <w:rPr>
                <w:sz w:val="20"/>
                <w:szCs w:val="20"/>
                <w:color w:val="auto"/>
              </w:rPr>
            </w:pPr>
            <w:r>
              <w:rPr>
                <w:rFonts w:ascii="Arial" w:cs="Arial" w:eastAsia="Arial" w:hAnsi="Arial"/>
                <w:sz w:val="17"/>
                <w:szCs w:val="17"/>
                <w:b w:val="1"/>
                <w:bCs w:val="1"/>
                <w:i w:val="1"/>
                <w:iCs w:val="1"/>
                <w:color w:val="auto"/>
              </w:rPr>
              <w:t>Supplemental disclosures of cash flow information:</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4"/>
        </w:trPr>
        <w:tc>
          <w:tcPr>
            <w:tcW w:w="7820" w:type="dxa"/>
            <w:vAlign w:val="bottom"/>
          </w:tcPr>
          <w:p>
            <w:pPr>
              <w:ind w:left="200"/>
              <w:spacing w:after="0"/>
              <w:rPr>
                <w:sz w:val="20"/>
                <w:szCs w:val="20"/>
                <w:color w:val="auto"/>
              </w:rPr>
            </w:pPr>
            <w:r>
              <w:rPr>
                <w:rFonts w:ascii="Arial" w:cs="Arial" w:eastAsia="Arial" w:hAnsi="Arial"/>
                <w:sz w:val="17"/>
                <w:szCs w:val="17"/>
                <w:color w:val="auto"/>
              </w:rPr>
              <w:t>Interest paid</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27.1</w:t>
            </w:r>
          </w:p>
        </w:tc>
        <w:tc>
          <w:tcPr>
            <w:tcW w:w="480" w:type="dxa"/>
            <w:vAlign w:val="bottom"/>
            <w:gridSpan w:val="2"/>
          </w:tcPr>
          <w:p>
            <w:pPr>
              <w:jc w:val="right"/>
              <w:ind w:right="206"/>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46"/>
        </w:trPr>
        <w:tc>
          <w:tcPr>
            <w:tcW w:w="7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Income taxes paid (net of refunds)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68580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60" w:top="442"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34"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References in this Quarterly Report on Form 10-Q to "we","our","us","LII" or the "Company" refer to Lennox International Inc. and its subsidiaries, unless the context requires otherwise.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47"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The accompanying unaudited Consolidated Balance Sheet as of June 30, 2023, the accompanying unaudited Consolidated Statements of Operations for the three and six months ended June 30, 2023 and 2022, the accompanying unaudited Consolidated Statements of Comprehensive Income for the three and six months ended June 30, 2023 and 2022, the accompanying unaudited Consolidated Statements of Stockholders' Equity (Deficit) for the three and six months ended June 30, 2023 and 2022, and the accompanying unaudited Consolidated Statements of Cash Flows for the six months ended June 30, 2023 and 2022 should be read in conjunction with our audited consolidated financial statements and footnotes included in our Annual Report on Form 10-K for the year ended December 31, 2022.</w:t>
      </w:r>
    </w:p>
    <w:p>
      <w:pPr>
        <w:spacing w:after="0" w:line="219"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221"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the 13-week periods comprising each fiscal quarter are denoted by the last day of the respective calendar quarter.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7"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self-insurance and warranty reserves, and stock-based compensation, among others. These estimates and assumptions are based on our best estimates and judgment.</w:t>
      </w:r>
    </w:p>
    <w:p>
      <w:pPr>
        <w:spacing w:after="0" w:line="219"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7"/>
          <w:szCs w:val="17"/>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Reportable Business Segments:</w:t>
      </w:r>
    </w:p>
    <w:p>
      <w:pPr>
        <w:spacing w:after="0" w:line="251" w:lineRule="exact"/>
        <w:rPr>
          <w:sz w:val="20"/>
          <w:szCs w:val="20"/>
          <w:color w:val="auto"/>
        </w:rPr>
      </w:pPr>
    </w:p>
    <w:p>
      <w:pPr>
        <w:jc w:val="both"/>
        <w:ind w:firstLine="241"/>
        <w:spacing w:after="0" w:line="266" w:lineRule="auto"/>
        <w:rPr>
          <w:sz w:val="20"/>
          <w:szCs w:val="20"/>
          <w:color w:val="auto"/>
        </w:rPr>
      </w:pPr>
      <w:r>
        <w:rPr>
          <w:rFonts w:ascii="Arial" w:cs="Arial" w:eastAsia="Arial" w:hAnsi="Arial"/>
          <w:sz w:val="18"/>
          <w:szCs w:val="18"/>
          <w:color w:val="auto"/>
        </w:rPr>
        <w:t>We operate in two reportable business segments of the heating, ventilation, air conditioning and refrigeration (“HVACR”) industry. Our segments are organized primarily by the nature of the products and services we provide. The following table describes each segment:</w:t>
      </w:r>
    </w:p>
    <w:tbl>
      <w:tblPr>
        <w:tblLayout w:type="fixed"/>
        <w:tblInd w:w="40" w:type="dxa"/>
        <w:tblCellMar>
          <w:top w:w="0" w:type="dxa"/>
          <w:left w:w="0" w:type="dxa"/>
          <w:bottom w:w="0" w:type="dxa"/>
          <w:right w:w="0" w:type="dxa"/>
        </w:tblCellMar>
      </w:tblPr>
      <w:tr>
        <w:trPr>
          <w:trHeight w:val="185"/>
        </w:trPr>
        <w:tc>
          <w:tcPr>
            <w:tcW w:w="1840" w:type="dxa"/>
            <w:vAlign w:val="bottom"/>
          </w:tcPr>
          <w:p>
            <w:pPr>
              <w:ind w:left="20"/>
              <w:spacing w:after="0"/>
              <w:rPr>
                <w:sz w:val="20"/>
                <w:szCs w:val="20"/>
                <w:color w:val="auto"/>
              </w:rPr>
            </w:pPr>
            <w:r>
              <w:rPr>
                <w:rFonts w:ascii="Arial" w:cs="Arial" w:eastAsia="Arial" w:hAnsi="Arial"/>
                <w:sz w:val="14"/>
                <w:szCs w:val="14"/>
                <w:b w:val="1"/>
                <w:bCs w:val="1"/>
                <w:color w:val="auto"/>
              </w:rPr>
              <w:t>Segment</w:t>
            </w:r>
          </w:p>
        </w:tc>
        <w:tc>
          <w:tcPr>
            <w:tcW w:w="120" w:type="dxa"/>
            <w:vAlign w:val="bottom"/>
          </w:tcPr>
          <w:p>
            <w:pPr>
              <w:spacing w:after="0"/>
              <w:rPr>
                <w:sz w:val="16"/>
                <w:szCs w:val="16"/>
                <w:color w:val="auto"/>
              </w:rPr>
            </w:pPr>
          </w:p>
        </w:tc>
        <w:tc>
          <w:tcPr>
            <w:tcW w:w="4520" w:type="dxa"/>
            <w:vAlign w:val="bottom"/>
          </w:tcPr>
          <w:p>
            <w:pPr>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Arial" w:cs="Arial" w:eastAsia="Arial" w:hAnsi="Arial"/>
                <w:sz w:val="14"/>
                <w:szCs w:val="14"/>
                <w:b w:val="1"/>
                <w:bCs w:val="1"/>
                <w:color w:val="auto"/>
              </w:rPr>
              <w:t>Markets Served</w:t>
            </w:r>
          </w:p>
        </w:tc>
        <w:tc>
          <w:tcPr>
            <w:tcW w:w="120" w:type="dxa"/>
            <w:vAlign w:val="bottom"/>
          </w:tcPr>
          <w:p>
            <w:pPr>
              <w:spacing w:after="0"/>
              <w:rPr>
                <w:sz w:val="16"/>
                <w:szCs w:val="16"/>
                <w:color w:val="auto"/>
              </w:rPr>
            </w:pPr>
          </w:p>
        </w:tc>
        <w:tc>
          <w:tcPr>
            <w:tcW w:w="1700" w:type="dxa"/>
            <w:vAlign w:val="bottom"/>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5"/>
        </w:trPr>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67"/>
        </w:trPr>
        <w:tc>
          <w:tcPr>
            <w:tcW w:w="184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Residential</w:t>
            </w:r>
          </w:p>
        </w:tc>
        <w:tc>
          <w:tcPr>
            <w:tcW w:w="120" w:type="dxa"/>
            <w:vAlign w:val="bottom"/>
            <w:shd w:val="clear" w:color="auto" w:fill="CCEEFF"/>
          </w:tcPr>
          <w:p>
            <w:pPr>
              <w:spacing w:after="0"/>
              <w:rPr>
                <w:sz w:val="14"/>
                <w:szCs w:val="14"/>
                <w:color w:val="auto"/>
              </w:rPr>
            </w:pPr>
          </w:p>
        </w:tc>
        <w:tc>
          <w:tcPr>
            <w:tcW w:w="4520" w:type="dxa"/>
            <w:vAlign w:val="bottom"/>
            <w:shd w:val="clear" w:color="auto" w:fill="CCEEFF"/>
          </w:tcPr>
          <w:p>
            <w:pPr>
              <w:spacing w:after="0" w:line="167" w:lineRule="exact"/>
              <w:rPr>
                <w:sz w:val="20"/>
                <w:szCs w:val="20"/>
                <w:color w:val="auto"/>
              </w:rPr>
            </w:pPr>
            <w:r>
              <w:rPr>
                <w:rFonts w:ascii="Arial" w:cs="Arial" w:eastAsia="Arial" w:hAnsi="Arial"/>
                <w:sz w:val="18"/>
                <w:szCs w:val="18"/>
                <w:color w:val="auto"/>
                <w:w w:val="90"/>
              </w:rPr>
              <w:t>Furnaces, air conditioners, heat pumps, packaged heating and</w:t>
            </w: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Residential Replacement;</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ind w:left="20"/>
              <w:spacing w:after="0" w:line="167" w:lineRule="exact"/>
              <w:rPr>
                <w:sz w:val="20"/>
                <w:szCs w:val="20"/>
                <w:color w:val="auto"/>
              </w:rPr>
            </w:pPr>
            <w:r>
              <w:rPr>
                <w:rFonts w:ascii="Arial" w:cs="Arial" w:eastAsia="Arial" w:hAnsi="Arial"/>
                <w:sz w:val="18"/>
                <w:szCs w:val="18"/>
                <w:color w:val="auto"/>
              </w:rPr>
              <w:t>United States</w:t>
            </w:r>
          </w:p>
        </w:tc>
      </w:tr>
      <w:tr>
        <w:trPr>
          <w:trHeight w:val="174"/>
        </w:trPr>
        <w:tc>
          <w:tcPr>
            <w:tcW w:w="1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52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w w:val="92"/>
              </w:rPr>
              <w:t>cooling systems, indoor air quality equipment, comfort control</w:t>
            </w:r>
          </w:p>
        </w:tc>
        <w:tc>
          <w:tcPr>
            <w:tcW w:w="100" w:type="dxa"/>
            <w:vAlign w:val="bottom"/>
            <w:shd w:val="clear" w:color="auto" w:fill="CCEEFF"/>
          </w:tcPr>
          <w:p>
            <w:pPr>
              <w:spacing w:after="0"/>
              <w:rPr>
                <w:sz w:val="15"/>
                <w:szCs w:val="15"/>
                <w:color w:val="auto"/>
              </w:rPr>
            </w:pPr>
          </w:p>
        </w:tc>
        <w:tc>
          <w:tcPr>
            <w:tcW w:w="27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Residential New Construction</w:t>
            </w: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Canada</w:t>
            </w:r>
          </w:p>
        </w:tc>
      </w:tr>
      <w:tr>
        <w:trPr>
          <w:trHeight w:val="24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products, replacement parts and supplies</w:t>
            </w:r>
          </w:p>
        </w:tc>
        <w:tc>
          <w:tcPr>
            <w:tcW w:w="10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r>
      <w:tr>
        <w:trPr>
          <w:trHeight w:val="174"/>
        </w:trPr>
        <w:tc>
          <w:tcPr>
            <w:tcW w:w="1840" w:type="dxa"/>
            <w:vAlign w:val="bottom"/>
          </w:tcPr>
          <w:p>
            <w:pPr>
              <w:ind w:left="20"/>
              <w:spacing w:after="0" w:line="174" w:lineRule="exact"/>
              <w:rPr>
                <w:sz w:val="20"/>
                <w:szCs w:val="20"/>
                <w:color w:val="auto"/>
              </w:rPr>
            </w:pPr>
            <w:r>
              <w:rPr>
                <w:rFonts w:ascii="Arial" w:cs="Arial" w:eastAsia="Arial" w:hAnsi="Arial"/>
                <w:sz w:val="18"/>
                <w:szCs w:val="18"/>
                <w:color w:val="auto"/>
              </w:rPr>
              <w:t>Commercial</w:t>
            </w:r>
          </w:p>
        </w:tc>
        <w:tc>
          <w:tcPr>
            <w:tcW w:w="120" w:type="dxa"/>
            <w:vAlign w:val="bottom"/>
          </w:tcPr>
          <w:p>
            <w:pPr>
              <w:spacing w:after="0"/>
              <w:rPr>
                <w:sz w:val="15"/>
                <w:szCs w:val="15"/>
                <w:color w:val="auto"/>
              </w:rPr>
            </w:pPr>
          </w:p>
        </w:tc>
        <w:tc>
          <w:tcPr>
            <w:tcW w:w="4520" w:type="dxa"/>
            <w:vAlign w:val="bottom"/>
          </w:tcPr>
          <w:p>
            <w:pPr>
              <w:spacing w:after="0" w:line="174" w:lineRule="exact"/>
              <w:rPr>
                <w:sz w:val="20"/>
                <w:szCs w:val="20"/>
                <w:color w:val="auto"/>
              </w:rPr>
            </w:pPr>
            <w:r>
              <w:rPr>
                <w:rFonts w:ascii="Arial" w:cs="Arial" w:eastAsia="Arial" w:hAnsi="Arial"/>
                <w:sz w:val="18"/>
                <w:szCs w:val="18"/>
                <w:color w:val="auto"/>
              </w:rPr>
              <w:t>Unitary heating and air conditioning equipment, applied</w:t>
            </w:r>
          </w:p>
        </w:tc>
        <w:tc>
          <w:tcPr>
            <w:tcW w:w="100" w:type="dxa"/>
            <w:vAlign w:val="bottom"/>
          </w:tcPr>
          <w:p>
            <w:pPr>
              <w:spacing w:after="0"/>
              <w:rPr>
                <w:sz w:val="15"/>
                <w:szCs w:val="15"/>
                <w:color w:val="auto"/>
              </w:rPr>
            </w:pPr>
          </w:p>
        </w:tc>
        <w:tc>
          <w:tcPr>
            <w:tcW w:w="2780" w:type="dxa"/>
            <w:vAlign w:val="bottom"/>
          </w:tcPr>
          <w:p>
            <w:pPr>
              <w:ind w:left="20"/>
              <w:spacing w:after="0" w:line="174" w:lineRule="exact"/>
              <w:rPr>
                <w:sz w:val="20"/>
                <w:szCs w:val="20"/>
                <w:color w:val="auto"/>
              </w:rPr>
            </w:pPr>
            <w:r>
              <w:rPr>
                <w:rFonts w:ascii="Arial" w:cs="Arial" w:eastAsia="Arial" w:hAnsi="Arial"/>
                <w:sz w:val="18"/>
                <w:szCs w:val="18"/>
                <w:color w:val="auto"/>
              </w:rPr>
              <w:t>Light Commercial;</w:t>
            </w:r>
          </w:p>
        </w:tc>
        <w:tc>
          <w:tcPr>
            <w:tcW w:w="120" w:type="dxa"/>
            <w:vAlign w:val="bottom"/>
          </w:tcPr>
          <w:p>
            <w:pPr>
              <w:spacing w:after="0"/>
              <w:rPr>
                <w:sz w:val="15"/>
                <w:szCs w:val="15"/>
                <w:color w:val="auto"/>
              </w:rPr>
            </w:pPr>
          </w:p>
        </w:tc>
        <w:tc>
          <w:tcPr>
            <w:tcW w:w="1700" w:type="dxa"/>
            <w:vAlign w:val="bottom"/>
          </w:tcPr>
          <w:p>
            <w:pPr>
              <w:ind w:left="20"/>
              <w:spacing w:after="0" w:line="174" w:lineRule="exact"/>
              <w:rPr>
                <w:sz w:val="20"/>
                <w:szCs w:val="20"/>
                <w:color w:val="auto"/>
              </w:rPr>
            </w:pPr>
            <w:r>
              <w:rPr>
                <w:rFonts w:ascii="Arial" w:cs="Arial" w:eastAsia="Arial" w:hAnsi="Arial"/>
                <w:sz w:val="18"/>
                <w:szCs w:val="18"/>
                <w:color w:val="auto"/>
              </w:rPr>
              <w:t>United States</w:t>
            </w:r>
          </w:p>
        </w:tc>
      </w:tr>
      <w:tr>
        <w:trPr>
          <w:trHeight w:val="174"/>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tcPr>
          <w:p>
            <w:pPr>
              <w:spacing w:after="0" w:line="174" w:lineRule="exact"/>
              <w:rPr>
                <w:sz w:val="20"/>
                <w:szCs w:val="20"/>
                <w:color w:val="auto"/>
              </w:rPr>
            </w:pPr>
            <w:r>
              <w:rPr>
                <w:rFonts w:ascii="Arial" w:cs="Arial" w:eastAsia="Arial" w:hAnsi="Arial"/>
                <w:sz w:val="18"/>
                <w:szCs w:val="18"/>
                <w:color w:val="auto"/>
              </w:rPr>
              <w:t>systems, controls, installation and service of commercial</w:t>
            </w:r>
          </w:p>
        </w:tc>
        <w:tc>
          <w:tcPr>
            <w:tcW w:w="100" w:type="dxa"/>
            <w:vAlign w:val="bottom"/>
          </w:tcPr>
          <w:p>
            <w:pPr>
              <w:spacing w:after="0"/>
              <w:rPr>
                <w:sz w:val="15"/>
                <w:szCs w:val="15"/>
                <w:color w:val="auto"/>
              </w:rPr>
            </w:pPr>
          </w:p>
        </w:tc>
        <w:tc>
          <w:tcPr>
            <w:tcW w:w="2780" w:type="dxa"/>
            <w:vAlign w:val="bottom"/>
          </w:tcPr>
          <w:p>
            <w:pPr>
              <w:ind w:left="20"/>
              <w:spacing w:after="0" w:line="174" w:lineRule="exact"/>
              <w:rPr>
                <w:sz w:val="20"/>
                <w:szCs w:val="20"/>
                <w:color w:val="auto"/>
              </w:rPr>
            </w:pPr>
            <w:r>
              <w:rPr>
                <w:rFonts w:ascii="Arial" w:cs="Arial" w:eastAsia="Arial" w:hAnsi="Arial"/>
                <w:sz w:val="18"/>
                <w:szCs w:val="18"/>
                <w:color w:val="auto"/>
              </w:rPr>
              <w:t>Food Preservation;</w:t>
            </w:r>
          </w:p>
        </w:tc>
        <w:tc>
          <w:tcPr>
            <w:tcW w:w="120" w:type="dxa"/>
            <w:vAlign w:val="bottom"/>
          </w:tcPr>
          <w:p>
            <w:pPr>
              <w:spacing w:after="0"/>
              <w:rPr>
                <w:sz w:val="15"/>
                <w:szCs w:val="15"/>
                <w:color w:val="auto"/>
              </w:rPr>
            </w:pPr>
          </w:p>
        </w:tc>
        <w:tc>
          <w:tcPr>
            <w:tcW w:w="1700" w:type="dxa"/>
            <w:vAlign w:val="bottom"/>
          </w:tcPr>
          <w:p>
            <w:pPr>
              <w:ind w:left="20"/>
              <w:spacing w:after="0" w:line="174" w:lineRule="exact"/>
              <w:rPr>
                <w:sz w:val="20"/>
                <w:szCs w:val="20"/>
                <w:color w:val="auto"/>
              </w:rPr>
            </w:pPr>
            <w:r>
              <w:rPr>
                <w:rFonts w:ascii="Arial" w:cs="Arial" w:eastAsia="Arial" w:hAnsi="Arial"/>
                <w:sz w:val="18"/>
                <w:szCs w:val="18"/>
                <w:color w:val="auto"/>
              </w:rPr>
              <w:t>Canada</w:t>
            </w:r>
          </w:p>
        </w:tc>
      </w:tr>
      <w:tr>
        <w:trPr>
          <w:trHeight w:val="186"/>
        </w:trPr>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20" w:type="dxa"/>
            <w:vAlign w:val="bottom"/>
          </w:tcPr>
          <w:p>
            <w:pPr>
              <w:spacing w:after="0" w:line="186" w:lineRule="exact"/>
              <w:rPr>
                <w:sz w:val="20"/>
                <w:szCs w:val="20"/>
                <w:color w:val="auto"/>
              </w:rPr>
            </w:pPr>
            <w:r>
              <w:rPr>
                <w:rFonts w:ascii="Arial" w:cs="Arial" w:eastAsia="Arial" w:hAnsi="Arial"/>
                <w:sz w:val="18"/>
                <w:szCs w:val="18"/>
                <w:color w:val="auto"/>
              </w:rPr>
              <w:t>heating and cooling equipment, variable refrigerant flow</w:t>
            </w:r>
          </w:p>
        </w:tc>
        <w:tc>
          <w:tcPr>
            <w:tcW w:w="100" w:type="dxa"/>
            <w:vAlign w:val="bottom"/>
          </w:tcPr>
          <w:p>
            <w:pPr>
              <w:spacing w:after="0"/>
              <w:rPr>
                <w:sz w:val="16"/>
                <w:szCs w:val="16"/>
                <w:color w:val="auto"/>
              </w:rPr>
            </w:pPr>
          </w:p>
        </w:tc>
        <w:tc>
          <w:tcPr>
            <w:tcW w:w="2780" w:type="dxa"/>
            <w:vAlign w:val="bottom"/>
          </w:tcPr>
          <w:p>
            <w:pPr>
              <w:ind w:left="20"/>
              <w:spacing w:after="0" w:line="186" w:lineRule="exact"/>
              <w:rPr>
                <w:sz w:val="20"/>
                <w:szCs w:val="20"/>
                <w:color w:val="auto"/>
              </w:rPr>
            </w:pPr>
            <w:r>
              <w:rPr>
                <w:rFonts w:ascii="Arial" w:cs="Arial" w:eastAsia="Arial" w:hAnsi="Arial"/>
                <w:sz w:val="18"/>
                <w:szCs w:val="18"/>
                <w:color w:val="auto"/>
              </w:rPr>
              <w:t>Non-Food/Industrial</w:t>
            </w: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175"/>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tcPr>
          <w:p>
            <w:pPr>
              <w:spacing w:after="0" w:line="175" w:lineRule="exact"/>
              <w:rPr>
                <w:sz w:val="20"/>
                <w:szCs w:val="20"/>
                <w:color w:val="auto"/>
              </w:rPr>
            </w:pPr>
            <w:r>
              <w:rPr>
                <w:rFonts w:ascii="Arial" w:cs="Arial" w:eastAsia="Arial" w:hAnsi="Arial"/>
                <w:sz w:val="18"/>
                <w:szCs w:val="18"/>
                <w:color w:val="auto"/>
                <w:w w:val="98"/>
              </w:rPr>
              <w:t>commercial products, condensing units, unit coolers, fluid</w:t>
            </w: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174"/>
        </w:trPr>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tcPr>
          <w:p>
            <w:pPr>
              <w:spacing w:after="0" w:line="174" w:lineRule="exact"/>
              <w:rPr>
                <w:sz w:val="20"/>
                <w:szCs w:val="20"/>
                <w:color w:val="auto"/>
              </w:rPr>
            </w:pPr>
            <w:r>
              <w:rPr>
                <w:rFonts w:ascii="Arial" w:cs="Arial" w:eastAsia="Arial" w:hAnsi="Arial"/>
                <w:sz w:val="18"/>
                <w:szCs w:val="18"/>
                <w:color w:val="auto"/>
                <w:w w:val="97"/>
              </w:rPr>
              <w:t>coolers, air cooled condensers, air handlers, controls, and</w:t>
            </w: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27"/>
        </w:trPr>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compressorized racks</w:t>
            </w:r>
          </w:p>
        </w:tc>
        <w:tc>
          <w:tcPr>
            <w:tcW w:w="1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r>
    </w:tbl>
    <w:p>
      <w:pPr>
        <w:spacing w:after="0" w:line="93"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Prior to January 1, 2023, we operated in three reportable business segments. In November 2022, we announced the decision to explore strategic alternatives for our European commercial HVAC and refrigeration businesses. We will continue to invest in our Heatcraft Worldwide Refrigeration business which became part of the Commercial segment effective on January 1, 2023 while the European portfolio will be presented with Corporate and Other until disposition. The consolidation of our Heatcraft business within the Commercial segment provides the opportunity to leverage synergies and create long-term growth opportunities by integrating entities with similar products, end consumers and financial performance metrics under the same management. The change in segment reporting better aligns with how the businesses are managed and evaluated given the change in portfolio. Recast Segment Results were presented in our March 31, 2023 Form 10-Q for both the previously presented segment results as well as the recast financial information to reflect the change in our segment presentation.</w:t>
      </w:r>
    </w:p>
    <w:p>
      <w:pPr>
        <w:spacing w:after="0" w:line="219" w:lineRule="exact"/>
        <w:rPr>
          <w:sz w:val="20"/>
          <w:szCs w:val="20"/>
          <w:color w:val="auto"/>
        </w:rPr>
      </w:pPr>
    </w:p>
    <w:p>
      <w:pPr>
        <w:jc w:val="both"/>
        <w:ind w:firstLine="241"/>
        <w:spacing w:after="0" w:line="281" w:lineRule="auto"/>
        <w:rPr>
          <w:sz w:val="20"/>
          <w:szCs w:val="20"/>
          <w:color w:val="auto"/>
        </w:rPr>
      </w:pPr>
      <w:r>
        <w:rPr>
          <w:rFonts w:ascii="Arial" w:cs="Arial" w:eastAsia="Arial" w:hAnsi="Arial"/>
          <w:sz w:val="17"/>
          <w:szCs w:val="17"/>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95"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Our corporate costs include those costs related to our European operations, as well as our corporate functions such as legal, internal audit, treasury, human resources, tax compliance and senior executive staff. 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Segment Net Sales and Profit (Loss)</w:t>
      </w:r>
    </w:p>
    <w:p>
      <w:pPr>
        <w:spacing w:after="0" w:line="247" w:lineRule="exact"/>
        <w:rPr>
          <w:sz w:val="20"/>
          <w:szCs w:val="20"/>
          <w:color w:val="auto"/>
        </w:rPr>
      </w:pPr>
    </w:p>
    <w:p>
      <w:pPr>
        <w:ind w:firstLine="241"/>
        <w:spacing w:after="0" w:line="270"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tbl>
      <w:tblPr>
        <w:tblLayout w:type="fixed"/>
        <w:tblInd w:w="0" w:type="dxa"/>
        <w:tblCellMar>
          <w:top w:w="0" w:type="dxa"/>
          <w:left w:w="0" w:type="dxa"/>
          <w:bottom w:w="0" w:type="dxa"/>
          <w:right w:w="0" w:type="dxa"/>
        </w:tblCellMar>
      </w:tblPr>
      <w:tr>
        <w:trPr>
          <w:trHeight w:val="163"/>
        </w:trPr>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right"/>
              <w:ind w:right="32"/>
              <w:spacing w:after="0" w:line="163" w:lineRule="exact"/>
              <w:rPr>
                <w:sz w:val="20"/>
                <w:szCs w:val="20"/>
                <w:color w:val="auto"/>
              </w:rPr>
            </w:pPr>
            <w:r>
              <w:rPr>
                <w:rFonts w:ascii="Arial" w:cs="Arial" w:eastAsia="Arial" w:hAnsi="Arial"/>
                <w:sz w:val="16"/>
                <w:szCs w:val="16"/>
                <w:b w:val="1"/>
                <w:bCs w:val="1"/>
                <w:color w:val="auto"/>
                <w:w w:val="91"/>
              </w:rPr>
              <w:t>For the Three Months Ended June</w:t>
            </w:r>
          </w:p>
        </w:tc>
        <w:tc>
          <w:tcPr>
            <w:tcW w:w="100" w:type="dxa"/>
            <w:vAlign w:val="bottom"/>
          </w:tcPr>
          <w:p>
            <w:pPr>
              <w:spacing w:after="0"/>
              <w:rPr>
                <w:sz w:val="14"/>
                <w:szCs w:val="14"/>
                <w:color w:val="auto"/>
              </w:rPr>
            </w:pPr>
          </w:p>
        </w:tc>
        <w:tc>
          <w:tcPr>
            <w:tcW w:w="2620" w:type="dxa"/>
            <w:vAlign w:val="bottom"/>
            <w:gridSpan w:val="5"/>
            <w:vMerge w:val="restart"/>
          </w:tcPr>
          <w:p>
            <w:pPr>
              <w:jc w:val="right"/>
              <w:ind w:right="12"/>
              <w:spacing w:after="0"/>
              <w:rPr>
                <w:sz w:val="20"/>
                <w:szCs w:val="20"/>
                <w:color w:val="auto"/>
              </w:rPr>
            </w:pPr>
            <w:r>
              <w:rPr>
                <w:rFonts w:ascii="Arial" w:cs="Arial" w:eastAsia="Arial" w:hAnsi="Arial"/>
                <w:sz w:val="16"/>
                <w:szCs w:val="16"/>
                <w:b w:val="1"/>
                <w:bCs w:val="1"/>
                <w:color w:val="auto"/>
                <w:w w:val="94"/>
              </w:rPr>
              <w:t>For the Six Months Ended June 30,</w:t>
            </w:r>
          </w:p>
        </w:tc>
        <w:tc>
          <w:tcPr>
            <w:tcW w:w="0" w:type="dxa"/>
            <w:vAlign w:val="bottom"/>
          </w:tcPr>
          <w:p>
            <w:pPr>
              <w:spacing w:after="0"/>
              <w:rPr>
                <w:sz w:val="1"/>
                <w:szCs w:val="1"/>
                <w:color w:val="auto"/>
              </w:rPr>
            </w:pPr>
          </w:p>
        </w:tc>
      </w:tr>
      <w:tr>
        <w:trPr>
          <w:trHeight w:val="211"/>
        </w:trPr>
        <w:tc>
          <w:tcPr>
            <w:tcW w:w="5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51"/>
              <w:spacing w:after="0"/>
              <w:rPr>
                <w:sz w:val="20"/>
                <w:szCs w:val="20"/>
                <w:color w:val="auto"/>
              </w:rPr>
            </w:pPr>
            <w:r>
              <w:rPr>
                <w:rFonts w:ascii="Arial" w:cs="Arial" w:eastAsia="Arial" w:hAnsi="Arial"/>
                <w:sz w:val="16"/>
                <w:szCs w:val="16"/>
                <w:b w:val="1"/>
                <w:bCs w:val="1"/>
                <w:color w:val="auto"/>
                <w:w w:val="80"/>
              </w:rPr>
              <w:t>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line="209" w:lineRule="exact"/>
              <w:rPr>
                <w:sz w:val="20"/>
                <w:szCs w:val="20"/>
                <w:color w:val="auto"/>
              </w:rPr>
            </w:pPr>
            <w:r>
              <w:rPr>
                <w:rFonts w:ascii="Arial" w:cs="Arial" w:eastAsia="Arial" w:hAnsi="Arial"/>
                <w:sz w:val="16"/>
                <w:szCs w:val="16"/>
                <w:b w:val="1"/>
                <w:bCs w:val="1"/>
                <w:color w:val="auto"/>
                <w:w w:val="92"/>
              </w:rPr>
              <w:t xml:space="preserve">2022 </w:t>
            </w:r>
            <w:r>
              <w:rPr>
                <w:rFonts w:ascii="Arial" w:cs="Arial" w:eastAsia="Arial" w:hAnsi="Arial"/>
                <w:sz w:val="20"/>
                <w:szCs w:val="20"/>
                <w:b w:val="1"/>
                <w:bCs w:val="1"/>
                <w:color w:val="auto"/>
                <w:w w:val="92"/>
                <w:vertAlign w:val="superscript"/>
              </w:rPr>
              <w:t>(2)</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2"/>
              <w:spacing w:after="0" w:line="209" w:lineRule="exact"/>
              <w:rPr>
                <w:sz w:val="20"/>
                <w:szCs w:val="20"/>
                <w:color w:val="auto"/>
              </w:rPr>
            </w:pPr>
            <w:r>
              <w:rPr>
                <w:rFonts w:ascii="Arial" w:cs="Arial" w:eastAsia="Arial" w:hAnsi="Arial"/>
                <w:sz w:val="16"/>
                <w:szCs w:val="16"/>
                <w:b w:val="1"/>
                <w:bCs w:val="1"/>
                <w:color w:val="auto"/>
                <w:w w:val="92"/>
              </w:rPr>
              <w:t xml:space="preserve">2022 </w:t>
            </w:r>
            <w:r>
              <w:rPr>
                <w:rFonts w:ascii="Arial" w:cs="Arial" w:eastAsia="Arial" w:hAnsi="Arial"/>
                <w:sz w:val="20"/>
                <w:szCs w:val="20"/>
                <w:b w:val="1"/>
                <w:bCs w:val="1"/>
                <w:color w:val="auto"/>
                <w:w w:val="92"/>
                <w:vertAlign w:val="superscript"/>
              </w:rPr>
              <w:t>(2)</w:t>
            </w:r>
          </w:p>
        </w:tc>
        <w:tc>
          <w:tcPr>
            <w:tcW w:w="0" w:type="dxa"/>
            <w:vAlign w:val="bottom"/>
          </w:tcPr>
          <w:p>
            <w:pPr>
              <w:spacing w:after="0"/>
              <w:rPr>
                <w:sz w:val="1"/>
                <w:szCs w:val="1"/>
                <w:color w:val="auto"/>
              </w:rPr>
            </w:pPr>
          </w:p>
        </w:tc>
      </w:tr>
      <w:tr>
        <w:trPr>
          <w:trHeight w:val="22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0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936.2</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977.5</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1,617.2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1,659.6</w:t>
            </w:r>
          </w:p>
        </w:tc>
        <w:tc>
          <w:tcPr>
            <w:tcW w:w="0" w:type="dxa"/>
            <w:vAlign w:val="bottom"/>
          </w:tcPr>
          <w:p>
            <w:pPr>
              <w:spacing w:after="0"/>
              <w:rPr>
                <w:sz w:val="1"/>
                <w:szCs w:val="1"/>
                <w:color w:val="auto"/>
              </w:rPr>
            </w:pPr>
          </w:p>
        </w:tc>
      </w:tr>
      <w:tr>
        <w:trPr>
          <w:trHeight w:val="22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Commercial </w:t>
            </w:r>
            <w:r>
              <w:rPr>
                <w:rFonts w:ascii="Arial" w:cs="Arial" w:eastAsia="Arial" w:hAnsi="Arial"/>
                <w:sz w:val="10"/>
                <w:szCs w:val="10"/>
                <w:color w:val="auto"/>
              </w:rPr>
              <w:t>(2)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4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0"/>
                <w:szCs w:val="10"/>
                <w:color w:val="auto"/>
              </w:rPr>
              <w:t>(2)</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46"/>
        </w:trPr>
        <w:tc>
          <w:tcPr>
            <w:tcW w:w="5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2,460.7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2,379.7</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90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900" w:type="dxa"/>
            <w:vAlign w:val="bottom"/>
          </w:tcPr>
          <w:p>
            <w:pPr>
              <w:ind w:left="20"/>
              <w:spacing w:after="0"/>
              <w:rPr>
                <w:sz w:val="20"/>
                <w:szCs w:val="20"/>
                <w:color w:val="auto"/>
              </w:rPr>
            </w:pPr>
            <w:r>
              <w:rPr>
                <w:rFonts w:ascii="Arial" w:cs="Arial" w:eastAsia="Arial" w:hAnsi="Arial"/>
                <w:sz w:val="18"/>
                <w:szCs w:val="18"/>
                <w:color w:val="auto"/>
              </w:rPr>
              <w:t>Residential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202.6</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216.3</w:t>
            </w:r>
          </w:p>
        </w:tc>
        <w:tc>
          <w:tcPr>
            <w:tcW w:w="400" w:type="dxa"/>
            <w:vAlign w:val="bottom"/>
            <w:gridSpan w:val="2"/>
          </w:tcPr>
          <w:p>
            <w:pPr>
              <w:jc w:val="right"/>
              <w:ind w:right="94"/>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41"/>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Commercial </w:t>
            </w:r>
            <w:r>
              <w:rPr>
                <w:rFonts w:ascii="Arial" w:cs="Arial" w:eastAsia="Arial" w:hAnsi="Arial"/>
                <w:sz w:val="10"/>
                <w:szCs w:val="10"/>
                <w:color w:val="auto"/>
              </w:rPr>
              <w:t>(2)</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7"/>
        </w:trPr>
        <w:tc>
          <w:tcPr>
            <w:tcW w:w="5900" w:type="dxa"/>
            <w:vAlign w:val="bottom"/>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0"/>
                <w:szCs w:val="10"/>
                <w:color w:val="auto"/>
              </w:rPr>
              <w:t>(2)</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21"/>
        </w:trPr>
        <w:tc>
          <w:tcPr>
            <w:tcW w:w="5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segment profit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0" w:type="dxa"/>
            <w:vAlign w:val="bottom"/>
          </w:tcPr>
          <w:p>
            <w:pPr>
              <w:spacing w:after="0"/>
              <w:rPr>
                <w:sz w:val="1"/>
                <w:szCs w:val="1"/>
                <w:color w:val="auto"/>
              </w:rPr>
            </w:pPr>
          </w:p>
        </w:tc>
      </w:tr>
      <w:tr>
        <w:trPr>
          <w:trHeight w:val="236"/>
        </w:trPr>
        <w:tc>
          <w:tcPr>
            <w:tcW w:w="5900" w:type="dxa"/>
            <w:vAlign w:val="bottom"/>
          </w:tcPr>
          <w:p>
            <w:pPr>
              <w:ind w:left="20"/>
              <w:spacing w:after="0"/>
              <w:rPr>
                <w:sz w:val="20"/>
                <w:szCs w:val="20"/>
                <w:color w:val="auto"/>
              </w:rPr>
            </w:pPr>
            <w:r>
              <w:rPr>
                <w:rFonts w:ascii="Arial" w:cs="Arial" w:eastAsia="Arial" w:hAnsi="Arial"/>
                <w:sz w:val="18"/>
                <w:szCs w:val="18"/>
                <w:b w:val="1"/>
                <w:bCs w:val="1"/>
                <w:color w:val="auto"/>
              </w:rPr>
              <w:t>Reconciliation to Operating income:</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5900" w:type="dxa"/>
            <w:vAlign w:val="bottom"/>
            <w:shd w:val="clear" w:color="auto" w:fill="CCEEFF"/>
          </w:tcPr>
          <w:p>
            <w:pPr>
              <w:ind w:left="20"/>
              <w:spacing w:after="0" w:line="179" w:lineRule="exact"/>
              <w:rPr>
                <w:sz w:val="20"/>
                <w:szCs w:val="20"/>
                <w:color w:val="auto"/>
              </w:rPr>
            </w:pPr>
            <w:r>
              <w:rPr>
                <w:rFonts w:ascii="Arial" w:cs="Arial" w:eastAsia="Arial" w:hAnsi="Arial"/>
                <w:sz w:val="18"/>
                <w:szCs w:val="18"/>
                <w:color w:val="auto"/>
                <w:w w:val="91"/>
              </w:rPr>
              <w:t>Items in Losses (gains) and other expenses, net that are excluded from segment</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590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profit (loss)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2"/>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278.8</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20" w:hanging="173"/>
        <w:spacing w:after="0"/>
        <w:tabs>
          <w:tab w:leader="none" w:pos="420" w:val="left"/>
        </w:tabs>
        <w:numPr>
          <w:ilvl w:val="1"/>
          <w:numId w:val="4"/>
        </w:numPr>
        <w:rPr>
          <w:rFonts w:ascii="Arial" w:cs="Arial" w:eastAsia="Arial" w:hAnsi="Arial"/>
          <w:sz w:val="21"/>
          <w:szCs w:val="21"/>
          <w:color w:val="auto"/>
          <w:vertAlign w:val="superscript"/>
        </w:rPr>
      </w:pPr>
      <w:r>
        <w:rPr>
          <w:rFonts w:ascii="Arial" w:cs="Arial" w:eastAsia="Arial" w:hAnsi="Arial"/>
          <w:sz w:val="16"/>
          <w:szCs w:val="16"/>
          <w:color w:val="auto"/>
        </w:rPr>
        <w:t>We define segment profit (loss) as a segment's operating income included in the accompanying Consolidated Statements of Operations, excluding:</w:t>
      </w:r>
    </w:p>
    <w:p>
      <w:pPr>
        <w:spacing w:after="0" w:line="3" w:lineRule="exact"/>
        <w:rPr>
          <w:rFonts w:ascii="Arial" w:cs="Arial" w:eastAsia="Arial" w:hAnsi="Arial"/>
          <w:sz w:val="21"/>
          <w:szCs w:val="21"/>
          <w:color w:val="auto"/>
          <w:vertAlign w:val="superscript"/>
        </w:rPr>
      </w:pPr>
    </w:p>
    <w:p>
      <w:pPr>
        <w:ind w:left="1040" w:hanging="232"/>
        <w:spacing w:after="0"/>
        <w:tabs>
          <w:tab w:leader="none" w:pos="1040" w:val="left"/>
        </w:tabs>
        <w:numPr>
          <w:ilvl w:val="2"/>
          <w:numId w:val="4"/>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3" w:lineRule="exact"/>
        <w:rPr>
          <w:rFonts w:ascii="Arial" w:cs="Arial" w:eastAsia="Arial" w:hAnsi="Arial"/>
          <w:sz w:val="18"/>
          <w:szCs w:val="18"/>
          <w:color w:val="auto"/>
        </w:rPr>
      </w:pPr>
    </w:p>
    <w:p>
      <w:pPr>
        <w:ind w:left="1700" w:hanging="250"/>
        <w:spacing w:after="0"/>
        <w:tabs>
          <w:tab w:leader="none" w:pos="1700" w:val="left"/>
        </w:tabs>
        <w:numPr>
          <w:ilvl w:val="3"/>
          <w:numId w:val="4"/>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6" w:lineRule="exact"/>
        <w:rPr>
          <w:rFonts w:ascii="Arial" w:cs="Arial" w:eastAsia="Arial" w:hAnsi="Arial"/>
          <w:sz w:val="18"/>
          <w:szCs w:val="18"/>
          <w:color w:val="auto"/>
        </w:rPr>
      </w:pPr>
    </w:p>
    <w:p>
      <w:pPr>
        <w:ind w:left="1700" w:hanging="250"/>
        <w:spacing w:after="0"/>
        <w:tabs>
          <w:tab w:leader="none" w:pos="1700" w:val="left"/>
        </w:tabs>
        <w:numPr>
          <w:ilvl w:val="3"/>
          <w:numId w:val="4"/>
        </w:numPr>
        <w:rPr>
          <w:rFonts w:ascii="Arial" w:cs="Arial" w:eastAsia="Arial" w:hAnsi="Arial"/>
          <w:sz w:val="18"/>
          <w:szCs w:val="18"/>
          <w:color w:val="auto"/>
        </w:rPr>
      </w:pPr>
      <w:r>
        <w:rPr>
          <w:rFonts w:ascii="Arial" w:cs="Arial" w:eastAsia="Arial" w:hAnsi="Arial"/>
          <w:sz w:val="18"/>
          <w:szCs w:val="18"/>
          <w:color w:val="auto"/>
        </w:rPr>
        <w:t>Environmental liabilities and special litigation charges, and</w:t>
      </w:r>
    </w:p>
    <w:p>
      <w:pPr>
        <w:spacing w:after="0" w:line="6" w:lineRule="exact"/>
        <w:rPr>
          <w:rFonts w:ascii="Arial" w:cs="Arial" w:eastAsia="Arial" w:hAnsi="Arial"/>
          <w:sz w:val="18"/>
          <w:szCs w:val="18"/>
          <w:color w:val="auto"/>
        </w:rPr>
      </w:pPr>
    </w:p>
    <w:p>
      <w:pPr>
        <w:ind w:left="1700" w:hanging="250"/>
        <w:spacing w:after="0"/>
        <w:tabs>
          <w:tab w:leader="none" w:pos="1700" w:val="left"/>
        </w:tabs>
        <w:numPr>
          <w:ilvl w:val="3"/>
          <w:numId w:val="4"/>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6" w:lineRule="exact"/>
        <w:rPr>
          <w:rFonts w:ascii="Arial" w:cs="Arial" w:eastAsia="Arial" w:hAnsi="Arial"/>
          <w:sz w:val="18"/>
          <w:szCs w:val="18"/>
          <w:color w:val="auto"/>
        </w:rPr>
      </w:pPr>
    </w:p>
    <w:p>
      <w:pPr>
        <w:ind w:left="1040" w:hanging="232"/>
        <w:spacing w:after="0"/>
        <w:tabs>
          <w:tab w:leader="none" w:pos="1040" w:val="left"/>
        </w:tabs>
        <w:numPr>
          <w:ilvl w:val="2"/>
          <w:numId w:val="4"/>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139" w:lineRule="exact"/>
        <w:rPr>
          <w:rFonts w:ascii="Arial" w:cs="Arial" w:eastAsia="Arial" w:hAnsi="Arial"/>
          <w:sz w:val="18"/>
          <w:szCs w:val="18"/>
          <w:color w:val="auto"/>
        </w:rPr>
      </w:pPr>
    </w:p>
    <w:p>
      <w:pPr>
        <w:ind w:left="420" w:hanging="173"/>
        <w:spacing w:after="0"/>
        <w:tabs>
          <w:tab w:leader="none" w:pos="420" w:val="left"/>
        </w:tabs>
        <w:numPr>
          <w:ilvl w:val="1"/>
          <w:numId w:val="4"/>
        </w:numPr>
        <w:rPr>
          <w:rFonts w:ascii="Arial" w:cs="Arial" w:eastAsia="Arial" w:hAnsi="Arial"/>
          <w:sz w:val="21"/>
          <w:szCs w:val="21"/>
          <w:color w:val="auto"/>
          <w:vertAlign w:val="superscript"/>
        </w:rPr>
      </w:pPr>
      <w:r>
        <w:rPr>
          <w:rFonts w:ascii="Arial" w:cs="Arial" w:eastAsia="Arial" w:hAnsi="Arial"/>
          <w:sz w:val="16"/>
          <w:szCs w:val="16"/>
          <w:color w:val="auto"/>
        </w:rPr>
        <w:t>2022 results have been recast to reflect the realignment of our reportable segments.</w:t>
      </w:r>
    </w:p>
    <w:p>
      <w:pPr>
        <w:spacing w:after="0" w:line="223" w:lineRule="exact"/>
        <w:rPr>
          <w:rFonts w:ascii="Arial" w:cs="Arial" w:eastAsia="Arial" w:hAnsi="Arial"/>
          <w:sz w:val="21"/>
          <w:szCs w:val="21"/>
          <w:color w:val="auto"/>
          <w:vertAlign w:val="superscript"/>
        </w:rPr>
      </w:pPr>
    </w:p>
    <w:p>
      <w:pPr>
        <w:ind w:left="180" w:hanging="173"/>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ind w:left="240"/>
        <w:spacing w:after="0"/>
        <w:rPr>
          <w:sz w:val="20"/>
          <w:szCs w:val="20"/>
          <w:color w:val="auto"/>
        </w:rPr>
      </w:pPr>
      <w:r>
        <w:rPr>
          <w:rFonts w:ascii="Arial" w:cs="Arial" w:eastAsia="Arial" w:hAnsi="Arial"/>
          <w:sz w:val="18"/>
          <w:szCs w:val="18"/>
          <w:color w:val="auto"/>
        </w:rPr>
        <w:t>The computations of basic and diluted earnings per share were as follows (in millions, except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80" w:type="dxa"/>
            <w:vAlign w:val="bottom"/>
          </w:tcPr>
          <w:p>
            <w:pPr>
              <w:spacing w:after="0"/>
              <w:rPr>
                <w:sz w:val="16"/>
                <w:szCs w:val="16"/>
                <w:color w:val="auto"/>
              </w:rPr>
            </w:pPr>
          </w:p>
        </w:tc>
        <w:tc>
          <w:tcPr>
            <w:tcW w:w="252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For the Three Months Ended June</w:t>
            </w:r>
          </w:p>
        </w:tc>
        <w:tc>
          <w:tcPr>
            <w:tcW w:w="100" w:type="dxa"/>
            <w:vAlign w:val="bottom"/>
          </w:tcPr>
          <w:p>
            <w:pPr>
              <w:spacing w:after="0"/>
              <w:rPr>
                <w:sz w:val="16"/>
                <w:szCs w:val="16"/>
                <w:color w:val="auto"/>
              </w:rPr>
            </w:pPr>
          </w:p>
        </w:tc>
        <w:tc>
          <w:tcPr>
            <w:tcW w:w="2340" w:type="dxa"/>
            <w:vAlign w:val="bottom"/>
            <w:gridSpan w:val="6"/>
          </w:tcPr>
          <w:p>
            <w:pPr>
              <w:jc w:val="right"/>
              <w:spacing w:after="0"/>
              <w:rPr>
                <w:sz w:val="20"/>
                <w:szCs w:val="20"/>
                <w:color w:val="auto"/>
              </w:rPr>
            </w:pPr>
            <w:r>
              <w:rPr>
                <w:rFonts w:ascii="Arial" w:cs="Arial" w:eastAsia="Arial" w:hAnsi="Arial"/>
                <w:sz w:val="16"/>
                <w:szCs w:val="16"/>
                <w:b w:val="1"/>
                <w:bCs w:val="1"/>
                <w:color w:val="auto"/>
                <w:w w:val="93"/>
              </w:rPr>
              <w:t>For the Six Months Ended June</w:t>
            </w:r>
          </w:p>
        </w:tc>
      </w:tr>
      <w:tr>
        <w:trPr>
          <w:trHeight w:val="211"/>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9"/>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89"/>
              </w:rPr>
              <w:t>30,</w:t>
            </w:r>
          </w:p>
        </w:tc>
        <w:tc>
          <w:tcPr>
            <w:tcW w:w="860" w:type="dxa"/>
            <w:vAlign w:val="bottom"/>
            <w:tcBorders>
              <w:bottom w:val="single" w:sz="8" w:color="auto"/>
            </w:tcBorders>
          </w:tcPr>
          <w:p>
            <w:pPr>
              <w:spacing w:after="0"/>
              <w:rPr>
                <w:sz w:val="18"/>
                <w:szCs w:val="18"/>
                <w:color w:val="auto"/>
              </w:rPr>
            </w:pPr>
          </w:p>
        </w:tc>
      </w:tr>
      <w:tr>
        <w:trPr>
          <w:trHeight w:val="207"/>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2022</w:t>
            </w: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315.2</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260.8</w:t>
            </w:r>
          </w:p>
        </w:tc>
      </w:tr>
      <w:tr>
        <w:trPr>
          <w:trHeight w:val="267"/>
        </w:trPr>
        <w:tc>
          <w:tcPr>
            <w:tcW w:w="6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4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w:t>
            </w:r>
          </w:p>
        </w:tc>
      </w:tr>
      <w:tr>
        <w:trPr>
          <w:trHeight w:val="22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Potential effect of dilutive securities attributable to stock-based payments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6"/>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60"/>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per share – Basic:</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14"/>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7"/>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Earnings per share – Diluted:</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160"/>
        <w:spacing w:after="0" w:line="270"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4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For the Three Months Ended June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Borders>
              <w:bottom w:val="single" w:sz="8" w:color="auto"/>
            </w:tcBorders>
            <w:gridSpan w:val="3"/>
          </w:tcPr>
          <w:p>
            <w:pPr>
              <w:jc w:val="right"/>
              <w:ind w:right="371"/>
              <w:spacing w:after="0"/>
              <w:rPr>
                <w:sz w:val="20"/>
                <w:szCs w:val="20"/>
                <w:color w:val="auto"/>
              </w:rPr>
            </w:pPr>
            <w:r>
              <w:rPr>
                <w:rFonts w:ascii="Arial" w:cs="Arial" w:eastAsia="Arial" w:hAnsi="Arial"/>
                <w:sz w:val="16"/>
                <w:szCs w:val="16"/>
                <w:b w:val="1"/>
                <w:bCs w:val="1"/>
                <w:color w:val="auto"/>
              </w:rPr>
              <w:t>For the Six Months Ended June 30,</w:t>
            </w:r>
          </w:p>
        </w:tc>
      </w:tr>
      <w:tr>
        <w:trPr>
          <w:trHeight w:val="207"/>
        </w:trPr>
        <w:tc>
          <w:tcPr>
            <w:tcW w:w="4240" w:type="dxa"/>
            <w:vAlign w:val="bottom"/>
          </w:tcPr>
          <w:p>
            <w:pPr>
              <w:spacing w:after="0"/>
              <w:rPr>
                <w:sz w:val="18"/>
                <w:szCs w:val="18"/>
                <w:color w:val="auto"/>
              </w:rPr>
            </w:pPr>
          </w:p>
        </w:tc>
        <w:tc>
          <w:tcPr>
            <w:tcW w:w="1140" w:type="dxa"/>
            <w:vAlign w:val="bottom"/>
          </w:tcPr>
          <w:p>
            <w:pPr>
              <w:jc w:val="right"/>
              <w:ind w:right="80"/>
              <w:spacing w:after="0"/>
              <w:rPr>
                <w:sz w:val="20"/>
                <w:szCs w:val="20"/>
                <w:color w:val="auto"/>
              </w:rPr>
            </w:pPr>
            <w:r>
              <w:rPr>
                <w:rFonts w:ascii="Arial" w:cs="Arial" w:eastAsia="Arial" w:hAnsi="Arial"/>
                <w:sz w:val="16"/>
                <w:szCs w:val="16"/>
                <w:b w:val="1"/>
                <w:bCs w:val="1"/>
                <w:color w:val="auto"/>
              </w:rPr>
              <w:t>2023</w:t>
            </w:r>
          </w:p>
        </w:tc>
        <w:tc>
          <w:tcPr>
            <w:tcW w:w="20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2022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right"/>
              <w:ind w:right="557"/>
              <w:spacing w:after="0"/>
              <w:rPr>
                <w:sz w:val="20"/>
                <w:szCs w:val="20"/>
                <w:color w:val="auto"/>
              </w:rPr>
            </w:pPr>
            <w:r>
              <w:rPr>
                <w:rFonts w:ascii="Arial" w:cs="Arial" w:eastAsia="Arial" w:hAnsi="Arial"/>
                <w:sz w:val="16"/>
                <w:szCs w:val="16"/>
                <w:b w:val="1"/>
                <w:bCs w:val="1"/>
                <w:color w:val="auto"/>
              </w:rPr>
              <w:t>2023</w:t>
            </w:r>
          </w:p>
        </w:tc>
        <w:tc>
          <w:tcPr>
            <w:tcW w:w="1740" w:type="dxa"/>
            <w:vAlign w:val="bottom"/>
            <w:gridSpan w:val="2"/>
          </w:tcPr>
          <w:p>
            <w:pPr>
              <w:jc w:val="right"/>
              <w:ind w:right="551"/>
              <w:spacing w:after="0"/>
              <w:rPr>
                <w:sz w:val="20"/>
                <w:szCs w:val="20"/>
                <w:color w:val="auto"/>
              </w:rPr>
            </w:pPr>
            <w:r>
              <w:rPr>
                <w:rFonts w:ascii="Arial" w:cs="Arial" w:eastAsia="Arial" w:hAnsi="Arial"/>
                <w:sz w:val="16"/>
                <w:szCs w:val="16"/>
                <w:b w:val="1"/>
                <w:bCs w:val="1"/>
                <w:color w:val="auto"/>
              </w:rPr>
              <w:t>2022</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shares</w:t>
            </w:r>
          </w:p>
        </w:tc>
        <w:tc>
          <w:tcPr>
            <w:tcW w:w="1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Commitments and Contingencies: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0" w:lineRule="exact"/>
        <w:rPr>
          <w:sz w:val="20"/>
          <w:szCs w:val="20"/>
          <w:color w:val="auto"/>
        </w:rPr>
      </w:pPr>
    </w:p>
    <w:p>
      <w:pPr>
        <w:jc w:val="both"/>
        <w:ind w:firstLine="241"/>
        <w:spacing w:after="0" w:line="249" w:lineRule="auto"/>
        <w:rPr>
          <w:sz w:val="20"/>
          <w:szCs w:val="20"/>
          <w:color w:val="auto"/>
        </w:rPr>
      </w:pPr>
      <w:r>
        <w:rPr>
          <w:rFonts w:ascii="Arial" w:cs="Arial" w:eastAsia="Arial" w:hAnsi="Arial"/>
          <w:sz w:val="18"/>
          <w:szCs w:val="18"/>
          <w:color w:val="auto"/>
        </w:rPr>
        <w:t>We determine if an arrangement is a lease at inception. Operating leases are included in our Consolidated Balance Sheets as Right-of-use assets from operating leases, Current operating lease liabilities and Long-term operating lease liabilities. Finance leases are included in Property, plant and equipment, Current maturities of long-term debt and Long-term debt in our Consolidated Balance Sheets. We do not recognize a right-of-use asset and lease liability for leases with a term of 12 months or less. We do not separate non-lease components from lease components to which they relate and have accounted for the combined lease and non-lease components as a single lease component.</w:t>
      </w:r>
    </w:p>
    <w:p>
      <w:pPr>
        <w:spacing w:after="0" w:line="222"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6"/>
          <w:szCs w:val="16"/>
          <w:color w:val="auto"/>
        </w:rPr>
        <w:t>Many of our lease agreements contain renewal options; however, we do not recognize right-of-use assets or lease liabilities for renewal periods unless it is determined that we are reasonably certain of renewing the lease at inception or when a triggering event occurs. Some of our lease agreements contain rent escalation clauses (including index-based escalations), rent holidays, capital improvement funding or other lease concessions. We recognize our minimum rental expense on a straight-line basis based on the fixed components of a lease arrangement. We amortize this expense over the term of the lease beginning with the date of initial possession. Variable lease components represent amounts that are not fixed in nature and are not tied to an index or rate, and are recognized as incurred. Under certain of our third-party service agreements, we control a specific space or underlying asset used in providing the service by the third-party service provider. These arrangements meet the definition under ASC 842 and therefore are accounted for under ASC 842.</w:t>
      </w:r>
    </w:p>
    <w:p>
      <w:pPr>
        <w:spacing w:after="0" w:line="191"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7"/>
          <w:szCs w:val="17"/>
          <w:color w:val="auto"/>
        </w:rPr>
        <w:t>In determining our right-of-use assets and lease liabilities, we apply a discount rate to the minimum lease payments within each lease agreement. ASC 842 requires us to use the rate of interest that a lessee would have to pay to borrow on a collateralized basis over a similar term an amount equal to the lease payments in a similar economic environment. When we cannot readily determine the discount rate implicit in the lease agreement, we utilize our incremental borrowing rate. To estimate our specific incremental borrowing rates over various periods (ranging from 1-year through 30-years), a comparable market yield curve consistent with our credit quality was calibrated to our publicly outstanding debt instruments.</w:t>
      </w:r>
    </w:p>
    <w:p>
      <w:pPr>
        <w:spacing w:after="0" w:line="205"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lease certain real and personal property under non-cancelable operating leases. Approximately 81% of our right-of-use assets and lease liabilities relate to our leases of real estate with the remaining amounts primarily relating to our leases of IT equipment, fleet vehicles and manufacturing and distribution equipment.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experience, as necessary.</w:t>
      </w:r>
    </w:p>
    <w:p>
      <w:pPr>
        <w:spacing w:after="0" w:line="212"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60" w:type="dxa"/>
            <w:vAlign w:val="bottom"/>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 June 30, 2023</w:t>
            </w:r>
          </w:p>
        </w:tc>
        <w:tc>
          <w:tcPr>
            <w:tcW w:w="4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w w:val="93"/>
              </w:rPr>
              <w:t>As of December 31, 2022</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1820" w:type="dxa"/>
            <w:vAlign w:val="bottom"/>
            <w:shd w:val="clear" w:color="auto" w:fill="CCEEFF"/>
          </w:tcPr>
          <w:p>
            <w:pPr>
              <w:jc w:val="right"/>
              <w:ind w:right="163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r>
      <w:tr>
        <w:trPr>
          <w:trHeight w:val="24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102.5</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w:t>
            </w:r>
          </w:p>
        </w:tc>
      </w:tr>
      <w:tr>
        <w:trPr>
          <w:trHeight w:val="246"/>
        </w:trPr>
        <w:tc>
          <w:tcPr>
            <w:tcW w:w="6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warranty liability</w:t>
            </w:r>
          </w:p>
        </w:tc>
        <w:tc>
          <w:tcPr>
            <w:tcW w:w="1820" w:type="dxa"/>
            <w:vAlign w:val="bottom"/>
            <w:tcBorders>
              <w:bottom w:val="single" w:sz="8" w:color="auto"/>
            </w:tcBorders>
            <w:shd w:val="clear" w:color="auto" w:fill="CCEEFF"/>
          </w:tcPr>
          <w:p>
            <w:pPr>
              <w:jc w:val="right"/>
              <w:ind w:right="1634"/>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146.7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changes in product warranty liabilities related to continuing operations for the six months ended June 30, 2023 were as follows (in millions):</w:t>
      </w:r>
    </w:p>
    <w:p>
      <w:pPr>
        <w:spacing w:after="0" w:line="220"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warranty liability as of December 31, 2022</w:t>
            </w:r>
          </w:p>
        </w:tc>
        <w:tc>
          <w:tcPr>
            <w:tcW w:w="500" w:type="dxa"/>
            <w:vAlign w:val="bottom"/>
            <w:shd w:val="clear" w:color="auto" w:fill="CCEEFF"/>
          </w:tcPr>
          <w:p>
            <w:pPr>
              <w:jc w:val="right"/>
              <w:ind w:right="291"/>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r>
      <w:tr>
        <w:trPr>
          <w:trHeight w:val="227"/>
        </w:trPr>
        <w:tc>
          <w:tcPr>
            <w:tcW w:w="9660" w:type="dxa"/>
            <w:vAlign w:val="bottom"/>
          </w:tcPr>
          <w:p>
            <w:pPr>
              <w:ind w:left="220"/>
              <w:spacing w:after="0"/>
              <w:rPr>
                <w:sz w:val="20"/>
                <w:szCs w:val="20"/>
                <w:color w:val="auto"/>
              </w:rPr>
            </w:pPr>
            <w:r>
              <w:rPr>
                <w:rFonts w:ascii="Arial" w:cs="Arial" w:eastAsia="Arial" w:hAnsi="Arial"/>
                <w:sz w:val="18"/>
                <w:szCs w:val="18"/>
                <w:color w:val="auto"/>
              </w:rPr>
              <w:t>Warranty claims paid</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w:t>
            </w:r>
          </w:p>
        </w:tc>
      </w:tr>
      <w:tr>
        <w:trPr>
          <w:trHeight w:val="241"/>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resulting from issuance of new warranties</w:t>
            </w:r>
          </w:p>
        </w:tc>
        <w:tc>
          <w:tcPr>
            <w:tcW w:w="5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7"/>
        </w:trPr>
        <w:tc>
          <w:tcPr>
            <w:tcW w:w="9660" w:type="dxa"/>
            <w:vAlign w:val="bottom"/>
          </w:tcPr>
          <w:p>
            <w:pPr>
              <w:ind w:left="220"/>
              <w:spacing w:after="0"/>
              <w:rPr>
                <w:sz w:val="20"/>
                <w:szCs w:val="20"/>
                <w:color w:val="auto"/>
              </w:rPr>
            </w:pPr>
            <w:r>
              <w:rPr>
                <w:rFonts w:ascii="Arial" w:cs="Arial" w:eastAsia="Arial" w:hAnsi="Arial"/>
                <w:sz w:val="18"/>
                <w:szCs w:val="18"/>
                <w:color w:val="auto"/>
              </w:rPr>
              <w:t>Changes in estimates associated with pre-existing liabilities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7"/>
        </w:trPr>
        <w:tc>
          <w:tcPr>
            <w:tcW w:w="9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foreign currency translation rates and other</w:t>
            </w: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0"/>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Total warranty liability as of June 30, 2023</w:t>
            </w:r>
          </w:p>
        </w:tc>
        <w:tc>
          <w:tcPr>
            <w:tcW w:w="5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146.7</w:t>
            </w:r>
          </w:p>
        </w:tc>
      </w:tr>
      <w:tr>
        <w:trPr>
          <w:trHeight w:val="20"/>
        </w:trPr>
        <w:tc>
          <w:tcPr>
            <w:tcW w:w="9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212"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Repurchases:</w:t>
      </w:r>
    </w:p>
    <w:p>
      <w:pPr>
        <w:spacing w:after="0" w:line="251"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7"/>
          <w:szCs w:val="17"/>
          <w:color w:val="auto"/>
        </w:rPr>
        <w:t>Our Board of Directors has authorized a total of $4.0 billion to repurchase shares of our common stock (collectively referred to as the "Share Repurchase Plans"), including a $1.0 billion share repurchase authorization in July 2021. The Share Repurchase Plans allow us to repurchase shares from time to time in open market transactions and in privately negotiated transactions based on business, market, applicable legal requirements and other considerations. The Share Repurchase Plans do not require the repurchase of a specific number of shares and may be terminated at any time. As of June 30, 2023, $546 million was available for repurchase under the Share Repurchase Plans.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Revenue Recognition:</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The following table disaggregates our revenue by business segment by geography which provides information as to the major source of revenue. See Note 2 for additional information on our reportable business segments and the products and services sold in each segment. All amount presented reflect the revised segment presentation.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tbl>
      <w:tblPr>
        <w:tblLayout w:type="fixed"/>
        <w:tblInd w:w="300" w:type="dxa"/>
        <w:tblCellMar>
          <w:top w:w="0" w:type="dxa"/>
          <w:left w:w="0" w:type="dxa"/>
          <w:bottom w:w="0" w:type="dxa"/>
          <w:right w:w="0" w:type="dxa"/>
        </w:tblCellMar>
      </w:tblPr>
      <w:tr>
        <w:trPr>
          <w:trHeight w:val="214"/>
        </w:trPr>
        <w:tc>
          <w:tcPr>
            <w:tcW w:w="3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b w:val="1"/>
                <w:bCs w:val="1"/>
                <w:color w:val="auto"/>
                <w:w w:val="90"/>
              </w:rPr>
              <w:t>For the Three Months Ended June 30, 2023</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Residential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Commercial</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3"/>
              </w:rPr>
              <w:t>Corporate and Other</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Consolidated</w:t>
            </w:r>
          </w:p>
        </w:tc>
      </w:tr>
      <w:tr>
        <w:trPr>
          <w:trHeight w:val="20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1,250.7</w:t>
            </w:r>
          </w:p>
        </w:tc>
      </w:tr>
      <w:tr>
        <w:trPr>
          <w:trHeight w:val="211"/>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93.0</w:t>
            </w:r>
          </w:p>
        </w:tc>
      </w:tr>
      <w:tr>
        <w:trPr>
          <w:trHeight w:val="21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w:t>
            </w:r>
          </w:p>
        </w:tc>
      </w:tr>
      <w:tr>
        <w:trPr>
          <w:trHeight w:val="20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jc w:val="right"/>
              <w:ind w:right="122"/>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936.2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407.5</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1,411.4</w:t>
            </w: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61"/>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spacing w:after="0"/>
              <w:rPr>
                <w:sz w:val="24"/>
                <w:szCs w:val="24"/>
                <w:color w:val="auto"/>
              </w:rPr>
            </w:pPr>
          </w:p>
        </w:tc>
        <w:tc>
          <w:tcPr>
            <w:tcW w:w="1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3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b w:val="1"/>
                <w:bCs w:val="1"/>
                <w:color w:val="auto"/>
                <w:w w:val="91"/>
              </w:rPr>
              <w:t>For the Three Months Ended June 30, 2022</w:t>
            </w:r>
            <w:r>
              <w:rPr>
                <w:rFonts w:ascii="Arial" w:cs="Arial" w:eastAsia="Arial" w:hAnsi="Arial"/>
                <w:sz w:val="10"/>
                <w:szCs w:val="10"/>
                <w:b w:val="1"/>
                <w:bCs w:val="1"/>
                <w:color w:val="auto"/>
                <w:w w:val="91"/>
              </w:rPr>
              <w:t>(1)</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Residential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Commercial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3"/>
              </w:rPr>
              <w:t>Corporate and Other</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Consolidated</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315.0</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1,216.8</w:t>
            </w:r>
          </w:p>
        </w:tc>
      </w:tr>
      <w:tr>
        <w:trPr>
          <w:trHeight w:val="211"/>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0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jc w:val="right"/>
              <w:ind w:right="122"/>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977.5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327.4</w:t>
            </w:r>
          </w:p>
        </w:tc>
        <w:tc>
          <w:tcPr>
            <w:tcW w:w="10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1,366.3</w:t>
            </w: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41"/>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spacing w:after="0"/>
              <w:rPr>
                <w:sz w:val="24"/>
                <w:szCs w:val="24"/>
                <w:color w:val="auto"/>
              </w:rPr>
            </w:pPr>
          </w:p>
        </w:tc>
        <w:tc>
          <w:tcPr>
            <w:tcW w:w="17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1"/>
        </w:trPr>
        <w:tc>
          <w:tcPr>
            <w:tcW w:w="36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5"/>
            <w:shd w:val="clear" w:color="auto" w:fill="CCEEFF"/>
          </w:tcPr>
          <w:p>
            <w:pPr>
              <w:jc w:val="center"/>
              <w:ind w:right="40"/>
              <w:spacing w:after="0"/>
              <w:rPr>
                <w:sz w:val="20"/>
                <w:szCs w:val="20"/>
                <w:color w:val="auto"/>
              </w:rPr>
            </w:pPr>
            <w:r>
              <w:rPr>
                <w:rFonts w:ascii="Arial" w:cs="Arial" w:eastAsia="Arial" w:hAnsi="Arial"/>
                <w:sz w:val="16"/>
                <w:szCs w:val="16"/>
                <w:b w:val="1"/>
                <w:bCs w:val="1"/>
                <w:color w:val="auto"/>
                <w:w w:val="90"/>
              </w:rPr>
              <w:t>For the Six Months Ended June 30, 2023</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10"/>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Residential</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Commercial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3"/>
              </w:rPr>
              <w:t>Corporate and Other</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Consolidated</w:t>
            </w:r>
          </w:p>
        </w:tc>
      </w:tr>
      <w:tr>
        <w:trPr>
          <w:trHeight w:val="20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676.7</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2,184.5</w:t>
            </w:r>
          </w:p>
        </w:tc>
      </w:tr>
      <w:tr>
        <w:trPr>
          <w:trHeight w:val="211"/>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148.8</w:t>
            </w:r>
          </w:p>
        </w:tc>
      </w:tr>
      <w:tr>
        <w:trPr>
          <w:trHeight w:val="216"/>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127.4</w:t>
            </w:r>
          </w:p>
        </w:tc>
      </w:tr>
      <w:tr>
        <w:trPr>
          <w:trHeight w:val="20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1,617.2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716.1</w:t>
            </w:r>
          </w:p>
        </w:tc>
        <w:tc>
          <w:tcPr>
            <w:tcW w:w="12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2,460.7</w:t>
            </w: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461"/>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36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00" w:type="dxa"/>
            <w:vAlign w:val="bottom"/>
            <w:tcBorders>
              <w:bottom w:val="single" w:sz="8" w:color="auto"/>
            </w:tcBorders>
            <w:gridSpan w:val="5"/>
            <w:shd w:val="clear" w:color="auto" w:fill="CCEEFF"/>
          </w:tcPr>
          <w:p>
            <w:pPr>
              <w:jc w:val="center"/>
              <w:ind w:right="20"/>
              <w:spacing w:after="0"/>
              <w:rPr>
                <w:sz w:val="20"/>
                <w:szCs w:val="20"/>
                <w:color w:val="auto"/>
              </w:rPr>
            </w:pPr>
            <w:r>
              <w:rPr>
                <w:rFonts w:ascii="Arial" w:cs="Arial" w:eastAsia="Arial" w:hAnsi="Arial"/>
                <w:sz w:val="16"/>
                <w:szCs w:val="16"/>
                <w:b w:val="1"/>
                <w:bCs w:val="1"/>
                <w:color w:val="auto"/>
                <w:w w:val="91"/>
              </w:rPr>
              <w:t xml:space="preserve">For the Six Months Ended June 30, 2022 </w:t>
            </w:r>
            <w:r>
              <w:rPr>
                <w:rFonts w:ascii="Arial" w:cs="Arial" w:eastAsia="Arial" w:hAnsi="Arial"/>
                <w:sz w:val="10"/>
                <w:szCs w:val="10"/>
                <w:b w:val="1"/>
                <w:bCs w:val="1"/>
                <w:color w:val="auto"/>
                <w:w w:val="91"/>
              </w:rPr>
              <w:t>(1)</w:t>
            </w:r>
          </w:p>
        </w:tc>
        <w:tc>
          <w:tcPr>
            <w:tcW w:w="1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r>
      <w:tr>
        <w:trPr>
          <w:trHeight w:val="20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Residential</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Commercial</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3"/>
              </w:rPr>
              <w:t>Corporate and Other</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Consolidated</w:t>
            </w:r>
          </w:p>
        </w:tc>
      </w:tr>
      <w:tr>
        <w:trPr>
          <w:trHeight w:val="210"/>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583.6</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2,115.0</w:t>
            </w:r>
          </w:p>
        </w:tc>
      </w:tr>
      <w:tr>
        <w:trPr>
          <w:trHeight w:val="211"/>
        </w:trPr>
        <w:tc>
          <w:tcPr>
            <w:tcW w:w="3600" w:type="dxa"/>
            <w:vAlign w:val="bottom"/>
          </w:tcPr>
          <w:p>
            <w:pPr>
              <w:ind w:left="20"/>
              <w:spacing w:after="0"/>
              <w:rPr>
                <w:sz w:val="20"/>
                <w:szCs w:val="20"/>
                <w:color w:val="auto"/>
              </w:rPr>
            </w:pPr>
            <w:r>
              <w:rPr>
                <w:rFonts w:ascii="Arial" w:cs="Arial" w:eastAsia="Arial" w:hAnsi="Arial"/>
                <w:sz w:val="16"/>
                <w:szCs w:val="16"/>
                <w:color w:val="auto"/>
              </w:rPr>
              <w:t>Canada</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151.0</w:t>
            </w: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international</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r>
      <w:tr>
        <w:trPr>
          <w:trHeight w:val="207"/>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1,659.6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606.9</w:t>
            </w:r>
          </w:p>
        </w:tc>
        <w:tc>
          <w:tcPr>
            <w:tcW w:w="12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113.2</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2,379.7</w:t>
            </w: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left="640" w:firstLine="8"/>
        <w:spacing w:after="0" w:line="302" w:lineRule="auto"/>
        <w:tabs>
          <w:tab w:leader="none" w:pos="80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As discussed in Note 2, we adjusted our segment reporting to include the results of our Heatcraft businesses in Commercial and the results of our European portfolio in Corporate and Other. The amounts for the three and six months ended June 30, 2022 have been recast to reflect the revised segment presentation.</w:t>
      </w:r>
    </w:p>
    <w:p>
      <w:pPr>
        <w:spacing w:after="0" w:line="386" w:lineRule="exact"/>
        <w:rPr>
          <w:sz w:val="20"/>
          <w:szCs w:val="20"/>
          <w:color w:val="auto"/>
        </w:rPr>
      </w:pPr>
    </w:p>
    <w:p>
      <w:pPr>
        <w:jc w:val="both"/>
        <w:ind w:firstLine="241"/>
        <w:spacing w:after="0" w:line="290" w:lineRule="auto"/>
        <w:rPr>
          <w:sz w:val="20"/>
          <w:szCs w:val="20"/>
          <w:color w:val="auto"/>
        </w:rPr>
      </w:pPr>
      <w:r>
        <w:rPr>
          <w:rFonts w:ascii="Arial" w:cs="Arial" w:eastAsia="Arial" w:hAnsi="Arial"/>
          <w:sz w:val="16"/>
          <w:szCs w:val="16"/>
          <w:b w:val="1"/>
          <w:bCs w:val="1"/>
          <w:color w:val="auto"/>
        </w:rPr>
        <w:t xml:space="preserve">Residential </w:t>
      </w:r>
      <w:r>
        <w:rPr>
          <w:rFonts w:ascii="Arial" w:cs="Arial" w:eastAsia="Arial" w:hAnsi="Arial"/>
          <w:sz w:val="16"/>
          <w:szCs w:val="16"/>
          <w:color w:val="auto"/>
        </w:rPr>
        <w:t>- We manufacture and market a broad range of furnaces, air conditioners, heat pumps, packaged heating and cooling systems, equipment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stores or to independent distributors. For the three months ended June 30, 2023 and 2022, direct sales represented 76% and 70% of revenues, and sales to independent distributors represented the remainder. For the six months ended June 30, 2023 and 2022, direct sales represented 73% and 69% of revenues, and sales to independent distributors represented the remainder.</w:t>
      </w:r>
    </w:p>
    <w:p>
      <w:pPr>
        <w:spacing w:after="0" w:line="189" w:lineRule="exact"/>
        <w:rPr>
          <w:sz w:val="20"/>
          <w:szCs w:val="20"/>
          <w:color w:val="auto"/>
        </w:rPr>
      </w:pPr>
    </w:p>
    <w:p>
      <w:pPr>
        <w:jc w:val="both"/>
        <w:ind w:firstLine="241"/>
        <w:spacing w:after="0" w:line="254" w:lineRule="auto"/>
        <w:rPr>
          <w:sz w:val="20"/>
          <w:szCs w:val="20"/>
          <w:color w:val="auto"/>
        </w:rPr>
      </w:pPr>
      <w:r>
        <w:rPr>
          <w:rFonts w:ascii="Arial" w:cs="Arial" w:eastAsia="Arial" w:hAnsi="Arial"/>
          <w:sz w:val="18"/>
          <w:szCs w:val="18"/>
          <w:b w:val="1"/>
          <w:bCs w:val="1"/>
          <w:color w:val="auto"/>
        </w:rPr>
        <w:t xml:space="preserve">Commercial </w:t>
      </w:r>
      <w:r>
        <w:rPr>
          <w:rFonts w:ascii="Arial" w:cs="Arial" w:eastAsia="Arial" w:hAnsi="Arial"/>
          <w:sz w:val="18"/>
          <w:szCs w:val="18"/>
          <w:color w:val="auto"/>
        </w:rPr>
        <w:t>- In North America, we manufacture and sell unitary heating and cooling equipment used in light commercial applications, such as low-rise</w:t>
      </w:r>
      <w:r>
        <w:rPr>
          <w:rFonts w:ascii="Arial" w:cs="Arial" w:eastAsia="Arial" w:hAnsi="Arial"/>
          <w:sz w:val="18"/>
          <w:szCs w:val="18"/>
          <w:b w:val="1"/>
          <w:bCs w:val="1"/>
          <w:color w:val="auto"/>
        </w:rPr>
        <w:t xml:space="preserve"> </w:t>
      </w:r>
      <w:r>
        <w:rPr>
          <w:rFonts w:ascii="Arial" w:cs="Arial" w:eastAsia="Arial" w:hAnsi="Arial"/>
          <w:sz w:val="18"/>
          <w:szCs w:val="18"/>
          <w:color w:val="auto"/>
        </w:rPr>
        <w:t>office buildings, restaurants, retail centers, churches and schools. These products are distributed primarily through commercial contractors and directly to national account customers in the planned replacement, emergency replacement and new construction markets. We manufacture and market equipment for the commercial refrigeration markets under the Heatcraft Worldwide Refrigeration name. Our products are used in the food retail, food service, cold storage as well</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7"/>
          <w:szCs w:val="17"/>
          <w:color w:val="auto"/>
        </w:rPr>
        <w:t>as non-food refrigeration markets. We sell these products to distributors, installing contractors, engineering design firms, original equipment manufacturers and end-users. Lennox National Account Services provides installation, service and preventive maintenance for HVAC national account customers in the United States and Canada. For the three months ended June 30, 2023 and 2022, equipment sales represented 87% and 88% of revenues and the remainder of our revenue was generated from our service business. For the six months ended June 30, 2023 and 2022, equipment sales represented 86% and 87% of revenues and the remainder of our revenue was generated from our service business.</w:t>
      </w:r>
    </w:p>
    <w:p>
      <w:pPr>
        <w:spacing w:after="0" w:line="201" w:lineRule="exact"/>
        <w:rPr>
          <w:sz w:val="20"/>
          <w:szCs w:val="20"/>
          <w:color w:val="auto"/>
        </w:rPr>
      </w:pPr>
    </w:p>
    <w:p>
      <w:pPr>
        <w:jc w:val="both"/>
        <w:ind w:firstLine="241"/>
        <w:spacing w:after="0" w:line="254"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 In Europe, we manufacture and market equipment for the global commercial refrigeration markets. We also manufacture and sell</w:t>
      </w:r>
      <w:r>
        <w:rPr>
          <w:rFonts w:ascii="Arial" w:cs="Arial" w:eastAsia="Arial" w:hAnsi="Arial"/>
          <w:sz w:val="18"/>
          <w:szCs w:val="18"/>
          <w:b w:val="1"/>
          <w:bCs w:val="1"/>
          <w:color w:val="auto"/>
        </w:rPr>
        <w:t xml:space="preserve"> </w:t>
      </w:r>
      <w:r>
        <w:rPr>
          <w:rFonts w:ascii="Arial" w:cs="Arial" w:eastAsia="Arial" w:hAnsi="Arial"/>
          <w:sz w:val="18"/>
          <w:szCs w:val="18"/>
          <w:color w:val="auto"/>
        </w:rPr>
        <w:t>unitary heating and cooling products and applied systems. A de minimis amount of segment revenue relates to services for start-up and commissioning activities.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Contract Liabilities </w:t>
      </w:r>
      <w:r>
        <w:rPr>
          <w:rFonts w:ascii="Arial" w:cs="Arial" w:eastAsia="Arial" w:hAnsi="Arial"/>
          <w:sz w:val="17"/>
          <w:szCs w:val="17"/>
          <w:color w:val="auto"/>
        </w:rPr>
        <w:t>- Our contract liabilities consist of advance payments and deferred revenue. Net contract liabilities consisted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ind w:right="242"/>
              <w:spacing w:after="0"/>
              <w:rPr>
                <w:sz w:val="20"/>
                <w:szCs w:val="20"/>
                <w:color w:val="auto"/>
              </w:rPr>
            </w:pPr>
            <w:r>
              <w:rPr>
                <w:rFonts w:ascii="Arial" w:cs="Arial" w:eastAsia="Arial" w:hAnsi="Arial"/>
                <w:sz w:val="14"/>
                <w:szCs w:val="14"/>
                <w:b w:val="1"/>
                <w:bCs w:val="1"/>
                <w:color w:val="auto"/>
                <w:w w:val="96"/>
              </w:rPr>
              <w:t>As of June 30, 2023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900" w:type="dxa"/>
            <w:vAlign w:val="bottom"/>
            <w:tcBorders>
              <w:bottom w:val="single" w:sz="8" w:color="auto"/>
            </w:tcBorders>
            <w:shd w:val="clear" w:color="auto" w:fill="CCEEFF"/>
          </w:tcPr>
          <w:p>
            <w:pPr>
              <w:jc w:val="right"/>
              <w:ind w:right="222"/>
              <w:spacing w:after="0"/>
              <w:rPr>
                <w:sz w:val="20"/>
                <w:szCs w:val="20"/>
                <w:color w:val="auto"/>
              </w:rPr>
            </w:pPr>
            <w:r>
              <w:rPr>
                <w:rFonts w:ascii="Arial" w:cs="Arial" w:eastAsia="Arial" w:hAnsi="Arial"/>
                <w:sz w:val="14"/>
                <w:szCs w:val="14"/>
                <w:b w:val="1"/>
                <w:bCs w:val="1"/>
                <w:color w:val="auto"/>
                <w:w w:val="95"/>
              </w:rPr>
              <w:t>As of December 31, 2022</w:t>
            </w:r>
          </w:p>
        </w:tc>
      </w:tr>
      <w:tr>
        <w:trPr>
          <w:trHeight w:val="204"/>
        </w:trPr>
        <w:tc>
          <w:tcPr>
            <w:tcW w:w="7080" w:type="dxa"/>
            <w:vAlign w:val="bottom"/>
          </w:tcPr>
          <w:p>
            <w:pPr>
              <w:ind w:left="20"/>
              <w:spacing w:after="0"/>
              <w:rPr>
                <w:sz w:val="20"/>
                <w:szCs w:val="20"/>
                <w:color w:val="auto"/>
              </w:rPr>
            </w:pPr>
            <w:r>
              <w:rPr>
                <w:rFonts w:ascii="Arial" w:cs="Arial" w:eastAsia="Arial" w:hAnsi="Arial"/>
                <w:sz w:val="16"/>
                <w:szCs w:val="16"/>
                <w:color w:val="auto"/>
              </w:rPr>
              <w:t>Contract liabilities - current</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(13.4)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16"/>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noncurrent</w:t>
            </w:r>
          </w:p>
        </w:tc>
        <w:tc>
          <w:tcPr>
            <w:tcW w:w="20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7"/>
        </w:trPr>
        <w:tc>
          <w:tcPr>
            <w:tcW w:w="708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(20.3)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20"/>
        </w:trPr>
        <w:tc>
          <w:tcPr>
            <w:tcW w:w="7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For the three months ended June 30, 2023 and 2022, we recognized revenue of $1.2 million and $2.1 million and for the six months ended we recognized revenue of $4.2 million and $5.9 million related to our contract liabilities at January 1, 2023 and 2022, respectively. Impairment losses recognized in our receivables and contract assets were de minimis in 2023 and 2022.</w:t>
      </w:r>
    </w:p>
    <w:p>
      <w:pPr>
        <w:spacing w:after="0" w:line="208" w:lineRule="exact"/>
        <w:rPr>
          <w:sz w:val="20"/>
          <w:szCs w:val="20"/>
          <w:color w:val="auto"/>
        </w:rPr>
      </w:pPr>
    </w:p>
    <w:p>
      <w:pPr>
        <w:ind w:right="8400" w:firstLine="7"/>
        <w:spacing w:after="0" w:line="257" w:lineRule="auto"/>
        <w:tabs>
          <w:tab w:leader="none" w:pos="17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Statement Details: Inventories:</w:t>
      </w:r>
    </w:p>
    <w:p>
      <w:pPr>
        <w:spacing w:after="0" w:line="1" w:lineRule="exact"/>
        <w:rPr>
          <w:rFonts w:ascii="Arial" w:cs="Arial" w:eastAsia="Arial" w:hAnsi="Arial"/>
          <w:sz w:val="18"/>
          <w:szCs w:val="18"/>
          <w:b w:val="1"/>
          <w:bCs w:val="1"/>
          <w:color w:val="auto"/>
        </w:rPr>
      </w:pPr>
    </w:p>
    <w:p>
      <w:pPr>
        <w:ind w:left="2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inventories are as follows (in millions):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As of June 30, 2023</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4"/>
              </w:rPr>
              <w:t>As of December 31, 2022</w:t>
            </w:r>
          </w:p>
        </w:tc>
      </w:tr>
      <w:tr>
        <w:trPr>
          <w:trHeight w:val="24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601.3</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w:t>
            </w:r>
          </w:p>
        </w:tc>
      </w:tr>
      <w:tr>
        <w:trPr>
          <w:trHeight w:val="227"/>
        </w:trPr>
        <w:tc>
          <w:tcPr>
            <w:tcW w:w="7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7"/>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parts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r>
      <w:tr>
        <w:trPr>
          <w:trHeight w:val="227"/>
        </w:trPr>
        <w:tc>
          <w:tcPr>
            <w:tcW w:w="724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979.3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872.2</w:t>
            </w:r>
          </w:p>
        </w:tc>
      </w:tr>
      <w:tr>
        <w:trPr>
          <w:trHeight w:val="234"/>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Excess of current cost over last-in, first-out cost</w:t>
            </w: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21"/>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Total inventories, net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856.0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rPr>
              <w:t>753.0</w:t>
            </w:r>
          </w:p>
        </w:tc>
      </w:tr>
      <w:tr>
        <w:trPr>
          <w:trHeight w:val="20"/>
        </w:trPr>
        <w:tc>
          <w:tcPr>
            <w:tcW w:w="7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in 2023, in total and by segment, are summarized in the table below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Balance as of</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Changes in foreign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5"/>
              </w:rPr>
              <w:t>Balance as of</w:t>
            </w:r>
          </w:p>
        </w:tc>
        <w:tc>
          <w:tcPr>
            <w:tcW w:w="0" w:type="dxa"/>
            <w:vAlign w:val="bottom"/>
          </w:tcPr>
          <w:p>
            <w:pPr>
              <w:spacing w:after="0"/>
              <w:rPr>
                <w:sz w:val="1"/>
                <w:szCs w:val="1"/>
                <w:color w:val="auto"/>
              </w:rPr>
            </w:pPr>
          </w:p>
        </w:tc>
      </w:tr>
      <w:tr>
        <w:trPr>
          <w:trHeight w:val="143"/>
        </w:trPr>
        <w:tc>
          <w:tcPr>
            <w:tcW w:w="5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ind w:right="254"/>
              <w:spacing w:after="0" w:line="143" w:lineRule="exact"/>
              <w:rPr>
                <w:sz w:val="20"/>
                <w:szCs w:val="20"/>
                <w:color w:val="auto"/>
              </w:rPr>
            </w:pPr>
            <w:r>
              <w:rPr>
                <w:rFonts w:ascii="Arial" w:cs="Arial" w:eastAsia="Arial" w:hAnsi="Arial"/>
                <w:sz w:val="14"/>
                <w:szCs w:val="14"/>
                <w:b w:val="1"/>
                <w:bCs w:val="1"/>
                <w:color w:val="auto"/>
              </w:rPr>
              <w:t>currency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3"/>
              </w:rPr>
              <w:t>December 31, 2022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5"/>
              </w:rPr>
              <w:t xml:space="preserve">Reallocation </w:t>
            </w:r>
            <w:r>
              <w:rPr>
                <w:rFonts w:ascii="Arial" w:cs="Arial" w:eastAsia="Arial" w:hAnsi="Arial"/>
                <w:sz w:val="9"/>
                <w:szCs w:val="9"/>
                <w:b w:val="1"/>
                <w:bCs w:val="1"/>
                <w:color w:val="auto"/>
                <w:w w:val="95"/>
              </w:rPr>
              <w:t>(1)</w:t>
            </w:r>
          </w:p>
        </w:tc>
        <w:tc>
          <w:tcPr>
            <w:tcW w:w="160" w:type="dxa"/>
            <w:vAlign w:val="bottom"/>
          </w:tcPr>
          <w:p>
            <w:pPr>
              <w:spacing w:after="0"/>
              <w:rPr>
                <w:sz w:val="16"/>
                <w:szCs w:val="16"/>
                <w:color w:val="auto"/>
              </w:rPr>
            </w:pPr>
          </w:p>
        </w:tc>
        <w:tc>
          <w:tcPr>
            <w:tcW w:w="120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14"/>
                <w:szCs w:val="14"/>
                <w:b w:val="1"/>
                <w:bCs w:val="1"/>
                <w:color w:val="auto"/>
                <w:w w:val="99"/>
              </w:rPr>
              <w:t>translation rates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June 30, 2023</w:t>
            </w:r>
          </w:p>
        </w:tc>
        <w:tc>
          <w:tcPr>
            <w:tcW w:w="0" w:type="dxa"/>
            <w:vAlign w:val="bottom"/>
          </w:tcPr>
          <w:p>
            <w:pPr>
              <w:spacing w:after="0"/>
              <w:rPr>
                <w:sz w:val="1"/>
                <w:szCs w:val="1"/>
                <w:color w:val="auto"/>
              </w:rPr>
            </w:pPr>
          </w:p>
        </w:tc>
      </w:tr>
      <w:tr>
        <w:trPr>
          <w:trHeight w:val="227"/>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Residential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Arial" w:cs="Arial" w:eastAsia="Arial" w:hAnsi="Arial"/>
                <w:sz w:val="18"/>
                <w:szCs w:val="18"/>
                <w:color w:val="auto"/>
              </w:rPr>
              <w:t xml:space="preserve">Commercial </w:t>
            </w:r>
            <w:r>
              <w:rPr>
                <w:rFonts w:ascii="Arial" w:cs="Arial" w:eastAsia="Arial" w:hAnsi="Arial"/>
                <w:sz w:val="10"/>
                <w:szCs w:val="10"/>
                <w:color w:val="auto"/>
              </w:rPr>
              <w:t>(1)</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94.5</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Refrigeration </w:t>
            </w:r>
            <w:r>
              <w:rPr>
                <w:rFonts w:ascii="Arial" w:cs="Arial" w:eastAsia="Arial" w:hAnsi="Arial"/>
                <w:sz w:val="10"/>
                <w:szCs w:val="10"/>
                <w:color w:val="auto"/>
              </w:rPr>
              <w:t>(1)</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080" w:type="dxa"/>
            <w:vAlign w:val="bottom"/>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0"/>
                <w:szCs w:val="10"/>
                <w:color w:val="auto"/>
              </w:rPr>
              <w:t>(1)</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5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ind w:left="640" w:firstLine="8"/>
        <w:spacing w:after="0" w:line="265" w:lineRule="auto"/>
        <w:tabs>
          <w:tab w:leader="none" w:pos="821"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As discussed in Note 2, we recast our segment presentation to present our Heatcraft Worldwide Refrigeration business as a component of our Commercial segment and our European portfolio as a component of Corporate &amp; Other. Since there is no longer a Refrigeration segment, we allocated goodwill to each segment based upon the relative fair value of the business.</w:t>
      </w:r>
    </w:p>
    <w:p>
      <w:pPr>
        <w:spacing w:after="0" w:line="209"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We monitor our reporting units for indicators of impairment throughout the year to determine if a change in facts or circumstances warrants a re-evaluation of our goodwill. We have not recorded any goodwill impairments for the six months ended June 30, 2023 or in any periods presented.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47" w:lineRule="exact"/>
        <w:rPr>
          <w:sz w:val="20"/>
          <w:szCs w:val="20"/>
          <w:color w:val="auto"/>
        </w:rPr>
      </w:pPr>
    </w:p>
    <w:p>
      <w:pPr>
        <w:jc w:val="both"/>
        <w:ind w:firstLine="241"/>
        <w:spacing w:after="0" w:line="253"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 lower percentages are hedged at future dates. This strategy allows for protection against near-term price volatility while allowing us to adjust to market price movements over time.</w:t>
      </w:r>
    </w:p>
    <w:p>
      <w:pPr>
        <w:spacing w:after="0" w:line="218"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212"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47"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We have foreign exchange forward contracts and commodity futures contracts designated as cash flow hedges that are scheduled to mature through August 2024. Unrealized gains or losses from our cash flow hedges are included in Accumulated other comprehensive loss (“AOCL”) and are expected to be reclassified into earnings within the next 17 months based on the prices of the commodities and foreign currencies at the settlement dates. We recorded the following amounts in AOCL related to our cash flow hedges (in millions):</w:t>
      </w:r>
    </w:p>
    <w:p>
      <w:pPr>
        <w:spacing w:after="0" w:line="16"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6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As of June 30, 2023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As of December 31, 2022</w:t>
            </w:r>
          </w:p>
        </w:tc>
      </w:tr>
      <w:tr>
        <w:trPr>
          <w:trHeight w:val="22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losses (gains), net on unsettled contracts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center"/>
              <w:ind w:left="1253"/>
              <w:spacing w:after="0"/>
              <w:rPr>
                <w:sz w:val="20"/>
                <w:szCs w:val="20"/>
                <w:color w:val="auto"/>
              </w:rPr>
            </w:pPr>
            <w:r>
              <w:rPr>
                <w:rFonts w:ascii="Arial" w:cs="Arial" w:eastAsia="Arial" w:hAnsi="Arial"/>
                <w:sz w:val="18"/>
                <w:szCs w:val="18"/>
                <w:color w:val="auto"/>
                <w:w w:val="87"/>
              </w:rPr>
              <w:t>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center"/>
              <w:ind w:left="1573"/>
              <w:spacing w:after="0"/>
              <w:rPr>
                <w:sz w:val="20"/>
                <w:szCs w:val="20"/>
                <w:color w:val="auto"/>
              </w:rPr>
            </w:pPr>
            <w:r>
              <w:rPr>
                <w:rFonts w:ascii="Arial" w:cs="Arial" w:eastAsia="Arial" w:hAnsi="Arial"/>
                <w:sz w:val="18"/>
                <w:szCs w:val="18"/>
                <w:color w:val="auto"/>
                <w:w w:val="87"/>
              </w:rPr>
              <w:t>6.3</w:t>
            </w:r>
          </w:p>
        </w:tc>
      </w:tr>
      <w:tr>
        <w:trPr>
          <w:trHeight w:val="24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left="1213"/>
              <w:spacing w:after="0"/>
              <w:rPr>
                <w:sz w:val="20"/>
                <w:szCs w:val="20"/>
                <w:color w:val="auto"/>
              </w:rPr>
            </w:pPr>
            <w:r>
              <w:rPr>
                <w:rFonts w:ascii="Arial" w:cs="Arial" w:eastAsia="Arial" w:hAnsi="Arial"/>
                <w:sz w:val="18"/>
                <w:szCs w:val="18"/>
                <w:color w:val="auto"/>
                <w:w w:val="91"/>
              </w:rPr>
              <w:t>(1.0)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left="1573"/>
              <w:spacing w:after="0"/>
              <w:rPr>
                <w:sz w:val="20"/>
                <w:szCs w:val="20"/>
                <w:color w:val="auto"/>
              </w:rPr>
            </w:pPr>
            <w:r>
              <w:rPr>
                <w:rFonts w:ascii="Arial" w:cs="Arial" w:eastAsia="Arial" w:hAnsi="Arial"/>
                <w:sz w:val="18"/>
                <w:szCs w:val="18"/>
                <w:color w:val="auto"/>
                <w:w w:val="91"/>
              </w:rPr>
              <w:t>(1.4)</w:t>
            </w:r>
          </w:p>
        </w:tc>
      </w:tr>
      <w:tr>
        <w:trPr>
          <w:trHeight w:val="246"/>
        </w:trPr>
        <w:tc>
          <w:tcPr>
            <w:tcW w:w="6520" w:type="dxa"/>
            <w:vAlign w:val="bottom"/>
            <w:tcBorders>
              <w:bottom w:val="single" w:sz="8" w:color="CCEEFF"/>
            </w:tcBorders>
            <w:shd w:val="clear" w:color="auto" w:fill="CCEEFF"/>
          </w:tcPr>
          <w:p>
            <w:pPr>
              <w:ind w:left="220"/>
              <w:spacing w:after="0" w:line="221" w:lineRule="exact"/>
              <w:rPr>
                <w:sz w:val="20"/>
                <w:szCs w:val="20"/>
                <w:color w:val="auto"/>
              </w:rPr>
            </w:pPr>
            <w:r>
              <w:rPr>
                <w:rFonts w:ascii="Arial" w:cs="Arial" w:eastAsia="Arial" w:hAnsi="Arial"/>
                <w:sz w:val="18"/>
                <w:szCs w:val="18"/>
                <w:color w:val="auto"/>
              </w:rPr>
              <w:t xml:space="preserve">Unrealized losses (gains), net included in AOCL, net of tax </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center"/>
              <w:ind w:left="1253"/>
              <w:spacing w:after="0"/>
              <w:rPr>
                <w:sz w:val="20"/>
                <w:szCs w:val="20"/>
                <w:color w:val="auto"/>
              </w:rPr>
            </w:pPr>
            <w:r>
              <w:rPr>
                <w:rFonts w:ascii="Arial" w:cs="Arial" w:eastAsia="Arial" w:hAnsi="Arial"/>
                <w:sz w:val="18"/>
                <w:szCs w:val="18"/>
                <w:color w:val="auto"/>
                <w:w w:val="87"/>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center"/>
              <w:ind w:left="1573"/>
              <w:spacing w:after="0"/>
              <w:rPr>
                <w:sz w:val="20"/>
                <w:szCs w:val="20"/>
                <w:color w:val="auto"/>
              </w:rPr>
            </w:pPr>
            <w:r>
              <w:rPr>
                <w:rFonts w:ascii="Arial" w:cs="Arial" w:eastAsia="Arial" w:hAnsi="Arial"/>
                <w:sz w:val="18"/>
                <w:szCs w:val="18"/>
                <w:color w:val="auto"/>
                <w:w w:val="87"/>
              </w:rPr>
              <w:t>4.9</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ind w:left="480" w:hanging="153"/>
        <w:spacing w:after="0" w:line="274" w:lineRule="auto"/>
        <w:tabs>
          <w:tab w:leader="none" w:pos="493" w:val="left"/>
        </w:tabs>
        <w:numPr>
          <w:ilvl w:val="0"/>
          <w:numId w:val="9"/>
        </w:numPr>
        <w:rPr>
          <w:rFonts w:ascii="Arial" w:cs="Arial" w:eastAsia="Arial" w:hAnsi="Arial"/>
          <w:sz w:val="20"/>
          <w:szCs w:val="20"/>
          <w:color w:val="auto"/>
          <w:vertAlign w:val="superscript"/>
        </w:rPr>
      </w:pPr>
      <w:r>
        <w:rPr>
          <w:rFonts w:ascii="Arial" w:cs="Arial" w:eastAsia="Arial" w:hAnsi="Arial"/>
          <w:sz w:val="16"/>
          <w:szCs w:val="16"/>
          <w:color w:val="auto"/>
        </w:rPr>
        <w:t>Assuming commodity prices and foreign currency exchange rates remain constant, we expect to reclassify $3.9 million of derivative losses as of June 30, 2023 into earnings within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1"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We issue various long-term incentive awards, including performance share units, restricted stock units and stock appreciation rights under the Lennox International Inc. 2019 Equity and Incentive Plan, as it may be amended and restated from time to time. Stock-based compensation expense related to continuing operations is included in Selling, general and administrative expenses in the accompanying Consolidated Statements of Operations as follows (in millions):</w:t>
      </w:r>
    </w:p>
    <w:tbl>
      <w:tblPr>
        <w:tblLayout w:type="fixed"/>
        <w:tblInd w:w="0" w:type="dxa"/>
        <w:tblCellMar>
          <w:top w:w="0" w:type="dxa"/>
          <w:left w:w="0" w:type="dxa"/>
          <w:bottom w:w="0" w:type="dxa"/>
          <w:right w:w="0" w:type="dxa"/>
        </w:tblCellMar>
      </w:tblPr>
      <w:tr>
        <w:trPr>
          <w:trHeight w:val="177"/>
        </w:trPr>
        <w:tc>
          <w:tcPr>
            <w:tcW w:w="6200" w:type="dxa"/>
            <w:vAlign w:val="bottom"/>
          </w:tcPr>
          <w:p>
            <w:pPr>
              <w:spacing w:after="0"/>
              <w:rPr>
                <w:sz w:val="15"/>
                <w:szCs w:val="15"/>
                <w:color w:val="auto"/>
              </w:rPr>
            </w:pPr>
          </w:p>
        </w:tc>
        <w:tc>
          <w:tcPr>
            <w:tcW w:w="2520" w:type="dxa"/>
            <w:vAlign w:val="bottom"/>
            <w:gridSpan w:val="6"/>
          </w:tcPr>
          <w:p>
            <w:pPr>
              <w:jc w:val="center"/>
              <w:spacing w:after="0" w:line="177" w:lineRule="exact"/>
              <w:rPr>
                <w:sz w:val="20"/>
                <w:szCs w:val="20"/>
                <w:color w:val="auto"/>
              </w:rPr>
            </w:pPr>
            <w:r>
              <w:rPr>
                <w:rFonts w:ascii="Arial" w:cs="Arial" w:eastAsia="Arial" w:hAnsi="Arial"/>
                <w:sz w:val="16"/>
                <w:szCs w:val="16"/>
                <w:b w:val="1"/>
                <w:bCs w:val="1"/>
                <w:color w:val="auto"/>
                <w:w w:val="91"/>
              </w:rPr>
              <w:t>For the Three Months Ended June</w:t>
            </w:r>
          </w:p>
        </w:tc>
        <w:tc>
          <w:tcPr>
            <w:tcW w:w="100" w:type="dxa"/>
            <w:vAlign w:val="bottom"/>
          </w:tcPr>
          <w:p>
            <w:pPr>
              <w:spacing w:after="0"/>
              <w:rPr>
                <w:sz w:val="15"/>
                <w:szCs w:val="15"/>
                <w:color w:val="auto"/>
              </w:rPr>
            </w:pPr>
          </w:p>
        </w:tc>
        <w:tc>
          <w:tcPr>
            <w:tcW w:w="2360" w:type="dxa"/>
            <w:vAlign w:val="bottom"/>
            <w:gridSpan w:val="6"/>
          </w:tcPr>
          <w:p>
            <w:pPr>
              <w:jc w:val="center"/>
              <w:spacing w:after="0" w:line="177" w:lineRule="exact"/>
              <w:rPr>
                <w:sz w:val="20"/>
                <w:szCs w:val="20"/>
                <w:color w:val="auto"/>
              </w:rPr>
            </w:pPr>
            <w:r>
              <w:rPr>
                <w:rFonts w:ascii="Arial" w:cs="Arial" w:eastAsia="Arial" w:hAnsi="Arial"/>
                <w:sz w:val="16"/>
                <w:szCs w:val="16"/>
                <w:b w:val="1"/>
                <w:bCs w:val="1"/>
                <w:color w:val="auto"/>
                <w:w w:val="90"/>
              </w:rPr>
              <w:t>For the Six Months Ended June</w:t>
            </w:r>
          </w:p>
        </w:tc>
      </w:tr>
      <w:tr>
        <w:trPr>
          <w:trHeight w:val="211"/>
        </w:trPr>
        <w:tc>
          <w:tcPr>
            <w:tcW w:w="6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6"/>
                <w:szCs w:val="16"/>
                <w:b w:val="1"/>
                <w:bCs w:val="1"/>
                <w:color w:val="auto"/>
                <w:w w:val="89"/>
              </w:rPr>
              <w:t>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131"/>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Borders>
              <w:bottom w:val="single" w:sz="8" w:color="auto"/>
            </w:tcBorders>
          </w:tcPr>
          <w:p>
            <w:pPr>
              <w:spacing w:after="0"/>
              <w:rPr>
                <w:sz w:val="18"/>
                <w:szCs w:val="18"/>
                <w:color w:val="auto"/>
              </w:rPr>
            </w:pPr>
          </w:p>
        </w:tc>
      </w:tr>
      <w:tr>
        <w:trPr>
          <w:trHeight w:val="207"/>
        </w:trPr>
        <w:tc>
          <w:tcPr>
            <w:tcW w:w="6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2022</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8. Pension Benefit Plans: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periodic benefit cost for pension benefits were as follows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2580" w:type="dxa"/>
            <w:vAlign w:val="bottom"/>
            <w:gridSpan w:val="6"/>
          </w:tcPr>
          <w:p>
            <w:pPr>
              <w:jc w:val="right"/>
              <w:ind w:right="32"/>
              <w:spacing w:after="0"/>
              <w:rPr>
                <w:sz w:val="20"/>
                <w:szCs w:val="20"/>
                <w:color w:val="auto"/>
              </w:rPr>
            </w:pPr>
            <w:r>
              <w:rPr>
                <w:rFonts w:ascii="Arial" w:cs="Arial" w:eastAsia="Arial" w:hAnsi="Arial"/>
                <w:sz w:val="16"/>
                <w:szCs w:val="16"/>
                <w:b w:val="1"/>
                <w:bCs w:val="1"/>
                <w:color w:val="auto"/>
                <w:w w:val="94"/>
              </w:rPr>
              <w:t>For the Three Months Ended June</w:t>
            </w:r>
          </w:p>
        </w:tc>
        <w:tc>
          <w:tcPr>
            <w:tcW w:w="100" w:type="dxa"/>
            <w:vAlign w:val="bottom"/>
          </w:tcPr>
          <w:p>
            <w:pPr>
              <w:spacing w:after="0"/>
              <w:rPr>
                <w:sz w:val="16"/>
                <w:szCs w:val="16"/>
                <w:color w:val="auto"/>
              </w:rPr>
            </w:pPr>
          </w:p>
        </w:tc>
        <w:tc>
          <w:tcPr>
            <w:tcW w:w="23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1"/>
        </w:trPr>
        <w:tc>
          <w:tcPr>
            <w:tcW w:w="59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6"/>
                <w:szCs w:val="16"/>
                <w:b w:val="1"/>
                <w:bCs w:val="1"/>
                <w:color w:val="auto"/>
                <w:w w:val="80"/>
              </w:rPr>
              <w:t>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59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92"/>
              <w:spacing w:after="0"/>
              <w:rPr>
                <w:sz w:val="20"/>
                <w:szCs w:val="20"/>
                <w:color w:val="auto"/>
              </w:rPr>
            </w:pPr>
            <w:r>
              <w:rPr>
                <w:rFonts w:ascii="Arial" w:cs="Arial" w:eastAsia="Arial" w:hAnsi="Arial"/>
                <w:sz w:val="16"/>
                <w:szCs w:val="16"/>
                <w:b w:val="1"/>
                <w:bCs w:val="1"/>
                <w:color w:val="auto"/>
              </w:rPr>
              <w:t>2022</w:t>
            </w:r>
          </w:p>
        </w:tc>
      </w:tr>
      <w:tr>
        <w:trPr>
          <w:trHeight w:val="223"/>
        </w:trPr>
        <w:tc>
          <w:tcPr>
            <w:tcW w:w="59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tcPr>
          <w:p>
            <w:pPr>
              <w:jc w:val="right"/>
              <w:ind w:right="635"/>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gridSpan w:val="3"/>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gridSpan w:val="2"/>
          </w:tcPr>
          <w:p>
            <w:pPr>
              <w:jc w:val="right"/>
              <w:ind w:right="75"/>
              <w:spacing w:after="0"/>
              <w:rPr>
                <w:sz w:val="20"/>
                <w:szCs w:val="20"/>
                <w:color w:val="auto"/>
              </w:rPr>
            </w:pPr>
            <w:r>
              <w:rPr>
                <w:rFonts w:ascii="Arial" w:cs="Arial" w:eastAsia="Arial" w:hAnsi="Arial"/>
                <w:sz w:val="18"/>
                <w:szCs w:val="18"/>
                <w:color w:val="auto"/>
              </w:rPr>
              <w:t>$</w:t>
            </w:r>
          </w:p>
        </w:tc>
        <w:tc>
          <w:tcPr>
            <w:tcW w:w="900" w:type="dxa"/>
            <w:vAlign w:val="bottom"/>
          </w:tcPr>
          <w:p>
            <w:pPr>
              <w:jc w:val="center"/>
              <w:ind w:left="473"/>
              <w:spacing w:after="0"/>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Pr>
          <w:p>
            <w:pPr>
              <w:jc w:val="center"/>
              <w:ind w:left="372"/>
              <w:spacing w:after="0"/>
              <w:rPr>
                <w:sz w:val="20"/>
                <w:szCs w:val="20"/>
                <w:color w:val="auto"/>
              </w:rPr>
            </w:pPr>
            <w:r>
              <w:rPr>
                <w:rFonts w:ascii="Arial" w:cs="Arial" w:eastAsia="Arial" w:hAnsi="Arial"/>
                <w:sz w:val="18"/>
                <w:szCs w:val="18"/>
                <w:color w:val="auto"/>
                <w:w w:val="87"/>
              </w:rPr>
              <w:t>2.1</w:t>
            </w:r>
          </w:p>
        </w:tc>
      </w:tr>
      <w:tr>
        <w:trPr>
          <w:trHeight w:val="241"/>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left="473"/>
              <w:spacing w:after="0"/>
              <w:rPr>
                <w:sz w:val="20"/>
                <w:szCs w:val="20"/>
                <w:color w:val="auto"/>
              </w:rPr>
            </w:pPr>
            <w:r>
              <w:rPr>
                <w:rFonts w:ascii="Arial" w:cs="Arial" w:eastAsia="Arial" w:hAnsi="Arial"/>
                <w:sz w:val="18"/>
                <w:szCs w:val="18"/>
                <w:color w:val="auto"/>
                <w:w w:val="87"/>
              </w:rPr>
              <w:t>4.5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87"/>
              </w:rPr>
              <w:t>3.0</w:t>
            </w:r>
          </w:p>
        </w:tc>
      </w:tr>
      <w:tr>
        <w:trPr>
          <w:trHeight w:val="227"/>
        </w:trPr>
        <w:tc>
          <w:tcPr>
            <w:tcW w:w="59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8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7"/>
              </w:rPr>
              <w:t>(2.4)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center"/>
              <w:ind w:left="433"/>
              <w:spacing w:after="0"/>
              <w:rPr>
                <w:sz w:val="20"/>
                <w:szCs w:val="20"/>
                <w:color w:val="auto"/>
              </w:rPr>
            </w:pPr>
            <w:r>
              <w:rPr>
                <w:rFonts w:ascii="Arial" w:cs="Arial" w:eastAsia="Arial" w:hAnsi="Arial"/>
                <w:sz w:val="18"/>
                <w:szCs w:val="18"/>
                <w:color w:val="auto"/>
                <w:w w:val="91"/>
              </w:rPr>
              <w:t>(4.7)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center"/>
              <w:ind w:left="332"/>
              <w:spacing w:after="0"/>
              <w:rPr>
                <w:sz w:val="20"/>
                <w:szCs w:val="20"/>
                <w:color w:val="auto"/>
              </w:rPr>
            </w:pPr>
            <w:r>
              <w:rPr>
                <w:rFonts w:ascii="Arial" w:cs="Arial" w:eastAsia="Arial" w:hAnsi="Arial"/>
                <w:sz w:val="18"/>
                <w:szCs w:val="18"/>
                <w:color w:val="auto"/>
                <w:w w:val="91"/>
              </w:rPr>
              <w:t>(4.6)</w:t>
            </w:r>
          </w:p>
        </w:tc>
      </w:tr>
      <w:tr>
        <w:trPr>
          <w:trHeight w:val="227"/>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3"/>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372"/>
              <w:spacing w:after="0"/>
              <w:rPr>
                <w:sz w:val="20"/>
                <w:szCs w:val="20"/>
                <w:color w:val="auto"/>
              </w:rPr>
            </w:pPr>
            <w:r>
              <w:rPr>
                <w:rFonts w:ascii="Arial" w:cs="Arial" w:eastAsia="Arial" w:hAnsi="Arial"/>
                <w:sz w:val="18"/>
                <w:szCs w:val="18"/>
                <w:color w:val="auto"/>
                <w:w w:val="87"/>
              </w:rPr>
              <w:t>2.9</w:t>
            </w:r>
          </w:p>
        </w:tc>
      </w:tr>
      <w:tr>
        <w:trPr>
          <w:trHeight w:val="234"/>
        </w:trPr>
        <w:tc>
          <w:tcPr>
            <w:tcW w:w="5980" w:type="dxa"/>
            <w:vAlign w:val="bottom"/>
          </w:tcPr>
          <w:p>
            <w:pPr>
              <w:ind w:left="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center"/>
              <w:ind w:left="433"/>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left="332"/>
              <w:spacing w:after="0"/>
              <w:rPr>
                <w:sz w:val="20"/>
                <w:szCs w:val="20"/>
                <w:color w:val="auto"/>
              </w:rPr>
            </w:pPr>
            <w:r>
              <w:rPr>
                <w:rFonts w:ascii="Arial" w:cs="Arial" w:eastAsia="Arial" w:hAnsi="Arial"/>
                <w:sz w:val="18"/>
                <w:szCs w:val="18"/>
                <w:color w:val="auto"/>
                <w:w w:val="91"/>
              </w:rPr>
              <w:t>(0.1)</w:t>
            </w:r>
          </w:p>
        </w:tc>
      </w:tr>
      <w:tr>
        <w:trPr>
          <w:trHeight w:val="234"/>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and curtailments</w:t>
            </w:r>
          </w:p>
        </w:tc>
        <w:tc>
          <w:tcPr>
            <w:tcW w:w="8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center"/>
              <w:ind w:left="473"/>
              <w:spacing w:after="0"/>
              <w:rPr>
                <w:sz w:val="20"/>
                <w:szCs w:val="20"/>
                <w:color w:val="auto"/>
              </w:rPr>
            </w:pPr>
            <w:r>
              <w:rPr>
                <w:rFonts w:ascii="Arial" w:cs="Arial" w:eastAsia="Arial" w:hAnsi="Arial"/>
                <w:sz w:val="18"/>
                <w:szCs w:val="18"/>
                <w:color w:val="auto"/>
                <w:w w:val="87"/>
              </w:rPr>
              <w:t>0.3</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ind w:left="372"/>
              <w:spacing w:after="0"/>
              <w:rPr>
                <w:sz w:val="20"/>
                <w:szCs w:val="20"/>
                <w:color w:val="auto"/>
              </w:rPr>
            </w:pPr>
            <w:r>
              <w:rPr>
                <w:rFonts w:ascii="Arial" w:cs="Arial" w:eastAsia="Arial" w:hAnsi="Arial"/>
                <w:sz w:val="18"/>
                <w:szCs w:val="18"/>
                <w:color w:val="auto"/>
                <w:w w:val="87"/>
              </w:rPr>
              <w:t>0.3</w:t>
            </w:r>
          </w:p>
        </w:tc>
      </w:tr>
      <w:tr>
        <w:trPr>
          <w:trHeight w:val="220"/>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820" w:type="dxa"/>
            <w:vAlign w:val="bottom"/>
            <w:tcBorders>
              <w:bottom w:val="single" w:sz="8" w:color="auto"/>
            </w:tcBorders>
          </w:tcPr>
          <w:p>
            <w:pPr>
              <w:jc w:val="right"/>
              <w:ind w:right="635"/>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center"/>
              <w:ind w:left="473"/>
              <w:spacing w:after="0"/>
              <w:rPr>
                <w:sz w:val="20"/>
                <w:szCs w:val="20"/>
                <w:color w:val="auto"/>
              </w:rPr>
            </w:pPr>
            <w:r>
              <w:rPr>
                <w:rFonts w:ascii="Arial" w:cs="Arial" w:eastAsia="Arial" w:hAnsi="Arial"/>
                <w:sz w:val="18"/>
                <w:szCs w:val="18"/>
                <w:b w:val="1"/>
                <w:bCs w:val="1"/>
                <w:color w:val="auto"/>
                <w:w w:val="87"/>
              </w:rPr>
              <w:t>1.3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center"/>
              <w:ind w:left="372"/>
              <w:spacing w:after="0"/>
              <w:rPr>
                <w:sz w:val="20"/>
                <w:szCs w:val="20"/>
                <w:color w:val="auto"/>
              </w:rPr>
            </w:pPr>
            <w:r>
              <w:rPr>
                <w:rFonts w:ascii="Arial" w:cs="Arial" w:eastAsia="Arial" w:hAnsi="Arial"/>
                <w:sz w:val="18"/>
                <w:szCs w:val="18"/>
                <w:b w:val="1"/>
                <w:bCs w:val="1"/>
                <w:color w:val="auto"/>
                <w:w w:val="87"/>
              </w:rPr>
              <w:t>3.6</w:t>
            </w:r>
          </w:p>
        </w:tc>
      </w:tr>
      <w:tr>
        <w:trPr>
          <w:trHeight w:val="20"/>
        </w:trPr>
        <w:tc>
          <w:tcPr>
            <w:tcW w:w="5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51"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As of June 30, 2023, we had approximately $3.9 million in total gross unrecognized tax benefits which, if recognized, would be recorded through the Consolidated Statements of Operations.</w:t>
      </w:r>
    </w:p>
    <w:p>
      <w:pPr>
        <w:spacing w:after="0" w:line="202" w:lineRule="exact"/>
        <w:rPr>
          <w:sz w:val="20"/>
          <w:szCs w:val="20"/>
          <w:color w:val="auto"/>
        </w:rPr>
      </w:pPr>
    </w:p>
    <w:p>
      <w:pPr>
        <w:jc w:val="both"/>
        <w:ind w:firstLine="241"/>
        <w:spacing w:after="0" w:line="281" w:lineRule="auto"/>
        <w:rPr>
          <w:sz w:val="20"/>
          <w:szCs w:val="20"/>
          <w:color w:val="auto"/>
        </w:rPr>
      </w:pPr>
      <w:r>
        <w:rPr>
          <w:rFonts w:ascii="Arial" w:cs="Arial" w:eastAsia="Arial" w:hAnsi="Arial"/>
          <w:sz w:val="17"/>
          <w:szCs w:val="17"/>
          <w:color w:val="auto"/>
        </w:rPr>
        <w:t>We are currently in the Bridge program for our U.S. federal income taxes under the Internal Revenue Service’s Compliance Assurance Program for 2022 and 2021. We are also subject to examination by numerous other taxing authorities in the U.S. and in foreign jurisdictions. We are generally no longer subject to U.S. federal, state and local, or non-U.S. income tax examinations by taxing authorities for years prior to 2016.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Lines of Credit and Financing Arrangements: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5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6"/>
                <w:szCs w:val="16"/>
                <w:b w:val="1"/>
                <w:bCs w:val="1"/>
                <w:color w:val="auto"/>
              </w:rPr>
              <w:t>As of June 30, 2023</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6"/>
                <w:szCs w:val="16"/>
                <w:b w:val="1"/>
                <w:bCs w:val="1"/>
                <w:color w:val="auto"/>
                <w:w w:val="93"/>
              </w:rPr>
              <w:t>As of December 31, 2022</w:t>
            </w:r>
          </w:p>
        </w:tc>
      </w:tr>
      <w:tr>
        <w:trPr>
          <w:trHeight w:val="220"/>
        </w:trPr>
        <w:tc>
          <w:tcPr>
            <w:tcW w:w="6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41"/>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securitization program</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7"/>
        </w:trPr>
        <w:tc>
          <w:tcPr>
            <w:tcW w:w="650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1"/>
        </w:trPr>
        <w:tc>
          <w:tcPr>
            <w:tcW w:w="6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maturities of long-term debt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710.6</w:t>
            </w:r>
          </w:p>
        </w:tc>
      </w:tr>
      <w:tr>
        <w:trPr>
          <w:trHeight w:val="227"/>
        </w:trPr>
        <w:tc>
          <w:tcPr>
            <w:tcW w:w="65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spacing w:after="0"/>
              <w:rPr>
                <w:sz w:val="19"/>
                <w:szCs w:val="19"/>
                <w:color w:val="auto"/>
              </w:rPr>
            </w:pPr>
          </w:p>
        </w:tc>
      </w:tr>
      <w:tr>
        <w:trPr>
          <w:trHeight w:val="241"/>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80" w:type="dxa"/>
            <w:vAlign w:val="bottom"/>
            <w:shd w:val="clear" w:color="auto" w:fill="CCEEFF"/>
          </w:tcPr>
          <w:p>
            <w:pPr>
              <w:spacing w:after="0"/>
              <w:rPr>
                <w:sz w:val="20"/>
                <w:szCs w:val="20"/>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27"/>
        </w:trPr>
        <w:tc>
          <w:tcPr>
            <w:tcW w:w="6500" w:type="dxa"/>
            <w:vAlign w:val="bottom"/>
          </w:tcPr>
          <w:p>
            <w:pPr>
              <w:ind w:left="20"/>
              <w:spacing w:after="0"/>
              <w:rPr>
                <w:sz w:val="20"/>
                <w:szCs w:val="20"/>
                <w:color w:val="auto"/>
              </w:rPr>
            </w:pPr>
            <w:r>
              <w:rPr>
                <w:rFonts w:ascii="Arial" w:cs="Arial" w:eastAsia="Arial" w:hAnsi="Arial"/>
                <w:sz w:val="18"/>
                <w:szCs w:val="18"/>
                <w:color w:val="auto"/>
              </w:rPr>
              <w:t>Credit agreement</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192.0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192.0</w:t>
            </w:r>
          </w:p>
        </w:tc>
      </w:tr>
      <w:tr>
        <w:trPr>
          <w:trHeight w:val="227"/>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issuance costs</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1"/>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r>
      <w:tr>
        <w:trPr>
          <w:trHeight w:val="220"/>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1,579.0</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1,524.8</w:t>
            </w:r>
          </w:p>
        </w:tc>
      </w:tr>
      <w:tr>
        <w:trPr>
          <w:trHeight w:val="20"/>
        </w:trPr>
        <w:tc>
          <w:tcPr>
            <w:tcW w:w="6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Through several of our foreign subsidiaries, we have facilities available to assist us in financing seasonal borrowing needs for our foreign locations. We had no outstanding foreign obligations as of June 30, 2023 or December 31, 2022 and there were no borrowings or repayments on these facilities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47" w:lineRule="exact"/>
        <w:rPr>
          <w:sz w:val="20"/>
          <w:szCs w:val="20"/>
          <w:color w:val="auto"/>
        </w:rPr>
      </w:pPr>
    </w:p>
    <w:p>
      <w:pPr>
        <w:jc w:val="both"/>
        <w:ind w:right="100" w:firstLine="241"/>
        <w:spacing w:after="0" w:line="286" w:lineRule="auto"/>
        <w:rPr>
          <w:sz w:val="20"/>
          <w:szCs w:val="20"/>
          <w:color w:val="auto"/>
        </w:rPr>
      </w:pPr>
      <w:r>
        <w:rPr>
          <w:rFonts w:ascii="Arial" w:cs="Arial" w:eastAsia="Arial" w:hAnsi="Arial"/>
          <w:sz w:val="16"/>
          <w:szCs w:val="16"/>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96" w:lineRule="exact"/>
        <w:rPr>
          <w:sz w:val="20"/>
          <w:szCs w:val="20"/>
          <w:color w:val="auto"/>
        </w:rPr>
      </w:pPr>
    </w:p>
    <w:p>
      <w:pPr>
        <w:jc w:val="both"/>
        <w:ind w:right="100" w:firstLine="241"/>
        <w:spacing w:after="0" w:line="292" w:lineRule="auto"/>
        <w:rPr>
          <w:sz w:val="20"/>
          <w:szCs w:val="20"/>
          <w:color w:val="auto"/>
        </w:rPr>
      </w:pPr>
      <w:r>
        <w:rPr>
          <w:rFonts w:ascii="Arial" w:cs="Arial" w:eastAsia="Arial" w:hAnsi="Arial"/>
          <w:sz w:val="16"/>
          <w:szCs w:val="16"/>
          <w:color w:val="auto"/>
        </w:rPr>
        <w:t>We renewed the ASP in November 2021, extending its term to November 2023 and increasing the maximum securitization amount to a range from $300.0 million to $450.0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tbl>
      <w:tblPr>
        <w:tblLayout w:type="fixed"/>
        <w:tblInd w:w="240" w:type="dxa"/>
        <w:tblCellMar>
          <w:top w:w="0" w:type="dxa"/>
          <w:left w:w="0" w:type="dxa"/>
          <w:bottom w:w="0" w:type="dxa"/>
          <w:right w:w="0" w:type="dxa"/>
        </w:tblCellMar>
      </w:tblPr>
      <w:tr>
        <w:trPr>
          <w:trHeight w:val="212"/>
        </w:trPr>
        <w:tc>
          <w:tcPr>
            <w:tcW w:w="7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2"/>
              </w:rPr>
              <w:t>As of June 30, 2023</w:t>
            </w:r>
          </w:p>
        </w:tc>
        <w:tc>
          <w:tcPr>
            <w:tcW w:w="100" w:type="dxa"/>
            <w:vAlign w:val="bottom"/>
          </w:tcPr>
          <w:p>
            <w:pPr>
              <w:spacing w:after="0"/>
              <w:rPr>
                <w:sz w:val="18"/>
                <w:szCs w:val="18"/>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As of December 31, 2022</w:t>
            </w:r>
          </w:p>
        </w:tc>
      </w:tr>
      <w:tr>
        <w:trPr>
          <w:trHeight w:val="223"/>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760" w:type="dxa"/>
            <w:vAlign w:val="bottom"/>
            <w:gridSpan w:val="2"/>
            <w:shd w:val="clear" w:color="auto" w:fill="CCEEFF"/>
          </w:tcPr>
          <w:p>
            <w:pPr>
              <w:jc w:val="right"/>
              <w:ind w:right="455"/>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4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Beneficial interest transferred</w:t>
            </w: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246"/>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 available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right="100" w:firstLine="241"/>
        <w:spacing w:after="0" w:line="270" w:lineRule="auto"/>
        <w:rPr>
          <w:sz w:val="20"/>
          <w:szCs w:val="20"/>
          <w:color w:val="auto"/>
        </w:rPr>
      </w:pPr>
      <w:r>
        <w:rPr>
          <w:rFonts w:ascii="Arial" w:cs="Arial" w:eastAsia="Arial" w:hAnsi="Arial"/>
          <w:sz w:val="17"/>
          <w:szCs w:val="17"/>
          <w:color w:val="auto"/>
        </w:rPr>
        <w:t>We pay certain discount fees to use the ASP and to have the facility available to us. These fees relate to both the used and unused portions of the securitization. The used fee is based on the beneficial interests sold and calculated on either the average LIBOR rate or floating commercial paper rate determined by the purchaser of the beneficial interest, plus a program fee of 0.70%. The average rates as of June 30, 2023 and December 31, 2022 were 5.98% and 5.17%, respectively. The unused fee is based on 101% of the maximum available amount less the beneficial interest transferred and is calculated at a rate ranging between 0.25% and 0.35%, depending on the available borrowings, throughout the term of the agreement. We recorded these fees in Interest expense, net in the accompanying Consolidated Statements of Operations.</w:t>
      </w:r>
    </w:p>
    <w:p>
      <w:pPr>
        <w:spacing w:after="0" w:line="203" w:lineRule="exact"/>
        <w:rPr>
          <w:sz w:val="20"/>
          <w:szCs w:val="20"/>
          <w:color w:val="auto"/>
        </w:rPr>
      </w:pPr>
    </w:p>
    <w:p>
      <w:pPr>
        <w:jc w:val="both"/>
        <w:ind w:right="100" w:firstLine="241"/>
        <w:spacing w:after="0" w:line="255"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Credit Agreement (as defined below), senior unsecured notes and any other indebtedness we may have over $75.0 million. The administrative agent under the ASP is also a participant in our Credit Agreement, as defined below. The participating financial institutions have investment grade credit ratings. As of June 30, 2023, we were in compliance with all covenant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47" w:lineRule="exact"/>
        <w:rPr>
          <w:sz w:val="20"/>
          <w:szCs w:val="20"/>
          <w:color w:val="auto"/>
        </w:rPr>
      </w:pPr>
    </w:p>
    <w:p>
      <w:pPr>
        <w:jc w:val="both"/>
        <w:ind w:right="100" w:firstLine="241"/>
        <w:spacing w:after="0" w:line="255" w:lineRule="auto"/>
        <w:rPr>
          <w:sz w:val="20"/>
          <w:szCs w:val="20"/>
          <w:color w:val="auto"/>
        </w:rPr>
      </w:pPr>
      <w:r>
        <w:rPr>
          <w:rFonts w:ascii="Arial" w:cs="Arial" w:eastAsia="Arial" w:hAnsi="Arial"/>
          <w:sz w:val="18"/>
          <w:szCs w:val="18"/>
          <w:color w:val="auto"/>
        </w:rPr>
        <w:t>In July 2021, we entered into a new Credit Agreement (the “Credit Agreement”) with JPMorgan Chase Bank, N.A., as administrative agent, and the other lenders party thereto, which refinanced and replaced the Seventh Amended and Restated Credit Facility.</w:t>
      </w:r>
    </w:p>
    <w:p>
      <w:pPr>
        <w:spacing w:after="0" w:line="201" w:lineRule="exact"/>
        <w:rPr>
          <w:sz w:val="20"/>
          <w:szCs w:val="20"/>
          <w:color w:val="auto"/>
        </w:rPr>
      </w:pPr>
    </w:p>
    <w:p>
      <w:pPr>
        <w:jc w:val="both"/>
        <w:ind w:right="100" w:firstLine="241"/>
        <w:spacing w:after="0" w:line="245" w:lineRule="auto"/>
        <w:rPr>
          <w:sz w:val="20"/>
          <w:szCs w:val="20"/>
          <w:color w:val="auto"/>
        </w:rPr>
      </w:pPr>
      <w:r>
        <w:rPr>
          <w:rFonts w:ascii="Arial" w:cs="Arial" w:eastAsia="Arial" w:hAnsi="Arial"/>
          <w:sz w:val="18"/>
          <w:szCs w:val="18"/>
          <w:color w:val="auto"/>
        </w:rPr>
        <w:t>The Credit Agreement consists of a $750.0 million unsecured revolving credit facility. We had outstanding borrowings of $192.0 million as well as $1.7 million committed to standby letters of credit as of June 30, 2023. Subject to covenant limitations, $556.3 million was available for future borrowings. The Credit Agreement includes a subfacility for swingline loans up to $65.0 million. The Credit Agreement will expire and outstanding loans will be required to be repaid in July 2026, unless maturity is extended by the lenders pursuant to two one-year extension options that we may request under the Credit Agreement.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47" w:lineRule="exact"/>
        <w:rPr>
          <w:sz w:val="20"/>
          <w:szCs w:val="20"/>
          <w:color w:val="auto"/>
        </w:rPr>
      </w:pPr>
    </w:p>
    <w:tbl>
      <w:tblPr>
        <w:tblLayout w:type="fixed"/>
        <w:tblInd w:w="240" w:type="dxa"/>
        <w:tblCellMar>
          <w:top w:w="0" w:type="dxa"/>
          <w:left w:w="0" w:type="dxa"/>
          <w:bottom w:w="0" w:type="dxa"/>
          <w:right w:w="0" w:type="dxa"/>
        </w:tblCellMar>
      </w:tblPr>
      <w:tr>
        <w:trPr>
          <w:trHeight w:val="212"/>
        </w:trPr>
        <w:tc>
          <w:tcPr>
            <w:tcW w:w="624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ind w:left="500"/>
              <w:spacing w:after="0"/>
              <w:rPr>
                <w:sz w:val="20"/>
                <w:szCs w:val="20"/>
                <w:color w:val="auto"/>
              </w:rPr>
            </w:pPr>
            <w:r>
              <w:rPr>
                <w:rFonts w:ascii="Arial" w:cs="Arial" w:eastAsia="Arial" w:hAnsi="Arial"/>
                <w:sz w:val="16"/>
                <w:szCs w:val="16"/>
                <w:b w:val="1"/>
                <w:bCs w:val="1"/>
                <w:color w:val="auto"/>
                <w:w w:val="87"/>
              </w:rPr>
              <w:t>As of June 30, 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32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As of December 31, 2022</w:t>
            </w:r>
          </w:p>
        </w:tc>
      </w:tr>
      <w:tr>
        <w:trPr>
          <w:trHeight w:val="223"/>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borrowing rate</w:t>
            </w:r>
          </w:p>
        </w:tc>
        <w:tc>
          <w:tcPr>
            <w:tcW w:w="1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6.46 %</w:t>
            </w:r>
          </w:p>
        </w:tc>
        <w:tc>
          <w:tcPr>
            <w:tcW w:w="10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5.57 %</w:t>
            </w:r>
          </w:p>
        </w:tc>
      </w:tr>
    </w:tbl>
    <w:p>
      <w:pPr>
        <w:spacing w:after="0" w:line="320" w:lineRule="exact"/>
        <w:rPr>
          <w:sz w:val="20"/>
          <w:szCs w:val="20"/>
          <w:color w:val="auto"/>
        </w:rPr>
      </w:pPr>
    </w:p>
    <w:p>
      <w:pPr>
        <w:jc w:val="both"/>
        <w:ind w:right="100" w:firstLine="241"/>
        <w:spacing w:after="0" w:line="270" w:lineRule="auto"/>
        <w:rPr>
          <w:sz w:val="20"/>
          <w:szCs w:val="20"/>
          <w:color w:val="auto"/>
        </w:rPr>
      </w:pPr>
      <w:r>
        <w:rPr>
          <w:rFonts w:ascii="Arial" w:cs="Arial" w:eastAsia="Arial" w:hAnsi="Arial"/>
          <w:sz w:val="18"/>
          <w:szCs w:val="18"/>
          <w:color w:val="auto"/>
        </w:rPr>
        <w:t>The Credit Agreement is guaranteed by certain of our subsidiaries and contains customary covenants applicable to us and our subsidiaries including limitations on indebtedness, liens, dividends, stock repurchases, mergers and sales of all or</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887"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w:t>
      </w:r>
    </w:p>
    <w:p>
      <w:pPr>
        <w:spacing w:after="0" w:line="212"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The Credit Agreement contains customary events of default. These events of default include nonpayment of principal or interest, breach of covenants or other restrictions or requirements, default on certain other indebtedness or receivables securitization (cross default), and bankruptcy. A cross default under our Credit Agreement could occur if:</w:t>
      </w:r>
    </w:p>
    <w:p>
      <w:pPr>
        <w:spacing w:after="0" w:line="212" w:lineRule="exact"/>
        <w:rPr>
          <w:sz w:val="20"/>
          <w:szCs w:val="20"/>
          <w:color w:val="auto"/>
        </w:rPr>
      </w:pPr>
    </w:p>
    <w:p>
      <w:pPr>
        <w:ind w:left="360" w:hanging="113"/>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exceeding $75.0 million; or</w:t>
      </w:r>
    </w:p>
    <w:p>
      <w:pPr>
        <w:spacing w:after="0" w:line="247" w:lineRule="exact"/>
        <w:rPr>
          <w:rFonts w:ascii="Arial" w:cs="Arial" w:eastAsia="Arial" w:hAnsi="Arial"/>
          <w:sz w:val="18"/>
          <w:szCs w:val="18"/>
          <w:color w:val="auto"/>
        </w:rPr>
      </w:pPr>
    </w:p>
    <w:p>
      <w:pPr>
        <w:jc w:val="both"/>
        <w:ind w:firstLine="247"/>
        <w:spacing w:after="0" w:line="259" w:lineRule="auto"/>
        <w:tabs>
          <w:tab w:leader="none" w:pos="354"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exceeding $75.0 million or any other condition exists which would give the holders the right to declare such indebtedness due and payable prior to its stated maturity.</w:t>
      </w:r>
    </w:p>
    <w:p>
      <w:pPr>
        <w:spacing w:after="0" w:line="212"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Credit Agreement,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216"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If any event of default occurs and is continuing, the administrative agent, or lenders with a majority of the aggregate commitments may require the administrative agent to, terminate our right to borrow under our Credit Agreement and accelerate amounts due under our Credit Agreement (except for a bankruptcy event of default, in which case such amounts will automatically become due and payable and the lenders’ commitments will automatically terminate). As of June 30, 2023, we were in compliance with all covenant requirements.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47" w:lineRule="exact"/>
        <w:rPr>
          <w:sz w:val="20"/>
          <w:szCs w:val="20"/>
          <w:color w:val="auto"/>
        </w:rPr>
      </w:pPr>
    </w:p>
    <w:p>
      <w:pPr>
        <w:jc w:val="both"/>
        <w:ind w:firstLine="241"/>
        <w:spacing w:after="0" w:line="297" w:lineRule="auto"/>
        <w:rPr>
          <w:sz w:val="20"/>
          <w:szCs w:val="20"/>
          <w:color w:val="auto"/>
        </w:rPr>
      </w:pPr>
      <w:r>
        <w:rPr>
          <w:rFonts w:ascii="Arial" w:cs="Arial" w:eastAsia="Arial" w:hAnsi="Arial"/>
          <w:sz w:val="16"/>
          <w:szCs w:val="16"/>
          <w:color w:val="auto"/>
        </w:rPr>
        <w:t>We issued two series of senior unsecured notes on July 30, 2020 for $300.0 million each, which will mature on August 1, 2025 (the "2025 Notes") and August 1, 2027 (the "2027 Notes") with interest being paid semi-annually on February and August at 1.35% and 1.70% respectively, per annum. We also issued $350.0 million of senior unsecured notes in November 2016 (the "2023 Notes," and together with the 2025 Notes and the 2027 Notes, the "Notes") which will mature on November 15, 2023 with interest being paid semi-annually on May 15 and November 15 at 3.00% per annum.</w:t>
      </w:r>
    </w:p>
    <w:p>
      <w:pPr>
        <w:spacing w:after="0" w:line="185"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All the Notes are guaranteed, on a senior unsecured basis, by certain of our subsidiaries that guarantee indebtedness under our Credit Agreement.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June 30, 2023, we believe we were in compliance with all covenant requirements.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Comprehensive Income (Loss):</w:t>
      </w:r>
    </w:p>
    <w:p>
      <w:pPr>
        <w:spacing w:after="0" w:line="251"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The following table provides information on items reclassified from AOCL to Net income in the accompanying Consolidated Statements of Operations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2300" w:type="dxa"/>
            <w:vAlign w:val="bottom"/>
            <w:gridSpan w:val="5"/>
          </w:tcPr>
          <w:p>
            <w:pPr>
              <w:jc w:val="right"/>
              <w:ind w:right="72"/>
              <w:spacing w:after="0"/>
              <w:rPr>
                <w:sz w:val="20"/>
                <w:szCs w:val="20"/>
                <w:color w:val="auto"/>
              </w:rPr>
            </w:pPr>
            <w:r>
              <w:rPr>
                <w:rFonts w:ascii="Arial" w:cs="Arial" w:eastAsia="Arial" w:hAnsi="Arial"/>
                <w:sz w:val="16"/>
                <w:szCs w:val="16"/>
                <w:b w:val="1"/>
                <w:bCs w:val="1"/>
                <w:color w:val="auto"/>
                <w:w w:val="97"/>
              </w:rPr>
              <w:t>For the Three Months Ended</w:t>
            </w:r>
          </w:p>
        </w:tc>
        <w:tc>
          <w:tcPr>
            <w:tcW w:w="120" w:type="dxa"/>
            <w:vAlign w:val="bottom"/>
          </w:tcPr>
          <w:p>
            <w:pPr>
              <w:spacing w:after="0"/>
              <w:rPr>
                <w:sz w:val="16"/>
                <w:szCs w:val="16"/>
                <w:color w:val="auto"/>
              </w:rPr>
            </w:pPr>
          </w:p>
        </w:tc>
        <w:tc>
          <w:tcPr>
            <w:tcW w:w="2280" w:type="dxa"/>
            <w:vAlign w:val="bottom"/>
            <w:gridSpan w:val="5"/>
          </w:tcPr>
          <w:p>
            <w:pPr>
              <w:jc w:val="right"/>
              <w:spacing w:after="0"/>
              <w:rPr>
                <w:sz w:val="20"/>
                <w:szCs w:val="20"/>
                <w:color w:val="auto"/>
              </w:rPr>
            </w:pPr>
            <w:r>
              <w:rPr>
                <w:rFonts w:ascii="Arial" w:cs="Arial" w:eastAsia="Arial" w:hAnsi="Arial"/>
                <w:sz w:val="16"/>
                <w:szCs w:val="16"/>
                <w:b w:val="1"/>
                <w:bCs w:val="1"/>
                <w:color w:val="auto"/>
                <w:w w:val="91"/>
              </w:rPr>
              <w:t>For the Six Months Ended June</w:t>
            </w:r>
          </w:p>
        </w:tc>
        <w:tc>
          <w:tcPr>
            <w:tcW w:w="1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5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1"/>
              </w:rPr>
              <w:t>Affected Line Item(s) in the Consolidated</w:t>
            </w:r>
          </w:p>
        </w:tc>
        <w:tc>
          <w:tcPr>
            <w:tcW w:w="0" w:type="dxa"/>
            <w:vAlign w:val="bottom"/>
          </w:tcPr>
          <w:p>
            <w:pPr>
              <w:spacing w:after="0"/>
              <w:rPr>
                <w:sz w:val="1"/>
                <w:szCs w:val="1"/>
                <w:color w:val="auto"/>
              </w:rPr>
            </w:pPr>
          </w:p>
        </w:tc>
      </w:tr>
      <w:tr>
        <w:trPr>
          <w:trHeight w:val="25"/>
        </w:trPr>
        <w:tc>
          <w:tcPr>
            <w:tcW w:w="3540" w:type="dxa"/>
            <w:vAlign w:val="bottom"/>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2023</w:t>
            </w: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vMerge w:val="restart"/>
          </w:tcPr>
          <w:p>
            <w:pPr>
              <w:jc w:val="right"/>
              <w:ind w:right="31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2"/>
                <w:szCs w:val="2"/>
                <w:color w:val="auto"/>
              </w:rPr>
            </w:pPr>
          </w:p>
        </w:tc>
        <w:tc>
          <w:tcPr>
            <w:tcW w:w="2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35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Gains (Losses) on Cash Flow Hedges:</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tcPr>
          <w:p>
            <w:pPr>
              <w:ind w:left="20"/>
              <w:spacing w:after="0" w:line="186" w:lineRule="exact"/>
              <w:rPr>
                <w:sz w:val="20"/>
                <w:szCs w:val="20"/>
                <w:color w:val="auto"/>
              </w:rPr>
            </w:pPr>
            <w:r>
              <w:rPr>
                <w:rFonts w:ascii="Arial" w:cs="Arial" w:eastAsia="Arial" w:hAnsi="Arial"/>
                <w:sz w:val="18"/>
                <w:szCs w:val="18"/>
                <w:color w:val="auto"/>
                <w:w w:val="91"/>
              </w:rPr>
              <w:t>Cost of goods sold; Losses (gains) and</w:t>
            </w: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Arial" w:cs="Arial" w:eastAsia="Arial" w:hAnsi="Arial"/>
                <w:sz w:val="18"/>
                <w:szCs w:val="18"/>
                <w:color w:val="auto"/>
              </w:rPr>
              <w:t>Derivatives contracts</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332"/>
              <w:spacing w:after="0"/>
              <w:rPr>
                <w:sz w:val="20"/>
                <w:szCs w:val="20"/>
                <w:color w:val="auto"/>
              </w:rPr>
            </w:pPr>
            <w:r>
              <w:rPr>
                <w:rFonts w:ascii="Arial" w:cs="Arial" w:eastAsia="Arial" w:hAnsi="Arial"/>
                <w:sz w:val="18"/>
                <w:szCs w:val="18"/>
                <w:color w:val="auto"/>
                <w:w w:val="87"/>
              </w:rPr>
              <w:t>8.8</w:t>
            </w:r>
          </w:p>
        </w:tc>
        <w:tc>
          <w:tcPr>
            <w:tcW w:w="36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373"/>
              <w:spacing w:after="0"/>
              <w:rPr>
                <w:sz w:val="20"/>
                <w:szCs w:val="20"/>
                <w:color w:val="auto"/>
              </w:rPr>
            </w:pPr>
            <w:r>
              <w:rPr>
                <w:rFonts w:ascii="Arial" w:cs="Arial" w:eastAsia="Arial" w:hAnsi="Arial"/>
                <w:sz w:val="18"/>
                <w:szCs w:val="18"/>
                <w:color w:val="auto"/>
                <w:w w:val="91"/>
              </w:rPr>
              <w:t>(0.4)</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other expenses, net</w:t>
            </w:r>
          </w:p>
        </w:tc>
        <w:tc>
          <w:tcPr>
            <w:tcW w:w="0" w:type="dxa"/>
            <w:vAlign w:val="bottom"/>
          </w:tcPr>
          <w:p>
            <w:pPr>
              <w:spacing w:after="0"/>
              <w:rPr>
                <w:sz w:val="1"/>
                <w:szCs w:val="1"/>
                <w:color w:val="auto"/>
              </w:rPr>
            </w:pPr>
          </w:p>
        </w:tc>
      </w:tr>
      <w:tr>
        <w:trPr>
          <w:trHeight w:val="22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ind w:left="292"/>
              <w:spacing w:after="0"/>
              <w:rPr>
                <w:sz w:val="20"/>
                <w:szCs w:val="20"/>
                <w:color w:val="auto"/>
              </w:rPr>
            </w:pPr>
            <w:r>
              <w:rPr>
                <w:rFonts w:ascii="Arial" w:cs="Arial" w:eastAsia="Arial" w:hAnsi="Arial"/>
                <w:sz w:val="18"/>
                <w:szCs w:val="18"/>
                <w:color w:val="auto"/>
                <w:w w:val="91"/>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19"/>
                <w:szCs w:val="19"/>
                <w:color w:val="auto"/>
              </w:rPr>
            </w:pPr>
          </w:p>
        </w:tc>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7"/>
        </w:trPr>
        <w:tc>
          <w:tcPr>
            <w:tcW w:w="3540" w:type="dxa"/>
            <w:vAlign w:val="bottom"/>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Pr>
          <w:p>
            <w:pPr>
              <w:jc w:val="right"/>
              <w:ind w:right="534"/>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left="332"/>
              <w:spacing w:after="0"/>
              <w:rPr>
                <w:sz w:val="20"/>
                <w:szCs w:val="20"/>
                <w:color w:val="auto"/>
              </w:rPr>
            </w:pPr>
            <w:r>
              <w:rPr>
                <w:rFonts w:ascii="Arial" w:cs="Arial" w:eastAsia="Arial" w:hAnsi="Arial"/>
                <w:sz w:val="18"/>
                <w:szCs w:val="18"/>
                <w:color w:val="auto"/>
                <w:w w:val="87"/>
              </w:rPr>
              <w:t>6.7</w:t>
            </w:r>
          </w:p>
        </w:tc>
        <w:tc>
          <w:tcPr>
            <w:tcW w:w="36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840" w:type="dxa"/>
            <w:vAlign w:val="bottom"/>
          </w:tcPr>
          <w:p>
            <w:pPr>
              <w:jc w:val="center"/>
              <w:ind w:left="373"/>
              <w:spacing w:after="0"/>
              <w:rPr>
                <w:sz w:val="20"/>
                <w:szCs w:val="20"/>
                <w:color w:val="auto"/>
              </w:rPr>
            </w:pPr>
            <w:r>
              <w:rPr>
                <w:rFonts w:ascii="Arial" w:cs="Arial" w:eastAsia="Arial" w:hAnsi="Arial"/>
                <w:sz w:val="18"/>
                <w:szCs w:val="18"/>
                <w:color w:val="auto"/>
                <w:w w:val="91"/>
              </w:rPr>
              <w:t>(0.3)</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5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5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costs</w:t>
            </w:r>
          </w:p>
        </w:tc>
        <w:tc>
          <w:tcPr>
            <w:tcW w:w="720" w:type="dxa"/>
            <w:vAlign w:val="bottom"/>
            <w:shd w:val="clear" w:color="auto" w:fill="CCEEFF"/>
          </w:tcPr>
          <w:p>
            <w:pPr>
              <w:jc w:val="right"/>
              <w:ind w:right="534"/>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(0.2)</w:t>
            </w:r>
          </w:p>
        </w:tc>
        <w:tc>
          <w:tcPr>
            <w:tcW w:w="42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left="292"/>
              <w:spacing w:after="0"/>
              <w:rPr>
                <w:sz w:val="20"/>
                <w:szCs w:val="20"/>
                <w:color w:val="auto"/>
              </w:rPr>
            </w:pPr>
            <w:r>
              <w:rPr>
                <w:rFonts w:ascii="Arial" w:cs="Arial" w:eastAsia="Arial" w:hAnsi="Arial"/>
                <w:sz w:val="18"/>
                <w:szCs w:val="18"/>
                <w:color w:val="auto"/>
                <w:w w:val="91"/>
              </w:rPr>
              <w:t>(1.4)</w:t>
            </w:r>
          </w:p>
        </w:tc>
        <w:tc>
          <w:tcPr>
            <w:tcW w:w="36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ind w:left="373"/>
              <w:spacing w:after="0"/>
              <w:rPr>
                <w:sz w:val="20"/>
                <w:szCs w:val="20"/>
                <w:color w:val="auto"/>
              </w:rPr>
            </w:pPr>
            <w:r>
              <w:rPr>
                <w:rFonts w:ascii="Arial" w:cs="Arial" w:eastAsia="Arial" w:hAnsi="Arial"/>
                <w:sz w:val="18"/>
                <w:szCs w:val="18"/>
                <w:color w:val="auto"/>
                <w:w w:val="91"/>
              </w:rPr>
              <w:t>(0.4)</w:t>
            </w:r>
          </w:p>
        </w:tc>
        <w:tc>
          <w:tcPr>
            <w:tcW w:w="360" w:type="dxa"/>
            <w:vAlign w:val="bottom"/>
            <w:gridSpan w:val="2"/>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34"/>
        </w:trPr>
        <w:tc>
          <w:tcPr>
            <w:tcW w:w="3540" w:type="dxa"/>
            <w:vAlign w:val="bottom"/>
          </w:tcPr>
          <w:p>
            <w:pPr>
              <w:ind w:left="20"/>
              <w:spacing w:after="0"/>
              <w:rPr>
                <w:sz w:val="20"/>
                <w:szCs w:val="20"/>
                <w:color w:val="auto"/>
              </w:rPr>
            </w:pPr>
            <w:r>
              <w:rPr>
                <w:rFonts w:ascii="Arial" w:cs="Arial" w:eastAsia="Arial" w:hAnsi="Arial"/>
                <w:sz w:val="18"/>
                <w:szCs w:val="18"/>
                <w:color w:val="auto"/>
              </w:rPr>
              <w:t>Pension settlements</w:t>
            </w: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center"/>
              <w:ind w:left="292"/>
              <w:spacing w:after="0"/>
              <w:rPr>
                <w:sz w:val="20"/>
                <w:szCs w:val="20"/>
                <w:color w:val="auto"/>
              </w:rPr>
            </w:pPr>
            <w:r>
              <w:rPr>
                <w:rFonts w:ascii="Arial" w:cs="Arial" w:eastAsia="Arial" w:hAnsi="Arial"/>
                <w:sz w:val="18"/>
                <w:szCs w:val="18"/>
                <w:color w:val="auto"/>
                <w:w w:val="91"/>
              </w:rPr>
              <w:t>(0.2)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center"/>
              <w:ind w:left="373"/>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880" w:type="dxa"/>
            <w:vAlign w:val="bottom"/>
          </w:tcPr>
          <w:p>
            <w:pPr>
              <w:ind w:left="20"/>
              <w:spacing w:after="0"/>
              <w:rPr>
                <w:sz w:val="20"/>
                <w:szCs w:val="20"/>
                <w:color w:val="auto"/>
              </w:rPr>
            </w:pPr>
            <w:r>
              <w:rPr>
                <w:rFonts w:ascii="Arial" w:cs="Arial" w:eastAsia="Arial" w:hAnsi="Arial"/>
                <w:sz w:val="18"/>
                <w:szCs w:val="18"/>
                <w:color w:val="auto"/>
              </w:rPr>
              <w:t>Pension settlements</w:t>
            </w:r>
          </w:p>
        </w:tc>
        <w:tc>
          <w:tcPr>
            <w:tcW w:w="0" w:type="dxa"/>
            <w:vAlign w:val="bottom"/>
          </w:tcPr>
          <w:p>
            <w:pPr>
              <w:spacing w:after="0"/>
              <w:rPr>
                <w:sz w:val="1"/>
                <w:szCs w:val="1"/>
                <w:color w:val="auto"/>
              </w:rPr>
            </w:pPr>
          </w:p>
        </w:tc>
      </w:tr>
      <w:tr>
        <w:trPr>
          <w:trHeight w:val="234"/>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7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color w:val="auto"/>
                <w:w w:val="87"/>
              </w:rPr>
              <w:t>0.4</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color w:val="auto"/>
                <w:w w:val="87"/>
              </w:rPr>
              <w:t>0.2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0"/>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of tax</w:t>
            </w:r>
          </w:p>
        </w:tc>
        <w:tc>
          <w:tcPr>
            <w:tcW w:w="720" w:type="dxa"/>
            <w:vAlign w:val="bottom"/>
            <w:tcBorders>
              <w:bottom w:val="single" w:sz="8" w:color="auto"/>
            </w:tcBorders>
          </w:tcPr>
          <w:p>
            <w:pPr>
              <w:jc w:val="right"/>
              <w:ind w:right="534"/>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center"/>
              <w:ind w:left="292"/>
              <w:spacing w:after="0"/>
              <w:rPr>
                <w:sz w:val="20"/>
                <w:szCs w:val="20"/>
                <w:color w:val="auto"/>
              </w:rPr>
            </w:pPr>
            <w:r>
              <w:rPr>
                <w:rFonts w:ascii="Arial" w:cs="Arial" w:eastAsia="Arial" w:hAnsi="Arial"/>
                <w:sz w:val="18"/>
                <w:szCs w:val="18"/>
                <w:color w:val="auto"/>
                <w:w w:val="91"/>
              </w:rPr>
              <w:t>(1.2)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center"/>
              <w:ind w:left="373"/>
              <w:spacing w:after="0"/>
              <w:rPr>
                <w:sz w:val="20"/>
                <w:szCs w:val="20"/>
                <w:color w:val="auto"/>
              </w:rPr>
            </w:pPr>
            <w:r>
              <w:rPr>
                <w:rFonts w:ascii="Arial" w:cs="Arial" w:eastAsia="Arial" w:hAnsi="Arial"/>
                <w:sz w:val="18"/>
                <w:szCs w:val="18"/>
                <w:color w:val="auto"/>
                <w:w w:val="91"/>
              </w:rPr>
              <w:t>(0.5)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8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reclassifications from AOCL</w:t>
            </w:r>
          </w:p>
        </w:tc>
        <w:tc>
          <w:tcPr>
            <w:tcW w:w="720" w:type="dxa"/>
            <w:vAlign w:val="bottom"/>
            <w:tcBorders>
              <w:bottom w:val="single" w:sz="8" w:color="auto"/>
            </w:tcBorders>
            <w:shd w:val="clear" w:color="auto" w:fill="CCEEFF"/>
          </w:tcPr>
          <w:p>
            <w:pPr>
              <w:jc w:val="right"/>
              <w:ind w:right="534"/>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87"/>
              </w:rPr>
              <w:t>5.5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center"/>
              <w:ind w:left="373"/>
              <w:spacing w:after="0"/>
              <w:rPr>
                <w:sz w:val="20"/>
                <w:szCs w:val="20"/>
                <w:color w:val="auto"/>
              </w:rPr>
            </w:pPr>
            <w:r>
              <w:rPr>
                <w:rFonts w:ascii="Arial" w:cs="Arial" w:eastAsia="Arial" w:hAnsi="Arial"/>
                <w:sz w:val="18"/>
                <w:szCs w:val="18"/>
                <w:b w:val="1"/>
                <w:bCs w:val="1"/>
                <w:color w:val="auto"/>
                <w:w w:val="91"/>
              </w:rPr>
              <w:t>(0.8)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20" w:type="dxa"/>
            <w:vAlign w:val="bottom"/>
            <w:tcBorders>
              <w:bottom w:val="single" w:sz="8" w:color="CCEEFF"/>
            </w:tcBorders>
            <w:shd w:val="clear" w:color="auto" w:fill="CCEEFF"/>
          </w:tcPr>
          <w:p>
            <w:pPr>
              <w:spacing w:after="0"/>
              <w:rPr>
                <w:sz w:val="20"/>
                <w:szCs w:val="20"/>
                <w:color w:val="auto"/>
              </w:rPr>
            </w:pPr>
          </w:p>
        </w:tc>
        <w:tc>
          <w:tcPr>
            <w:tcW w:w="2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provides information on changes in AOCL, by component (net of tax), for the six months ended June 30, 2023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center"/>
              <w:ind w:right="35"/>
              <w:spacing w:after="0"/>
              <w:rPr>
                <w:sz w:val="20"/>
                <w:szCs w:val="20"/>
                <w:color w:val="auto"/>
              </w:rPr>
            </w:pPr>
            <w:r>
              <w:rPr>
                <w:rFonts w:ascii="Arial" w:cs="Arial" w:eastAsia="Arial" w:hAnsi="Arial"/>
                <w:sz w:val="16"/>
                <w:szCs w:val="16"/>
                <w:b w:val="1"/>
                <w:bCs w:val="1"/>
                <w:color w:val="auto"/>
                <w:w w:val="89"/>
              </w:rPr>
              <w:t>Share of equity</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87"/>
              </w:rPr>
              <w:t>Gains (Losses) on</w:t>
            </w:r>
          </w:p>
        </w:tc>
        <w:tc>
          <w:tcPr>
            <w:tcW w:w="140" w:type="dxa"/>
            <w:vAlign w:val="bottom"/>
          </w:tcPr>
          <w:p>
            <w:pPr>
              <w:spacing w:after="0"/>
              <w:rPr>
                <w:sz w:val="13"/>
                <w:szCs w:val="13"/>
                <w:color w:val="auto"/>
              </w:rPr>
            </w:pPr>
          </w:p>
        </w:tc>
        <w:tc>
          <w:tcPr>
            <w:tcW w:w="142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w w:val="88"/>
              </w:rPr>
              <w:t>method investments</w:t>
            </w:r>
          </w:p>
        </w:tc>
        <w:tc>
          <w:tcPr>
            <w:tcW w:w="140" w:type="dxa"/>
            <w:vAlign w:val="bottom"/>
          </w:tcPr>
          <w:p>
            <w:pPr>
              <w:spacing w:after="0"/>
              <w:rPr>
                <w:sz w:val="13"/>
                <w:szCs w:val="13"/>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Defined Benefit</w:t>
            </w: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55"/>
              <w:spacing w:after="0" w:line="161" w:lineRule="exact"/>
              <w:rPr>
                <w:sz w:val="20"/>
                <w:szCs w:val="20"/>
                <w:color w:val="auto"/>
              </w:rPr>
            </w:pPr>
            <w:r>
              <w:rPr>
                <w:rFonts w:ascii="Arial" w:cs="Arial" w:eastAsia="Arial" w:hAnsi="Arial"/>
                <w:sz w:val="16"/>
                <w:szCs w:val="16"/>
                <w:b w:val="1"/>
                <w:bCs w:val="1"/>
                <w:color w:val="auto"/>
                <w:w w:val="94"/>
              </w:rPr>
              <w:t>other</w:t>
            </w:r>
          </w:p>
        </w:tc>
        <w:tc>
          <w:tcPr>
            <w:tcW w:w="14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114"/>
              <w:spacing w:after="0" w:line="161" w:lineRule="exact"/>
              <w:rPr>
                <w:sz w:val="20"/>
                <w:szCs w:val="20"/>
                <w:color w:val="auto"/>
              </w:rPr>
            </w:pPr>
            <w:r>
              <w:rPr>
                <w:rFonts w:ascii="Arial" w:cs="Arial" w:eastAsia="Arial" w:hAnsi="Arial"/>
                <w:sz w:val="16"/>
                <w:szCs w:val="16"/>
                <w:b w:val="1"/>
                <w:bCs w:val="1"/>
                <w:color w:val="auto"/>
                <w:w w:val="89"/>
              </w:rPr>
              <w:t>Cash Flow</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center"/>
              <w:ind w:right="55"/>
              <w:spacing w:after="0" w:line="161" w:lineRule="exact"/>
              <w:rPr>
                <w:sz w:val="20"/>
                <w:szCs w:val="20"/>
                <w:color w:val="auto"/>
              </w:rPr>
            </w:pPr>
            <w:r>
              <w:rPr>
                <w:rFonts w:ascii="Arial" w:cs="Arial" w:eastAsia="Arial" w:hAnsi="Arial"/>
                <w:sz w:val="16"/>
                <w:szCs w:val="16"/>
                <w:b w:val="1"/>
                <w:bCs w:val="1"/>
                <w:color w:val="auto"/>
                <w:w w:val="86"/>
              </w:rPr>
              <w:t>comprehensive</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54"/>
              <w:spacing w:after="0" w:line="161" w:lineRule="exact"/>
              <w:rPr>
                <w:sz w:val="20"/>
                <w:szCs w:val="20"/>
                <w:color w:val="auto"/>
              </w:rPr>
            </w:pPr>
            <w:r>
              <w:rPr>
                <w:rFonts w:ascii="Arial" w:cs="Arial" w:eastAsia="Arial" w:hAnsi="Arial"/>
                <w:sz w:val="16"/>
                <w:szCs w:val="16"/>
                <w:b w:val="1"/>
                <w:bCs w:val="1"/>
                <w:color w:val="auto"/>
                <w:w w:val="87"/>
              </w:rPr>
              <w:t>Pension Plan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174"/>
              <w:spacing w:after="0" w:line="161" w:lineRule="exact"/>
              <w:rPr>
                <w:sz w:val="20"/>
                <w:szCs w:val="20"/>
                <w:color w:val="auto"/>
              </w:rPr>
            </w:pPr>
            <w:r>
              <w:rPr>
                <w:rFonts w:ascii="Arial" w:cs="Arial" w:eastAsia="Arial" w:hAnsi="Arial"/>
                <w:sz w:val="16"/>
                <w:szCs w:val="16"/>
                <w:b w:val="1"/>
                <w:bCs w:val="1"/>
                <w:color w:val="auto"/>
                <w:w w:val="99"/>
              </w:rPr>
              <w:t>Translation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92"/>
              <w:spacing w:after="0"/>
              <w:rPr>
                <w:sz w:val="20"/>
                <w:szCs w:val="20"/>
                <w:color w:val="auto"/>
              </w:rPr>
            </w:pPr>
            <w:r>
              <w:rPr>
                <w:rFonts w:ascii="Arial" w:cs="Arial" w:eastAsia="Arial" w:hAnsi="Arial"/>
                <w:sz w:val="16"/>
                <w:szCs w:val="16"/>
                <w:b w:val="1"/>
                <w:bCs w:val="1"/>
                <w:color w:val="auto"/>
                <w:w w:val="97"/>
              </w:rPr>
              <w:t>Total AOCL</w:t>
            </w:r>
          </w:p>
        </w:tc>
        <w:tc>
          <w:tcPr>
            <w:tcW w:w="0" w:type="dxa"/>
            <w:vAlign w:val="bottom"/>
          </w:tcPr>
          <w:p>
            <w:pPr>
              <w:spacing w:after="0"/>
              <w:rPr>
                <w:sz w:val="1"/>
                <w:szCs w:val="1"/>
                <w:color w:val="auto"/>
              </w:rPr>
            </w:pPr>
          </w:p>
        </w:tc>
      </w:tr>
      <w:tr>
        <w:trPr>
          <w:trHeight w:val="211"/>
        </w:trPr>
        <w:tc>
          <w:tcPr>
            <w:tcW w:w="4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86"/>
              </w:rPr>
              <w:t>Hedges</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9"/>
              </w:rPr>
              <w:t>income</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90"/>
              </w:rPr>
              <w:t>Items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4"/>
              <w:spacing w:after="0"/>
              <w:rPr>
                <w:sz w:val="20"/>
                <w:szCs w:val="20"/>
                <w:color w:val="auto"/>
              </w:rPr>
            </w:pPr>
            <w:r>
              <w:rPr>
                <w:rFonts w:ascii="Arial" w:cs="Arial" w:eastAsia="Arial" w:hAnsi="Arial"/>
                <w:sz w:val="16"/>
                <w:szCs w:val="16"/>
                <w:b w:val="1"/>
                <w:bCs w:val="1"/>
                <w:color w:val="auto"/>
                <w:w w:val="92"/>
              </w:rPr>
              <w:t>Adjustments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center"/>
              <w:ind w:left="594"/>
              <w:spacing w:after="0"/>
              <w:rPr>
                <w:sz w:val="20"/>
                <w:szCs w:val="20"/>
                <w:color w:val="auto"/>
              </w:rPr>
            </w:pPr>
            <w:r>
              <w:rPr>
                <w:rFonts w:ascii="Arial" w:cs="Arial" w:eastAsia="Arial" w:hAnsi="Arial"/>
                <w:sz w:val="18"/>
                <w:szCs w:val="18"/>
                <w:b w:val="1"/>
                <w:bCs w:val="1"/>
                <w:color w:val="auto"/>
                <w:w w:val="97"/>
              </w:rPr>
              <w:t>(4.9)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0" w:type="dxa"/>
            <w:vAlign w:val="bottom"/>
          </w:tcPr>
          <w:p>
            <w:pPr>
              <w:spacing w:after="0"/>
              <w:rPr>
                <w:sz w:val="1"/>
                <w:szCs w:val="1"/>
                <w:color w:val="auto"/>
              </w:rPr>
            </w:pPr>
          </w:p>
        </w:tc>
      </w:tr>
      <w:tr>
        <w:trPr>
          <w:trHeight w:val="174"/>
        </w:trPr>
        <w:tc>
          <w:tcPr>
            <w:tcW w:w="4260" w:type="dxa"/>
            <w:vAlign w:val="bottom"/>
          </w:tcPr>
          <w:p>
            <w:pPr>
              <w:ind w:left="20"/>
              <w:spacing w:after="0" w:line="174"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5"/>
                <w:szCs w:val="15"/>
                <w:color w:val="auto"/>
              </w:rPr>
            </w:pPr>
          </w:p>
        </w:tc>
        <w:tc>
          <w:tcPr>
            <w:tcW w:w="1080" w:type="dxa"/>
            <w:vAlign w:val="bottom"/>
            <w:vMerge w:val="restart"/>
          </w:tcPr>
          <w:p>
            <w:pPr>
              <w:jc w:val="center"/>
              <w:ind w:left="614"/>
              <w:spacing w:after="0"/>
              <w:rPr>
                <w:sz w:val="20"/>
                <w:szCs w:val="20"/>
                <w:color w:val="auto"/>
              </w:rPr>
            </w:pPr>
            <w:r>
              <w:rPr>
                <w:rFonts w:ascii="Arial" w:cs="Arial" w:eastAsia="Arial" w:hAnsi="Arial"/>
                <w:sz w:val="18"/>
                <w:szCs w:val="18"/>
                <w:color w:val="auto"/>
                <w:w w:val="87"/>
              </w:rPr>
              <w:t>0.2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vMerge w:val="restart"/>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4"/>
        </w:trPr>
        <w:tc>
          <w:tcPr>
            <w:tcW w:w="426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Amounts reclassified from AOCL</w:t>
            </w:r>
          </w:p>
        </w:tc>
        <w:tc>
          <w:tcPr>
            <w:tcW w:w="2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7"/>
              </w:rPr>
              <w:t>0.3</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1"/>
        </w:trPr>
        <w:tc>
          <w:tcPr>
            <w:tcW w:w="4260" w:type="dxa"/>
            <w:vAlign w:val="bottom"/>
          </w:tcPr>
          <w:p>
            <w:pPr>
              <w:ind w:left="20"/>
              <w:spacing w:after="0"/>
              <w:rPr>
                <w:sz w:val="20"/>
                <w:szCs w:val="20"/>
                <w:color w:val="auto"/>
              </w:rPr>
            </w:pPr>
            <w:r>
              <w:rPr>
                <w:rFonts w:ascii="Arial" w:cs="Arial" w:eastAsia="Arial" w:hAnsi="Arial"/>
                <w:sz w:val="18"/>
                <w:szCs w:val="18"/>
                <w:color w:val="auto"/>
              </w:rPr>
              <w:t>Net other comprehensive income</w:t>
            </w: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14"/>
              <w:spacing w:after="0"/>
              <w:rPr>
                <w:sz w:val="20"/>
                <w:szCs w:val="20"/>
                <w:color w:val="auto"/>
              </w:rPr>
            </w:pPr>
            <w:r>
              <w:rPr>
                <w:rFonts w:ascii="Arial" w:cs="Arial" w:eastAsia="Arial" w:hAnsi="Arial"/>
                <w:sz w:val="18"/>
                <w:szCs w:val="18"/>
                <w:color w:val="auto"/>
                <w:w w:val="87"/>
              </w:rPr>
              <w:t>0.5</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5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June 30, 2023</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center"/>
              <w:ind w:left="594"/>
              <w:spacing w:after="0"/>
              <w:rPr>
                <w:sz w:val="20"/>
                <w:szCs w:val="20"/>
                <w:color w:val="auto"/>
              </w:rPr>
            </w:pPr>
            <w:r>
              <w:rPr>
                <w:rFonts w:ascii="Arial" w:cs="Arial" w:eastAsia="Arial" w:hAnsi="Arial"/>
                <w:sz w:val="18"/>
                <w:szCs w:val="18"/>
                <w:b w:val="1"/>
                <w:bCs w:val="1"/>
                <w:color w:val="auto"/>
                <w:w w:val="97"/>
              </w:rPr>
              <w:t>(4.4)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47"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The methodologies used to determine the fair value of our financial assets and liabilities at June 30, 2023 were the same as those used at December 31,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34" w:lineRule="exact"/>
        <w:rPr>
          <w:sz w:val="20"/>
          <w:szCs w:val="20"/>
          <w:color w:val="auto"/>
        </w:rPr>
      </w:pPr>
    </w:p>
    <w:p>
      <w:pPr>
        <w:jc w:val="both"/>
        <w:ind w:firstLine="241"/>
        <w:spacing w:after="0" w:line="306"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7 for more information related to our derivative instruments.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The carrying amounts of Cash and cash equivalents, Short-term investments, Accounts and notes receivable, net, Accounts payable, and Short-term debt approximate fair value due to the short maturities of these instruments. The carrying amount of our Credit Agreement in Long-term debt also approximates fair value due to its variable-rate characteristics.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0" w:name="page21"/>
    <w:bookmarkEnd w:id="20"/>
    <w:p>
      <w:pPr>
        <w:ind w:firstLine="241"/>
        <w:spacing w:after="0" w:line="270"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w w:val="90"/>
              </w:rPr>
              <w:t>As of June 30, 2023</w:t>
            </w:r>
          </w:p>
        </w:tc>
        <w:tc>
          <w:tcPr>
            <w:tcW w:w="160" w:type="dxa"/>
            <w:vAlign w:val="bottom"/>
          </w:tcPr>
          <w:p>
            <w:pPr>
              <w:spacing w:after="0"/>
              <w:rPr>
                <w:sz w:val="18"/>
                <w:szCs w:val="18"/>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1"/>
              </w:rPr>
              <w:t>As of December 31, 2022</w:t>
            </w: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w:t>
            </w:r>
          </w:p>
        </w:tc>
        <w:tc>
          <w:tcPr>
            <w:tcW w:w="8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1"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w:t>
      </w:r>
    </w:p>
    <w:p>
      <w:pPr>
        <w:spacing w:after="0" w:line="221" w:lineRule="exact"/>
        <w:rPr>
          <w:sz w:val="20"/>
          <w:szCs w:val="20"/>
          <w:color w:val="auto"/>
        </w:rPr>
      </w:pPr>
    </w:p>
    <w:p>
      <w:pPr>
        <w:jc w:val="both"/>
        <w:ind w:firstLine="241"/>
        <w:spacing w:after="0" w:line="292" w:lineRule="auto"/>
        <w:rPr>
          <w:sz w:val="20"/>
          <w:szCs w:val="20"/>
          <w:color w:val="auto"/>
        </w:rPr>
      </w:pPr>
      <w:r>
        <w:rPr>
          <w:rFonts w:ascii="Arial" w:cs="Arial" w:eastAsia="Arial" w:hAnsi="Arial"/>
          <w:sz w:val="16"/>
          <w:szCs w:val="16"/>
          <w:color w:val="auto"/>
        </w:rPr>
        <w:t>In addition to the specific uncertainties discussed elsewhere in this Quarterly Report on Form 10-Q, the risk factors set forth in Part I, “Item 1A. Risk Factors” in our Annual Report on Form 10-K for the year ended December 31, 2022,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operate in two reportable business segments of the heating, ventilation, air conditioning and refrigeration (“HVACR”) industry. Our reportable segments are Residential and Commercial. For additional information regarding our reportable segments, see Note 2 in the Notes to the Consolidated Financial Statements.</w:t>
      </w:r>
    </w:p>
    <w:p>
      <w:pPr>
        <w:spacing w:after="0" w:line="212" w:lineRule="exact"/>
        <w:rPr>
          <w:sz w:val="20"/>
          <w:szCs w:val="20"/>
          <w:color w:val="auto"/>
        </w:rPr>
      </w:pPr>
    </w:p>
    <w:p>
      <w:pPr>
        <w:jc w:val="both"/>
        <w:ind w:firstLine="241"/>
        <w:spacing w:after="0" w:line="297"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85"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219" w:lineRule="exact"/>
        <w:rPr>
          <w:sz w:val="20"/>
          <w:szCs w:val="20"/>
          <w:color w:val="auto"/>
        </w:rPr>
      </w:pPr>
    </w:p>
    <w:p>
      <w:pPr>
        <w:jc w:val="both"/>
        <w:ind w:firstLine="241"/>
        <w:spacing w:after="0" w:line="252"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2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Change in Segment Reporting</w:t>
      </w:r>
    </w:p>
    <w:p>
      <w:pPr>
        <w:spacing w:after="0" w:line="251"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6"/>
          <w:szCs w:val="16"/>
          <w:color w:val="auto"/>
        </w:rPr>
        <w:t xml:space="preserve">Prior to January 1, 2023, we operated in three reportable business segments. In November 2022, we announced the decision to explore strategic alternatives for our European commercial HVAC and refrigeration businesses. We will continue to operate and invest in our Heatcraft Worldwide Refrigeration business which became part of the Commercial segment effective on January 1, 2023, while the European portfolio will be presented with Corporate and Other until disposition. The consolidation of our Heatcraft business within the Commercial segment provides the opportunity to leverage synergies and create long-term growth opportunities by integrating entities with similar products, end consumers and financial performance metrics under the same management. The change in segment reporting better aligns with how the businesses are managed and evaluated given the change in portfolio. All amounts discussed in this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reflect the revised segment presentation.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Results for the second quarter of 2023 were driven by overall year-over-year sales and profit increases. Net sales increased 24% and segment profit increased $62 million for the Commercial segment. Net sales decreased 4% and segment profit decreased $14 million for the Residential segment. Net sales increased 10% and segment loss decreased $5 million for the Corporate &amp; Other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47" w:lineRule="exact"/>
        <w:rPr>
          <w:sz w:val="20"/>
          <w:szCs w:val="20"/>
          <w:color w:val="auto"/>
        </w:rPr>
      </w:pPr>
    </w:p>
    <w:p>
      <w:pPr>
        <w:ind w:left="640" w:hanging="313"/>
        <w:spacing w:after="0" w:line="255"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sales increased $45 million to $1,411 million in the second quarter of 2023 driven by favorable price and mix partially offset by lower sales volumes and unfavorable foreign currency.</w:t>
      </w: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income in the second quarter of 2023 increased $52 million to $279 million primarily driven by favorable price.</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income for the second quarter of 2023 was $217 million.</w:t>
      </w:r>
    </w:p>
    <w:p>
      <w:pPr>
        <w:spacing w:after="0" w:line="6" w:lineRule="exact"/>
        <w:rPr>
          <w:rFonts w:ascii="Arial" w:cs="Arial" w:eastAsia="Arial" w:hAnsi="Arial"/>
          <w:sz w:val="18"/>
          <w:szCs w:val="18"/>
          <w:color w:val="auto"/>
        </w:rPr>
      </w:pPr>
    </w:p>
    <w:p>
      <w:pPr>
        <w:ind w:left="640" w:hanging="313"/>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Diluted earnings per share was $6.10 per share in the second quarter of 2023 compared to $4.96 per share in the second quarter of 2022.</w:t>
      </w:r>
    </w:p>
    <w:p>
      <w:pPr>
        <w:spacing w:after="0" w:line="18" w:lineRule="exact"/>
        <w:rPr>
          <w:rFonts w:ascii="Arial" w:cs="Arial" w:eastAsia="Arial" w:hAnsi="Arial"/>
          <w:sz w:val="17"/>
          <w:szCs w:val="17"/>
          <w:color w:val="auto"/>
        </w:rPr>
      </w:pPr>
    </w:p>
    <w:p>
      <w:pPr>
        <w:ind w:left="640" w:hanging="313"/>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the six months ended June 30, 2023, we returned $75 million to shareholders through dividend payments.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Three Months Ended June 30, 2022 - Consolidated Results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6"/>
                <w:szCs w:val="16"/>
                <w:b w:val="1"/>
                <w:bCs w:val="1"/>
                <w:color w:val="auto"/>
              </w:rPr>
              <w:t>For the Three Months Ended June 30,</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6"/>
                <w:szCs w:val="16"/>
                <w:b w:val="1"/>
                <w:bCs w:val="1"/>
                <w:color w:val="auto"/>
              </w:rPr>
              <w:t>Dollars (in millions)</w:t>
            </w:r>
          </w:p>
        </w:tc>
        <w:tc>
          <w:tcPr>
            <w:tcW w:w="16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Percent</w:t>
            </w:r>
          </w:p>
        </w:tc>
        <w:tc>
          <w:tcPr>
            <w:tcW w:w="2460" w:type="dxa"/>
            <w:vAlign w:val="bottom"/>
            <w:tcBorders>
              <w:bottom w:val="single" w:sz="8" w:color="auto"/>
            </w:tcBorders>
            <w:gridSpan w:val="3"/>
          </w:tcPr>
          <w:p>
            <w:pPr>
              <w:jc w:val="right"/>
              <w:ind w:right="59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5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2023</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1"/>
                <w:szCs w:val="11"/>
                <w:color w:val="auto"/>
              </w:rPr>
            </w:pPr>
          </w:p>
        </w:tc>
        <w:tc>
          <w:tcPr>
            <w:tcW w:w="1460" w:type="dxa"/>
            <w:vAlign w:val="bottom"/>
            <w:gridSpan w:val="2"/>
          </w:tcPr>
          <w:p>
            <w:pPr>
              <w:jc w:val="center"/>
              <w:ind w:right="140"/>
              <w:spacing w:after="0" w:line="127" w:lineRule="exact"/>
              <w:rPr>
                <w:sz w:val="20"/>
                <w:szCs w:val="20"/>
                <w:color w:val="auto"/>
              </w:rPr>
            </w:pPr>
            <w:r>
              <w:rPr>
                <w:rFonts w:ascii="Arial" w:cs="Arial" w:eastAsia="Arial" w:hAnsi="Arial"/>
                <w:sz w:val="14"/>
                <w:szCs w:val="14"/>
                <w:b w:val="1"/>
                <w:bCs w:val="1"/>
                <w:color w:val="auto"/>
              </w:rPr>
              <w:t>Change</w:t>
            </w:r>
          </w:p>
        </w:tc>
        <w:tc>
          <w:tcPr>
            <w:tcW w:w="1160" w:type="dxa"/>
            <w:vAlign w:val="bottom"/>
            <w:vMerge w:val="restart"/>
          </w:tcPr>
          <w:p>
            <w:pPr>
              <w:jc w:val="right"/>
              <w:ind w:right="333"/>
              <w:spacing w:after="0"/>
              <w:rPr>
                <w:sz w:val="20"/>
                <w:szCs w:val="20"/>
                <w:color w:val="auto"/>
              </w:rPr>
            </w:pPr>
            <w:r>
              <w:rPr>
                <w:rFonts w:ascii="Arial" w:cs="Arial" w:eastAsia="Arial" w:hAnsi="Arial"/>
                <w:sz w:val="16"/>
                <w:szCs w:val="16"/>
                <w:b w:val="1"/>
                <w:bCs w:val="1"/>
                <w:color w:val="auto"/>
              </w:rPr>
              <w:t>2023</w:t>
            </w:r>
          </w:p>
        </w:tc>
        <w:tc>
          <w:tcPr>
            <w:tcW w:w="1300" w:type="dxa"/>
            <w:vAlign w:val="bottom"/>
            <w:gridSpan w:val="2"/>
            <w:vMerge w:val="restart"/>
          </w:tcPr>
          <w:p>
            <w:pPr>
              <w:jc w:val="right"/>
              <w:ind w:right="33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1"/>
        </w:trPr>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Fav/(Unfav)</w:t>
            </w:r>
          </w:p>
        </w:tc>
        <w:tc>
          <w:tcPr>
            <w:tcW w:w="116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1,366.3</w:t>
            </w:r>
          </w:p>
        </w:tc>
        <w:tc>
          <w:tcPr>
            <w:tcW w:w="16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953.6</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w:t>
            </w:r>
          </w:p>
        </w:tc>
        <w:tc>
          <w:tcPr>
            <w:tcW w:w="160" w:type="dxa"/>
            <w:vAlign w:val="bottom"/>
          </w:tcPr>
          <w:p>
            <w:pPr>
              <w:spacing w:after="0"/>
              <w:rPr>
                <w:sz w:val="19"/>
                <w:szCs w:val="19"/>
                <w:color w:val="auto"/>
              </w:rPr>
            </w:pPr>
          </w:p>
        </w:tc>
        <w:tc>
          <w:tcPr>
            <w:tcW w:w="1320" w:type="dxa"/>
            <w:vAlign w:val="bottom"/>
            <w:tcBorders>
              <w:bottom w:val="single" w:sz="8" w:color="auto"/>
            </w:tcBorders>
          </w:tcPr>
          <w:p>
            <w:pPr>
              <w:jc w:val="right"/>
              <w:ind w:right="157"/>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67.6</w:t>
            </w:r>
          </w:p>
        </w:tc>
        <w:tc>
          <w:tcPr>
            <w:tcW w:w="140" w:type="dxa"/>
            <w:vAlign w:val="bottom"/>
          </w:tcPr>
          <w:p>
            <w:pPr>
              <w:spacing w:after="0"/>
              <w:rPr>
                <w:sz w:val="19"/>
                <w:szCs w:val="19"/>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w:t>
            </w:r>
          </w:p>
        </w:tc>
        <w:tc>
          <w:tcPr>
            <w:tcW w:w="148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32.4</w:t>
            </w:r>
          </w:p>
        </w:tc>
        <w:tc>
          <w:tcPr>
            <w:tcW w:w="13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27"/>
        </w:trPr>
        <w:tc>
          <w:tcPr>
            <w:tcW w:w="50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169.6</w:t>
            </w:r>
          </w:p>
        </w:tc>
        <w:tc>
          <w:tcPr>
            <w:tcW w:w="1480" w:type="dxa"/>
            <w:vAlign w:val="bottom"/>
            <w:gridSpan w:val="2"/>
          </w:tcPr>
          <w:p>
            <w:pPr>
              <w:jc w:val="right"/>
              <w:ind w:right="117"/>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12.8</w:t>
            </w:r>
          </w:p>
        </w:tc>
        <w:tc>
          <w:tcPr>
            <w:tcW w:w="1300" w:type="dxa"/>
            <w:vAlign w:val="bottom"/>
            <w:gridSpan w:val="2"/>
          </w:tcPr>
          <w:p>
            <w:pPr>
              <w:jc w:val="right"/>
              <w:ind w:right="15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7"/>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8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0.5</w:t>
            </w:r>
          </w:p>
        </w:tc>
        <w:tc>
          <w:tcPr>
            <w:tcW w:w="1480" w:type="dxa"/>
            <w:vAlign w:val="bottom"/>
            <w:gridSpan w:val="2"/>
          </w:tcPr>
          <w:p>
            <w:pPr>
              <w:jc w:val="right"/>
              <w:ind w:right="157"/>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investments</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8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106.7</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(0.2)</w:t>
            </w:r>
          </w:p>
        </w:tc>
        <w:tc>
          <w:tcPr>
            <w:tcW w:w="130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278.8</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226.9</w:t>
            </w:r>
          </w:p>
        </w:tc>
        <w:tc>
          <w:tcPr>
            <w:tcW w:w="1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22.9 %</w:t>
            </w: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19.8 %</w:t>
            </w:r>
          </w:p>
        </w:tc>
        <w:tc>
          <w:tcPr>
            <w:tcW w:w="1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16.6 %</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47"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Net sales for the second quarter of 2023 compared to the second quarter of 2022 increased as a result of favorable price of 6% and favorable product mix of 6% which was partially offset by lower sales volumes of 8% due to general lower residential industry volumes and 1% from unfavorable foreign currency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Gross Profit</w:t>
      </w:r>
    </w:p>
    <w:p>
      <w:pPr>
        <w:spacing w:after="0" w:line="247"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Gross profit margins in the second quarter of 2023 increased 330 basis points ("bps") to 32.4% compared to 29.1% in the second quarter of 2022. Gross margins increased 380 bps from favorable price, 90 bps from favorable commodity costs, 80 bps from favorable product mix, and 10 bps from miscellaneous other items. Partially offsetting these increases were 100 bps from lower sales volumes, 70 bps from higher component costs, 30 bps from higher freight and distribution costs, and 30 bps from higher factory inefficiencies.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7"/>
          <w:szCs w:val="17"/>
          <w:color w:val="auto"/>
        </w:rPr>
        <w:t>Selling, general and administrative expenses ("SG&amp;A") increased $12 million to $181.3 million in the second quarter of 2023 compared to $169.6 million in the second quarter of 2022 due to higher employee-related costs. As a percentage of net sales, SG&amp;A increased 40 bps to 12.8%.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3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(gains) and other expenses, net for the second quarter of 2023 and 2022 included the following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30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Three Months Ended June 30,</w:t>
            </w:r>
          </w:p>
        </w:tc>
        <w:tc>
          <w:tcPr>
            <w:tcW w:w="380" w:type="dxa"/>
            <w:vAlign w:val="bottom"/>
            <w:tcBorders>
              <w:bottom w:val="single" w:sz="8" w:color="auto"/>
            </w:tcBorders>
          </w:tcPr>
          <w:p>
            <w:pPr>
              <w:spacing w:after="0"/>
              <w:rPr>
                <w:sz w:val="18"/>
                <w:szCs w:val="18"/>
                <w:color w:val="auto"/>
              </w:rPr>
            </w:pPr>
          </w:p>
        </w:tc>
      </w:tr>
      <w:tr>
        <w:trPr>
          <w:trHeight w:val="207"/>
        </w:trPr>
        <w:tc>
          <w:tcPr>
            <w:tcW w:w="7600" w:type="dxa"/>
            <w:vAlign w:val="bottom"/>
          </w:tcPr>
          <w:p>
            <w:pPr>
              <w:spacing w:after="0"/>
              <w:rPr>
                <w:sz w:val="18"/>
                <w:szCs w:val="18"/>
                <w:color w:val="auto"/>
              </w:rPr>
            </w:pPr>
          </w:p>
        </w:tc>
        <w:tc>
          <w:tcPr>
            <w:tcW w:w="11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losses (gains) on settled future contracts</w:t>
            </w:r>
          </w:p>
        </w:tc>
        <w:tc>
          <w:tcPr>
            <w:tcW w:w="1120" w:type="dxa"/>
            <w:vAlign w:val="bottom"/>
            <w:shd w:val="clear" w:color="auto" w:fill="CCEEFF"/>
          </w:tcPr>
          <w:p>
            <w:pPr>
              <w:jc w:val="right"/>
              <w:ind w:right="937"/>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40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w:t>
            </w:r>
          </w:p>
        </w:tc>
      </w:tr>
      <w:tr>
        <w:trPr>
          <w:trHeight w:val="234"/>
        </w:trPr>
        <w:tc>
          <w:tcPr>
            <w:tcW w:w="7600" w:type="dxa"/>
            <w:vAlign w:val="bottom"/>
          </w:tcPr>
          <w:p>
            <w:pPr>
              <w:ind w:left="20"/>
              <w:spacing w:after="0"/>
              <w:rPr>
                <w:sz w:val="20"/>
                <w:szCs w:val="20"/>
                <w:color w:val="auto"/>
              </w:rPr>
            </w:pPr>
            <w:r>
              <w:rPr>
                <w:rFonts w:ascii="Arial" w:cs="Arial" w:eastAsia="Arial" w:hAnsi="Arial"/>
                <w:sz w:val="18"/>
                <w:szCs w:val="18"/>
                <w:color w:val="auto"/>
              </w:rPr>
              <w:t>Foreign currency exchange gains</w:t>
            </w:r>
          </w:p>
        </w:tc>
        <w:tc>
          <w:tcPr>
            <w:tcW w:w="1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(0.5)</w:t>
            </w:r>
          </w:p>
        </w:tc>
      </w:tr>
      <w:tr>
        <w:trPr>
          <w:trHeight w:val="23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disposal of fixed assets</w:t>
            </w: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7600" w:type="dxa"/>
            <w:vAlign w:val="bottom"/>
          </w:tcPr>
          <w:p>
            <w:pPr>
              <w:ind w:left="20"/>
              <w:spacing w:after="0"/>
              <w:rPr>
                <w:sz w:val="20"/>
                <w:szCs w:val="20"/>
                <w:color w:val="auto"/>
              </w:rPr>
            </w:pPr>
            <w:r>
              <w:rPr>
                <w:rFonts w:ascii="Arial" w:cs="Arial" w:eastAsia="Arial" w:hAnsi="Arial"/>
                <w:sz w:val="18"/>
                <w:szCs w:val="18"/>
                <w:color w:val="auto"/>
              </w:rPr>
              <w:t>Other operating income</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(0.2)</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(0.2)</w:t>
            </w:r>
          </w:p>
        </w:tc>
      </w:tr>
      <w:tr>
        <w:trPr>
          <w:trHeight w:val="24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unrealized losses (gains) on unsettled futures contracts</w:t>
            </w:r>
          </w:p>
        </w:tc>
        <w:tc>
          <w:tcPr>
            <w:tcW w:w="1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7"/>
        </w:trPr>
        <w:tc>
          <w:tcPr>
            <w:tcW w:w="7600" w:type="dxa"/>
            <w:vAlign w:val="bottom"/>
          </w:tcPr>
          <w:p>
            <w:pPr>
              <w:ind w:left="20"/>
              <w:spacing w:after="0"/>
              <w:rPr>
                <w:sz w:val="20"/>
                <w:szCs w:val="20"/>
                <w:color w:val="auto"/>
              </w:rPr>
            </w:pPr>
            <w:r>
              <w:rPr>
                <w:rFonts w:ascii="Arial" w:cs="Arial" w:eastAsia="Arial" w:hAnsi="Arial"/>
                <w:sz w:val="18"/>
                <w:szCs w:val="18"/>
                <w:color w:val="auto"/>
              </w:rPr>
              <w:t>Environmental liabilities and special litigation charges</w:t>
            </w:r>
          </w:p>
        </w:tc>
        <w:tc>
          <w:tcPr>
            <w:tcW w:w="1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4.8</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7"/>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items, net</w:t>
            </w:r>
          </w:p>
        </w:tc>
        <w:tc>
          <w:tcPr>
            <w:tcW w:w="1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(0.5)</w:t>
            </w:r>
          </w:p>
        </w:tc>
      </w:tr>
      <w:tr>
        <w:trPr>
          <w:trHeight w:val="227"/>
        </w:trPr>
        <w:tc>
          <w:tcPr>
            <w:tcW w:w="7600" w:type="dxa"/>
            <w:vAlign w:val="bottom"/>
          </w:tcPr>
          <w:p>
            <w:pPr>
              <w:ind w:left="260"/>
              <w:spacing w:after="0"/>
              <w:rPr>
                <w:sz w:val="20"/>
                <w:szCs w:val="20"/>
                <w:color w:val="auto"/>
              </w:rPr>
            </w:pPr>
            <w:r>
              <w:rPr>
                <w:rFonts w:ascii="Arial" w:cs="Arial" w:eastAsia="Arial" w:hAnsi="Arial"/>
                <w:sz w:val="18"/>
                <w:szCs w:val="18"/>
                <w:color w:val="auto"/>
              </w:rPr>
              <w:t>Losses (gains) and other expenses, net (pre-tax)</w:t>
            </w:r>
          </w:p>
        </w:tc>
        <w:tc>
          <w:tcPr>
            <w:tcW w:w="1120" w:type="dxa"/>
            <w:vAlign w:val="bottom"/>
          </w:tcPr>
          <w:p>
            <w:pPr>
              <w:jc w:val="right"/>
              <w:ind w:right="91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0.8</w:t>
            </w:r>
          </w:p>
        </w:tc>
        <w:tc>
          <w:tcPr>
            <w:tcW w:w="140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60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Restructuring charges were immaterial in the second quarter of 2023 and 2022. Restructuring charges related to ongoing cost reduction actions taken in prior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47" w:lineRule="exact"/>
        <w:rPr>
          <w:sz w:val="20"/>
          <w:szCs w:val="20"/>
          <w:color w:val="auto"/>
        </w:rPr>
      </w:pPr>
    </w:p>
    <w:p>
      <w:pPr>
        <w:jc w:val="both"/>
        <w:ind w:firstLine="241"/>
        <w:spacing w:after="0" w:line="275" w:lineRule="auto"/>
        <w:rPr>
          <w:sz w:val="20"/>
          <w:szCs w:val="20"/>
          <w:color w:val="auto"/>
        </w:rPr>
      </w:pPr>
      <w:r>
        <w:rPr>
          <w:rFonts w:ascii="Arial" w:cs="Arial" w:eastAsia="Arial" w:hAnsi="Arial"/>
          <w:sz w:val="17"/>
          <w:szCs w:val="17"/>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We recognized income from equity method investments of $3 million in the second quarter of 2023 and $1 million in the second quarter of 2022.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Interest expense, net increased to $15 million in the second quarter of 2023 from $9 million in the second quarter of 2022 due to higher interest rates during the period.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4" w:lineRule="exact"/>
        <w:rPr>
          <w:sz w:val="20"/>
          <w:szCs w:val="20"/>
          <w:color w:val="auto"/>
        </w:rPr>
      </w:pPr>
    </w:p>
    <w:p>
      <w:pPr>
        <w:ind w:right="220" w:firstLine="241"/>
        <w:spacing w:after="0" w:line="255" w:lineRule="auto"/>
        <w:rPr>
          <w:sz w:val="20"/>
          <w:szCs w:val="20"/>
          <w:color w:val="auto"/>
        </w:rPr>
      </w:pPr>
      <w:r>
        <w:rPr>
          <w:rFonts w:ascii="Arial" w:cs="Arial" w:eastAsia="Arial" w:hAnsi="Arial"/>
          <w:sz w:val="18"/>
          <w:szCs w:val="18"/>
          <w:color w:val="auto"/>
        </w:rPr>
        <w:t>Our effective tax rate was 17.6% for the second quarter of 2023 compared to 18.4% for the second quarter of 2022. The rate decreased primarily due to higher income in low tax jurisdictions.</w:t>
      </w:r>
    </w:p>
    <w:p>
      <w:pPr>
        <w:spacing w:after="0" w:line="201" w:lineRule="exact"/>
        <w:rPr>
          <w:sz w:val="20"/>
          <w:szCs w:val="20"/>
          <w:color w:val="auto"/>
        </w:rPr>
      </w:pPr>
    </w:p>
    <w:p>
      <w:pPr>
        <w:ind w:firstLine="241"/>
        <w:spacing w:after="0" w:line="270" w:lineRule="auto"/>
        <w:rPr>
          <w:sz w:val="20"/>
          <w:szCs w:val="20"/>
          <w:color w:val="auto"/>
        </w:rPr>
      </w:pPr>
      <w:r>
        <w:rPr>
          <w:rFonts w:ascii="Arial" w:cs="Arial" w:eastAsia="Arial" w:hAnsi="Arial"/>
          <w:sz w:val="18"/>
          <w:szCs w:val="18"/>
          <w:color w:val="auto"/>
        </w:rPr>
        <w:t>We expect our annual effective tax rate to be 19-20%, excluding the impacts of excess tax benefits recorded as a reduction of income taxes under ASU No. 2016-09.</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Second Quarter of 2023 Compared to Second Quarter of 2022 - Results by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Residential segment's net sales and profit for the second quarter of 2023 and 2022 (dollars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560" w:type="dxa"/>
            <w:vAlign w:val="bottom"/>
          </w:tcPr>
          <w:p>
            <w:pPr>
              <w:spacing w:after="0"/>
              <w:rPr>
                <w:sz w:val="18"/>
                <w:szCs w:val="18"/>
                <w:color w:val="auto"/>
              </w:rPr>
            </w:pPr>
          </w:p>
        </w:tc>
        <w:tc>
          <w:tcPr>
            <w:tcW w:w="352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6"/>
                <w:szCs w:val="16"/>
                <w:b w:val="1"/>
                <w:bCs w:val="1"/>
                <w:color w:val="auto"/>
              </w:rPr>
              <w:t>For the Three Months Ended June 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Difference</w:t>
            </w:r>
          </w:p>
        </w:tc>
        <w:tc>
          <w:tcPr>
            <w:tcW w:w="260" w:type="dxa"/>
            <w:vAlign w:val="bottom"/>
          </w:tcPr>
          <w:p>
            <w:pPr>
              <w:spacing w:after="0"/>
              <w:rPr>
                <w:sz w:val="18"/>
                <w:szCs w:val="18"/>
                <w:color w:val="auto"/>
              </w:rPr>
            </w:pPr>
          </w:p>
        </w:tc>
        <w:tc>
          <w:tcPr>
            <w:tcW w:w="13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 Change</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3"/>
              </w:rPr>
              <w:t>936.2</w:t>
            </w:r>
          </w:p>
        </w:tc>
        <w:tc>
          <w:tcPr>
            <w:tcW w:w="11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88"/>
              </w:rPr>
              <w:t>977.5</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4"/>
        </w:trPr>
        <w:tc>
          <w:tcPr>
            <w:tcW w:w="4560" w:type="dxa"/>
            <w:vAlign w:val="bottom"/>
          </w:tcPr>
          <w:p>
            <w:pPr>
              <w:ind w:left="20"/>
              <w:spacing w:after="0"/>
              <w:rPr>
                <w:sz w:val="20"/>
                <w:szCs w:val="20"/>
                <w:color w:val="auto"/>
              </w:rPr>
            </w:pPr>
            <w:r>
              <w:rPr>
                <w:rFonts w:ascii="Arial" w:cs="Arial" w:eastAsia="Arial" w:hAnsi="Arial"/>
                <w:sz w:val="18"/>
                <w:szCs w:val="18"/>
                <w:color w:val="auto"/>
              </w:rPr>
              <w:t>Profit</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131"/>
              <w:spacing w:after="0"/>
              <w:rPr>
                <w:sz w:val="20"/>
                <w:szCs w:val="20"/>
                <w:color w:val="auto"/>
              </w:rPr>
            </w:pPr>
            <w:r>
              <w:rPr>
                <w:rFonts w:ascii="Arial" w:cs="Arial" w:eastAsia="Arial" w:hAnsi="Arial"/>
                <w:sz w:val="18"/>
                <w:szCs w:val="18"/>
                <w:color w:val="auto"/>
                <w:w w:val="93"/>
              </w:rPr>
              <w:t>202.6</w:t>
            </w:r>
          </w:p>
        </w:tc>
        <w:tc>
          <w:tcPr>
            <w:tcW w:w="11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1"/>
              <w:spacing w:after="0"/>
              <w:rPr>
                <w:sz w:val="20"/>
                <w:szCs w:val="20"/>
                <w:color w:val="auto"/>
              </w:rPr>
            </w:pPr>
            <w:r>
              <w:rPr>
                <w:rFonts w:ascii="Arial" w:cs="Arial" w:eastAsia="Arial" w:hAnsi="Arial"/>
                <w:sz w:val="18"/>
                <w:szCs w:val="18"/>
                <w:color w:val="auto"/>
                <w:w w:val="88"/>
              </w:rPr>
              <w:t>216.3</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r>
    </w:tbl>
    <w:p>
      <w:pPr>
        <w:spacing w:after="0" w:line="79"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Net sales decreased 4% in the second quarter of 2023 compared to 2022, as sales volumes declined 12%. Offsetting these declines were favorable product mix of 6% and higher price of 2%.</w:t>
      </w:r>
    </w:p>
    <w:p>
      <w:pPr>
        <w:spacing w:after="0" w:line="202"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Segment profit in the second quarter of 2023 compared to 2022 decreased by $14 million, driven by $46 million from lower sales volumes, $12 million in higher SG&amp;A costs, $5 million from higher freight and distribution costs, $4 million from higher component costs, and $3 million from higher factory inefficiencies. Partially offsetting these decreases were $21 million from higher price, $19 million from product mix, $11 million from lower commodity costs, and $5 million from miscellaneous other items.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Commercial segment's net sales and profit for the second quarter of 2023 and 2022 (dollars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00" w:type="dxa"/>
            <w:vAlign w:val="bottom"/>
          </w:tcPr>
          <w:p>
            <w:pPr>
              <w:spacing w:after="0"/>
              <w:rPr>
                <w:sz w:val="18"/>
                <w:szCs w:val="18"/>
                <w:color w:val="auto"/>
              </w:rPr>
            </w:pPr>
          </w:p>
        </w:tc>
        <w:tc>
          <w:tcPr>
            <w:tcW w:w="3520" w:type="dxa"/>
            <w:vAlign w:val="bottom"/>
            <w:tcBorders>
              <w:bottom w:val="single" w:sz="8" w:color="auto"/>
            </w:tcBorders>
            <w:gridSpan w:val="5"/>
          </w:tcPr>
          <w:p>
            <w:pPr>
              <w:jc w:val="right"/>
              <w:ind w:right="373"/>
              <w:spacing w:after="0"/>
              <w:rPr>
                <w:sz w:val="20"/>
                <w:szCs w:val="20"/>
                <w:color w:val="auto"/>
              </w:rPr>
            </w:pPr>
            <w:r>
              <w:rPr>
                <w:rFonts w:ascii="Arial" w:cs="Arial" w:eastAsia="Arial" w:hAnsi="Arial"/>
                <w:sz w:val="16"/>
                <w:szCs w:val="16"/>
                <w:b w:val="1"/>
                <w:bCs w:val="1"/>
                <w:color w:val="auto"/>
              </w:rPr>
              <w:t>For the Three Months Ended June 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0"/>
        </w:trPr>
        <w:tc>
          <w:tcPr>
            <w:tcW w:w="46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10"/>
                <w:szCs w:val="10"/>
                <w:b w:val="1"/>
                <w:bCs w:val="1"/>
                <w:color w:val="auto"/>
              </w:rPr>
              <w:t>(1)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w w:val="99"/>
              </w:rPr>
              <w:t>Difference</w:t>
            </w: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rPr>
              <w:t>% Change</w:t>
            </w:r>
          </w:p>
        </w:tc>
      </w:tr>
      <w:tr>
        <w:trPr>
          <w:trHeight w:val="22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jc w:val="right"/>
              <w:ind w:right="87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3"/>
              </w:rPr>
              <w:t>407.5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327.4</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7"/>
        </w:trPr>
        <w:tc>
          <w:tcPr>
            <w:tcW w:w="4600" w:type="dxa"/>
            <w:vAlign w:val="bottom"/>
          </w:tcPr>
          <w:p>
            <w:pPr>
              <w:ind w:left="20"/>
              <w:spacing w:after="0"/>
              <w:rPr>
                <w:sz w:val="20"/>
                <w:szCs w:val="20"/>
                <w:color w:val="auto"/>
              </w:rPr>
            </w:pPr>
            <w:r>
              <w:rPr>
                <w:rFonts w:ascii="Arial" w:cs="Arial" w:eastAsia="Arial" w:hAnsi="Arial"/>
                <w:sz w:val="18"/>
                <w:szCs w:val="18"/>
                <w:color w:val="auto"/>
              </w:rPr>
              <w:t>Profit</w:t>
            </w:r>
          </w:p>
        </w:tc>
        <w:tc>
          <w:tcPr>
            <w:tcW w:w="1060" w:type="dxa"/>
            <w:vAlign w:val="bottom"/>
          </w:tcPr>
          <w:p>
            <w:pPr>
              <w:jc w:val="right"/>
              <w:ind w:right="8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1"/>
              <w:spacing w:after="0"/>
              <w:rPr>
                <w:sz w:val="20"/>
                <w:szCs w:val="20"/>
                <w:color w:val="auto"/>
              </w:rPr>
            </w:pPr>
            <w:r>
              <w:rPr>
                <w:rFonts w:ascii="Arial" w:cs="Arial" w:eastAsia="Arial" w:hAnsi="Arial"/>
                <w:sz w:val="18"/>
                <w:szCs w:val="18"/>
                <w:color w:val="auto"/>
                <w:w w:val="93"/>
              </w:rPr>
              <w:t>103.0</w:t>
            </w:r>
          </w:p>
        </w:tc>
        <w:tc>
          <w:tcPr>
            <w:tcW w:w="54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3"/>
              <w:spacing w:after="0"/>
              <w:rPr>
                <w:sz w:val="20"/>
                <w:szCs w:val="20"/>
                <w:color w:val="auto"/>
              </w:rPr>
            </w:pPr>
            <w:r>
              <w:rPr>
                <w:rFonts w:ascii="Arial" w:cs="Arial" w:eastAsia="Arial" w:hAnsi="Arial"/>
                <w:sz w:val="18"/>
                <w:szCs w:val="18"/>
                <w:color w:val="auto"/>
              </w:rPr>
              <w:t>41.2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150 %</w:t>
            </w:r>
          </w:p>
        </w:tc>
      </w:tr>
      <w:tr>
        <w:trPr>
          <w:trHeight w:val="241"/>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0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bl>
    <w:p>
      <w:pPr>
        <w:spacing w:after="0" w:line="306" w:lineRule="exact"/>
        <w:rPr>
          <w:sz w:val="20"/>
          <w:szCs w:val="20"/>
          <w:color w:val="auto"/>
        </w:rPr>
      </w:pPr>
    </w:p>
    <w:p>
      <w:pPr>
        <w:ind w:left="640" w:firstLine="8"/>
        <w:spacing w:after="0" w:line="224" w:lineRule="auto"/>
        <w:tabs>
          <w:tab w:leader="none" w:pos="851"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2022 amounts have been recast to reflect the changes in segment reporting. Please see Note 2 in the Notes to the Consolidated Financial Statements for further detail.</w:t>
      </w:r>
    </w:p>
    <w:p>
      <w:pPr>
        <w:spacing w:after="0" w:line="228"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Net sales increased 24% in the second quarter of 2023 compared to 2022 as price increased 15%, product mix increased 7% and an increase in sales volumes of 4% were partially offset by 2% foreign exchange and other items.</w:t>
      </w:r>
    </w:p>
    <w:p>
      <w:pPr>
        <w:spacing w:after="0" w:line="202"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Segment profit in the second quarter of 2023 compared to 2022 increased $62 million due to $49 million from favorable price, $16 million from favorable product mix, $3 million from higher sales volumes, $3 million from lower commodity costs, and $2 million from favorable freight and distribution costs. Partially offsetting these increases were $5 million from higher component costs, $4 million from higher other product costs and higher factory inefficiencies, and $2 million from higher SG&amp;A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Corporate and Other</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Corporate and Other segment's net sales and loss for the second quarter of 2023 and 2022 (dollars in millions):</w:t>
      </w:r>
    </w:p>
    <w:p>
      <w:pPr>
        <w:spacing w:after="0" w:line="59" w:lineRule="exact"/>
        <w:rPr>
          <w:sz w:val="20"/>
          <w:szCs w:val="20"/>
          <w:color w:val="auto"/>
        </w:rPr>
      </w:pPr>
    </w:p>
    <w:tbl>
      <w:tblPr>
        <w:tblLayout w:type="fixed"/>
        <w:tblInd w:w="240" w:type="dxa"/>
        <w:tblCellMar>
          <w:top w:w="0" w:type="dxa"/>
          <w:left w:w="0" w:type="dxa"/>
          <w:bottom w:w="0" w:type="dxa"/>
          <w:right w:w="0" w:type="dxa"/>
        </w:tblCellMar>
      </w:tblPr>
      <w:tr>
        <w:trPr>
          <w:trHeight w:val="209"/>
        </w:trPr>
        <w:tc>
          <w:tcPr>
            <w:tcW w:w="4520" w:type="dxa"/>
            <w:vAlign w:val="bottom"/>
          </w:tcPr>
          <w:p>
            <w:pPr>
              <w:spacing w:after="0"/>
              <w:rPr>
                <w:sz w:val="18"/>
                <w:szCs w:val="18"/>
                <w:color w:val="auto"/>
              </w:rPr>
            </w:pPr>
          </w:p>
        </w:tc>
        <w:tc>
          <w:tcPr>
            <w:tcW w:w="3340" w:type="dxa"/>
            <w:vAlign w:val="bottom"/>
            <w:tcBorders>
              <w:bottom w:val="single" w:sz="8" w:color="auto"/>
            </w:tcBorders>
            <w:gridSpan w:val="5"/>
          </w:tcPr>
          <w:p>
            <w:pPr>
              <w:jc w:val="right"/>
              <w:ind w:right="274"/>
              <w:spacing w:after="0"/>
              <w:rPr>
                <w:sz w:val="20"/>
                <w:szCs w:val="20"/>
                <w:color w:val="auto"/>
              </w:rPr>
            </w:pPr>
            <w:r>
              <w:rPr>
                <w:rFonts w:ascii="Arial" w:cs="Arial" w:eastAsia="Arial" w:hAnsi="Arial"/>
                <w:sz w:val="16"/>
                <w:szCs w:val="16"/>
                <w:b w:val="1"/>
                <w:bCs w:val="1"/>
                <w:color w:val="auto"/>
              </w:rPr>
              <w:t>For the Three Months Ended June 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10"/>
                <w:szCs w:val="10"/>
                <w:b w:val="1"/>
                <w:bCs w:val="1"/>
                <w:color w:val="auto"/>
              </w:rPr>
              <w:t>(1)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Difference</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 Change</w:t>
            </w: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60" w:type="dxa"/>
            <w:vAlign w:val="bottom"/>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7"/>
        </w:trPr>
        <w:tc>
          <w:tcPr>
            <w:tcW w:w="4520" w:type="dxa"/>
            <w:vAlign w:val="bottom"/>
          </w:tcPr>
          <w:p>
            <w:pPr>
              <w:ind w:left="20"/>
              <w:spacing w:after="0"/>
              <w:rPr>
                <w:sz w:val="20"/>
                <w:szCs w:val="20"/>
                <w:color w:val="auto"/>
              </w:rPr>
            </w:pPr>
            <w:r>
              <w:rPr>
                <w:rFonts w:ascii="Arial" w:cs="Arial" w:eastAsia="Arial" w:hAnsi="Arial"/>
                <w:sz w:val="18"/>
                <w:szCs w:val="18"/>
                <w:color w:val="auto"/>
              </w:rPr>
              <w:t>Loss</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(22.5)</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19 %</w:t>
            </w:r>
          </w:p>
        </w:tc>
      </w:tr>
    </w:tbl>
    <w:p>
      <w:pPr>
        <w:spacing w:after="0" w:line="320" w:lineRule="exact"/>
        <w:rPr>
          <w:sz w:val="20"/>
          <w:szCs w:val="20"/>
          <w:color w:val="auto"/>
        </w:rPr>
      </w:pPr>
    </w:p>
    <w:p>
      <w:pPr>
        <w:ind w:firstLine="7"/>
        <w:spacing w:after="0" w:line="270" w:lineRule="auto"/>
        <w:tabs>
          <w:tab w:leader="none" w:pos="261"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2022 amounts have been recast to reflect the changes in segment reporting. Please see Note 2 in the Notes to the Consolidated Financial Statements for further detail.</w:t>
      </w:r>
    </w:p>
    <w:p>
      <w:pPr>
        <w:spacing w:after="0" w:line="202" w:lineRule="exact"/>
        <w:rPr>
          <w:sz w:val="20"/>
          <w:szCs w:val="20"/>
          <w:color w:val="auto"/>
        </w:rPr>
      </w:pPr>
    </w:p>
    <w:p>
      <w:pPr>
        <w:jc w:val="both"/>
        <w:ind w:firstLine="241"/>
        <w:spacing w:after="0" w:line="300" w:lineRule="auto"/>
        <w:rPr>
          <w:sz w:val="20"/>
          <w:szCs w:val="20"/>
          <w:color w:val="auto"/>
        </w:rPr>
      </w:pPr>
      <w:r>
        <w:rPr>
          <w:rFonts w:ascii="Arial" w:cs="Arial" w:eastAsia="Arial" w:hAnsi="Arial"/>
          <w:sz w:val="17"/>
          <w:szCs w:val="17"/>
          <w:color w:val="auto"/>
        </w:rPr>
        <w:t>Net sales increased $6 million and segment loss decreased $5 million in the second quarter of 2023 compared to 2022. Excluding the $2 million profit results of Europe, Corporate and Other costs decreased $2 million to $25 million in the second quarter of 2023 compared to 2022.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2023 Compared to Year-to-Date through June 30, 2022 - Consolidated Results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6"/>
                <w:szCs w:val="16"/>
                <w:b w:val="1"/>
                <w:bCs w:val="1"/>
                <w:color w:val="auto"/>
              </w:rPr>
              <w:t>For the Six Months Ended June 30,</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6"/>
                <w:szCs w:val="16"/>
                <w:b w:val="1"/>
                <w:bCs w:val="1"/>
                <w:color w:val="auto"/>
              </w:rPr>
              <w:t>Dollars (in millions)</w:t>
            </w:r>
          </w:p>
        </w:tc>
        <w:tc>
          <w:tcPr>
            <w:tcW w:w="1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Percent</w:t>
            </w:r>
          </w:p>
        </w:tc>
        <w:tc>
          <w:tcPr>
            <w:tcW w:w="258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jc w:val="right"/>
              <w:ind w:right="273"/>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2022</w:t>
            </w:r>
          </w:p>
        </w:tc>
        <w:tc>
          <w:tcPr>
            <w:tcW w:w="140" w:type="dxa"/>
            <w:vAlign w:val="bottom"/>
          </w:tcPr>
          <w:p>
            <w:pPr>
              <w:spacing w:after="0"/>
              <w:rPr>
                <w:sz w:val="11"/>
                <w:szCs w:val="11"/>
                <w:color w:val="auto"/>
              </w:rPr>
            </w:pPr>
          </w:p>
        </w:tc>
        <w:tc>
          <w:tcPr>
            <w:tcW w:w="1460" w:type="dxa"/>
            <w:vAlign w:val="bottom"/>
            <w:gridSpan w:val="2"/>
          </w:tcPr>
          <w:p>
            <w:pPr>
              <w:jc w:val="center"/>
              <w:ind w:right="140"/>
              <w:spacing w:after="0" w:line="127" w:lineRule="exact"/>
              <w:rPr>
                <w:sz w:val="20"/>
                <w:szCs w:val="20"/>
                <w:color w:val="auto"/>
              </w:rPr>
            </w:pPr>
            <w:r>
              <w:rPr>
                <w:rFonts w:ascii="Arial" w:cs="Arial" w:eastAsia="Arial" w:hAnsi="Arial"/>
                <w:sz w:val="14"/>
                <w:szCs w:val="14"/>
                <w:b w:val="1"/>
                <w:bCs w:val="1"/>
                <w:color w:val="auto"/>
              </w:rPr>
              <w:t>Change</w:t>
            </w:r>
          </w:p>
        </w:tc>
        <w:tc>
          <w:tcPr>
            <w:tcW w:w="1220" w:type="dxa"/>
            <w:vAlign w:val="bottom"/>
            <w:vMerge w:val="restart"/>
          </w:tcPr>
          <w:p>
            <w:pPr>
              <w:jc w:val="right"/>
              <w:ind w:right="353"/>
              <w:spacing w:after="0"/>
              <w:rPr>
                <w:sz w:val="20"/>
                <w:szCs w:val="20"/>
                <w:color w:val="auto"/>
              </w:rPr>
            </w:pPr>
            <w:r>
              <w:rPr>
                <w:rFonts w:ascii="Arial" w:cs="Arial" w:eastAsia="Arial" w:hAnsi="Arial"/>
                <w:sz w:val="16"/>
                <w:szCs w:val="16"/>
                <w:b w:val="1"/>
                <w:bCs w:val="1"/>
                <w:color w:val="auto"/>
              </w:rPr>
              <w:t>2023</w:t>
            </w:r>
          </w:p>
        </w:tc>
        <w:tc>
          <w:tcPr>
            <w:tcW w:w="1360" w:type="dxa"/>
            <w:vAlign w:val="bottom"/>
            <w:gridSpan w:val="2"/>
            <w:vMerge w:val="restart"/>
          </w:tcPr>
          <w:p>
            <w:pPr>
              <w:jc w:val="right"/>
              <w:ind w:right="351"/>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Fav/(Unfav)</w:t>
            </w:r>
          </w:p>
        </w:tc>
        <w:tc>
          <w:tcPr>
            <w:tcW w:w="122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2,460.7</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2,379.7</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1,696.2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1,714.4</w:t>
            </w:r>
          </w:p>
        </w:tc>
        <w:tc>
          <w:tcPr>
            <w:tcW w:w="1460" w:type="dxa"/>
            <w:vAlign w:val="bottom"/>
            <w:gridSpan w:val="2"/>
          </w:tcPr>
          <w:p>
            <w:pPr>
              <w:jc w:val="right"/>
              <w:ind w:right="157"/>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68.9</w:t>
            </w:r>
          </w:p>
        </w:tc>
        <w:tc>
          <w:tcPr>
            <w:tcW w:w="1360" w:type="dxa"/>
            <w:vAlign w:val="bottom"/>
            <w:gridSpan w:val="2"/>
          </w:tcPr>
          <w:p>
            <w:pPr>
              <w:jc w:val="right"/>
              <w:ind w:right="151"/>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7"/>
        </w:trPr>
        <w:tc>
          <w:tcPr>
            <w:tcW w:w="47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14.9</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31.1</w:t>
            </w:r>
          </w:p>
        </w:tc>
        <w:tc>
          <w:tcPr>
            <w:tcW w:w="1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348.8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324.9</w:t>
            </w:r>
          </w:p>
        </w:tc>
        <w:tc>
          <w:tcPr>
            <w:tcW w:w="1460" w:type="dxa"/>
            <w:vAlign w:val="bottom"/>
            <w:gridSpan w:val="2"/>
          </w:tcPr>
          <w:p>
            <w:pPr>
              <w:jc w:val="right"/>
              <w:ind w:right="117"/>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14.2</w:t>
            </w:r>
          </w:p>
        </w:tc>
        <w:tc>
          <w:tcPr>
            <w:tcW w:w="1360" w:type="dxa"/>
            <w:vAlign w:val="bottom"/>
            <w:gridSpan w:val="2"/>
          </w:tcPr>
          <w:p>
            <w:pPr>
              <w:jc w:val="right"/>
              <w:ind w:right="15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(gains) and other expenses, net</w:t>
            </w: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6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7"/>
        </w:trPr>
        <w:tc>
          <w:tcPr>
            <w:tcW w:w="47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460" w:type="dxa"/>
            <w:vAlign w:val="bottom"/>
            <w:gridSpan w:val="2"/>
          </w:tcPr>
          <w:p>
            <w:pPr>
              <w:jc w:val="right"/>
              <w:ind w:right="157"/>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equity method investments</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171.4</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jc w:val="right"/>
              <w:ind w:right="51"/>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418.4</w:t>
            </w:r>
          </w:p>
        </w:tc>
        <w:tc>
          <w:tcPr>
            <w:tcW w:w="3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338.8</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23.5 %</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17.0 %</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14.2 %</w:t>
            </w:r>
          </w:p>
        </w:tc>
        <w:tc>
          <w:tcPr>
            <w:tcW w:w="0" w:type="dxa"/>
            <w:vAlign w:val="bottom"/>
          </w:tcPr>
          <w:p>
            <w:pPr>
              <w:spacing w:after="0"/>
              <w:rPr>
                <w:sz w:val="1"/>
                <w:szCs w:val="1"/>
                <w:color w:val="auto"/>
              </w:rPr>
            </w:pPr>
          </w:p>
        </w:tc>
      </w:tr>
      <w:tr>
        <w:trPr>
          <w:trHeight w:val="25"/>
        </w:trPr>
        <w:tc>
          <w:tcPr>
            <w:tcW w:w="47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7"/>
          <w:szCs w:val="17"/>
          <w:color w:val="auto"/>
        </w:rPr>
        <w:t>Net sales increased 3% for the six months ended June 30, 2023 compared to the six months ended June 30, 2022 due to higher price of 6% and favorable mix of 6%. Partially offsetting these increases were lower sales volumes of 8% and unfavorable foreign currency and other of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34"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Gross profit margins for the six months ended June 30, 2023 increased 310 bps to 31.1% compared to 28.0% for the six months ended June 30, 2022. Gross margins increased 390 bps from higher price, 90 bps from lower commodity costs, and 90 bps from favorable mix. Partially offsetting these increases were 80 bps from higher component costs, 60 bps from higher other product costs, 50 bps from lower sales volumes, 40 bps from higher factory inefficiencies, and 30 bps from higher freight and distribution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SG&amp;A increased $24 million to $349 million for the six months ended June 30, 2023 compared to $325 million for the six months ended June 30, 2022 primarily due to higher employee-related costs. As a percentage of net sales, SG&amp;A increased 50 bps to 14.2% from 13.7%.</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Losses (gains) and Other Expenses, Net</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Losses (gains) and other expenses, net for the six months ended June 30, 2023 and 2022 included the following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0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400" w:type="dxa"/>
            <w:vAlign w:val="bottom"/>
            <w:tcBorders>
              <w:bottom w:val="single" w:sz="8" w:color="auto"/>
            </w:tcBorders>
          </w:tcPr>
          <w:p>
            <w:pPr>
              <w:spacing w:after="0"/>
              <w:rPr>
                <w:sz w:val="18"/>
                <w:szCs w:val="18"/>
                <w:color w:val="auto"/>
              </w:rPr>
            </w:pPr>
          </w:p>
        </w:tc>
      </w:tr>
      <w:tr>
        <w:trPr>
          <w:trHeight w:val="207"/>
        </w:trPr>
        <w:tc>
          <w:tcPr>
            <w:tcW w:w="79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shd w:val="clear" w:color="auto" w:fill="CCEEFF"/>
          </w:tcPr>
          <w:p>
            <w:pPr>
              <w:spacing w:after="0"/>
              <w:rPr>
                <w:sz w:val="18"/>
                <w:szCs w:val="18"/>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Realized losses (gains) on settled future contracts</w:t>
            </w:r>
          </w:p>
        </w:tc>
        <w:tc>
          <w:tcPr>
            <w:tcW w:w="1080" w:type="dxa"/>
            <w:vAlign w:val="bottom"/>
          </w:tcPr>
          <w:p>
            <w:pPr>
              <w:jc w:val="right"/>
              <w:ind w:right="897"/>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0.1</w:t>
            </w:r>
          </w:p>
        </w:tc>
        <w:tc>
          <w:tcPr>
            <w:tcW w:w="1340" w:type="dxa"/>
            <w:vAlign w:val="bottom"/>
            <w:gridSpan w:val="2"/>
          </w:tcPr>
          <w:p>
            <w:pPr>
              <w:jc w:val="right"/>
              <w:ind w:right="100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(0.4)</w:t>
            </w:r>
          </w:p>
        </w:tc>
      </w:tr>
      <w:tr>
        <w:trPr>
          <w:trHeight w:val="241"/>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gains</w:t>
            </w:r>
          </w:p>
        </w:tc>
        <w:tc>
          <w:tcPr>
            <w:tcW w:w="10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(0.8)</w:t>
            </w:r>
          </w:p>
        </w:tc>
      </w:tr>
      <w:tr>
        <w:trPr>
          <w:trHeight w:val="227"/>
        </w:trPr>
        <w:tc>
          <w:tcPr>
            <w:tcW w:w="7900" w:type="dxa"/>
            <w:vAlign w:val="bottom"/>
          </w:tcPr>
          <w:p>
            <w:pPr>
              <w:ind w:left="20"/>
              <w:spacing w:after="0"/>
              <w:rPr>
                <w:sz w:val="20"/>
                <w:szCs w:val="20"/>
                <w:color w:val="auto"/>
              </w:rPr>
            </w:pPr>
            <w:r>
              <w:rPr>
                <w:rFonts w:ascii="Arial" w:cs="Arial" w:eastAsia="Arial" w:hAnsi="Arial"/>
                <w:sz w:val="18"/>
                <w:szCs w:val="18"/>
                <w:color w:val="auto"/>
              </w:rPr>
              <w:t>Gain on disposal of fixed assets</w:t>
            </w: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(0.9)</w:t>
            </w:r>
          </w:p>
        </w:tc>
      </w:tr>
      <w:tr>
        <w:trPr>
          <w:trHeight w:val="227"/>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operating income</w:t>
            </w: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(0.5)</w:t>
            </w:r>
          </w:p>
        </w:tc>
      </w:tr>
      <w:tr>
        <w:trPr>
          <w:trHeight w:val="234"/>
        </w:trPr>
        <w:tc>
          <w:tcPr>
            <w:tcW w:w="7900" w:type="dxa"/>
            <w:vAlign w:val="bottom"/>
          </w:tcPr>
          <w:p>
            <w:pPr>
              <w:ind w:left="20"/>
              <w:spacing w:after="0"/>
              <w:rPr>
                <w:sz w:val="20"/>
                <w:szCs w:val="20"/>
                <w:color w:val="auto"/>
              </w:rPr>
            </w:pPr>
            <w:r>
              <w:rPr>
                <w:rFonts w:ascii="Arial" w:cs="Arial" w:eastAsia="Arial" w:hAnsi="Arial"/>
                <w:sz w:val="18"/>
                <w:szCs w:val="18"/>
                <w:color w:val="auto"/>
              </w:rPr>
              <w:t>Net change in unrealized (gains) losses on unsettled futures contracts</w:t>
            </w: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(0.1)</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4"/>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Environmental liabilities and special litigation charges</w:t>
            </w:r>
          </w:p>
        </w:tc>
        <w:tc>
          <w:tcPr>
            <w:tcW w:w="10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7"/>
        </w:trPr>
        <w:tc>
          <w:tcPr>
            <w:tcW w:w="790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(0.8)</w:t>
            </w:r>
          </w:p>
        </w:tc>
        <w:tc>
          <w:tcPr>
            <w:tcW w:w="1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54"/>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Losses (gains) and other expenses, net (pre-tax)</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3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0"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There were no restructuring charges for the six months ended June 30, 2023 and $1 million for the six months ended June 30, 2022. Restructuring charges related to ongoing cost reduction actions taken in prior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0"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Income from equity method investments increased to $4 million for the six months ended June 30, 2023 as compared to $1 million for the six months ended June 30, 2022. The increase was due to lower operating costs at the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Interest expense, net increased $14 million for the six months ended June 30, 2023 compared to the six months ended June 30, 2022 primarily due to higher interest rates.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Our effective tax rate increased to 19.0% for the six months ended June 30, 2023 compared to 18.9% for the six months ended June 30, 2022 primarily due to slightly lower income allocated to low tax rate jurisdictions.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June 30, 2023 Compared to Year-to-Date through June 30, 2022 - Results by Segment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Residential segment's net sales and profit for the six months ended June 30, 2023 and 2022 (dollars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6"/>
                <w:szCs w:val="16"/>
                <w:b w:val="1"/>
                <w:bCs w:val="1"/>
                <w:color w:val="auto"/>
                <w:w w:val="99"/>
              </w:rPr>
              <w:t>For the Six Months Ended June 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7"/>
        </w:trPr>
        <w:tc>
          <w:tcPr>
            <w:tcW w:w="47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613"/>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6"/>
                <w:szCs w:val="16"/>
                <w:b w:val="1"/>
                <w:bCs w:val="1"/>
                <w:color w:val="auto"/>
                <w:w w:val="99"/>
              </w:rPr>
              <w:t>Difference</w:t>
            </w:r>
          </w:p>
        </w:tc>
        <w:tc>
          <w:tcPr>
            <w:tcW w:w="1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 Change</w:t>
            </w: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1,617.2</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3"/>
              <w:spacing w:after="0"/>
              <w:rPr>
                <w:sz w:val="20"/>
                <w:szCs w:val="20"/>
                <w:color w:val="auto"/>
              </w:rPr>
            </w:pPr>
            <w:r>
              <w:rPr>
                <w:rFonts w:ascii="Arial" w:cs="Arial" w:eastAsia="Arial" w:hAnsi="Arial"/>
                <w:sz w:val="18"/>
                <w:szCs w:val="18"/>
                <w:color w:val="auto"/>
              </w:rPr>
              <w:t>1,659.6</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(42.4)</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3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313.7</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324.0</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7"/>
        </w:trPr>
        <w:tc>
          <w:tcPr>
            <w:tcW w:w="47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19.4 %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19.5 %</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80" w:lineRule="exact"/>
        <w:rPr>
          <w:sz w:val="20"/>
          <w:szCs w:val="20"/>
          <w:color w:val="auto"/>
        </w:rPr>
      </w:pPr>
    </w:p>
    <w:p>
      <w:pPr>
        <w:ind w:firstLine="241"/>
        <w:spacing w:after="0" w:line="334" w:lineRule="auto"/>
        <w:rPr>
          <w:sz w:val="20"/>
          <w:szCs w:val="20"/>
          <w:color w:val="auto"/>
        </w:rPr>
      </w:pPr>
      <w:r>
        <w:rPr>
          <w:rFonts w:ascii="Arial" w:cs="Arial" w:eastAsia="Arial" w:hAnsi="Arial"/>
          <w:sz w:val="16"/>
          <w:szCs w:val="16"/>
          <w:color w:val="auto"/>
        </w:rPr>
        <w:t>Net sales decreased 3% for the six months ended June 30, 2023 compared to the six months ended June 30, 2022 as sales volumes decreased by 11% and 1% from unfavorable foreign exchange and other. Partially offsetting these declines was 6% from favorable product mix and 3% from higher price.</w:t>
      </w:r>
    </w:p>
    <w:p>
      <w:pPr>
        <w:spacing w:after="0" w:line="1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Segment profit for the first six months of 2023 compared to 2022 decreased $10 million due to $58 million from lower sales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jc w:val="both"/>
        <w:spacing w:after="0" w:line="281" w:lineRule="auto"/>
        <w:rPr>
          <w:sz w:val="20"/>
          <w:szCs w:val="20"/>
          <w:color w:val="auto"/>
        </w:rPr>
      </w:pPr>
      <w:r>
        <w:rPr>
          <w:rFonts w:ascii="Arial" w:cs="Arial" w:eastAsia="Arial" w:hAnsi="Arial"/>
          <w:sz w:val="17"/>
          <w:szCs w:val="17"/>
          <w:color w:val="auto"/>
        </w:rPr>
        <w:t>volumes, $18 million in higher SG&amp;A costs, $12 million in higher freight and distribution costs, $11 million from higher factory inefficiencies and other product costs, and $10 million in higher component costs. Partially offsetting these decreases was $46 million from higher price, $28 million from favorable product mix, $17 million from favorable commodity costs, $8 million from lower product warranty costs and miscellaneous other costs.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following table presents our Commercial segment's net sales and profit for the six months ended June 30, 2023 and 2022 (dollars in millions):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18"/>
                <w:szCs w:val="18"/>
                <w:color w:val="auto"/>
              </w:rPr>
            </w:pPr>
          </w:p>
        </w:tc>
        <w:tc>
          <w:tcPr>
            <w:tcW w:w="3400" w:type="dxa"/>
            <w:vAlign w:val="bottom"/>
            <w:tcBorders>
              <w:bottom w:val="single" w:sz="8" w:color="auto"/>
            </w:tcBorders>
            <w:gridSpan w:val="5"/>
          </w:tcPr>
          <w:p>
            <w:pPr>
              <w:jc w:val="right"/>
              <w:ind w:right="411"/>
              <w:spacing w:after="0"/>
              <w:rPr>
                <w:sz w:val="20"/>
                <w:szCs w:val="20"/>
                <w:color w:val="auto"/>
              </w:rPr>
            </w:pPr>
            <w:r>
              <w:rPr>
                <w:rFonts w:ascii="Arial" w:cs="Arial" w:eastAsia="Arial" w:hAnsi="Arial"/>
                <w:sz w:val="16"/>
                <w:szCs w:val="16"/>
                <w:b w:val="1"/>
                <w:bCs w:val="1"/>
                <w:color w:val="auto"/>
              </w:rPr>
              <w:t>For the Six Months Ended June 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07"/>
        </w:trPr>
        <w:tc>
          <w:tcPr>
            <w:tcW w:w="48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6"/>
                <w:szCs w:val="16"/>
                <w:b w:val="1"/>
                <w:bCs w:val="1"/>
                <w:color w:val="auto"/>
                <w:w w:val="99"/>
              </w:rPr>
              <w:t>Difference</w:t>
            </w: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b w:val="1"/>
                <w:bCs w:val="1"/>
                <w:color w:val="auto"/>
              </w:rPr>
              <w:t>% Change</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980" w:type="dxa"/>
            <w:vAlign w:val="bottom"/>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11"/>
              <w:spacing w:after="0"/>
              <w:rPr>
                <w:sz w:val="20"/>
                <w:szCs w:val="20"/>
                <w:color w:val="auto"/>
              </w:rPr>
            </w:pPr>
            <w:r>
              <w:rPr>
                <w:rFonts w:ascii="Arial" w:cs="Arial" w:eastAsia="Arial" w:hAnsi="Arial"/>
                <w:sz w:val="18"/>
                <w:szCs w:val="18"/>
                <w:color w:val="auto"/>
                <w:w w:val="93"/>
              </w:rPr>
              <w:t>716.1</w:t>
            </w:r>
          </w:p>
        </w:tc>
        <w:tc>
          <w:tcPr>
            <w:tcW w:w="11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1"/>
              <w:spacing w:after="0"/>
              <w:rPr>
                <w:sz w:val="20"/>
                <w:szCs w:val="20"/>
                <w:color w:val="auto"/>
              </w:rPr>
            </w:pPr>
            <w:r>
              <w:rPr>
                <w:rFonts w:ascii="Arial" w:cs="Arial" w:eastAsia="Arial" w:hAnsi="Arial"/>
                <w:sz w:val="18"/>
                <w:szCs w:val="18"/>
                <w:color w:val="auto"/>
                <w:w w:val="88"/>
              </w:rPr>
              <w:t>606.9</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41"/>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Profit</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w w:val="93"/>
              </w:rPr>
              <w:t>153.0</w:t>
            </w:r>
          </w:p>
        </w:tc>
        <w:tc>
          <w:tcPr>
            <w:tcW w:w="11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64.9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27"/>
        </w:trPr>
        <w:tc>
          <w:tcPr>
            <w:tcW w:w="48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21.4 %</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10.7 %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320"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Net sales increased 18% for the six months ended June 30, 2023 compared to the six months ended June 30, 2022 as price increased 12% and product mix was 7% favorable. Partially offsetting these increases was 1% lower sales volumes.</w:t>
      </w:r>
    </w:p>
    <w:p>
      <w:pPr>
        <w:spacing w:after="0" w:line="1" w:lineRule="exact"/>
        <w:rPr>
          <w:sz w:val="20"/>
          <w:szCs w:val="20"/>
          <w:color w:val="auto"/>
        </w:rPr>
      </w:pPr>
    </w:p>
    <w:p>
      <w:pPr>
        <w:jc w:val="both"/>
        <w:ind w:firstLine="241"/>
        <w:spacing w:after="0" w:line="250" w:lineRule="auto"/>
        <w:rPr>
          <w:sz w:val="20"/>
          <w:szCs w:val="20"/>
          <w:color w:val="auto"/>
        </w:rPr>
      </w:pPr>
      <w:r>
        <w:rPr>
          <w:rFonts w:ascii="Arial" w:cs="Arial" w:eastAsia="Arial" w:hAnsi="Arial"/>
          <w:sz w:val="18"/>
          <w:szCs w:val="18"/>
          <w:color w:val="auto"/>
        </w:rPr>
        <w:t>Segment profit for the first six months of 2023 compared to 2022 increased $88 million primarily due to $75 million from higher price, $32 million from favorable product mix, $7 million from lower commodity costs, and $4 million from lower freight and distribution costs. Partially offsetting these increases were $15 million from higher other product costs including warranty costs, $8 million from higher component costs, $5 million from higher SG&amp;A costs, and $2 million from lower sales volumes.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Corporate and Other segment's net sales and loss for the six months ended June 30, 2023 and 2022 (dollars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00" w:type="dxa"/>
            <w:vAlign w:val="bottom"/>
            <w:tcBorders>
              <w:bottom w:val="single" w:sz="8" w:color="CCEEFF"/>
            </w:tcBorders>
          </w:tcPr>
          <w:p>
            <w:pPr>
              <w:spacing w:after="0"/>
              <w:rPr>
                <w:sz w:val="18"/>
                <w:szCs w:val="18"/>
                <w:color w:val="auto"/>
              </w:rPr>
            </w:pPr>
          </w:p>
        </w:tc>
        <w:tc>
          <w:tcPr>
            <w:tcW w:w="3380" w:type="dxa"/>
            <w:vAlign w:val="bottom"/>
            <w:tcBorders>
              <w:bottom w:val="single" w:sz="8" w:color="auto"/>
            </w:tcBorders>
            <w:gridSpan w:val="5"/>
          </w:tcPr>
          <w:p>
            <w:pPr>
              <w:jc w:val="right"/>
              <w:ind w:right="393"/>
              <w:spacing w:after="0"/>
              <w:rPr>
                <w:sz w:val="20"/>
                <w:szCs w:val="20"/>
                <w:color w:val="auto"/>
              </w:rPr>
            </w:pPr>
            <w:r>
              <w:rPr>
                <w:rFonts w:ascii="Arial" w:cs="Arial" w:eastAsia="Arial" w:hAnsi="Arial"/>
                <w:sz w:val="16"/>
                <w:szCs w:val="16"/>
                <w:b w:val="1"/>
                <w:bCs w:val="1"/>
                <w:color w:val="auto"/>
              </w:rPr>
              <w:t>For the Six Months Ended June 30,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r>
      <w:tr>
        <w:trPr>
          <w:trHeight w:val="210"/>
        </w:trPr>
        <w:tc>
          <w:tcPr>
            <w:tcW w:w="48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 xml:space="preserve">2022 </w:t>
            </w:r>
            <w:r>
              <w:rPr>
                <w:rFonts w:ascii="Arial" w:cs="Arial" w:eastAsia="Arial" w:hAnsi="Arial"/>
                <w:sz w:val="10"/>
                <w:szCs w:val="10"/>
                <w:b w:val="1"/>
                <w:bCs w:val="1"/>
                <w:color w:val="auto"/>
              </w:rPr>
              <w:t>(1)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6"/>
                <w:szCs w:val="16"/>
                <w:b w:val="1"/>
                <w:bCs w:val="1"/>
                <w:color w:val="auto"/>
              </w:rPr>
              <w:t>Difference</w:t>
            </w:r>
          </w:p>
        </w:tc>
        <w:tc>
          <w:tcPr>
            <w:tcW w:w="16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6"/>
                <w:szCs w:val="16"/>
                <w:b w:val="1"/>
                <w:bCs w:val="1"/>
                <w:color w:val="auto"/>
              </w:rPr>
              <w:t>% Change</w:t>
            </w:r>
          </w:p>
        </w:tc>
      </w:tr>
      <w:tr>
        <w:trPr>
          <w:trHeight w:val="220"/>
        </w:trPr>
        <w:tc>
          <w:tcPr>
            <w:tcW w:w="48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000" w:type="dxa"/>
            <w:vAlign w:val="bottom"/>
          </w:tcPr>
          <w:p>
            <w:pPr>
              <w:jc w:val="right"/>
              <w:ind w:right="795"/>
              <w:spacing w:after="0"/>
              <w:rPr>
                <w:sz w:val="20"/>
                <w:szCs w:val="20"/>
                <w:color w:val="auto"/>
              </w:rPr>
            </w:pPr>
            <w:r>
              <w:rPr>
                <w:rFonts w:ascii="Arial" w:cs="Arial" w:eastAsia="Arial" w:hAnsi="Arial"/>
                <w:sz w:val="18"/>
                <w:szCs w:val="18"/>
                <w:color w:val="auto"/>
                <w:w w:val="99"/>
              </w:rPr>
              <w:t>$</w:t>
            </w:r>
          </w:p>
        </w:tc>
        <w:tc>
          <w:tcPr>
            <w:tcW w:w="620" w:type="dxa"/>
            <w:vAlign w:val="bottom"/>
          </w:tcPr>
          <w:p>
            <w:pPr>
              <w:spacing w:after="0"/>
              <w:rPr>
                <w:sz w:val="20"/>
                <w:szCs w:val="20"/>
                <w:color w:val="auto"/>
              </w:rPr>
            </w:pPr>
            <w:r>
              <w:rPr>
                <w:rFonts w:ascii="Arial" w:cs="Arial" w:eastAsia="Arial" w:hAnsi="Arial"/>
                <w:sz w:val="18"/>
                <w:szCs w:val="18"/>
                <w:color w:val="auto"/>
              </w:rPr>
              <w:t>127.4</w:t>
            </w:r>
          </w:p>
        </w:tc>
        <w:tc>
          <w:tcPr>
            <w:tcW w:w="16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1260" w:type="dxa"/>
            <w:vAlign w:val="bottom"/>
          </w:tcPr>
          <w:p>
            <w:pPr>
              <w:ind w:left="660"/>
              <w:spacing w:after="0"/>
              <w:rPr>
                <w:sz w:val="20"/>
                <w:szCs w:val="20"/>
                <w:color w:val="auto"/>
              </w:rPr>
            </w:pPr>
            <w:r>
              <w:rPr>
                <w:rFonts w:ascii="Arial" w:cs="Arial" w:eastAsia="Arial" w:hAnsi="Arial"/>
                <w:sz w:val="18"/>
                <w:szCs w:val="18"/>
                <w:color w:val="auto"/>
              </w:rPr>
              <w:t>113.2</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27"/>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(41.9)</w:t>
            </w:r>
          </w:p>
        </w:tc>
        <w:tc>
          <w:tcPr>
            <w:tcW w:w="50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(44.5)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7"/>
        </w:trPr>
        <w:tc>
          <w:tcPr>
            <w:tcW w:w="480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1000" w:type="dxa"/>
            <w:vAlign w:val="bottom"/>
          </w:tcPr>
          <w:p>
            <w:pPr>
              <w:spacing w:after="0"/>
              <w:rPr>
                <w:sz w:val="19"/>
                <w:szCs w:val="19"/>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w w:val="91"/>
              </w:rPr>
              <w:t>(32.9)%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ind w:left="680"/>
              <w:spacing w:after="0"/>
              <w:rPr>
                <w:sz w:val="20"/>
                <w:szCs w:val="20"/>
                <w:color w:val="auto"/>
              </w:rPr>
            </w:pPr>
            <w:r>
              <w:rPr>
                <w:rFonts w:ascii="Arial" w:cs="Arial" w:eastAsia="Arial" w:hAnsi="Arial"/>
                <w:sz w:val="18"/>
                <w:szCs w:val="18"/>
                <w:color w:val="auto"/>
                <w:w w:val="88"/>
              </w:rPr>
              <w:t>(39.3)%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bl>
    <w:p>
      <w:pPr>
        <w:spacing w:after="0" w:line="320" w:lineRule="exact"/>
        <w:rPr>
          <w:sz w:val="20"/>
          <w:szCs w:val="20"/>
          <w:color w:val="auto"/>
        </w:rPr>
      </w:pPr>
    </w:p>
    <w:p>
      <w:pPr>
        <w:ind w:left="640" w:firstLine="8"/>
        <w:spacing w:after="0" w:line="224" w:lineRule="auto"/>
        <w:tabs>
          <w:tab w:leader="none" w:pos="851"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2022 amounts have been recast to reflect the changes in segment reporting. Please see Note 2 in the Notes to the Consolidated Financial Statements for further detail.</w:t>
      </w:r>
    </w:p>
    <w:p>
      <w:pPr>
        <w:spacing w:after="0" w:line="228"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Net sales increased $14 million and segment costs decreased $3 million in the six months ended June 30, 2023 compared to 2022. Excluding the $2 million profit from Europe, Corporate and Other costs increased $4 million to $44 million in the six months ended June 30, 2023 compared to 2022, primarily due to increased employee costs.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1" w:lineRule="exact"/>
        <w:rPr>
          <w:sz w:val="20"/>
          <w:szCs w:val="20"/>
          <w:color w:val="auto"/>
        </w:rPr>
      </w:pPr>
    </w:p>
    <w:p>
      <w:pPr>
        <w:jc w:val="both"/>
        <w:ind w:firstLine="241"/>
        <w:spacing w:after="0" w:line="334"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Statement of Cash Flows</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six months ended June 30, 2023 and 2022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6"/>
                <w:szCs w:val="16"/>
                <w:b w:val="1"/>
                <w:bCs w:val="1"/>
                <w:color w:val="auto"/>
              </w:rPr>
              <w:t>For the Six Months Ended June 30,</w:t>
            </w:r>
          </w:p>
        </w:tc>
      </w:tr>
      <w:tr>
        <w:trPr>
          <w:trHeight w:val="207"/>
        </w:trPr>
        <w:tc>
          <w:tcPr>
            <w:tcW w:w="79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2022</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980" w:type="dxa"/>
            <w:vAlign w:val="bottom"/>
          </w:tcPr>
          <w:p>
            <w:pPr>
              <w:jc w:val="right"/>
              <w:ind w:right="797"/>
              <w:spacing w:after="0"/>
              <w:rPr>
                <w:sz w:val="20"/>
                <w:szCs w:val="20"/>
                <w:color w:val="auto"/>
              </w:rPr>
            </w:pPr>
            <w:r>
              <w:rPr>
                <w:rFonts w:ascii="Arial" w:cs="Arial" w:eastAsia="Arial" w:hAnsi="Arial"/>
                <w:sz w:val="18"/>
                <w:szCs w:val="18"/>
                <w:color w:val="auto"/>
                <w:w w:val="79"/>
              </w:rPr>
              <w:t>$</w:t>
            </w:r>
          </w:p>
        </w:tc>
        <w:tc>
          <w:tcPr>
            <w:tcW w:w="540" w:type="dxa"/>
            <w:vAlign w:val="bottom"/>
          </w:tcPr>
          <w:p>
            <w:pPr>
              <w:ind w:left="80"/>
              <w:spacing w:after="0"/>
              <w:rPr>
                <w:sz w:val="20"/>
                <w:szCs w:val="20"/>
                <w:color w:val="auto"/>
              </w:rPr>
            </w:pPr>
            <w:r>
              <w:rPr>
                <w:rFonts w:ascii="Arial" w:cs="Arial" w:eastAsia="Arial" w:hAnsi="Arial"/>
                <w:sz w:val="18"/>
                <w:szCs w:val="18"/>
                <w:color w:val="auto"/>
                <w:w w:val="97"/>
              </w:rPr>
              <w:t>116.7</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41"/>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(82.3)</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27"/>
        </w:trPr>
        <w:tc>
          <w:tcPr>
            <w:tcW w:w="7960" w:type="dxa"/>
            <w:vAlign w:val="bottom"/>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80" w:type="dxa"/>
            <w:vAlign w:val="bottom"/>
          </w:tcPr>
          <w:p>
            <w:pPr>
              <w:spacing w:after="0"/>
              <w:rPr>
                <w:sz w:val="19"/>
                <w:szCs w:val="19"/>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w w:val="93"/>
              </w:rPr>
              <w:t>(33.8)</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75.4</w:t>
            </w:r>
          </w:p>
        </w:tc>
      </w:tr>
    </w:tbl>
    <w:p>
      <w:pPr>
        <w:spacing w:after="0" w:line="320" w:lineRule="exact"/>
        <w:rPr>
          <w:sz w:val="20"/>
          <w:szCs w:val="20"/>
          <w:color w:val="auto"/>
        </w:rPr>
      </w:pPr>
    </w:p>
    <w:p>
      <w:pPr>
        <w:jc w:val="both"/>
        <w:ind w:firstLine="241"/>
        <w:spacing w:after="0" w:line="334" w:lineRule="auto"/>
        <w:rPr>
          <w:sz w:val="20"/>
          <w:szCs w:val="20"/>
          <w:color w:val="auto"/>
        </w:rPr>
      </w:pPr>
      <w:r>
        <w:rPr>
          <w:rFonts w:ascii="Arial" w:cs="Arial" w:eastAsia="Arial" w:hAnsi="Arial"/>
          <w:sz w:val="16"/>
          <w:szCs w:val="16"/>
          <w:i w:val="1"/>
          <w:iCs w:val="1"/>
          <w:color w:val="auto"/>
        </w:rPr>
        <w:t xml:space="preserve">Net Cash Provided By (Used In) Operating Activities - </w:t>
      </w:r>
      <w:r>
        <w:rPr>
          <w:rFonts w:ascii="Arial" w:cs="Arial" w:eastAsia="Arial" w:hAnsi="Arial"/>
          <w:sz w:val="16"/>
          <w:szCs w:val="16"/>
          <w:color w:val="auto"/>
        </w:rPr>
        <w:t>The change in net cash provided by operating activities for the six months ended June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net cash used in operating activities for the same period in 2022 reflects changes in working capital and an increase in net income.</w:t>
      </w:r>
    </w:p>
    <w:p>
      <w:pPr>
        <w:spacing w:after="0" w:line="156"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Capital expenditures were $85 million for the six months ended June 30, 2023 compared to $47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2022. Capital expenditures in 2023 were related to our Commercial factory in Mexico, the general expansion of manufacturing capacity and equipment, and investments in systems and software to support the overall enterprise.</w:t>
      </w:r>
    </w:p>
    <w:p>
      <w:pPr>
        <w:spacing w:after="0" w:line="212" w:lineRule="exact"/>
        <w:rPr>
          <w:sz w:val="20"/>
          <w:szCs w:val="20"/>
          <w:color w:val="auto"/>
        </w:rPr>
      </w:pPr>
    </w:p>
    <w:p>
      <w:pPr>
        <w:jc w:val="both"/>
        <w:ind w:firstLine="241"/>
        <w:spacing w:after="0" w:line="292" w:lineRule="auto"/>
        <w:rPr>
          <w:sz w:val="20"/>
          <w:szCs w:val="20"/>
          <w:color w:val="auto"/>
        </w:rPr>
      </w:pPr>
      <w:r>
        <w:rPr>
          <w:rFonts w:ascii="Arial" w:cs="Arial" w:eastAsia="Arial" w:hAnsi="Arial"/>
          <w:sz w:val="16"/>
          <w:szCs w:val="16"/>
          <w:i w:val="1"/>
          <w:iCs w:val="1"/>
          <w:color w:val="auto"/>
        </w:rPr>
        <w:t xml:space="preserve">Net Cash (Used In) Provided By Financing Activities - </w:t>
      </w:r>
      <w:r>
        <w:rPr>
          <w:rFonts w:ascii="Arial" w:cs="Arial" w:eastAsia="Arial" w:hAnsi="Arial"/>
          <w:sz w:val="16"/>
          <w:szCs w:val="16"/>
          <w:color w:val="auto"/>
        </w:rPr>
        <w:t>Net cash used in financing activities for the six months ended June 30, 2023 changed to $34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compared to $75 million provided by financing activities in the same period of 2022. The change was primarily due to less net borrowings partially offset by less share repurchases. We did not repurchase any shares for the six months ended June 30, 2023 and we repurchased $300 million in shares in the same period of 2022. We returned $75 million to shareholders through dividend payments for the six months ended June 30, 2023 and $67 million in the same period of 2022. For additional information on share repurchases, refer to Note 5 in the Notes to the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4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details our lines of credit and financing arrangements as of June 30, 2023 (in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232"/>
              <w:spacing w:after="0"/>
              <w:rPr>
                <w:sz w:val="20"/>
                <w:szCs w:val="20"/>
                <w:color w:val="auto"/>
              </w:rPr>
            </w:pPr>
            <w:r>
              <w:rPr>
                <w:rFonts w:ascii="Arial" w:cs="Arial" w:eastAsia="Arial" w:hAnsi="Arial"/>
                <w:sz w:val="16"/>
                <w:szCs w:val="16"/>
                <w:b w:val="1"/>
                <w:bCs w:val="1"/>
                <w:color w:val="auto"/>
              </w:rPr>
              <w:t>Outstanding</w:t>
            </w:r>
          </w:p>
        </w:tc>
      </w:tr>
      <w:tr>
        <w:trPr>
          <w:trHeight w:val="200"/>
        </w:trPr>
        <w:tc>
          <w:tcPr>
            <w:tcW w:w="9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Borrowings</w:t>
            </w:r>
          </w:p>
        </w:tc>
      </w:tr>
      <w:tr>
        <w:trPr>
          <w:trHeight w:val="220"/>
        </w:trPr>
        <w:tc>
          <w:tcPr>
            <w:tcW w:w="9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8"/>
        </w:trPr>
        <w:tc>
          <w:tcPr>
            <w:tcW w:w="9720" w:type="dxa"/>
            <w:vAlign w:val="bottom"/>
            <w:shd w:val="clear" w:color="auto" w:fill="CCEEFF"/>
          </w:tcPr>
          <w:p>
            <w:pPr>
              <w:ind w:left="20"/>
              <w:spacing w:after="0" w:line="228"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34"/>
        </w:trPr>
        <w:tc>
          <w:tcPr>
            <w:tcW w:w="9720" w:type="dxa"/>
            <w:vAlign w:val="bottom"/>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4"/>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227"/>
        </w:trPr>
        <w:tc>
          <w:tcPr>
            <w:tcW w:w="972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34"/>
        </w:trPr>
        <w:tc>
          <w:tcPr>
            <w:tcW w:w="9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maturities of long-term debt</w:t>
            </w:r>
          </w:p>
        </w:tc>
        <w:tc>
          <w:tcPr>
            <w:tcW w:w="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761.3</w:t>
            </w:r>
          </w:p>
        </w:tc>
      </w:tr>
      <w:tr>
        <w:trPr>
          <w:trHeight w:val="227"/>
        </w:trPr>
        <w:tc>
          <w:tcPr>
            <w:tcW w:w="97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Long-term debt:</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7"/>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0"/>
        </w:trPr>
        <w:tc>
          <w:tcPr>
            <w:tcW w:w="9720" w:type="dxa"/>
            <w:vAlign w:val="bottom"/>
          </w:tcPr>
          <w:p>
            <w:pPr>
              <w:ind w:left="20"/>
              <w:spacing w:after="0" w:line="241" w:lineRule="exact"/>
              <w:rPr>
                <w:sz w:val="20"/>
                <w:szCs w:val="20"/>
                <w:color w:val="auto"/>
              </w:rPr>
            </w:pPr>
            <w:r>
              <w:rPr>
                <w:rFonts w:ascii="Arial" w:cs="Arial" w:eastAsia="Arial" w:hAnsi="Arial"/>
                <w:sz w:val="18"/>
                <w:szCs w:val="18"/>
                <w:color w:val="auto"/>
              </w:rPr>
              <w:t xml:space="preserve">Credit agreement </w:t>
            </w:r>
            <w:r>
              <w:rPr>
                <w:rFonts w:ascii="Arial" w:cs="Arial" w:eastAsia="Arial" w:hAnsi="Arial"/>
                <w:sz w:val="23"/>
                <w:szCs w:val="23"/>
                <w:color w:val="auto"/>
                <w:vertAlign w:val="superscript"/>
              </w:rPr>
              <w:t>(2)</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192.0</w:t>
            </w:r>
          </w:p>
        </w:tc>
      </w:tr>
      <w:tr>
        <w:trPr>
          <w:trHeight w:val="227"/>
        </w:trPr>
        <w:tc>
          <w:tcPr>
            <w:tcW w:w="9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7"/>
        </w:trPr>
        <w:tc>
          <w:tcPr>
            <w:tcW w:w="9720" w:type="dxa"/>
            <w:vAlign w:val="bottom"/>
          </w:tcPr>
          <w:p>
            <w:pPr>
              <w:ind w:left="20"/>
              <w:spacing w:after="0"/>
              <w:rPr>
                <w:sz w:val="20"/>
                <w:szCs w:val="20"/>
                <w:color w:val="auto"/>
              </w:rPr>
            </w:pPr>
            <w:r>
              <w:rPr>
                <w:rFonts w:ascii="Arial" w:cs="Arial" w:eastAsia="Arial" w:hAnsi="Arial"/>
                <w:sz w:val="18"/>
                <w:szCs w:val="18"/>
                <w:color w:val="auto"/>
              </w:rPr>
              <w:t>Debt issuance costs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34"/>
        </w:trPr>
        <w:tc>
          <w:tcPr>
            <w:tcW w:w="9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817.7</w:t>
            </w:r>
          </w:p>
        </w:tc>
      </w:tr>
      <w:tr>
        <w:trPr>
          <w:trHeight w:val="220"/>
        </w:trPr>
        <w:tc>
          <w:tcPr>
            <w:tcW w:w="9720" w:type="dxa"/>
            <w:vAlign w:val="bottom"/>
          </w:tcPr>
          <w:p>
            <w:pPr>
              <w:ind w:left="20"/>
              <w:spacing w:after="0"/>
              <w:rPr>
                <w:sz w:val="20"/>
                <w:szCs w:val="20"/>
                <w:color w:val="auto"/>
              </w:rPr>
            </w:pPr>
            <w:r>
              <w:rPr>
                <w:rFonts w:ascii="Arial" w:cs="Arial" w:eastAsia="Arial" w:hAnsi="Arial"/>
                <w:sz w:val="18"/>
                <w:szCs w:val="18"/>
                <w:b w:val="1"/>
                <w:bCs w:val="1"/>
                <w:color w:val="auto"/>
              </w:rPr>
              <w:t>Total debt</w:t>
            </w:r>
          </w:p>
        </w:tc>
        <w:tc>
          <w:tcPr>
            <w:tcW w:w="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1,579.0</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320" w:hanging="313"/>
        <w:spacing w:after="0" w:line="265" w:lineRule="auto"/>
        <w:tabs>
          <w:tab w:leader="none" w:pos="179"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maximum securitization amount ranges from $300.0 million to $450.0 million, depending on the period. The maximum capacity of the ASP is the lesser of the maximum securitization amount or 100% of the net pool balance less reserves, as defined under the ASP. Refer to Note 10 in the Notes to the Consolidated Financial Statements for more information.</w:t>
      </w:r>
    </w:p>
    <w:p>
      <w:pPr>
        <w:spacing w:after="0" w:line="21" w:lineRule="exact"/>
        <w:rPr>
          <w:rFonts w:ascii="Arial" w:cs="Arial" w:eastAsia="Arial" w:hAnsi="Arial"/>
          <w:sz w:val="21"/>
          <w:szCs w:val="21"/>
          <w:color w:val="auto"/>
          <w:vertAlign w:val="superscript"/>
        </w:rPr>
      </w:pPr>
    </w:p>
    <w:p>
      <w:pPr>
        <w:ind w:left="320" w:hanging="313"/>
        <w:spacing w:after="0" w:line="259" w:lineRule="auto"/>
        <w:tabs>
          <w:tab w:leader="none" w:pos="187"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The available future borrowings on our Credit Agreement (as defined below) are $556.3 million, after being reduced by the outstanding borrowings and $1.7 million in outstanding standby letters of credit. Refer to Note 10 in the Notes to the Consolidated Financial Statements for more information.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both"/>
        <w:spacing w:after="0" w:line="259" w:lineRule="auto"/>
        <w:rPr>
          <w:sz w:val="20"/>
          <w:szCs w:val="20"/>
          <w:color w:val="auto"/>
        </w:rPr>
      </w:pPr>
      <w:r>
        <w:rPr>
          <w:rFonts w:ascii="Arial" w:cs="Arial" w:eastAsia="Arial" w:hAnsi="Arial"/>
          <w:sz w:val="18"/>
          <w:szCs w:val="18"/>
          <w:color w:val="auto"/>
        </w:rPr>
        <w:t>Both our Asset Securitization Program as well as our $350.0 million 2023 Notes will mature during the year. We are currently evaluating our options related to these obligations including refinancing and other alternatives. We do not believe that our options or alternatives will have any material impact on our results of operations or liquidity.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47"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In July 2021, we entered into a new Credit agreement (the “Credit Agreement”) with JPMorgan Chase Bank, N.A., as administrative agent, and the other lenders party thereto, which refinanced and replaced the Seventh Amended and Restated Credit Facility.</w:t>
      </w:r>
    </w:p>
    <w:p>
      <w:pPr>
        <w:spacing w:after="0" w:line="202" w:lineRule="exact"/>
        <w:rPr>
          <w:sz w:val="20"/>
          <w:szCs w:val="20"/>
          <w:color w:val="auto"/>
        </w:rPr>
      </w:pPr>
    </w:p>
    <w:p>
      <w:pPr>
        <w:jc w:val="both"/>
        <w:ind w:firstLine="241"/>
        <w:spacing w:after="0" w:line="292" w:lineRule="auto"/>
        <w:rPr>
          <w:sz w:val="20"/>
          <w:szCs w:val="20"/>
          <w:color w:val="auto"/>
        </w:rPr>
      </w:pPr>
      <w:r>
        <w:rPr>
          <w:rFonts w:ascii="Arial" w:cs="Arial" w:eastAsia="Arial" w:hAnsi="Arial"/>
          <w:sz w:val="16"/>
          <w:szCs w:val="16"/>
          <w:color w:val="auto"/>
        </w:rPr>
        <w:t>The Credit Agreement provides for revolving credit commitments of $750 million with sublimits for swingline loans of up to $65 million, letters of credit up to $100 million and revolving loans in certain non-U.S. currencies up to the U.S. dollar equivalent of $40 million. The Credit Agreement will expire and outstanding loans will be required to be repaid in July 2026, unless maturity is extended by the lenders pursuant to two one-year extension options that we may request under the Credit Agreement. At our request and subject to certain conditions, the revolving credit commitments under the Credit Agreement may be increased by up to a total of $350 million to the extent that existing or new lenders agree to provide additional commitments.</w:t>
      </w:r>
    </w:p>
    <w:p>
      <w:pPr>
        <w:spacing w:after="0" w:line="190" w:lineRule="exact"/>
        <w:rPr>
          <w:sz w:val="20"/>
          <w:szCs w:val="20"/>
          <w:color w:val="auto"/>
        </w:rPr>
      </w:pPr>
    </w:p>
    <w:p>
      <w:pPr>
        <w:jc w:val="both"/>
        <w:ind w:firstLine="241"/>
        <w:spacing w:after="0" w:line="288" w:lineRule="auto"/>
        <w:rPr>
          <w:sz w:val="20"/>
          <w:szCs w:val="20"/>
          <w:color w:val="auto"/>
        </w:rPr>
      </w:pPr>
      <w:r>
        <w:rPr>
          <w:rFonts w:ascii="Arial" w:cs="Arial" w:eastAsia="Arial" w:hAnsi="Arial"/>
          <w:sz w:val="16"/>
          <w:szCs w:val="16"/>
          <w:color w:val="auto"/>
        </w:rPr>
        <w:t>The Credit Agreement is guaranteed by certain of our subsidiaries and contains customary covenants applicable to us and our subsidiaries including limitations on indebtedness, liens, dividends, stock repurchases, mergers and sales of all or substantially all of our assets. In addition, the Credit Agreement contains a financial covenant requiring us to maintain, as of the last day of each fiscal quarter for the four prior fiscal quarters, a Total Net Leverage Ratio of no more than 3.50 to 1.00 (or, at our election, on up to two occasions following a material acquisition, 4.00 to 1.00). The Credit Agreement is subject to customary events of default, including non-payment of principal or other amounts under the Credit Agreement, material inaccuracy of representations and warranties, breach of covenants, cross-default to other indebtedness in excess of $75 million, judgements in excess of $75 million, certain voluntary and involuntary bankruptcy events, and the occurrence of a change of control. As of June 30, 2023, we were in compliance with all covenant requirements.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47" w:lineRule="exact"/>
        <w:rPr>
          <w:sz w:val="20"/>
          <w:szCs w:val="20"/>
          <w:color w:val="auto"/>
        </w:rPr>
      </w:pPr>
    </w:p>
    <w:p>
      <w:pPr>
        <w:jc w:val="both"/>
        <w:ind w:firstLine="241"/>
        <w:spacing w:after="0" w:line="297"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decreased to 96% at June 30, 2023 from 115% at December 31, 2022.</w:t>
      </w:r>
    </w:p>
    <w:p>
      <w:pPr>
        <w:spacing w:after="0" w:line="185" w:lineRule="exact"/>
        <w:rPr>
          <w:sz w:val="20"/>
          <w:szCs w:val="20"/>
          <w:color w:val="auto"/>
        </w:rPr>
      </w:pPr>
    </w:p>
    <w:p>
      <w:pPr>
        <w:jc w:val="both"/>
        <w:ind w:firstLine="241"/>
        <w:spacing w:after="0" w:line="275" w:lineRule="auto"/>
        <w:rPr>
          <w:sz w:val="20"/>
          <w:szCs w:val="20"/>
          <w:color w:val="auto"/>
        </w:rPr>
      </w:pPr>
      <w:r>
        <w:rPr>
          <w:rFonts w:ascii="Arial" w:cs="Arial" w:eastAsia="Arial" w:hAnsi="Arial"/>
          <w:sz w:val="17"/>
          <w:szCs w:val="17"/>
          <w:color w:val="auto"/>
        </w:rPr>
        <w:t>As of June 30, 2023, our senior credit ratings were Baa2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47" w:lineRule="exact"/>
        <w:rPr>
          <w:sz w:val="20"/>
          <w:szCs w:val="20"/>
          <w:color w:val="auto"/>
        </w:rPr>
      </w:pPr>
    </w:p>
    <w:p>
      <w:pPr>
        <w:jc w:val="both"/>
        <w:ind w:firstLine="241"/>
        <w:spacing w:after="0" w:line="282" w:lineRule="auto"/>
        <w:rPr>
          <w:sz w:val="20"/>
          <w:szCs w:val="20"/>
          <w:color w:val="auto"/>
        </w:rPr>
      </w:pPr>
      <w:r>
        <w:rPr>
          <w:rFonts w:ascii="Arial" w:cs="Arial" w:eastAsia="Arial" w:hAnsi="Arial"/>
          <w:sz w:val="16"/>
          <w:szCs w:val="16"/>
          <w:color w:val="auto"/>
        </w:rPr>
        <w:t>We believe our cash and cash equivalents of $51 million, future cash generated from operations and available borrowing capacity are sufficient to fund operations, planned capital expenditures, future contractual obligations, potential share repurchases and dividends and other needs in the foreseeable future. Included in our cash and cash equivalents of $51 million as of June 30, 2023 was $21 million of cash held in foreign locations. Our cash held in foreign locations is used for investing and operating activities 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related to our Debt Obligations</w:t>
      </w:r>
    </w:p>
    <w:p>
      <w:pPr>
        <w:spacing w:after="0" w:line="234"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Our senior unsecured notes were issued by Lennox International Inc. and are unconditionally guaranteed by certain of our subsidiaries (the "Guarantor Subsidiaries"). The Guarantor Subsidiaries are 100% owned and consolidated, all guarantees are full and unconditional, and all guarantees are joint and several.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1" w:lineRule="exact"/>
        <w:rPr>
          <w:sz w:val="20"/>
          <w:szCs w:val="20"/>
          <w:color w:val="auto"/>
        </w:rPr>
      </w:pPr>
    </w:p>
    <w:p>
      <w:pPr>
        <w:jc w:val="both"/>
        <w:ind w:firstLine="241"/>
        <w:spacing w:after="0" w:line="271"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the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 We have no off-balance sheet arrangements that we believe may have a material current or future effect on our financial condition, liquidity or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For information regarding our commitments, contingencies and guarantees, see Note 4 in the Notes to the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There were no recent accounting pronouncements that are expected to have a material impact on our financial statements and disclosures.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4" w:lineRule="exact"/>
        <w:rPr>
          <w:sz w:val="20"/>
          <w:szCs w:val="20"/>
          <w:color w:val="auto"/>
        </w:rPr>
      </w:pPr>
    </w:p>
    <w:p>
      <w:pPr>
        <w:jc w:val="both"/>
        <w:ind w:firstLine="241"/>
        <w:spacing w:after="0" w:line="251"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2022. Our exposure to market risk has not changed materially since December 31,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1" w:lineRule="exact"/>
        <w:rPr>
          <w:sz w:val="20"/>
          <w:szCs w:val="20"/>
          <w:color w:val="auto"/>
        </w:rPr>
      </w:pPr>
    </w:p>
    <w:p>
      <w:pPr>
        <w:jc w:val="both"/>
        <w:ind w:firstLine="241"/>
        <w:spacing w:after="0" w:line="285" w:lineRule="auto"/>
        <w:rPr>
          <w:sz w:val="20"/>
          <w:szCs w:val="20"/>
          <w:color w:val="auto"/>
        </w:rPr>
      </w:pPr>
      <w:r>
        <w:rPr>
          <w:rFonts w:ascii="Arial" w:cs="Arial" w:eastAsia="Arial" w:hAnsi="Arial"/>
          <w:sz w:val="16"/>
          <w:szCs w:val="16"/>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June 30, 2023,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1" w:lineRule="exact"/>
        <w:rPr>
          <w:sz w:val="20"/>
          <w:szCs w:val="20"/>
          <w:color w:val="auto"/>
        </w:rPr>
      </w:pPr>
    </w:p>
    <w:p>
      <w:pPr>
        <w:jc w:val="both"/>
        <w:ind w:firstLine="241"/>
        <w:spacing w:after="0" w:line="270"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Part II -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1" w:lineRule="exact"/>
        <w:rPr>
          <w:sz w:val="20"/>
          <w:szCs w:val="20"/>
          <w:color w:val="auto"/>
        </w:rPr>
      </w:pPr>
    </w:p>
    <w:p>
      <w:pPr>
        <w:jc w:val="both"/>
        <w:ind w:firstLine="241"/>
        <w:spacing w:after="0" w:line="259" w:lineRule="auto"/>
        <w:rPr>
          <w:sz w:val="20"/>
          <w:szCs w:val="20"/>
          <w:color w:val="auto"/>
        </w:rPr>
      </w:pPr>
      <w:r>
        <w:rPr>
          <w:rFonts w:ascii="Arial" w:cs="Arial" w:eastAsia="Arial" w:hAnsi="Arial"/>
          <w:sz w:val="18"/>
          <w:szCs w:val="18"/>
          <w:color w:val="auto"/>
        </w:rPr>
        <w:t>We are involved in a number of claims and lawsuits incident to the operation of our businesses. Where appropriate,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4" w:lineRule="exact"/>
        <w:rPr>
          <w:sz w:val="20"/>
          <w:szCs w:val="20"/>
          <w:color w:val="auto"/>
        </w:rPr>
      </w:pPr>
    </w:p>
    <w:p>
      <w:pPr>
        <w:jc w:val="both"/>
        <w:ind w:firstLine="241"/>
        <w:spacing w:after="0" w:line="255" w:lineRule="auto"/>
        <w:rPr>
          <w:sz w:val="20"/>
          <w:szCs w:val="20"/>
          <w:color w:val="auto"/>
        </w:rPr>
      </w:pPr>
      <w:r>
        <w:rPr>
          <w:rFonts w:ascii="Arial" w:cs="Arial" w:eastAsia="Arial" w:hAnsi="Arial"/>
          <w:sz w:val="18"/>
          <w:szCs w:val="18"/>
          <w:color w:val="auto"/>
        </w:rPr>
        <w:t>In addition to the other information set forth in this Quarterly Report on Form 10-Q, you should carefully consider the risk factors discussed in Part I, “Item 1A. Risk Factors” in our Annual Report on Form 10-K for the year ended December 31, 2022, which could materially affect our business, financial condition or results of operations. There have been no material changes to our risk factors from those disclosed in our Annual Report on Form 10-K for the year ended December 31, 2022.</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3" w:lineRule="exact"/>
        <w:rPr>
          <w:sz w:val="20"/>
          <w:szCs w:val="20"/>
          <w:color w:val="auto"/>
        </w:rPr>
      </w:pPr>
    </w:p>
    <w:p>
      <w:pPr>
        <w:jc w:val="both"/>
        <w:ind w:firstLine="241"/>
        <w:spacing w:after="0" w:line="238" w:lineRule="auto"/>
        <w:rPr>
          <w:sz w:val="20"/>
          <w:szCs w:val="20"/>
          <w:color w:val="auto"/>
        </w:rPr>
      </w:pPr>
      <w:r>
        <w:rPr>
          <w:rFonts w:ascii="Arial" w:cs="Arial" w:eastAsia="Arial" w:hAnsi="Arial"/>
          <w:sz w:val="18"/>
          <w:szCs w:val="18"/>
          <w:color w:val="auto"/>
        </w:rPr>
        <w:t>We did not repurchase any shares of our common stock in the second quarter of 2023. For additional information on our share repurchase program, refer to Note 5 in the Notes to the Consolidated Financial Statements.</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Rule 10b5-1 Plan Elections</w:t>
      </w:r>
    </w:p>
    <w:p>
      <w:pPr>
        <w:spacing w:after="0" w:line="51" w:lineRule="exact"/>
        <w:rPr>
          <w:sz w:val="20"/>
          <w:szCs w:val="20"/>
          <w:color w:val="auto"/>
        </w:rPr>
      </w:pPr>
    </w:p>
    <w:p>
      <w:pPr>
        <w:jc w:val="both"/>
        <w:ind w:firstLine="241"/>
        <w:spacing w:after="0" w:line="236" w:lineRule="auto"/>
        <w:rPr>
          <w:sz w:val="20"/>
          <w:szCs w:val="20"/>
          <w:color w:val="auto"/>
        </w:rPr>
      </w:pPr>
      <w:r>
        <w:rPr>
          <w:rFonts w:ascii="Arial" w:cs="Arial" w:eastAsia="Arial" w:hAnsi="Arial"/>
          <w:sz w:val="18"/>
          <w:szCs w:val="18"/>
          <w:color w:val="auto"/>
        </w:rPr>
        <w:t>Gary S. Bedard, Executive Vice President and President, LII Residential Heating &amp; Cooling, entered into a prearranged stock trading plan on May 12, 2023. Mr. Bedard's plan provides for the potential gift of 805 shares of the Company's common stock and the sale of approximately 4,040 shares of the Company's common stock between September 1, 2023 and May 8, 2024. The amount of shares to be sold includes shares subject to the vesting of performance share unit awards, and accordingly the actual amount may vary.</w:t>
      </w:r>
    </w:p>
    <w:p>
      <w:pPr>
        <w:spacing w:after="0" w:line="27" w:lineRule="exact"/>
        <w:rPr>
          <w:sz w:val="20"/>
          <w:szCs w:val="20"/>
          <w:color w:val="auto"/>
        </w:rPr>
      </w:pPr>
    </w:p>
    <w:p>
      <w:pPr>
        <w:jc w:val="both"/>
        <w:ind w:firstLine="241"/>
        <w:spacing w:after="0" w:line="284" w:lineRule="auto"/>
        <w:rPr>
          <w:sz w:val="20"/>
          <w:szCs w:val="20"/>
          <w:color w:val="auto"/>
        </w:rPr>
      </w:pPr>
      <w:r>
        <w:rPr>
          <w:rFonts w:ascii="Arial" w:cs="Arial" w:eastAsia="Arial" w:hAnsi="Arial"/>
          <w:sz w:val="17"/>
          <w:szCs w:val="17"/>
          <w:color w:val="auto"/>
        </w:rPr>
        <w:t>This trading plan was entered into during an open insider trading window and is intended to satisfy the affirmative defense of Rule 10b5-1(c) under the Securities and Exchange Act of 1934, as amended, and the Company's policies regarding transactions in the Company's securities.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3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w:t>
            </w:r>
          </w:p>
        </w:tc>
        <w:tc>
          <w:tcPr>
            <w:tcW w:w="10300" w:type="dxa"/>
            <w:vAlign w:val="bottom"/>
            <w:gridSpan w:val="28"/>
            <w:shd w:val="clear" w:color="auto" w:fill="CCEEFF"/>
          </w:tcPr>
          <w:p>
            <w:pPr>
              <w:spacing w:after="0"/>
              <w:rPr>
                <w:rFonts w:ascii="Arial" w:cs="Arial" w:eastAsia="Arial" w:hAnsi="Arial"/>
                <w:sz w:val="18"/>
                <w:szCs w:val="18"/>
                <w:color w:val="0000FF"/>
                <w:w w:val="95"/>
              </w:rPr>
            </w:pPr>
            <w:hyperlink r:id="rId44">
              <w:r>
                <w:rPr>
                  <w:rFonts w:ascii="Arial" w:cs="Arial" w:eastAsia="Arial" w:hAnsi="Arial"/>
                  <w:sz w:val="18"/>
                  <w:szCs w:val="18"/>
                  <w:color w:val="0000FF"/>
                  <w:w w:val="95"/>
                </w:rPr>
                <w:t>Restated Certificate of Incorporation of Lennox International Inc. (“LII”) (filed as Exhibit 3.1 to LII's Annual Report on Form 10-K filed on</w:t>
              </w:r>
            </w:hyperlink>
          </w:p>
        </w:tc>
      </w:tr>
      <w:tr>
        <w:trPr>
          <w:trHeight w:val="154"/>
        </w:trPr>
        <w:tc>
          <w:tcPr>
            <w:tcW w:w="94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15"/>
            <w:shd w:val="clear" w:color="auto" w:fill="CCEEFF"/>
          </w:tcPr>
          <w:p>
            <w:pPr>
              <w:spacing w:after="0" w:line="154" w:lineRule="exact"/>
              <w:rPr>
                <w:rFonts w:ascii="Arial" w:cs="Arial" w:eastAsia="Arial" w:hAnsi="Arial"/>
                <w:sz w:val="17"/>
                <w:szCs w:val="17"/>
                <w:color w:val="0000FF"/>
              </w:rPr>
            </w:pPr>
            <w:hyperlink r:id="rId44">
              <w:r>
                <w:rPr>
                  <w:rFonts w:ascii="Arial" w:cs="Arial" w:eastAsia="Arial" w:hAnsi="Arial"/>
                  <w:sz w:val="17"/>
                  <w:szCs w:val="17"/>
                  <w:color w:val="0000FF"/>
                </w:rPr>
                <w:t>February 15, 2022 and incorporated herein by reference).</w:t>
              </w:r>
            </w:hyperlink>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3"/>
        </w:trPr>
        <w:tc>
          <w:tcPr>
            <w:tcW w:w="9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9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40" w:type="dxa"/>
            <w:vAlign w:val="bottom"/>
          </w:tcPr>
          <w:p>
            <w:pPr>
              <w:ind w:left="20"/>
              <w:spacing w:after="0" w:line="187" w:lineRule="exact"/>
              <w:rPr>
                <w:sz w:val="20"/>
                <w:szCs w:val="20"/>
                <w:color w:val="auto"/>
              </w:rPr>
            </w:pPr>
            <w:r>
              <w:rPr>
                <w:rFonts w:ascii="Arial" w:cs="Arial" w:eastAsia="Arial" w:hAnsi="Arial"/>
                <w:sz w:val="18"/>
                <w:szCs w:val="18"/>
                <w:color w:val="auto"/>
              </w:rPr>
              <w:t>3.2</w:t>
            </w:r>
          </w:p>
        </w:tc>
        <w:tc>
          <w:tcPr>
            <w:tcW w:w="10300" w:type="dxa"/>
            <w:vAlign w:val="bottom"/>
            <w:gridSpan w:val="28"/>
          </w:tcPr>
          <w:p>
            <w:pPr>
              <w:spacing w:after="0" w:line="187"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Amended and Restated Bylaws of LII (filed as Exhibit 3.2 to LII's Annual Report on Form 10-K filed on February 15, 2022 and incorporated</w:t>
              </w:r>
            </w:hyperlink>
          </w:p>
        </w:tc>
      </w:tr>
      <w:tr>
        <w:trPr>
          <w:trHeight w:val="154"/>
        </w:trPr>
        <w:tc>
          <w:tcPr>
            <w:tcW w:w="940" w:type="dxa"/>
            <w:vAlign w:val="bottom"/>
          </w:tcPr>
          <w:p>
            <w:pPr>
              <w:spacing w:after="0"/>
              <w:rPr>
                <w:sz w:val="13"/>
                <w:szCs w:val="13"/>
                <w:color w:val="auto"/>
              </w:rPr>
            </w:pPr>
          </w:p>
        </w:tc>
        <w:tc>
          <w:tcPr>
            <w:tcW w:w="1006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45">
              <w:r>
                <w:rPr>
                  <w:rFonts w:ascii="Arial" w:cs="Arial" w:eastAsia="Arial" w:hAnsi="Arial"/>
                  <w:sz w:val="17"/>
                  <w:szCs w:val="17"/>
                  <w:color w:val="0000FF"/>
                </w:rPr>
                <w:t>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4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4.1</w:t>
            </w:r>
          </w:p>
        </w:tc>
        <w:tc>
          <w:tcPr>
            <w:tcW w:w="9920" w:type="dxa"/>
            <w:vAlign w:val="bottom"/>
            <w:tcBorders>
              <w:bottom w:val="single" w:sz="8" w:color="0000FF"/>
            </w:tcBorders>
            <w:gridSpan w:val="14"/>
            <w:shd w:val="clear" w:color="auto" w:fill="CCEEFF"/>
          </w:tcPr>
          <w:p>
            <w:pPr>
              <w:spacing w:after="0" w:line="187"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Indenture, dated as of May 3, 2010, between LII and U.S. Bank National Association, as trustee (filed as Exhibit 4.3 to LII’s Post-Effective</w:t>
              </w:r>
            </w:hyperlink>
          </w:p>
        </w:tc>
        <w:tc>
          <w:tcPr>
            <w:tcW w:w="380" w:type="dxa"/>
            <w:vAlign w:val="bottom"/>
            <w:tcBorders>
              <w:bottom w:val="single" w:sz="8" w:color="CCEEFF"/>
            </w:tcBorders>
            <w:gridSpan w:val="14"/>
            <w:shd w:val="clear" w:color="auto" w:fill="CCEEFF"/>
          </w:tcPr>
          <w:p>
            <w:pPr>
              <w:spacing w:after="0"/>
              <w:rPr>
                <w:sz w:val="16"/>
                <w:szCs w:val="16"/>
                <w:color w:val="auto"/>
              </w:rPr>
            </w:pPr>
          </w:p>
        </w:tc>
      </w:tr>
      <w:tr>
        <w:trPr>
          <w:trHeight w:val="187"/>
        </w:trPr>
        <w:tc>
          <w:tcPr>
            <w:tcW w:w="940" w:type="dxa"/>
            <w:vAlign w:val="bottom"/>
            <w:tcBorders>
              <w:bottom w:val="single" w:sz="8" w:color="CCEEFF"/>
            </w:tcBorders>
            <w:shd w:val="clear" w:color="auto" w:fill="CCEEFF"/>
          </w:tcPr>
          <w:p>
            <w:pPr>
              <w:spacing w:after="0"/>
              <w:rPr>
                <w:sz w:val="16"/>
                <w:szCs w:val="16"/>
                <w:color w:val="auto"/>
              </w:rPr>
            </w:pPr>
          </w:p>
        </w:tc>
        <w:tc>
          <w:tcPr>
            <w:tcW w:w="10280" w:type="dxa"/>
            <w:vAlign w:val="bottom"/>
            <w:tcBorders>
              <w:bottom w:val="single" w:sz="8" w:color="0000FF"/>
            </w:tcBorders>
            <w:gridSpan w:val="27"/>
            <w:shd w:val="clear" w:color="auto" w:fill="CCEEFF"/>
          </w:tcPr>
          <w:p>
            <w:pPr>
              <w:spacing w:after="0" w:line="167"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Amendment No. 1 to Registration Statement on S-3 (Registration No. 333-155796) filed on May 3, 2010 and incorporated herein by reference</w:t>
              </w:r>
            </w:hyperlink>
          </w:p>
        </w:tc>
        <w:tc>
          <w:tcPr>
            <w:tcW w:w="20" w:type="dxa"/>
            <w:vAlign w:val="bottom"/>
            <w:tcBorders>
              <w:bottom w:val="single" w:sz="8" w:color="CCEEFF"/>
            </w:tcBorders>
            <w:shd w:val="clear" w:color="auto" w:fill="CCEEFF"/>
          </w:tcPr>
          <w:p>
            <w:pPr>
              <w:spacing w:after="0"/>
              <w:rPr>
                <w:sz w:val="16"/>
                <w:szCs w:val="16"/>
                <w:color w:val="auto"/>
              </w:rPr>
            </w:pPr>
          </w:p>
        </w:tc>
      </w:tr>
      <w:tr>
        <w:trPr>
          <w:trHeight w:val="187"/>
        </w:trPr>
        <w:tc>
          <w:tcPr>
            <w:tcW w:w="940" w:type="dxa"/>
            <w:vAlign w:val="bottom"/>
          </w:tcPr>
          <w:p>
            <w:pPr>
              <w:ind w:left="20"/>
              <w:spacing w:after="0" w:line="187" w:lineRule="exact"/>
              <w:rPr>
                <w:sz w:val="20"/>
                <w:szCs w:val="20"/>
                <w:color w:val="auto"/>
              </w:rPr>
            </w:pPr>
            <w:r>
              <w:rPr>
                <w:rFonts w:ascii="Arial" w:cs="Arial" w:eastAsia="Arial" w:hAnsi="Arial"/>
                <w:sz w:val="18"/>
                <w:szCs w:val="18"/>
                <w:color w:val="auto"/>
              </w:rPr>
              <w:t>4.2</w:t>
            </w:r>
          </w:p>
        </w:tc>
        <w:tc>
          <w:tcPr>
            <w:tcW w:w="10300" w:type="dxa"/>
            <w:vAlign w:val="bottom"/>
            <w:gridSpan w:val="28"/>
          </w:tcPr>
          <w:p>
            <w:pPr>
              <w:spacing w:after="0" w:line="187"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Sixth Supplemental Indenture, dated as of November 3, 2016, among LII, each other existing Guarantor under the Indenture, dated as of May</w:t>
              </w:r>
            </w:hyperlink>
          </w:p>
        </w:tc>
      </w:tr>
      <w:tr>
        <w:trPr>
          <w:trHeight w:val="154"/>
        </w:trPr>
        <w:tc>
          <w:tcPr>
            <w:tcW w:w="940" w:type="dxa"/>
            <w:vAlign w:val="bottom"/>
          </w:tcPr>
          <w:p>
            <w:pPr>
              <w:spacing w:after="0"/>
              <w:rPr>
                <w:sz w:val="13"/>
                <w:szCs w:val="13"/>
                <w:color w:val="auto"/>
              </w:rPr>
            </w:pPr>
          </w:p>
        </w:tc>
        <w:tc>
          <w:tcPr>
            <w:tcW w:w="10280" w:type="dxa"/>
            <w:vAlign w:val="bottom"/>
            <w:tcBorders>
              <w:top w:val="single" w:sz="8" w:color="0000FF"/>
            </w:tcBorders>
            <w:gridSpan w:val="27"/>
          </w:tcPr>
          <w:p>
            <w:pPr>
              <w:spacing w:after="0" w:line="154" w:lineRule="exact"/>
              <w:rPr>
                <w:rFonts w:ascii="Arial" w:cs="Arial" w:eastAsia="Arial" w:hAnsi="Arial"/>
                <w:sz w:val="17"/>
                <w:szCs w:val="17"/>
                <w:color w:val="0000FF"/>
                <w:w w:val="96"/>
              </w:rPr>
            </w:pPr>
            <w:hyperlink r:id="rId47">
              <w:r>
                <w:rPr>
                  <w:rFonts w:ascii="Arial" w:cs="Arial" w:eastAsia="Arial" w:hAnsi="Arial"/>
                  <w:sz w:val="17"/>
                  <w:szCs w:val="17"/>
                  <w:color w:val="0000FF"/>
                  <w:w w:val="96"/>
                </w:rPr>
                <w:t>2010, as subsequently supplemented, and U.S. Bank National Association, as trustee (filed as Exhibit 4.2 to LII’s Current Report on Form 8-K</w:t>
              </w:r>
            </w:hyperlink>
          </w:p>
        </w:tc>
        <w:tc>
          <w:tcPr>
            <w:tcW w:w="20" w:type="dxa"/>
            <w:vAlign w:val="bottom"/>
          </w:tcPr>
          <w:p>
            <w:pPr>
              <w:spacing w:after="0"/>
              <w:rPr>
                <w:sz w:val="13"/>
                <w:szCs w:val="13"/>
                <w:color w:val="auto"/>
              </w:rPr>
            </w:pPr>
          </w:p>
        </w:tc>
      </w:tr>
      <w:tr>
        <w:trPr>
          <w:trHeight w:val="167"/>
        </w:trPr>
        <w:tc>
          <w:tcPr>
            <w:tcW w:w="940" w:type="dxa"/>
            <w:vAlign w:val="bottom"/>
          </w:tcPr>
          <w:p>
            <w:pPr>
              <w:spacing w:after="0"/>
              <w:rPr>
                <w:sz w:val="14"/>
                <w:szCs w:val="14"/>
                <w:color w:val="auto"/>
              </w:rPr>
            </w:pPr>
          </w:p>
        </w:tc>
        <w:tc>
          <w:tcPr>
            <w:tcW w:w="10200" w:type="dxa"/>
            <w:vAlign w:val="bottom"/>
            <w:tcBorders>
              <w:top w:val="single" w:sz="8" w:color="0000FF"/>
            </w:tcBorders>
            <w:gridSpan w:val="23"/>
          </w:tcPr>
          <w:p>
            <w:pPr>
              <w:spacing w:after="0" w:line="167" w:lineRule="exact"/>
              <w:rPr>
                <w:rFonts w:ascii="Arial" w:cs="Arial" w:eastAsia="Arial" w:hAnsi="Arial"/>
                <w:sz w:val="18"/>
                <w:szCs w:val="18"/>
                <w:color w:val="0000FF"/>
              </w:rPr>
            </w:pPr>
            <w:hyperlink r:id="rId47">
              <w:r>
                <w:rPr>
                  <w:rFonts w:ascii="Arial" w:cs="Arial" w:eastAsia="Arial" w:hAnsi="Arial"/>
                  <w:sz w:val="18"/>
                  <w:szCs w:val="18"/>
                  <w:color w:val="0000FF"/>
                </w:rPr>
                <w:t>filed on November 3, 2016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4.3</w:t>
            </w:r>
          </w:p>
        </w:tc>
        <w:tc>
          <w:tcPr>
            <w:tcW w:w="10300" w:type="dxa"/>
            <w:vAlign w:val="bottom"/>
            <w:gridSpan w:val="28"/>
            <w:shd w:val="clear" w:color="auto" w:fill="CCEEFF"/>
          </w:tcPr>
          <w:p>
            <w:pPr>
              <w:spacing w:after="0" w:line="187" w:lineRule="exact"/>
              <w:rPr>
                <w:rFonts w:ascii="Arial" w:cs="Arial" w:eastAsia="Arial" w:hAnsi="Arial"/>
                <w:sz w:val="18"/>
                <w:szCs w:val="18"/>
                <w:color w:val="0000FF"/>
                <w:w w:val="97"/>
              </w:rPr>
            </w:pPr>
            <w:hyperlink r:id="rId47">
              <w:r>
                <w:rPr>
                  <w:rFonts w:ascii="Arial" w:cs="Arial" w:eastAsia="Arial" w:hAnsi="Arial"/>
                  <w:sz w:val="18"/>
                  <w:szCs w:val="18"/>
                  <w:color w:val="0000FF"/>
                  <w:w w:val="97"/>
                </w:rPr>
                <w:t>Form of 3.000% Notes due 2023 (filed as Exhibit A in Exhibit 4.2 to LII’s Current Report on Form 8-K filed on November 3, 2016 and</w:t>
              </w:r>
            </w:hyperlink>
          </w:p>
        </w:tc>
      </w:tr>
      <w:tr>
        <w:trPr>
          <w:trHeight w:val="154"/>
        </w:trPr>
        <w:tc>
          <w:tcPr>
            <w:tcW w:w="940" w:type="dxa"/>
            <w:vAlign w:val="bottom"/>
            <w:tcBorders>
              <w:top w:val="single" w:sz="8" w:color="CCEEFF"/>
            </w:tcBorders>
            <w:shd w:val="clear" w:color="auto" w:fill="CCEEFF"/>
          </w:tcPr>
          <w:p>
            <w:pPr>
              <w:spacing w:after="0"/>
              <w:rPr>
                <w:sz w:val="13"/>
                <w:szCs w:val="13"/>
                <w:color w:val="auto"/>
              </w:rPr>
            </w:pPr>
          </w:p>
        </w:tc>
        <w:tc>
          <w:tcPr>
            <w:tcW w:w="9640" w:type="dxa"/>
            <w:vAlign w:val="bottom"/>
            <w:tcBorders>
              <w:top w:val="single" w:sz="8" w:color="0000FF"/>
            </w:tcBorders>
            <w:gridSpan w:val="11"/>
            <w:shd w:val="clear" w:color="auto" w:fill="CCEEFF"/>
          </w:tcPr>
          <w:p>
            <w:pPr>
              <w:spacing w:after="0" w:line="154" w:lineRule="exact"/>
              <w:rPr>
                <w:rFonts w:ascii="Arial" w:cs="Arial" w:eastAsia="Arial" w:hAnsi="Arial"/>
                <w:sz w:val="17"/>
                <w:szCs w:val="17"/>
                <w:color w:val="0000FF"/>
              </w:rPr>
            </w:pPr>
            <w:hyperlink r:id="rId47">
              <w:r>
                <w:rPr>
                  <w:rFonts w:ascii="Arial" w:cs="Arial" w:eastAsia="Arial" w:hAnsi="Arial"/>
                  <w:sz w:val="17"/>
                  <w:szCs w:val="17"/>
                  <w:color w:val="0000FF"/>
                </w:rPr>
                <w:t>incorporated herein by reference).</w:t>
              </w:r>
            </w:hyperlink>
          </w:p>
        </w:tc>
        <w:tc>
          <w:tcPr>
            <w:tcW w:w="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33"/>
        </w:trPr>
        <w:tc>
          <w:tcPr>
            <w:tcW w:w="9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9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7"/>
        </w:trPr>
        <w:tc>
          <w:tcPr>
            <w:tcW w:w="940" w:type="dxa"/>
            <w:vAlign w:val="bottom"/>
          </w:tcPr>
          <w:p>
            <w:pPr>
              <w:ind w:left="20"/>
              <w:spacing w:after="0" w:line="187" w:lineRule="exact"/>
              <w:rPr>
                <w:sz w:val="20"/>
                <w:szCs w:val="20"/>
                <w:color w:val="auto"/>
              </w:rPr>
            </w:pPr>
            <w:r>
              <w:rPr>
                <w:rFonts w:ascii="Arial" w:cs="Arial" w:eastAsia="Arial" w:hAnsi="Arial"/>
                <w:sz w:val="18"/>
                <w:szCs w:val="18"/>
                <w:color w:val="auto"/>
              </w:rPr>
              <w:t>4.4</w:t>
            </w:r>
          </w:p>
        </w:tc>
        <w:tc>
          <w:tcPr>
            <w:tcW w:w="10300" w:type="dxa"/>
            <w:vAlign w:val="bottom"/>
            <w:gridSpan w:val="28"/>
          </w:tcPr>
          <w:p>
            <w:pPr>
              <w:spacing w:after="0" w:line="187"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Ninth Supplemental Indenture, dated as of July 30, 2020, among LII, each existing Guarantor under the Indenture, dated as of May 3, 2010, as</w:t>
              </w:r>
            </w:hyperlink>
          </w:p>
        </w:tc>
      </w:tr>
      <w:tr>
        <w:trPr>
          <w:trHeight w:val="154"/>
        </w:trPr>
        <w:tc>
          <w:tcPr>
            <w:tcW w:w="940" w:type="dxa"/>
            <w:vAlign w:val="bottom"/>
          </w:tcPr>
          <w:p>
            <w:pPr>
              <w:spacing w:after="0"/>
              <w:rPr>
                <w:sz w:val="13"/>
                <w:szCs w:val="13"/>
                <w:color w:val="auto"/>
              </w:rPr>
            </w:pPr>
          </w:p>
        </w:tc>
        <w:tc>
          <w:tcPr>
            <w:tcW w:w="10240" w:type="dxa"/>
            <w:vAlign w:val="bottom"/>
            <w:tcBorders>
              <w:top w:val="single" w:sz="8" w:color="0000FF"/>
            </w:tcBorders>
            <w:gridSpan w:val="25"/>
          </w:tcPr>
          <w:p>
            <w:pPr>
              <w:spacing w:after="0" w:line="154" w:lineRule="exact"/>
              <w:rPr>
                <w:rFonts w:ascii="Arial" w:cs="Arial" w:eastAsia="Arial" w:hAnsi="Arial"/>
                <w:sz w:val="17"/>
                <w:szCs w:val="17"/>
                <w:color w:val="0000FF"/>
                <w:w w:val="97"/>
              </w:rPr>
            </w:pPr>
            <w:hyperlink r:id="rId48">
              <w:r>
                <w:rPr>
                  <w:rFonts w:ascii="Arial" w:cs="Arial" w:eastAsia="Arial" w:hAnsi="Arial"/>
                  <w:sz w:val="17"/>
                  <w:szCs w:val="17"/>
                  <w:color w:val="0000FF"/>
                  <w:w w:val="97"/>
                </w:rPr>
                <w:t>subsequently supplemented, and U.S. Bank National Association, as trustee (filed as Exhibit 4.2 to LII’s Current Report on Form 8-K filed on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4"/>
        </w:trPr>
        <w:tc>
          <w:tcPr>
            <w:tcW w:w="940" w:type="dxa"/>
            <w:vAlign w:val="bottom"/>
          </w:tcPr>
          <w:p>
            <w:pPr>
              <w:spacing w:after="0"/>
              <w:rPr>
                <w:sz w:val="13"/>
                <w:szCs w:val="13"/>
                <w:color w:val="auto"/>
              </w:rPr>
            </w:pPr>
          </w:p>
        </w:tc>
        <w:tc>
          <w:tcPr>
            <w:tcW w:w="10140" w:type="dxa"/>
            <w:vAlign w:val="bottom"/>
            <w:tcBorders>
              <w:top w:val="single" w:sz="8" w:color="0000FF"/>
            </w:tcBorders>
            <w:gridSpan w:val="20"/>
          </w:tcPr>
          <w:p>
            <w:pPr>
              <w:spacing w:after="0" w:line="154" w:lineRule="exact"/>
              <w:rPr>
                <w:rFonts w:ascii="Arial" w:cs="Arial" w:eastAsia="Arial" w:hAnsi="Arial"/>
                <w:sz w:val="17"/>
                <w:szCs w:val="17"/>
                <w:color w:val="0000FF"/>
              </w:rPr>
            </w:pPr>
            <w:hyperlink r:id="rId48">
              <w:r>
                <w:rPr>
                  <w:rFonts w:ascii="Arial" w:cs="Arial" w:eastAsia="Arial" w:hAnsi="Arial"/>
                  <w:sz w:val="17"/>
                  <w:szCs w:val="17"/>
                  <w:color w:val="0000FF"/>
                </w:rPr>
                <w:t>July 30, 2020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3"/>
        </w:trPr>
        <w:tc>
          <w:tcPr>
            <w:tcW w:w="9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9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4.5</w:t>
            </w:r>
          </w:p>
        </w:tc>
        <w:tc>
          <w:tcPr>
            <w:tcW w:w="10300" w:type="dxa"/>
            <w:vAlign w:val="bottom"/>
            <w:gridSpan w:val="28"/>
            <w:shd w:val="clear" w:color="auto" w:fill="CCEEFF"/>
          </w:tcPr>
          <w:p>
            <w:pPr>
              <w:spacing w:after="0" w:line="187"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Form of 1.350% Notes due 2025 (filed as Exhibit A in Exhibit 4.2 to LII’s Current Report on Form 8-K filed on July 30, 2020 and incorporate</w:t>
              </w:r>
            </w:hyperlink>
          </w:p>
        </w:tc>
      </w:tr>
      <w:tr>
        <w:trPr>
          <w:trHeight w:val="154"/>
        </w:trPr>
        <w:tc>
          <w:tcPr>
            <w:tcW w:w="940" w:type="dxa"/>
            <w:vAlign w:val="bottom"/>
            <w:tcBorders>
              <w:top w:val="single" w:sz="8" w:color="CCEEFF"/>
            </w:tcBorders>
            <w:shd w:val="clear" w:color="auto" w:fill="CCEEFF"/>
          </w:tcPr>
          <w:p>
            <w:pPr>
              <w:spacing w:after="0"/>
              <w:rPr>
                <w:sz w:val="13"/>
                <w:szCs w:val="13"/>
                <w:color w:val="auto"/>
              </w:rPr>
            </w:pPr>
          </w:p>
        </w:tc>
        <w:tc>
          <w:tcPr>
            <w:tcW w:w="10280" w:type="dxa"/>
            <w:vAlign w:val="bottom"/>
            <w:tcBorders>
              <w:top w:val="single" w:sz="8" w:color="0000FF"/>
            </w:tcBorders>
            <w:gridSpan w:val="27"/>
            <w:shd w:val="clear" w:color="auto" w:fill="CCEEFF"/>
          </w:tcPr>
          <w:p>
            <w:pPr>
              <w:spacing w:after="0" w:line="154" w:lineRule="exact"/>
              <w:rPr>
                <w:rFonts w:ascii="Arial" w:cs="Arial" w:eastAsia="Arial" w:hAnsi="Arial"/>
                <w:sz w:val="17"/>
                <w:szCs w:val="17"/>
                <w:color w:val="0000FF"/>
              </w:rPr>
            </w:pPr>
            <w:hyperlink r:id="rId48">
              <w:r>
                <w:rPr>
                  <w:rFonts w:ascii="Arial" w:cs="Arial" w:eastAsia="Arial" w:hAnsi="Arial"/>
                  <w:sz w:val="17"/>
                  <w:szCs w:val="17"/>
                  <w:color w:val="0000FF"/>
                </w:rPr>
                <w:t>herein by reference).</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940" w:type="dxa"/>
            <w:vAlign w:val="bottom"/>
          </w:tcPr>
          <w:p>
            <w:pPr>
              <w:ind w:left="20"/>
              <w:spacing w:after="0" w:line="187" w:lineRule="exact"/>
              <w:rPr>
                <w:sz w:val="20"/>
                <w:szCs w:val="20"/>
                <w:color w:val="auto"/>
              </w:rPr>
            </w:pPr>
            <w:r>
              <w:rPr>
                <w:rFonts w:ascii="Arial" w:cs="Arial" w:eastAsia="Arial" w:hAnsi="Arial"/>
                <w:sz w:val="18"/>
                <w:szCs w:val="18"/>
                <w:color w:val="auto"/>
              </w:rPr>
              <w:t>4.6</w:t>
            </w:r>
          </w:p>
        </w:tc>
        <w:tc>
          <w:tcPr>
            <w:tcW w:w="10300" w:type="dxa"/>
            <w:vAlign w:val="bottom"/>
            <w:gridSpan w:val="28"/>
          </w:tcPr>
          <w:p>
            <w:pPr>
              <w:spacing w:after="0" w:line="187"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Form of 1.700% Notes due 2027 (filed as Exhibit B in Exhibit 4.2 to LII’s Current Report on Form 8-K filed on July 30, 2020 and incorporate</w:t>
              </w:r>
            </w:hyperlink>
          </w:p>
        </w:tc>
      </w:tr>
      <w:tr>
        <w:trPr>
          <w:trHeight w:val="167"/>
        </w:trPr>
        <w:tc>
          <w:tcPr>
            <w:tcW w:w="940" w:type="dxa"/>
            <w:vAlign w:val="bottom"/>
          </w:tcPr>
          <w:p>
            <w:pPr>
              <w:spacing w:after="0"/>
              <w:rPr>
                <w:sz w:val="14"/>
                <w:szCs w:val="14"/>
                <w:color w:val="auto"/>
              </w:rPr>
            </w:pPr>
          </w:p>
        </w:tc>
        <w:tc>
          <w:tcPr>
            <w:tcW w:w="10280" w:type="dxa"/>
            <w:vAlign w:val="bottom"/>
            <w:tcBorders>
              <w:top w:val="single" w:sz="8" w:color="0000FF"/>
            </w:tcBorders>
            <w:gridSpan w:val="27"/>
          </w:tcPr>
          <w:p>
            <w:pPr>
              <w:spacing w:after="0" w:line="167" w:lineRule="exact"/>
              <w:rPr>
                <w:rFonts w:ascii="Arial" w:cs="Arial" w:eastAsia="Arial" w:hAnsi="Arial"/>
                <w:sz w:val="18"/>
                <w:szCs w:val="18"/>
                <w:color w:val="0000FF"/>
              </w:rPr>
            </w:pPr>
            <w:hyperlink r:id="rId48">
              <w:r>
                <w:rPr>
                  <w:rFonts w:ascii="Arial" w:cs="Arial" w:eastAsia="Arial" w:hAnsi="Arial"/>
                  <w:sz w:val="18"/>
                  <w:szCs w:val="18"/>
                  <w:color w:val="0000FF"/>
                </w:rPr>
                <w:t>herein by reference).</w:t>
              </w:r>
            </w:hyperlink>
          </w:p>
        </w:tc>
        <w:tc>
          <w:tcPr>
            <w:tcW w:w="2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4.7</w:t>
            </w:r>
          </w:p>
        </w:tc>
        <w:tc>
          <w:tcPr>
            <w:tcW w:w="10300" w:type="dxa"/>
            <w:vAlign w:val="bottom"/>
            <w:gridSpan w:val="28"/>
            <w:shd w:val="clear" w:color="auto" w:fill="CCEEFF"/>
          </w:tcPr>
          <w:p>
            <w:pPr>
              <w:spacing w:after="0" w:line="187"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Tenth Supplemental Indenture, dated as of July 14, 2021, among LII, each existing Guarantor under the Indenture, dated as of May 3, 2010, as</w:t>
              </w:r>
            </w:hyperlink>
          </w:p>
        </w:tc>
      </w:tr>
      <w:tr>
        <w:trPr>
          <w:trHeight w:val="154"/>
        </w:trPr>
        <w:tc>
          <w:tcPr>
            <w:tcW w:w="940" w:type="dxa"/>
            <w:vAlign w:val="bottom"/>
            <w:tcBorders>
              <w:top w:val="single" w:sz="8" w:color="CCEEFF"/>
            </w:tcBorders>
            <w:shd w:val="clear" w:color="auto" w:fill="CCEEFF"/>
          </w:tcPr>
          <w:p>
            <w:pPr>
              <w:spacing w:after="0"/>
              <w:rPr>
                <w:sz w:val="13"/>
                <w:szCs w:val="13"/>
                <w:color w:val="auto"/>
              </w:rPr>
            </w:pPr>
          </w:p>
        </w:tc>
        <w:tc>
          <w:tcPr>
            <w:tcW w:w="10220" w:type="dxa"/>
            <w:vAlign w:val="bottom"/>
            <w:tcBorders>
              <w:top w:val="single" w:sz="8" w:color="0000FF"/>
            </w:tcBorders>
            <w:gridSpan w:val="24"/>
            <w:shd w:val="clear" w:color="auto" w:fill="CCEEFF"/>
          </w:tcPr>
          <w:p>
            <w:pPr>
              <w:spacing w:after="0" w:line="154" w:lineRule="exact"/>
              <w:rPr>
                <w:rFonts w:ascii="Arial" w:cs="Arial" w:eastAsia="Arial" w:hAnsi="Arial"/>
                <w:sz w:val="17"/>
                <w:szCs w:val="17"/>
                <w:color w:val="0000FF"/>
                <w:w w:val="96"/>
              </w:rPr>
            </w:pPr>
            <w:hyperlink r:id="rId49">
              <w:r>
                <w:rPr>
                  <w:rFonts w:ascii="Arial" w:cs="Arial" w:eastAsia="Arial" w:hAnsi="Arial"/>
                  <w:sz w:val="17"/>
                  <w:szCs w:val="17"/>
                  <w:color w:val="0000FF"/>
                  <w:w w:val="96"/>
                </w:rPr>
                <w:t>subsequently supplemented, and U.S. Bank National Association, as trustee (filed as Exhibit 4.7 to LII's Annual Report on Form 10-K filed on</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167"/>
        </w:trPr>
        <w:tc>
          <w:tcPr>
            <w:tcW w:w="940" w:type="dxa"/>
            <w:vAlign w:val="bottom"/>
            <w:tcBorders>
              <w:top w:val="single" w:sz="8" w:color="CCEEFF"/>
            </w:tcBorders>
            <w:shd w:val="clear" w:color="auto" w:fill="CCEEFF"/>
          </w:tcPr>
          <w:p>
            <w:pPr>
              <w:spacing w:after="0"/>
              <w:rPr>
                <w:sz w:val="14"/>
                <w:szCs w:val="14"/>
                <w:color w:val="auto"/>
              </w:rPr>
            </w:pPr>
          </w:p>
        </w:tc>
        <w:tc>
          <w:tcPr>
            <w:tcW w:w="10180" w:type="dxa"/>
            <w:vAlign w:val="bottom"/>
            <w:tcBorders>
              <w:top w:val="single" w:sz="8" w:color="0000FF"/>
            </w:tcBorders>
            <w:gridSpan w:val="22"/>
            <w:shd w:val="clear" w:color="auto" w:fill="CCEEFF"/>
          </w:tcPr>
          <w:p>
            <w:pPr>
              <w:spacing w:after="0" w:line="167" w:lineRule="exact"/>
              <w:rPr>
                <w:rFonts w:ascii="Arial" w:cs="Arial" w:eastAsia="Arial" w:hAnsi="Arial"/>
                <w:sz w:val="18"/>
                <w:szCs w:val="18"/>
                <w:color w:val="0000FF"/>
              </w:rPr>
            </w:pPr>
            <w:hyperlink r:id="rId49">
              <w:r>
                <w:rPr>
                  <w:rFonts w:ascii="Arial" w:cs="Arial" w:eastAsia="Arial" w:hAnsi="Arial"/>
                  <w:sz w:val="18"/>
                  <w:szCs w:val="18"/>
                  <w:color w:val="0000FF"/>
                </w:rPr>
                <w:t>February 15, 2022 and incorporated herein by reference).</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13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7"/>
        </w:trPr>
        <w:tc>
          <w:tcPr>
            <w:tcW w:w="940" w:type="dxa"/>
            <w:vAlign w:val="bottom"/>
          </w:tcPr>
          <w:p>
            <w:pPr>
              <w:ind w:left="20"/>
              <w:spacing w:after="0" w:line="187" w:lineRule="exact"/>
              <w:rPr>
                <w:sz w:val="20"/>
                <w:szCs w:val="20"/>
                <w:color w:val="auto"/>
              </w:rPr>
            </w:pPr>
            <w:r>
              <w:rPr>
                <w:rFonts w:ascii="Arial" w:cs="Arial" w:eastAsia="Arial" w:hAnsi="Arial"/>
                <w:sz w:val="18"/>
                <w:szCs w:val="18"/>
                <w:color w:val="auto"/>
              </w:rPr>
              <w:t>10.20</w:t>
            </w:r>
          </w:p>
        </w:tc>
        <w:tc>
          <w:tcPr>
            <w:tcW w:w="10300" w:type="dxa"/>
            <w:vAlign w:val="bottom"/>
            <w:gridSpan w:val="28"/>
          </w:tcPr>
          <w:p>
            <w:pPr>
              <w:spacing w:after="0" w:line="187" w:lineRule="exact"/>
              <w:rPr>
                <w:rFonts w:ascii="Arial" w:cs="Arial" w:eastAsia="Arial" w:hAnsi="Arial"/>
                <w:sz w:val="18"/>
                <w:szCs w:val="18"/>
                <w:color w:val="0000FF"/>
                <w:w w:val="96"/>
              </w:rPr>
            </w:pPr>
            <w:hyperlink r:id="rId50">
              <w:r>
                <w:rPr>
                  <w:rFonts w:ascii="Arial" w:cs="Arial" w:eastAsia="Arial" w:hAnsi="Arial"/>
                  <w:sz w:val="18"/>
                  <w:szCs w:val="18"/>
                  <w:color w:val="0000FF"/>
                  <w:w w:val="96"/>
                </w:rPr>
                <w:t>First Amendment of the Credit Agreement, dated as of April 14, 2023, among Lennox International Inc., the lenders party thereto, and</w:t>
              </w:r>
            </w:hyperlink>
          </w:p>
        </w:tc>
      </w:tr>
      <w:tr>
        <w:trPr>
          <w:trHeight w:val="20"/>
        </w:trPr>
        <w:tc>
          <w:tcPr>
            <w:tcW w:w="94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12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4"/>
        </w:trPr>
        <w:tc>
          <w:tcPr>
            <w:tcW w:w="940" w:type="dxa"/>
            <w:vAlign w:val="bottom"/>
          </w:tcPr>
          <w:p>
            <w:pPr>
              <w:spacing w:after="0"/>
              <w:rPr>
                <w:sz w:val="13"/>
                <w:szCs w:val="13"/>
                <w:color w:val="auto"/>
              </w:rPr>
            </w:pPr>
          </w:p>
        </w:tc>
        <w:tc>
          <w:tcPr>
            <w:tcW w:w="10300" w:type="dxa"/>
            <w:vAlign w:val="bottom"/>
            <w:gridSpan w:val="28"/>
          </w:tcPr>
          <w:p>
            <w:pPr>
              <w:spacing w:after="0" w:line="154" w:lineRule="exact"/>
              <w:rPr>
                <w:rFonts w:ascii="Arial" w:cs="Arial" w:eastAsia="Arial" w:hAnsi="Arial"/>
                <w:sz w:val="17"/>
                <w:szCs w:val="17"/>
                <w:color w:val="0000FF"/>
                <w:w w:val="99"/>
              </w:rPr>
            </w:pPr>
            <w:hyperlink r:id="rId50">
              <w:r>
                <w:rPr>
                  <w:rFonts w:ascii="Arial" w:cs="Arial" w:eastAsia="Arial" w:hAnsi="Arial"/>
                  <w:sz w:val="17"/>
                  <w:szCs w:val="17"/>
                  <w:color w:val="0000FF"/>
                  <w:w w:val="99"/>
                </w:rPr>
                <w:t>JPMorgan Chase Bank, N.A., as Administrative Agent (filed as Exhibit 10.1 to LII's Current Report on Form 8-K filed on April 18, 2023 and</w:t>
              </w:r>
            </w:hyperlink>
          </w:p>
        </w:tc>
      </w:tr>
      <w:tr>
        <w:trPr>
          <w:trHeight w:val="167"/>
        </w:trPr>
        <w:tc>
          <w:tcPr>
            <w:tcW w:w="940" w:type="dxa"/>
            <w:vAlign w:val="bottom"/>
          </w:tcPr>
          <w:p>
            <w:pPr>
              <w:spacing w:after="0"/>
              <w:rPr>
                <w:sz w:val="14"/>
                <w:szCs w:val="14"/>
                <w:color w:val="auto"/>
              </w:rPr>
            </w:pPr>
          </w:p>
        </w:tc>
        <w:tc>
          <w:tcPr>
            <w:tcW w:w="10040" w:type="dxa"/>
            <w:vAlign w:val="bottom"/>
            <w:tcBorders>
              <w:top w:val="single" w:sz="8" w:color="0000FF"/>
            </w:tcBorders>
            <w:gridSpan w:val="16"/>
          </w:tcPr>
          <w:p>
            <w:pPr>
              <w:spacing w:after="0" w:line="167" w:lineRule="exact"/>
              <w:rPr>
                <w:rFonts w:ascii="Arial" w:cs="Arial" w:eastAsia="Arial" w:hAnsi="Arial"/>
                <w:sz w:val="18"/>
                <w:szCs w:val="18"/>
                <w:color w:val="0000FF"/>
              </w:rPr>
            </w:pPr>
            <w:hyperlink r:id="rId50">
              <w:r>
                <w:rPr>
                  <w:rFonts w:ascii="Arial" w:cs="Arial" w:eastAsia="Arial" w:hAnsi="Arial"/>
                  <w:sz w:val="18"/>
                  <w:szCs w:val="18"/>
                  <w:color w:val="0000FF"/>
                </w:rPr>
                <w:t>incorporated herein by reference).</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9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10.21</w:t>
            </w:r>
          </w:p>
        </w:tc>
        <w:tc>
          <w:tcPr>
            <w:tcW w:w="10300" w:type="dxa"/>
            <w:vAlign w:val="bottom"/>
            <w:gridSpan w:val="28"/>
            <w:shd w:val="clear" w:color="auto" w:fill="CCEEFF"/>
          </w:tcPr>
          <w:p>
            <w:pPr>
              <w:spacing w:after="0" w:line="187" w:lineRule="exact"/>
              <w:rPr>
                <w:rFonts w:ascii="Arial" w:cs="Arial" w:eastAsia="Arial" w:hAnsi="Arial"/>
                <w:sz w:val="18"/>
                <w:szCs w:val="18"/>
                <w:color w:val="0000FF"/>
                <w:w w:val="89"/>
              </w:rPr>
            </w:pPr>
            <w:hyperlink r:id="rId51">
              <w:r>
                <w:rPr>
                  <w:rFonts w:ascii="Arial" w:cs="Arial" w:eastAsia="Arial" w:hAnsi="Arial"/>
                  <w:sz w:val="18"/>
                  <w:szCs w:val="18"/>
                  <w:color w:val="0000FF"/>
                  <w:w w:val="89"/>
                </w:rPr>
                <w:t>Amendment No. 12 to Amended and Restated Receivables Purchase Agreement, dated as of April 14, 2023, among LPAC Corp., as the Seller,</w:t>
              </w:r>
            </w:hyperlink>
          </w:p>
        </w:tc>
      </w:tr>
      <w:tr>
        <w:trPr>
          <w:trHeight w:val="154"/>
        </w:trPr>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10160" w:type="dxa"/>
            <w:vAlign w:val="bottom"/>
            <w:tcBorders>
              <w:top w:val="single" w:sz="8" w:color="0000FF"/>
              <w:bottom w:val="single" w:sz="8" w:color="0000FF"/>
            </w:tcBorders>
            <w:gridSpan w:val="21"/>
            <w:shd w:val="clear" w:color="auto" w:fill="CCEEFF"/>
          </w:tcPr>
          <w:p>
            <w:pPr>
              <w:spacing w:after="0" w:line="154" w:lineRule="exact"/>
              <w:rPr>
                <w:rFonts w:ascii="Arial" w:cs="Arial" w:eastAsia="Arial" w:hAnsi="Arial"/>
                <w:sz w:val="17"/>
                <w:szCs w:val="17"/>
                <w:color w:val="0000FF"/>
                <w:w w:val="95"/>
              </w:rPr>
            </w:pPr>
            <w:hyperlink r:id="rId51">
              <w:r>
                <w:rPr>
                  <w:rFonts w:ascii="Arial" w:cs="Arial" w:eastAsia="Arial" w:hAnsi="Arial"/>
                  <w:sz w:val="17"/>
                  <w:szCs w:val="17"/>
                  <w:color w:val="0000FF"/>
                  <w:w w:val="95"/>
                </w:rPr>
                <w:t>Lennox Industries Inc., as the Master Servicer, Lennox International Inc., Victory Receivables Corporation, as a Purchaser, MUFG Bank, Ltd.,</w:t>
              </w:r>
            </w:hyperlink>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r>
      <w:tr>
        <w:trPr>
          <w:trHeight w:val="167"/>
        </w:trPr>
        <w:tc>
          <w:tcPr>
            <w:tcW w:w="940" w:type="dxa"/>
            <w:vAlign w:val="bottom"/>
            <w:shd w:val="clear" w:color="auto" w:fill="CCEEFF"/>
          </w:tcPr>
          <w:p>
            <w:pPr>
              <w:spacing w:after="0"/>
              <w:rPr>
                <w:sz w:val="14"/>
                <w:szCs w:val="14"/>
                <w:color w:val="auto"/>
              </w:rPr>
            </w:pPr>
          </w:p>
        </w:tc>
        <w:tc>
          <w:tcPr>
            <w:tcW w:w="10260" w:type="dxa"/>
            <w:vAlign w:val="bottom"/>
            <w:gridSpan w:val="26"/>
            <w:shd w:val="clear" w:color="auto" w:fill="CCEEFF"/>
          </w:tcPr>
          <w:p>
            <w:pPr>
              <w:spacing w:after="0" w:line="167" w:lineRule="exact"/>
              <w:rPr>
                <w:rFonts w:ascii="Arial" w:cs="Arial" w:eastAsia="Arial" w:hAnsi="Arial"/>
                <w:sz w:val="18"/>
                <w:szCs w:val="18"/>
                <w:color w:val="0000FF"/>
                <w:w w:val="94"/>
              </w:rPr>
            </w:pPr>
            <w:hyperlink r:id="rId51">
              <w:r>
                <w:rPr>
                  <w:rFonts w:ascii="Arial" w:cs="Arial" w:eastAsia="Arial" w:hAnsi="Arial"/>
                  <w:sz w:val="18"/>
                  <w:szCs w:val="18"/>
                  <w:color w:val="0000FF"/>
                  <w:w w:val="94"/>
                </w:rPr>
                <w:t>formerly known as The Bank of Tokyo-Mitsubishi UFJ, Ltd., as administrative agent for the Investors, the purchaser agent for the MUFG</w:t>
              </w:r>
            </w:hyperlink>
          </w:p>
        </w:tc>
        <w:tc>
          <w:tcPr>
            <w:tcW w:w="40" w:type="dxa"/>
            <w:vAlign w:val="bottom"/>
            <w:gridSpan w:val="2"/>
            <w:shd w:val="clear" w:color="auto" w:fill="CCEEFF"/>
          </w:tcPr>
          <w:p>
            <w:pPr>
              <w:spacing w:after="0"/>
              <w:rPr>
                <w:sz w:val="14"/>
                <w:szCs w:val="14"/>
                <w:color w:val="auto"/>
              </w:rPr>
            </w:pPr>
          </w:p>
        </w:tc>
      </w:tr>
      <w:tr>
        <w:trPr>
          <w:trHeight w:val="154"/>
        </w:trPr>
        <w:tc>
          <w:tcPr>
            <w:tcW w:w="940" w:type="dxa"/>
            <w:vAlign w:val="bottom"/>
            <w:tcBorders>
              <w:top w:val="single" w:sz="8" w:color="CCEEFF"/>
              <w:bottom w:val="single" w:sz="8" w:color="CCEEFF"/>
            </w:tcBorders>
            <w:shd w:val="clear" w:color="auto" w:fill="CCEEFF"/>
          </w:tcPr>
          <w:p>
            <w:pPr>
              <w:spacing w:after="0"/>
              <w:rPr>
                <w:sz w:val="13"/>
                <w:szCs w:val="13"/>
                <w:color w:val="auto"/>
              </w:rPr>
            </w:pPr>
          </w:p>
        </w:tc>
        <w:tc>
          <w:tcPr>
            <w:tcW w:w="9800" w:type="dxa"/>
            <w:vAlign w:val="bottom"/>
            <w:tcBorders>
              <w:top w:val="single" w:sz="8" w:color="0000FF"/>
              <w:bottom w:val="single" w:sz="8" w:color="0000FF"/>
            </w:tcBorders>
            <w:gridSpan w:val="12"/>
            <w:shd w:val="clear" w:color="auto" w:fill="CCEEFF"/>
          </w:tcPr>
          <w:p>
            <w:pPr>
              <w:spacing w:after="0" w:line="154" w:lineRule="exact"/>
              <w:rPr>
                <w:rFonts w:ascii="Arial" w:cs="Arial" w:eastAsia="Arial" w:hAnsi="Arial"/>
                <w:sz w:val="17"/>
                <w:szCs w:val="17"/>
                <w:color w:val="0000FF"/>
                <w:w w:val="94"/>
              </w:rPr>
            </w:pPr>
            <w:hyperlink r:id="rId51">
              <w:r>
                <w:rPr>
                  <w:rFonts w:ascii="Arial" w:cs="Arial" w:eastAsia="Arial" w:hAnsi="Arial"/>
                  <w:sz w:val="17"/>
                  <w:szCs w:val="17"/>
                  <w:color w:val="0000FF"/>
                  <w:w w:val="94"/>
                </w:rPr>
                <w:t>Purchaser Group and a MUFG Liquidity Bank, Wells Fargo Bank, N.A., as the purchaser agent for the WFB Purchaser Group and a WFB</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9"/>
            <w:shd w:val="clear" w:color="auto" w:fill="CCEEFF"/>
          </w:tcPr>
          <w:p>
            <w:pPr>
              <w:spacing w:after="0"/>
              <w:rPr>
                <w:sz w:val="13"/>
                <w:szCs w:val="13"/>
                <w:color w:val="auto"/>
              </w:rPr>
            </w:pPr>
          </w:p>
        </w:tc>
      </w:tr>
      <w:tr>
        <w:trPr>
          <w:trHeight w:val="154"/>
        </w:trPr>
        <w:tc>
          <w:tcPr>
            <w:tcW w:w="940" w:type="dxa"/>
            <w:vAlign w:val="bottom"/>
            <w:shd w:val="clear" w:color="auto" w:fill="CCEEFF"/>
          </w:tcPr>
          <w:p>
            <w:pPr>
              <w:spacing w:after="0"/>
              <w:rPr>
                <w:sz w:val="13"/>
                <w:szCs w:val="13"/>
                <w:color w:val="auto"/>
              </w:rPr>
            </w:pPr>
          </w:p>
        </w:tc>
        <w:tc>
          <w:tcPr>
            <w:tcW w:w="10300" w:type="dxa"/>
            <w:vAlign w:val="bottom"/>
            <w:gridSpan w:val="28"/>
            <w:shd w:val="clear" w:color="auto" w:fill="CCEEFF"/>
          </w:tcPr>
          <w:p>
            <w:pPr>
              <w:spacing w:after="0" w:line="154" w:lineRule="exact"/>
              <w:rPr>
                <w:rFonts w:ascii="Arial" w:cs="Arial" w:eastAsia="Arial" w:hAnsi="Arial"/>
                <w:sz w:val="17"/>
                <w:szCs w:val="17"/>
                <w:color w:val="0000FF"/>
                <w:w w:val="97"/>
              </w:rPr>
            </w:pPr>
            <w:hyperlink r:id="rId51">
              <w:r>
                <w:rPr>
                  <w:rFonts w:ascii="Arial" w:cs="Arial" w:eastAsia="Arial" w:hAnsi="Arial"/>
                  <w:sz w:val="17"/>
                  <w:szCs w:val="17"/>
                  <w:color w:val="0000FF"/>
                  <w:w w:val="97"/>
                </w:rPr>
                <w:t>Liquidity Bank, and PNC Bank, N.A., as the purchaser agent for the PNC Purchaser Group and a PNC Liquidity Bank, including attachments</w:t>
              </w:r>
            </w:hyperlink>
          </w:p>
        </w:tc>
      </w:tr>
      <w:tr>
        <w:trPr>
          <w:trHeight w:val="187"/>
        </w:trPr>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8600" w:type="dxa"/>
            <w:vAlign w:val="bottom"/>
            <w:tcBorders>
              <w:top w:val="single" w:sz="8" w:color="0000FF"/>
              <w:bottom w:val="single" w:sz="8" w:color="0000FF"/>
            </w:tcBorders>
            <w:gridSpan w:val="9"/>
            <w:shd w:val="clear" w:color="auto" w:fill="CCEEFF"/>
          </w:tcPr>
          <w:p>
            <w:pPr>
              <w:spacing w:after="0" w:line="167"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(filed as Exhibit 10.2 to LII's Current Report on Form 8-K filed on April 18, 2023 and incorporated herein by reference).</w:t>
              </w:r>
            </w:hyperlink>
          </w:p>
        </w:tc>
        <w:tc>
          <w:tcPr>
            <w:tcW w:w="152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9"/>
            <w:shd w:val="clear" w:color="auto" w:fill="CCEEFF"/>
          </w:tcPr>
          <w:p>
            <w:pPr>
              <w:spacing w:after="0"/>
              <w:rPr>
                <w:sz w:val="16"/>
                <w:szCs w:val="16"/>
                <w:color w:val="auto"/>
              </w:rPr>
            </w:pPr>
          </w:p>
        </w:tc>
      </w:tr>
      <w:tr>
        <w:trPr>
          <w:trHeight w:val="187"/>
        </w:trPr>
        <w:tc>
          <w:tcPr>
            <w:tcW w:w="940" w:type="dxa"/>
            <w:vAlign w:val="bottom"/>
          </w:tcPr>
          <w:p>
            <w:pPr>
              <w:ind w:left="20"/>
              <w:spacing w:after="0" w:line="187" w:lineRule="exact"/>
              <w:rPr>
                <w:sz w:val="20"/>
                <w:szCs w:val="20"/>
                <w:color w:val="auto"/>
              </w:rPr>
            </w:pPr>
            <w:r>
              <w:rPr>
                <w:rFonts w:ascii="Arial" w:cs="Arial" w:eastAsia="Arial" w:hAnsi="Arial"/>
                <w:sz w:val="18"/>
                <w:szCs w:val="18"/>
                <w:color w:val="auto"/>
              </w:rPr>
              <w:t>22.1</w:t>
            </w:r>
          </w:p>
        </w:tc>
        <w:tc>
          <w:tcPr>
            <w:tcW w:w="10300" w:type="dxa"/>
            <w:vAlign w:val="bottom"/>
            <w:gridSpan w:val="28"/>
          </w:tcPr>
          <w:p>
            <w:pPr>
              <w:spacing w:after="0" w:line="187"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List of Guarantor Subsidiaries (filed as Exhibit 22.1 to LII's Annual Report on Form 10-K filed on February 21, 2023 and incorporated herein</w:t>
              </w:r>
            </w:hyperlink>
          </w:p>
        </w:tc>
      </w:tr>
      <w:tr>
        <w:trPr>
          <w:trHeight w:val="154"/>
        </w:trPr>
        <w:tc>
          <w:tcPr>
            <w:tcW w:w="940" w:type="dxa"/>
            <w:vAlign w:val="bottom"/>
          </w:tcPr>
          <w:p>
            <w:pPr>
              <w:spacing w:after="0"/>
              <w:rPr>
                <w:sz w:val="13"/>
                <w:szCs w:val="13"/>
                <w:color w:val="auto"/>
              </w:rPr>
            </w:pPr>
          </w:p>
        </w:tc>
        <w:tc>
          <w:tcPr>
            <w:tcW w:w="10100" w:type="dxa"/>
            <w:vAlign w:val="bottom"/>
            <w:tcBorders>
              <w:top w:val="single" w:sz="8" w:color="0000FF"/>
            </w:tcBorders>
            <w:gridSpan w:val="18"/>
          </w:tcPr>
          <w:p>
            <w:pPr>
              <w:spacing w:after="0" w:line="154" w:lineRule="exact"/>
              <w:rPr>
                <w:rFonts w:ascii="Arial" w:cs="Arial" w:eastAsia="Arial" w:hAnsi="Arial"/>
                <w:sz w:val="17"/>
                <w:szCs w:val="17"/>
                <w:color w:val="0000FF"/>
              </w:rPr>
            </w:pPr>
            <w:hyperlink r:id="rId52">
              <w:r>
                <w:rPr>
                  <w:rFonts w:ascii="Arial" w:cs="Arial" w:eastAsia="Arial" w:hAnsi="Arial"/>
                  <w:sz w:val="17"/>
                  <w:szCs w:val="17"/>
                  <w:color w:val="0000FF"/>
                </w:rPr>
                <w:t>by reference).</w:t>
              </w:r>
            </w:hyperlink>
          </w:p>
        </w:tc>
        <w:tc>
          <w:tcPr>
            <w:tcW w:w="200" w:type="dxa"/>
            <w:vAlign w:val="bottom"/>
            <w:gridSpan w:val="10"/>
          </w:tcPr>
          <w:p>
            <w:pPr>
              <w:spacing w:after="0"/>
              <w:rPr>
                <w:sz w:val="13"/>
                <w:szCs w:val="13"/>
                <w:color w:val="auto"/>
              </w:rPr>
            </w:pPr>
          </w:p>
        </w:tc>
      </w:tr>
      <w:tr>
        <w:trPr>
          <w:trHeight w:val="33"/>
        </w:trPr>
        <w:tc>
          <w:tcPr>
            <w:tcW w:w="940" w:type="dxa"/>
            <w:vAlign w:val="bottom"/>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7"/>
        </w:trPr>
        <w:tc>
          <w:tcPr>
            <w:tcW w:w="94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31.1</w:t>
            </w:r>
          </w:p>
        </w:tc>
        <w:tc>
          <w:tcPr>
            <w:tcW w:w="10300" w:type="dxa"/>
            <w:vAlign w:val="bottom"/>
            <w:gridSpan w:val="28"/>
            <w:shd w:val="clear" w:color="auto" w:fill="CCEEFF"/>
          </w:tcPr>
          <w:p>
            <w:pPr>
              <w:spacing w:after="0" w:line="187" w:lineRule="exact"/>
              <w:rPr>
                <w:sz w:val="20"/>
                <w:szCs w:val="20"/>
                <w:color w:val="auto"/>
              </w:rPr>
            </w:pPr>
            <w:r>
              <w:rPr>
                <w:rFonts w:ascii="Arial" w:cs="Arial" w:eastAsia="Arial" w:hAnsi="Arial"/>
                <w:sz w:val="18"/>
                <w:szCs w:val="18"/>
                <w:color w:val="0000FF"/>
              </w:rPr>
              <w:t>Certification of the principal executive officer (filed herewith).</w:t>
            </w:r>
          </w:p>
        </w:tc>
      </w:tr>
      <w:tr>
        <w:trPr>
          <w:trHeight w:val="187"/>
        </w:trPr>
        <w:tc>
          <w:tcPr>
            <w:tcW w:w="940" w:type="dxa"/>
            <w:vAlign w:val="bottom"/>
            <w:tcBorders>
              <w:top w:val="single" w:sz="8" w:color="CCEEFF"/>
            </w:tcBorders>
          </w:tcPr>
          <w:p>
            <w:pPr>
              <w:ind w:left="20"/>
              <w:spacing w:after="0" w:line="187" w:lineRule="exact"/>
              <w:rPr>
                <w:sz w:val="20"/>
                <w:szCs w:val="20"/>
                <w:color w:val="auto"/>
              </w:rPr>
            </w:pPr>
            <w:r>
              <w:rPr>
                <w:rFonts w:ascii="Arial" w:cs="Arial" w:eastAsia="Arial" w:hAnsi="Arial"/>
                <w:sz w:val="18"/>
                <w:szCs w:val="18"/>
                <w:color w:val="auto"/>
              </w:rPr>
              <w:t>31.2</w:t>
            </w:r>
          </w:p>
        </w:tc>
        <w:tc>
          <w:tcPr>
            <w:tcW w:w="4480" w:type="dxa"/>
            <w:vAlign w:val="bottom"/>
            <w:tcBorders>
              <w:top w:val="single" w:sz="8" w:color="0000FF"/>
            </w:tcBorders>
            <w:gridSpan w:val="7"/>
          </w:tcPr>
          <w:p>
            <w:pPr>
              <w:spacing w:after="0" w:line="187" w:lineRule="exact"/>
              <w:rPr>
                <w:sz w:val="20"/>
                <w:szCs w:val="20"/>
                <w:color w:val="auto"/>
              </w:rPr>
            </w:pPr>
            <w:r>
              <w:rPr>
                <w:rFonts w:ascii="Arial" w:cs="Arial" w:eastAsia="Arial" w:hAnsi="Arial"/>
                <w:sz w:val="18"/>
                <w:szCs w:val="18"/>
                <w:color w:val="0000FF"/>
                <w:w w:val="94"/>
              </w:rPr>
              <w:t>Certification of the principal financial officer (filed herewith).</w:t>
            </w:r>
          </w:p>
        </w:tc>
        <w:tc>
          <w:tcPr>
            <w:tcW w:w="5820" w:type="dxa"/>
            <w:vAlign w:val="bottom"/>
            <w:tcBorders>
              <w:top w:val="single" w:sz="8" w:color="CCEEFF"/>
            </w:tcBorders>
            <w:gridSpan w:val="21"/>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13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94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8"/>
                <w:szCs w:val="18"/>
                <w:color w:val="auto"/>
              </w:rPr>
              <w:t>32.1</w:t>
            </w:r>
          </w:p>
        </w:tc>
        <w:tc>
          <w:tcPr>
            <w:tcW w:w="9820" w:type="dxa"/>
            <w:vAlign w:val="bottom"/>
            <w:tcBorders>
              <w:bottom w:val="single" w:sz="8" w:color="0000FF"/>
            </w:tcBorders>
            <w:gridSpan w:val="13"/>
            <w:shd w:val="clear" w:color="auto" w:fill="CCEEFF"/>
          </w:tcPr>
          <w:p>
            <w:pPr>
              <w:spacing w:after="0" w:line="187" w:lineRule="exact"/>
              <w:rPr>
                <w:sz w:val="20"/>
                <w:szCs w:val="20"/>
                <w:color w:val="auto"/>
              </w:rPr>
            </w:pPr>
            <w:r>
              <w:rPr>
                <w:rFonts w:ascii="Arial" w:cs="Arial" w:eastAsia="Arial" w:hAnsi="Arial"/>
                <w:sz w:val="18"/>
                <w:szCs w:val="18"/>
                <w:color w:val="0000FF"/>
                <w:w w:val="91"/>
              </w:rPr>
              <w:t>Certification of the principal executive officer and the principal financial officer pursuant to 18 U.S.C. Section 1350 (furnished herewith).</w:t>
            </w:r>
          </w:p>
        </w:tc>
        <w:tc>
          <w:tcPr>
            <w:tcW w:w="480" w:type="dxa"/>
            <w:vAlign w:val="bottom"/>
            <w:tcBorders>
              <w:bottom w:val="single" w:sz="8" w:color="CCEEFF"/>
            </w:tcBorders>
            <w:gridSpan w:val="15"/>
            <w:shd w:val="clear" w:color="auto" w:fill="CCEEFF"/>
          </w:tcPr>
          <w:p>
            <w:pPr>
              <w:spacing w:after="0"/>
              <w:rPr>
                <w:sz w:val="18"/>
                <w:szCs w:val="18"/>
                <w:color w:val="auto"/>
              </w:rPr>
            </w:pPr>
          </w:p>
        </w:tc>
      </w:tr>
      <w:tr>
        <w:trPr>
          <w:trHeight w:val="234"/>
        </w:trPr>
        <w:tc>
          <w:tcPr>
            <w:tcW w:w="940" w:type="dxa"/>
            <w:vAlign w:val="bottom"/>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28"/>
          </w:tcPr>
          <w:p>
            <w:pPr>
              <w:spacing w:after="0"/>
              <w:rPr>
                <w:sz w:val="20"/>
                <w:szCs w:val="20"/>
                <w:color w:val="auto"/>
              </w:rPr>
            </w:pPr>
            <w:r>
              <w:rPr>
                <w:rFonts w:ascii="Arial" w:cs="Arial" w:eastAsia="Arial" w:hAnsi="Arial"/>
                <w:sz w:val="18"/>
                <w:szCs w:val="18"/>
                <w:color w:val="auto"/>
              </w:rPr>
              <w:t>INS Inline XBRL Instance Document</w:t>
            </w:r>
          </w:p>
        </w:tc>
      </w:tr>
      <w:tr>
        <w:trPr>
          <w:trHeight w:val="234"/>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SCH Inline XBRL Taxonomy Extension Schema Document</w:t>
            </w:r>
          </w:p>
        </w:tc>
      </w:tr>
      <w:tr>
        <w:trPr>
          <w:trHeight w:val="227"/>
        </w:trPr>
        <w:tc>
          <w:tcPr>
            <w:tcW w:w="940" w:type="dxa"/>
            <w:vAlign w:val="bottom"/>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28"/>
          </w:tcPr>
          <w:p>
            <w:pPr>
              <w:spacing w:after="0"/>
              <w:rPr>
                <w:sz w:val="20"/>
                <w:szCs w:val="20"/>
                <w:color w:val="auto"/>
              </w:rPr>
            </w:pPr>
            <w:r>
              <w:rPr>
                <w:rFonts w:ascii="Arial" w:cs="Arial" w:eastAsia="Arial" w:hAnsi="Arial"/>
                <w:sz w:val="18"/>
                <w:szCs w:val="18"/>
                <w:color w:val="auto"/>
              </w:rPr>
              <w:t>CAL Inline XBRL Taxonomy Extension Calculation Linkbase Document</w:t>
            </w:r>
          </w:p>
        </w:tc>
      </w:tr>
      <w:tr>
        <w:trPr>
          <w:trHeight w:val="241"/>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LAB Inline XBRL Taxonomy Extension Label Linkbase Document</w:t>
            </w:r>
          </w:p>
        </w:tc>
      </w:tr>
      <w:tr>
        <w:trPr>
          <w:trHeight w:val="227"/>
        </w:trPr>
        <w:tc>
          <w:tcPr>
            <w:tcW w:w="940" w:type="dxa"/>
            <w:vAlign w:val="bottom"/>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28"/>
          </w:tcPr>
          <w:p>
            <w:pPr>
              <w:spacing w:after="0"/>
              <w:rPr>
                <w:sz w:val="20"/>
                <w:szCs w:val="20"/>
                <w:color w:val="auto"/>
              </w:rPr>
            </w:pPr>
            <w:r>
              <w:rPr>
                <w:rFonts w:ascii="Arial" w:cs="Arial" w:eastAsia="Arial" w:hAnsi="Arial"/>
                <w:sz w:val="18"/>
                <w:szCs w:val="18"/>
                <w:color w:val="auto"/>
              </w:rPr>
              <w:t>PRE Inline XBRL Taxonomy Extension Presentation Linkbase Document</w:t>
            </w:r>
          </w:p>
        </w:tc>
      </w:tr>
      <w:tr>
        <w:trPr>
          <w:trHeight w:val="227"/>
        </w:trPr>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w:t>
            </w:r>
          </w:p>
        </w:tc>
        <w:tc>
          <w:tcPr>
            <w:tcW w:w="10300" w:type="dxa"/>
            <w:vAlign w:val="bottom"/>
            <w:gridSpan w:val="28"/>
            <w:shd w:val="clear" w:color="auto" w:fill="CCEEFF"/>
          </w:tcPr>
          <w:p>
            <w:pPr>
              <w:spacing w:after="0"/>
              <w:rPr>
                <w:sz w:val="20"/>
                <w:szCs w:val="20"/>
                <w:color w:val="auto"/>
              </w:rPr>
            </w:pPr>
            <w:r>
              <w:rPr>
                <w:rFonts w:ascii="Arial" w:cs="Arial" w:eastAsia="Arial" w:hAnsi="Arial"/>
                <w:sz w:val="18"/>
                <w:szCs w:val="18"/>
                <w:color w:val="auto"/>
              </w:rPr>
              <w:t>DEF Inline XBRL Taxonomy Extension Definition Linkbase Document</w:t>
            </w:r>
          </w:p>
        </w:tc>
      </w:tr>
    </w:tbl>
    <w:p>
      <w:pPr>
        <w:ind w:left="1180" w:hanging="915"/>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883" w:right="239" w:bottom="1440" w:gutter="0" w:footer="0" w:header="0"/>
        </w:sectPr>
      </w:pPr>
    </w:p>
    <w:bookmarkStart w:id="33" w:name="page34"/>
    <w:bookmarkEnd w:id="33"/>
    <w:p>
      <w:pPr>
        <w:ind w:left="5100"/>
        <w:spacing w:after="0"/>
        <w:rPr>
          <w:sz w:val="20"/>
          <w:szCs w:val="20"/>
          <w:color w:val="auto"/>
        </w:rPr>
      </w:pPr>
      <w:r>
        <w:rPr>
          <w:rFonts w:ascii="Arial" w:cs="Arial" w:eastAsia="Arial" w:hAnsi="Arial"/>
          <w:sz w:val="18"/>
          <w:szCs w:val="18"/>
          <w:b w:val="1"/>
          <w:bCs w:val="1"/>
          <w:color w:val="auto"/>
        </w:rPr>
        <w:t>SIGNATURE</w:t>
      </w:r>
    </w:p>
    <w:p>
      <w:pPr>
        <w:spacing w:after="0" w:line="251" w:lineRule="exact"/>
        <w:rPr>
          <w:sz w:val="20"/>
          <w:szCs w:val="20"/>
          <w:color w:val="auto"/>
        </w:rPr>
      </w:pPr>
    </w:p>
    <w:p>
      <w:pPr>
        <w:ind w:firstLine="241"/>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LENNOX INTERNATIONAL INC.</w:t>
      </w:r>
    </w:p>
    <w:p>
      <w:pPr>
        <w:spacing w:after="0" w:line="24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Joseph W. Reitmeier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400"/>
          </w:cols>
          <w:pgMar w:left="320" w:top="1123" w:right="117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Alok Maskara, certify that:</w:t>
      </w:r>
    </w:p>
    <w:p>
      <w:pPr>
        <w:spacing w:after="0" w:line="114" w:lineRule="exact"/>
        <w:rPr>
          <w:sz w:val="20"/>
          <w:szCs w:val="20"/>
          <w:color w:val="auto"/>
        </w:rPr>
      </w:pPr>
    </w:p>
    <w:p>
      <w:pPr>
        <w:ind w:left="640" w:hanging="633"/>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3" w:lineRule="exact"/>
        <w:rPr>
          <w:rFonts w:ascii="Arial" w:cs="Arial" w:eastAsia="Arial" w:hAnsi="Arial"/>
          <w:sz w:val="18"/>
          <w:szCs w:val="18"/>
          <w:color w:val="auto"/>
        </w:rPr>
      </w:pPr>
    </w:p>
    <w:p>
      <w:pPr>
        <w:jc w:val="both"/>
        <w:ind w:left="640" w:right="240" w:hanging="633"/>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640" w:right="200" w:hanging="633"/>
        <w:spacing w:after="0" w:line="300"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left="640" w:right="240" w:hanging="633"/>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960" w:right="180" w:hanging="312"/>
        <w:spacing w:after="0" w:line="259"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960" w:right="480" w:hanging="312"/>
        <w:spacing w:after="0" w:line="259"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960" w:right="640" w:hanging="312"/>
        <w:spacing w:after="0" w:line="398" w:lineRule="auto"/>
        <w:tabs>
          <w:tab w:leader="none" w:pos="960" w:val="left"/>
        </w:tabs>
        <w:numPr>
          <w:ilvl w:val="1"/>
          <w:numId w:val="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60" w:right="160" w:hanging="312"/>
        <w:spacing w:after="0" w:line="259"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640" w:right="200" w:hanging="633"/>
        <w:spacing w:after="0" w:line="334" w:lineRule="auto"/>
        <w:tabs>
          <w:tab w:leader="none" w:pos="6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rFonts w:ascii="Arial" w:cs="Arial" w:eastAsia="Arial" w:hAnsi="Arial"/>
          <w:sz w:val="16"/>
          <w:szCs w:val="16"/>
          <w:color w:val="auto"/>
        </w:rPr>
      </w:pPr>
    </w:p>
    <w:p>
      <w:pPr>
        <w:ind w:left="960" w:right="80" w:hanging="312"/>
        <w:spacing w:after="0" w:line="300" w:lineRule="auto"/>
        <w:tabs>
          <w:tab w:leader="none" w:pos="9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5" w:lineRule="exact"/>
        <w:rPr>
          <w:rFonts w:ascii="Arial" w:cs="Arial" w:eastAsia="Arial" w:hAnsi="Arial"/>
          <w:sz w:val="17"/>
          <w:szCs w:val="17"/>
          <w:color w:val="auto"/>
        </w:rPr>
      </w:pPr>
    </w:p>
    <w:p>
      <w:pPr>
        <w:ind w:left="960" w:right="40" w:hanging="312"/>
        <w:spacing w:after="0" w:line="270" w:lineRule="auto"/>
        <w:tabs>
          <w:tab w:leader="none" w:pos="9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13335</wp:posOffset>
            </wp:positionV>
            <wp:extent cx="27908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279082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Alok Maskara</w:t>
      </w:r>
    </w:p>
    <w:p>
      <w:pPr>
        <w:spacing w:after="0" w:line="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4" w:lineRule="exact"/>
        <w:rPr>
          <w:sz w:val="20"/>
          <w:szCs w:val="20"/>
          <w:color w:val="auto"/>
        </w:rPr>
      </w:pPr>
    </w:p>
    <w:p>
      <w:pPr>
        <w:ind w:left="640" w:hanging="633"/>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3" w:lineRule="exact"/>
        <w:rPr>
          <w:rFonts w:ascii="Arial" w:cs="Arial" w:eastAsia="Arial" w:hAnsi="Arial"/>
          <w:sz w:val="18"/>
          <w:szCs w:val="18"/>
          <w:color w:val="auto"/>
        </w:rPr>
      </w:pPr>
    </w:p>
    <w:p>
      <w:pPr>
        <w:jc w:val="both"/>
        <w:ind w:left="640" w:right="240" w:hanging="633"/>
        <w:spacing w:after="0" w:line="25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8"/>
          <w:szCs w:val="18"/>
          <w:color w:val="auto"/>
        </w:rPr>
      </w:pPr>
    </w:p>
    <w:p>
      <w:pPr>
        <w:ind w:left="640" w:right="200" w:hanging="633"/>
        <w:spacing w:after="0" w:line="300"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Arial" w:cs="Arial" w:eastAsia="Arial" w:hAnsi="Arial"/>
          <w:sz w:val="17"/>
          <w:szCs w:val="17"/>
          <w:color w:val="auto"/>
        </w:rPr>
      </w:pPr>
    </w:p>
    <w:p>
      <w:pPr>
        <w:jc w:val="both"/>
        <w:ind w:left="640" w:right="240" w:hanging="633"/>
        <w:spacing w:after="0" w:line="259"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280" w:right="40" w:hanging="632"/>
        <w:spacing w:after="0" w:line="259"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280" w:right="160" w:hanging="632"/>
        <w:spacing w:after="0" w:line="259"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280" w:right="320" w:hanging="632"/>
        <w:spacing w:after="0" w:line="398" w:lineRule="auto"/>
        <w:tabs>
          <w:tab w:leader="none" w:pos="1280" w:val="left"/>
        </w:tabs>
        <w:numPr>
          <w:ilvl w:val="1"/>
          <w:numId w:val="1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280" w:right="40" w:hanging="632"/>
        <w:spacing w:after="0" w:line="259"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8"/>
          <w:szCs w:val="18"/>
          <w:color w:val="auto"/>
        </w:rPr>
      </w:pPr>
    </w:p>
    <w:p>
      <w:pPr>
        <w:ind w:left="640" w:right="200" w:hanging="633"/>
        <w:spacing w:after="0" w:line="334"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 w:lineRule="exact"/>
        <w:rPr>
          <w:rFonts w:ascii="Arial" w:cs="Arial" w:eastAsia="Arial" w:hAnsi="Arial"/>
          <w:sz w:val="16"/>
          <w:szCs w:val="16"/>
          <w:color w:val="auto"/>
        </w:rPr>
      </w:pPr>
    </w:p>
    <w:p>
      <w:pPr>
        <w:ind w:left="1280" w:right="560" w:hanging="632"/>
        <w:spacing w:after="0" w:line="334" w:lineRule="auto"/>
        <w:tabs>
          <w:tab w:leader="none" w:pos="12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6"/>
          <w:szCs w:val="16"/>
          <w:color w:val="auto"/>
        </w:rPr>
      </w:pPr>
    </w:p>
    <w:p>
      <w:pPr>
        <w:ind w:left="1280" w:right="260" w:hanging="632"/>
        <w:spacing w:after="0" w:line="270" w:lineRule="auto"/>
        <w:tabs>
          <w:tab w:leader="none" w:pos="12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4338955</wp:posOffset>
            </wp:positionH>
            <wp:positionV relativeFrom="paragraph">
              <wp:posOffset>13335</wp:posOffset>
            </wp:positionV>
            <wp:extent cx="27908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790825" cy="8255"/>
                    </a:xfrm>
                    <a:prstGeom prst="rect">
                      <a:avLst/>
                    </a:prstGeom>
                    <a:noFill/>
                  </pic:spPr>
                </pic:pic>
              </a:graphicData>
            </a:graphic>
          </wp:anchor>
        </w:drawing>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W. Reitmeier</w:t>
      </w:r>
    </w:p>
    <w:p>
      <w:pPr>
        <w:spacing w:after="0" w:line="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32.1</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June 30, 2023 as filed with the Securities and Exchange Commission on the date hereof (the “Report”), each of the undersigned, Alok Maskara,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6" w:lineRule="exact"/>
        <w:rPr>
          <w:sz w:val="20"/>
          <w:szCs w:val="20"/>
          <w:color w:val="auto"/>
        </w:rPr>
      </w:pPr>
    </w:p>
    <w:p>
      <w:pPr>
        <w:ind w:left="640" w:hanging="313"/>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7" w:lineRule="exact"/>
        <w:rPr>
          <w:rFonts w:ascii="Arial" w:cs="Arial" w:eastAsia="Arial" w:hAnsi="Arial"/>
          <w:sz w:val="18"/>
          <w:szCs w:val="18"/>
          <w:color w:val="auto"/>
        </w:rPr>
      </w:pPr>
    </w:p>
    <w:p>
      <w:pPr>
        <w:ind w:left="640" w:hanging="313"/>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Alok Maskara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908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79082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Alok Maskara</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27908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279082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W. Reitmeier</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pacing w:after="0" w:line="167"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972"/>
    </w:lvl>
  </w:abstractNum>
  <w:abstractNum w:abstractNumId="3">
    <w:nsid w:val="1190CDE7"/>
    <w:multiLevelType w:val="hybridMultilevel"/>
    <w:lvl w:ilvl="0">
      <w:lvlJc w:val="left"/>
      <w:lvlText w:val="%1"/>
      <w:numFmt w:val="decimal"/>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4">
    <w:nsid w:val="66EF438D"/>
    <w:multiLevelType w:val="hybridMultilevel"/>
    <w:lvl w:ilvl="0">
      <w:lvlJc w:val="left"/>
      <w:lvlText w:val="%1."/>
      <w:numFmt w:val="decimal"/>
      <w:start w:val="3"/>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04"/>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44" Type="http://schemas.openxmlformats.org/officeDocument/2006/relationships/hyperlink" Target="https://www.sec.gov/Archives/edgar/data/1069202/000162828023004257/lii-ex31_20221231x10k.htm" TargetMode="External"/><Relationship Id="rId45" Type="http://schemas.openxmlformats.org/officeDocument/2006/relationships/hyperlink" Target="https://www.sec.gov/Archives/edgar/data/1069202/000162828023004257/lii-ex32_20221231x10k.htm" TargetMode="External"/><Relationship Id="rId46" Type="http://schemas.openxmlformats.org/officeDocument/2006/relationships/hyperlink" Target="https://www.sec.gov/Archives/edgar/data/1017609/000095012310042399/d72548exv4w3.htm" TargetMode="External"/><Relationship Id="rId47" Type="http://schemas.openxmlformats.org/officeDocument/2006/relationships/hyperlink" Target="https://www.sec.gov/Archives/edgar/data/1069202/000119312516758285/d284193dex42.htm" TargetMode="External"/><Relationship Id="rId48" Type="http://schemas.openxmlformats.org/officeDocument/2006/relationships/hyperlink" Target="https://www.sec.gov/Archives/edgar/data/1069202/000119312520203588/d22651dex42.htm" TargetMode="External"/><Relationship Id="rId49" Type="http://schemas.openxmlformats.org/officeDocument/2006/relationships/hyperlink" Target="https://www.sec.gov/Archives/edgar/data/1069202/000162828022002664/lii-ex47_20211231x10k.htm" TargetMode="External"/><Relationship Id="rId50" Type="http://schemas.openxmlformats.org/officeDocument/2006/relationships/hyperlink" Target="http://www.sec.gov/Archives/edgar/data/1069202/000119312523104192/d463629dex101.htm" TargetMode="External"/><Relationship Id="rId51" Type="http://schemas.openxmlformats.org/officeDocument/2006/relationships/hyperlink" Target="http://www.sec.gov/Archives/edgar/data/1069202/000119312523104192/d463629dex102.htm" TargetMode="External"/><Relationship Id="rId52" Type="http://schemas.openxmlformats.org/officeDocument/2006/relationships/hyperlink" Target="https://www.sec.gov/Archives/edgar/data/1069202/000162828023004257/lii-ex221_2022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2023-07-27T10:12:13Z</dcterms:created>
  <dcterms:modified xsi:type="dcterms:W3CDTF">2023-07-27T10:12:13Z</dcterms:modified>
</cp:coreProperties>
</file>