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226060</wp:posOffset>
            </wp:positionH>
            <wp:positionV relativeFrom="page">
              <wp:posOffset>320675</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337820</wp:posOffset>
            </wp:positionV>
            <wp:extent cx="7109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8890"/>
                    </a:xfrm>
                    <a:prstGeom prst="rect">
                      <a:avLst/>
                    </a:prstGeom>
                    <a:noFill/>
                  </pic:spPr>
                </pic:pic>
              </a:graphicData>
            </a:graphic>
          </wp:anchor>
        </w:drawing>
        <w:t>UNITED STATES</w:t>
      </w:r>
    </w:p>
    <w:p>
      <w:pPr>
        <w:spacing w:after="0" w:line="46" w:lineRule="exact"/>
        <w:rPr>
          <w:sz w:val="24"/>
          <w:szCs w:val="24"/>
          <w:color w:val="auto"/>
        </w:rPr>
      </w:pPr>
    </w:p>
    <w:p>
      <w:pPr>
        <w:ind w:left="24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ind w:left="4000"/>
        <w:spacing w:after="0"/>
        <w:rPr>
          <w:sz w:val="20"/>
          <w:szCs w:val="20"/>
          <w:color w:val="auto"/>
        </w:rPr>
      </w:pPr>
      <w:r>
        <w:rPr>
          <w:rFonts w:ascii="Arial" w:cs="Arial" w:eastAsia="Arial" w:hAnsi="Arial"/>
          <w:sz w:val="32"/>
          <w:szCs w:val="32"/>
          <w:b w:val="1"/>
          <w:bCs w:val="1"/>
          <w:color w:val="auto"/>
        </w:rPr>
        <w:t>Washington, D. C. 20549</w:t>
      </w:r>
    </w:p>
    <w:p>
      <w:pPr>
        <w:spacing w:after="0" w:line="55"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7" w:lineRule="exact"/>
        <w:rPr>
          <w:sz w:val="24"/>
          <w:szCs w:val="24"/>
          <w:color w:val="auto"/>
        </w:rPr>
      </w:pPr>
    </w:p>
    <w:p>
      <w:pPr>
        <w:ind w:left="2280"/>
        <w:spacing w:after="0"/>
        <w:rPr>
          <w:sz w:val="20"/>
          <w:szCs w:val="20"/>
          <w:color w:val="auto"/>
        </w:rPr>
      </w:pPr>
      <w:r>
        <w:rPr>
          <w:rFonts w:ascii="Arial" w:cs="Arial" w:eastAsia="Arial" w:hAnsi="Arial"/>
          <w:sz w:val="25"/>
          <w:szCs w:val="25"/>
          <w:b w:val="1"/>
          <w:bCs w:val="1"/>
          <w:color w:val="auto"/>
        </w:rPr>
        <w:t>FOR THE QUARTERLY PERIOD ENDED March 31, 2019</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001-15149</w:t>
      </w:r>
    </w:p>
    <w:p>
      <w:pPr>
        <w:spacing w:after="0" w:line="8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LENNOX INTERNATIONAL INC.</w:t>
      </w:r>
    </w:p>
    <w:p>
      <w:pPr>
        <w:spacing w:after="0" w:line="50"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61"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86"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7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(972-497-5000)</w:t>
      </w:r>
    </w:p>
    <w:p>
      <w:pPr>
        <w:spacing w:after="0" w:line="6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90"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27"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74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jc w:val="center"/>
              <w:ind w:right="1370"/>
              <w:spacing w:after="0"/>
              <w:rPr>
                <w:sz w:val="20"/>
                <w:szCs w:val="20"/>
                <w:color w:val="auto"/>
              </w:rPr>
            </w:pPr>
            <w:r>
              <w:rPr>
                <w:rFonts w:ascii="Arial" w:cs="Arial" w:eastAsia="Arial" w:hAnsi="Arial"/>
                <w:sz w:val="18"/>
                <w:szCs w:val="18"/>
                <w:color w:val="auto"/>
              </w:rPr>
              <w:t>[X]</w:t>
            </w:r>
          </w:p>
        </w:tc>
        <w:tc>
          <w:tcPr>
            <w:tcW w:w="4380" w:type="dxa"/>
            <w:vAlign w:val="bottom"/>
          </w:tcPr>
          <w:p>
            <w:pPr>
              <w:ind w:left="2020"/>
              <w:spacing w:after="0"/>
              <w:rPr>
                <w:sz w:val="20"/>
                <w:szCs w:val="20"/>
                <w:color w:val="auto"/>
              </w:rPr>
            </w:pPr>
            <w:r>
              <w:rPr>
                <w:rFonts w:ascii="Arial" w:cs="Arial" w:eastAsia="Arial" w:hAnsi="Arial"/>
                <w:sz w:val="18"/>
                <w:szCs w:val="18"/>
                <w:color w:val="auto"/>
              </w:rPr>
              <w:t>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jc w:val="right"/>
              <w:ind w:right="1950"/>
              <w:spacing w:after="0"/>
              <w:rPr>
                <w:sz w:val="20"/>
                <w:szCs w:val="20"/>
                <w:color w:val="auto"/>
              </w:rPr>
            </w:pPr>
            <w:r>
              <w:rPr>
                <w:rFonts w:ascii="Arial" w:cs="Arial" w:eastAsia="Arial" w:hAnsi="Arial"/>
                <w:sz w:val="18"/>
                <w:szCs w:val="18"/>
                <w:color w:val="auto"/>
              </w:rPr>
              <w:t>[ ]</w:t>
            </w:r>
          </w:p>
        </w:tc>
        <w:tc>
          <w:tcPr>
            <w:tcW w:w="4380" w:type="dxa"/>
            <w:vAlign w:val="bottom"/>
          </w:tcPr>
          <w:p>
            <w:pPr>
              <w:ind w:left="202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2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380" w:type="dxa"/>
            <w:vAlign w:val="bottom"/>
          </w:tcPr>
          <w:p>
            <w:pPr>
              <w:ind w:left="202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3" w:lineRule="exact"/>
        <w:rPr>
          <w:sz w:val="24"/>
          <w:szCs w:val="24"/>
          <w:color w:val="auto"/>
        </w:rPr>
      </w:pPr>
    </w:p>
    <w:p>
      <w:pPr>
        <w:ind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35" w:lineRule="exact"/>
        <w:rPr>
          <w:sz w:val="24"/>
          <w:szCs w:val="24"/>
          <w:color w:val="auto"/>
        </w:rPr>
      </w:pPr>
    </w:p>
    <w:p>
      <w:pPr>
        <w:ind w:left="260" w:right="1560"/>
        <w:spacing w:after="0" w:line="448"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 As of April 12, 2019, the number of shares outstanding of the registrant’s common stock, par value $.01 per share, was 39,217,666.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09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09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80" w:type="dxa"/>
            <w:vAlign w:val="bottom"/>
            <w:gridSpan w:val="3"/>
          </w:tcPr>
          <w:p>
            <w:pPr>
              <w:ind w:left="160"/>
              <w:spacing w:after="0"/>
              <w:rPr>
                <w:sz w:val="20"/>
                <w:szCs w:val="20"/>
                <w:color w:val="auto"/>
              </w:rPr>
            </w:pPr>
            <w:r>
              <w:rPr>
                <w:rFonts w:ascii="Arial" w:cs="Arial" w:eastAsia="Arial" w:hAnsi="Arial"/>
                <w:sz w:val="17"/>
                <w:szCs w:val="17"/>
                <w:b w:val="1"/>
                <w:bCs w:val="1"/>
                <w:color w:val="auto"/>
              </w:rPr>
              <w:t>Page</w:t>
            </w:r>
          </w:p>
        </w:tc>
      </w:tr>
      <w:tr>
        <w:trPr>
          <w:trHeight w:val="31"/>
        </w:trPr>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6"/>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Part I</w:t>
            </w:r>
          </w:p>
        </w:tc>
        <w:tc>
          <w:tcPr>
            <w:tcW w:w="9900" w:type="dxa"/>
            <w:vAlign w:val="bottom"/>
            <w:gridSpan w:val="18"/>
            <w:shd w:val="clear" w:color="auto" w:fill="CCEEFF"/>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Information</w:t>
              </w:r>
            </w:hyperlink>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99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rPr>
                <w:sz w:val="20"/>
                <w:szCs w:val="20"/>
                <w:color w:val="auto"/>
              </w:rPr>
            </w:pPr>
            <w:r>
              <w:rPr>
                <w:rFonts w:ascii="Arial" w:cs="Arial" w:eastAsia="Arial" w:hAnsi="Arial"/>
                <w:sz w:val="16"/>
                <w:szCs w:val="16"/>
                <w:color w:val="0000FF"/>
              </w:rPr>
              <w:t>Consolidated Balance Sheets - March 31, 2019 (Unaudited) and December 31, 2018</w:t>
            </w:r>
          </w:p>
        </w:tc>
        <w:tc>
          <w:tcPr>
            <w:tcW w:w="440" w:type="dxa"/>
            <w:vAlign w:val="bottom"/>
            <w:tcBorders>
              <w:right w:val="single" w:sz="8" w:color="CCEEFF"/>
            </w:tcBorders>
            <w:gridSpan w:val="2"/>
            <w:shd w:val="clear" w:color="auto" w:fill="CCEEFF"/>
          </w:tcPr>
          <w:p>
            <w:pPr>
              <w:jc w:val="center"/>
              <w:ind w:left="150"/>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17"/>
          </w:tcPr>
          <w:p>
            <w:pPr>
              <w:spacing w:after="0"/>
              <w:rPr>
                <w:sz w:val="20"/>
                <w:szCs w:val="20"/>
                <w:color w:val="auto"/>
              </w:rPr>
            </w:pPr>
            <w:r>
              <w:rPr>
                <w:rFonts w:ascii="Arial" w:cs="Arial" w:eastAsia="Arial" w:hAnsi="Arial"/>
                <w:sz w:val="16"/>
                <w:szCs w:val="16"/>
                <w:color w:val="0000FF"/>
              </w:rPr>
              <w:t>Consolidated Statements of Operations (Unaudited) - Three Months Ended March 31, 2019 and 2018</w:t>
            </w:r>
          </w:p>
        </w:tc>
        <w:tc>
          <w:tcPr>
            <w:tcW w:w="440" w:type="dxa"/>
            <w:vAlign w:val="bottom"/>
            <w:gridSpan w:val="2"/>
          </w:tcPr>
          <w:p>
            <w:pPr>
              <w:jc w:val="center"/>
              <w:ind w:left="15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20" w:type="dxa"/>
            <w:vAlign w:val="bottom"/>
            <w:gridSpan w:val="15"/>
            <w:shd w:val="clear" w:color="auto" w:fill="CCEEFF"/>
          </w:tcPr>
          <w:p>
            <w:pPr>
              <w:spacing w:after="0"/>
              <w:rPr>
                <w:sz w:val="20"/>
                <w:szCs w:val="20"/>
                <w:color w:val="auto"/>
              </w:rPr>
            </w:pPr>
            <w:r>
              <w:rPr>
                <w:rFonts w:ascii="Arial" w:cs="Arial" w:eastAsia="Arial" w:hAnsi="Arial"/>
                <w:sz w:val="16"/>
                <w:szCs w:val="16"/>
                <w:color w:val="0000FF"/>
                <w:w w:val="91"/>
              </w:rPr>
              <w:t>Consolidated Statements of Comprehensive Income (Unaudited) - Three Months Ended March 31, 2019 and 2018</w:t>
            </w:r>
          </w:p>
        </w:tc>
        <w:tc>
          <w:tcPr>
            <w:tcW w:w="2240" w:type="dxa"/>
            <w:vAlign w:val="bottom"/>
            <w:gridSpan w:val="2"/>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jc w:val="center"/>
              <w:ind w:left="150"/>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17"/>
          </w:tcPr>
          <w:p>
            <w:pPr>
              <w:spacing w:after="0"/>
              <w:rPr>
                <w:sz w:val="20"/>
                <w:szCs w:val="20"/>
                <w:color w:val="auto"/>
              </w:rPr>
            </w:pPr>
            <w:r>
              <w:rPr>
                <w:rFonts w:ascii="Arial" w:cs="Arial" w:eastAsia="Arial" w:hAnsi="Arial"/>
                <w:sz w:val="16"/>
                <w:szCs w:val="16"/>
                <w:color w:val="0000FF"/>
              </w:rPr>
              <w:t>Consolidated Statements of Stockholders' (Deficit) Equity (Unaudited) - Three Months Ended March 31, 2019 and 2018</w:t>
            </w:r>
          </w:p>
        </w:tc>
        <w:tc>
          <w:tcPr>
            <w:tcW w:w="440" w:type="dxa"/>
            <w:vAlign w:val="bottom"/>
            <w:gridSpan w:val="2"/>
          </w:tcPr>
          <w:p>
            <w:pPr>
              <w:jc w:val="center"/>
              <w:ind w:left="15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rPr>
                <w:sz w:val="20"/>
                <w:szCs w:val="20"/>
                <w:color w:val="auto"/>
              </w:rPr>
            </w:pPr>
            <w:r>
              <w:rPr>
                <w:rFonts w:ascii="Arial" w:cs="Arial" w:eastAsia="Arial" w:hAnsi="Arial"/>
                <w:sz w:val="16"/>
                <w:szCs w:val="16"/>
                <w:color w:val="0000FF"/>
              </w:rPr>
              <w:t>Consolidated Statements of Cash Flows (Unaudited) - Three Months Ended March 31, 2019 and 2018</w:t>
            </w:r>
          </w:p>
        </w:tc>
        <w:tc>
          <w:tcPr>
            <w:tcW w:w="440" w:type="dxa"/>
            <w:vAlign w:val="bottom"/>
            <w:tcBorders>
              <w:right w:val="single" w:sz="8" w:color="CCEEFF"/>
            </w:tcBorders>
            <w:gridSpan w:val="2"/>
            <w:shd w:val="clear" w:color="auto" w:fill="CCEEFF"/>
          </w:tcPr>
          <w:p>
            <w:pPr>
              <w:jc w:val="center"/>
              <w:ind w:left="150"/>
              <w:spacing w:after="0" w:line="202"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20" w:type="dxa"/>
            <w:vAlign w:val="bottom"/>
            <w:gridSpan w:val="14"/>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Consolidated Financial Statements (Unaudited)</w:t>
              </w:r>
            </w:hyperlink>
          </w:p>
        </w:tc>
        <w:tc>
          <w:tcPr>
            <w:tcW w:w="3040" w:type="dxa"/>
            <w:vAlign w:val="bottom"/>
            <w:gridSpan w:val="3"/>
          </w:tcPr>
          <w:p>
            <w:pPr>
              <w:spacing w:after="0"/>
              <w:rPr>
                <w:sz w:val="17"/>
                <w:szCs w:val="17"/>
                <w:color w:val="auto"/>
              </w:rPr>
            </w:pPr>
          </w:p>
        </w:tc>
        <w:tc>
          <w:tcPr>
            <w:tcW w:w="440" w:type="dxa"/>
            <w:vAlign w:val="bottom"/>
            <w:gridSpan w:val="2"/>
          </w:tcPr>
          <w:p>
            <w:pPr>
              <w:jc w:val="center"/>
              <w:ind w:left="150"/>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2. Management's Discussion and Analysis of Financial Condition and Results of Operations</w:t>
              </w:r>
            </w:hyperlink>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6300" w:type="dxa"/>
            <w:vAlign w:val="bottom"/>
            <w:gridSpan w:val="1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3. Quantitative and Qualitative Disclosures About Market Risk</w:t>
              </w:r>
            </w:hyperlink>
          </w:p>
        </w:tc>
        <w:tc>
          <w:tcPr>
            <w:tcW w:w="3600" w:type="dxa"/>
            <w:vAlign w:val="bottom"/>
            <w:gridSpan w:val="5"/>
          </w:tcPr>
          <w:p>
            <w:pPr>
              <w:spacing w:after="0"/>
              <w:rPr>
                <w:sz w:val="17"/>
                <w:szCs w:val="17"/>
                <w:color w:val="auto"/>
              </w:rPr>
            </w:pPr>
          </w:p>
        </w:tc>
        <w:tc>
          <w:tcPr>
            <w:tcW w:w="440" w:type="dxa"/>
            <w:vAlign w:val="bottom"/>
            <w:gridSpan w:val="2"/>
          </w:tcPr>
          <w:p>
            <w:pPr>
              <w:jc w:val="center"/>
              <w:ind w:left="170"/>
              <w:spacing w:after="0" w:line="202"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8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39">
              <w:r>
                <w:rPr>
                  <w:rFonts w:ascii="Arial" w:cs="Arial" w:eastAsia="Arial" w:hAnsi="Arial"/>
                  <w:sz w:val="16"/>
                  <w:szCs w:val="16"/>
                  <w:color w:val="0000FF"/>
                  <w:w w:val="93"/>
                </w:rPr>
                <w:t>Item 4.</w:t>
              </w:r>
            </w:hyperlink>
          </w:p>
        </w:tc>
        <w:tc>
          <w:tcPr>
            <w:tcW w:w="1620" w:type="dxa"/>
            <w:vAlign w:val="bottom"/>
            <w:gridSpan w:val="7"/>
            <w:shd w:val="clear" w:color="auto" w:fill="CCEEFF"/>
          </w:tcPr>
          <w:p>
            <w:pPr>
              <w:ind w:left="20"/>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Controls and Procedures</w:t>
              </w:r>
            </w:hyperlink>
          </w:p>
        </w:tc>
        <w:tc>
          <w:tcPr>
            <w:tcW w:w="7800" w:type="dxa"/>
            <w:vAlign w:val="bottom"/>
            <w:gridSpan w:val="9"/>
            <w:shd w:val="clear" w:color="auto" w:fill="CCEEFF"/>
          </w:tcPr>
          <w:p>
            <w:pPr>
              <w:spacing w:after="0"/>
              <w:rPr>
                <w:sz w:val="21"/>
                <w:szCs w:val="21"/>
                <w:color w:val="auto"/>
              </w:rPr>
            </w:pPr>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240" w:type="dxa"/>
            <w:vAlign w:val="bottom"/>
            <w:shd w:val="clear" w:color="auto" w:fill="CCEEFF"/>
          </w:tcPr>
          <w:p>
            <w:pPr>
              <w:spacing w:after="0"/>
              <w:rPr>
                <w:sz w:val="21"/>
                <w:szCs w:val="21"/>
                <w:color w:val="auto"/>
              </w:rPr>
            </w:pPr>
          </w:p>
        </w:tc>
      </w:tr>
      <w:tr>
        <w:trPr>
          <w:trHeight w:val="203"/>
        </w:trPr>
        <w:tc>
          <w:tcPr>
            <w:tcW w:w="840" w:type="dxa"/>
            <w:vAlign w:val="bottom"/>
            <w:tcBorders>
              <w:top w:val="single" w:sz="8" w:color="CCEEFF"/>
            </w:tcBorders>
          </w:tcPr>
          <w:p>
            <w:pPr>
              <w:jc w:val="center"/>
              <w:spacing w:after="0"/>
              <w:rPr>
                <w:sz w:val="20"/>
                <w:szCs w:val="20"/>
                <w:color w:val="auto"/>
              </w:rPr>
            </w:pPr>
            <w:r>
              <w:rPr>
                <w:rFonts w:ascii="Arial" w:cs="Arial" w:eastAsia="Arial" w:hAnsi="Arial"/>
                <w:sz w:val="16"/>
                <w:szCs w:val="16"/>
                <w:b w:val="1"/>
                <w:bCs w:val="1"/>
                <w:color w:val="auto"/>
              </w:rPr>
              <w:t>Part II</w:t>
            </w:r>
          </w:p>
        </w:tc>
        <w:tc>
          <w:tcPr>
            <w:tcW w:w="2100" w:type="dxa"/>
            <w:vAlign w:val="bottom"/>
            <w:tcBorders>
              <w:top w:val="single" w:sz="8" w:color="0000FF"/>
            </w:tcBorders>
            <w:gridSpan w:val="9"/>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Other Information</w:t>
              </w:r>
            </w:hyperlink>
          </w:p>
        </w:tc>
        <w:tc>
          <w:tcPr>
            <w:tcW w:w="7800" w:type="dxa"/>
            <w:vAlign w:val="bottom"/>
            <w:tcBorders>
              <w:top w:val="single" w:sz="8" w:color="CCEEFF"/>
            </w:tcBorders>
            <w:gridSpan w:val="9"/>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39">
              <w:r>
                <w:rPr>
                  <w:rFonts w:ascii="Arial" w:cs="Arial" w:eastAsia="Arial" w:hAnsi="Arial"/>
                  <w:sz w:val="16"/>
                  <w:szCs w:val="16"/>
                  <w:color w:val="0000FF"/>
                  <w:w w:val="93"/>
                </w:rPr>
                <w:t>Item 1.</w:t>
              </w:r>
            </w:hyperlink>
          </w:p>
        </w:tc>
        <w:tc>
          <w:tcPr>
            <w:tcW w:w="9420" w:type="dxa"/>
            <w:vAlign w:val="bottom"/>
            <w:gridSpan w:val="16"/>
            <w:shd w:val="clear" w:color="auto" w:fill="CCEEFF"/>
          </w:tcPr>
          <w:p>
            <w:pPr>
              <w:ind w:left="20"/>
              <w:spacing w:after="0"/>
              <w:rPr>
                <w:rFonts w:ascii="Arial" w:cs="Arial" w:eastAsia="Arial" w:hAnsi="Arial"/>
                <w:sz w:val="16"/>
                <w:szCs w:val="16"/>
                <w:color w:val="0000FF"/>
              </w:rPr>
            </w:pPr>
            <w:hyperlink w:anchor="page39">
              <w:r>
                <w:rPr>
                  <w:rFonts w:ascii="Arial" w:cs="Arial" w:eastAsia="Arial" w:hAnsi="Arial"/>
                  <w:sz w:val="16"/>
                  <w:szCs w:val="16"/>
                  <w:color w:val="0000FF"/>
                </w:rPr>
                <w:t>Legal Proceedings</w:t>
              </w:r>
            </w:hyperlink>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1700" w:type="dxa"/>
            <w:vAlign w:val="bottom"/>
            <w:gridSpan w:val="7"/>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1A. Risk Factors</w:t>
              </w:r>
            </w:hyperlink>
          </w:p>
        </w:tc>
        <w:tc>
          <w:tcPr>
            <w:tcW w:w="8200" w:type="dxa"/>
            <w:vAlign w:val="bottom"/>
            <w:gridSpan w:val="11"/>
          </w:tcPr>
          <w:p>
            <w:pPr>
              <w:spacing w:after="0"/>
              <w:rPr>
                <w:sz w:val="17"/>
                <w:szCs w:val="17"/>
                <w:color w:val="auto"/>
              </w:rPr>
            </w:pPr>
          </w:p>
        </w:tc>
        <w:tc>
          <w:tcPr>
            <w:tcW w:w="440" w:type="dxa"/>
            <w:vAlign w:val="bottom"/>
            <w:gridSpan w:val="2"/>
          </w:tcPr>
          <w:p>
            <w:pPr>
              <w:jc w:val="center"/>
              <w:ind w:left="170"/>
              <w:spacing w:after="0" w:line="20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0">
              <w:r>
                <w:rPr>
                  <w:rFonts w:ascii="Arial" w:cs="Arial" w:eastAsia="Arial" w:hAnsi="Arial"/>
                  <w:sz w:val="16"/>
                  <w:szCs w:val="16"/>
                  <w:color w:val="0000FF"/>
                  <w:w w:val="93"/>
                </w:rPr>
                <w:t>Item 2.</w:t>
              </w:r>
            </w:hyperlink>
          </w:p>
        </w:tc>
        <w:tc>
          <w:tcPr>
            <w:tcW w:w="9420" w:type="dxa"/>
            <w:vAlign w:val="bottom"/>
            <w:gridSpan w:val="16"/>
            <w:shd w:val="clear" w:color="auto" w:fill="CCEEFF"/>
          </w:tcPr>
          <w:p>
            <w:pPr>
              <w:ind w:left="20"/>
              <w:spacing w:after="0"/>
              <w:rPr>
                <w:rFonts w:ascii="Arial" w:cs="Arial" w:eastAsia="Arial" w:hAnsi="Arial"/>
                <w:sz w:val="16"/>
                <w:szCs w:val="16"/>
                <w:color w:val="0000FF"/>
              </w:rPr>
            </w:pPr>
            <w:hyperlink w:anchor="page40">
              <w:r>
                <w:rPr>
                  <w:rFonts w:ascii="Arial" w:cs="Arial" w:eastAsia="Arial" w:hAnsi="Arial"/>
                  <w:sz w:val="16"/>
                  <w:szCs w:val="16"/>
                  <w:color w:val="0000FF"/>
                </w:rPr>
                <w:t>Unregistered Sales of Equity Securities and Use of Proceeds</w:t>
              </w:r>
            </w:hyperlink>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41">
              <w:r>
                <w:rPr>
                  <w:rFonts w:ascii="Arial" w:cs="Arial" w:eastAsia="Arial" w:hAnsi="Arial"/>
                  <w:sz w:val="16"/>
                  <w:szCs w:val="16"/>
                  <w:color w:val="0000FF"/>
                  <w:w w:val="93"/>
                </w:rPr>
                <w:t>Item 6.</w:t>
              </w:r>
            </w:hyperlink>
          </w:p>
        </w:tc>
        <w:tc>
          <w:tcPr>
            <w:tcW w:w="3940" w:type="dxa"/>
            <w:vAlign w:val="bottom"/>
            <w:gridSpan w:val="9"/>
          </w:tcPr>
          <w:p>
            <w:pPr>
              <w:ind w:left="20"/>
              <w:spacing w:after="0"/>
              <w:rPr>
                <w:rFonts w:ascii="Arial" w:cs="Arial" w:eastAsia="Arial" w:hAnsi="Arial"/>
                <w:sz w:val="16"/>
                <w:szCs w:val="16"/>
                <w:color w:val="0000FF"/>
              </w:rPr>
            </w:pPr>
            <w:hyperlink w:anchor="page41">
              <w:r>
                <w:rPr>
                  <w:rFonts w:ascii="Arial" w:cs="Arial" w:eastAsia="Arial" w:hAnsi="Arial"/>
                  <w:sz w:val="16"/>
                  <w:szCs w:val="16"/>
                  <w:color w:val="0000FF"/>
                </w:rPr>
                <w:t>Exhibits</w:t>
              </w:r>
            </w:hyperlink>
          </w:p>
        </w:tc>
        <w:tc>
          <w:tcPr>
            <w:tcW w:w="5480" w:type="dxa"/>
            <w:vAlign w:val="bottom"/>
            <w:gridSpan w:val="7"/>
          </w:tcPr>
          <w:p>
            <w:pPr>
              <w:spacing w:after="0"/>
              <w:rPr>
                <w:sz w:val="17"/>
                <w:szCs w:val="17"/>
                <w:color w:val="auto"/>
              </w:rPr>
            </w:pPr>
          </w:p>
        </w:tc>
        <w:tc>
          <w:tcPr>
            <w:tcW w:w="440" w:type="dxa"/>
            <w:vAlign w:val="bottom"/>
            <w:gridSpan w:val="2"/>
          </w:tcPr>
          <w:p>
            <w:pPr>
              <w:jc w:val="center"/>
              <w:ind w:left="170"/>
              <w:spacing w:after="0" w:line="202"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2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As of March 31, 2019</w:t>
            </w: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As of December 31, 2018</w:t>
            </w:r>
          </w:p>
        </w:tc>
      </w:tr>
      <w:tr>
        <w:trPr>
          <w:trHeight w:val="3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8"/>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Assets: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w w:val="98"/>
              </w:rPr>
              <w:t>Accounts and notes receivable, net of allowances of $7.2 and $6.3 in 2019 and 2018, respectively</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502.6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472.7</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509.8</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86.5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60.6</w:t>
            </w:r>
          </w:p>
        </w:tc>
      </w:tr>
      <w:tr>
        <w:trPr>
          <w:trHeight w:val="31"/>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1,089.4</w:t>
            </w:r>
          </w:p>
        </w:tc>
      </w:tr>
      <w:tr>
        <w:trPr>
          <w:trHeight w:val="212"/>
        </w:trPr>
        <w:tc>
          <w:tcPr>
            <w:tcW w:w="7440" w:type="dxa"/>
            <w:vAlign w:val="bottom"/>
          </w:tcPr>
          <w:p>
            <w:pPr>
              <w:ind w:left="40"/>
              <w:spacing w:after="0"/>
              <w:rPr>
                <w:sz w:val="20"/>
                <w:szCs w:val="20"/>
                <w:color w:val="auto"/>
              </w:rPr>
            </w:pPr>
            <w:r>
              <w:rPr>
                <w:rFonts w:ascii="Arial" w:cs="Arial" w:eastAsia="Arial" w:hAnsi="Arial"/>
                <w:sz w:val="17"/>
                <w:szCs w:val="17"/>
                <w:color w:val="auto"/>
                <w:w w:val="94"/>
              </w:rPr>
              <w:t>Property, plant and equipment, net of accumulated depreciation of $785.1 and $778.5 in 2019 and 2018,</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7440" w:type="dxa"/>
            <w:vAlign w:val="bottom"/>
          </w:tcPr>
          <w:p>
            <w:pPr>
              <w:ind w:left="40"/>
              <w:spacing w:after="0"/>
              <w:rPr>
                <w:sz w:val="20"/>
                <w:szCs w:val="20"/>
                <w:color w:val="auto"/>
              </w:rPr>
            </w:pPr>
            <w:r>
              <w:rPr>
                <w:rFonts w:ascii="Arial" w:cs="Arial" w:eastAsia="Arial" w:hAnsi="Arial"/>
                <w:sz w:val="17"/>
                <w:szCs w:val="17"/>
                <w:color w:val="auto"/>
              </w:rPr>
              <w:t>respectively</w:t>
            </w:r>
          </w:p>
        </w:tc>
        <w:tc>
          <w:tcPr>
            <w:tcW w:w="180" w:type="dxa"/>
            <w:vAlign w:val="bottom"/>
          </w:tcPr>
          <w:p>
            <w:pPr>
              <w:spacing w:after="0"/>
              <w:rPr>
                <w:sz w:val="18"/>
                <w:szCs w:val="18"/>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411.7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408.3</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Right-of-use assets from 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186.5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186.6</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67.0</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Other assets, net</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68.0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65.9</w:t>
            </w:r>
          </w:p>
        </w:tc>
      </w:tr>
      <w:tr>
        <w:trPr>
          <w:trHeight w:val="31"/>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2,105.7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1,817.2</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71"/>
        </w:trPr>
        <w:tc>
          <w:tcPr>
            <w:tcW w:w="7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AND 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Liabilities: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Current maturities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300.8</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Current operating lease liabilities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48.1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433.3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219.8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272.3</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taxes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r>
      <w:tr>
        <w:trPr>
          <w:trHeight w:val="219"/>
        </w:trPr>
        <w:tc>
          <w:tcPr>
            <w:tcW w:w="7440" w:type="dxa"/>
            <w:vAlign w:val="bottom"/>
          </w:tcPr>
          <w:p>
            <w:pPr>
              <w:ind w:left="38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917.4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1,008.5</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740.5</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122.6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82.8</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Other liabilities</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129.2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135.0</w:t>
            </w:r>
          </w:p>
        </w:tc>
      </w:tr>
      <w:tr>
        <w:trPr>
          <w:trHeight w:val="31"/>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2,310.5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1,966.8</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Commitments and contingencies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Preferred stock, $.01 par value, 25,000,000 shares authorized, no shares issued or outstanding</w:t>
            </w:r>
          </w:p>
        </w:tc>
        <w:tc>
          <w:tcPr>
            <w:tcW w:w="18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Common stock, $.01 par value, 200,000,000 shares authorized, 87,170,197 shares issued</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20"/>
                <w:szCs w:val="20"/>
                <w:color w:val="auto"/>
              </w:rPr>
            </w:pPr>
          </w:p>
        </w:tc>
        <w:tc>
          <w:tcPr>
            <w:tcW w:w="1760" w:type="dxa"/>
            <w:vAlign w:val="bottom"/>
          </w:tcPr>
          <w:p>
            <w:pPr>
              <w:jc w:val="right"/>
              <w:ind w:right="15"/>
              <w:spacing w:after="0"/>
              <w:rPr>
                <w:sz w:val="20"/>
                <w:szCs w:val="20"/>
                <w:color w:val="auto"/>
              </w:rPr>
            </w:pPr>
            <w:r>
              <w:rPr>
                <w:rFonts w:ascii="Arial" w:cs="Arial" w:eastAsia="Arial" w:hAnsi="Arial"/>
                <w:sz w:val="17"/>
                <w:szCs w:val="17"/>
                <w:color w:val="auto"/>
              </w:rPr>
              <w:t>1,079.4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1,078.8</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1,898.7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1,855.0</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(180.2)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(188.8)</w:t>
            </w:r>
          </w:p>
        </w:tc>
      </w:tr>
      <w:tr>
        <w:trPr>
          <w:trHeight w:val="31"/>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7"/>
              </w:rPr>
              <w:t>Treasury stock, at cost, shares 47,609,360 and 47,312,248 shares for 2019 and 2018, respectively</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(2,895.5)</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stockholders' deficit</w:t>
            </w: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(204.8)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(149.6)</w:t>
            </w:r>
          </w:p>
        </w:tc>
      </w:tr>
      <w:tr>
        <w:trPr>
          <w:trHeight w:val="31"/>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2,105.7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1,817.2</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140" w:type="dxa"/>
            <w:vAlign w:val="bottom"/>
            <w:tcBorders>
              <w:bottom w:val="single" w:sz="8" w:color="CCEEFF"/>
            </w:tcBorders>
            <w:shd w:val="clear" w:color="auto" w:fill="CCEEFF"/>
          </w:tcPr>
          <w:p>
            <w:pPr>
              <w:spacing w:after="0"/>
              <w:rPr>
                <w:sz w:val="22"/>
                <w:szCs w:val="22"/>
                <w:color w:val="auto"/>
              </w:rPr>
            </w:pPr>
          </w:p>
        </w:tc>
        <w:tc>
          <w:tcPr>
            <w:tcW w:w="294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231"/>
        </w:trPr>
        <w:tc>
          <w:tcPr>
            <w:tcW w:w="8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611.6</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assets held for sale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Insurance proceeds for lost profits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insurance recoveries, net of losses incurred</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from discontinued operations before income taxes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37.9</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0.91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0.90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0.90</w:t>
            </w:r>
          </w:p>
        </w:tc>
      </w:tr>
      <w:tr>
        <w:trPr>
          <w:trHeight w:val="311"/>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b w:val="1"/>
                <w:bCs w:val="1"/>
                <w:color w:val="auto"/>
              </w:rPr>
              <w:t>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41.5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42.1</w:t>
            </w:r>
          </w:p>
        </w:tc>
      </w:tr>
      <w:tr>
        <w:trPr>
          <w:trHeight w:val="27"/>
        </w:trPr>
        <w:tc>
          <w:tcPr>
            <w:tcW w:w="8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140" w:type="dxa"/>
            <w:vAlign w:val="bottom"/>
          </w:tcPr>
          <w:p>
            <w:pPr>
              <w:spacing w:after="0"/>
              <w:rPr>
                <w:sz w:val="18"/>
                <w:szCs w:val="18"/>
                <w:color w:val="auto"/>
              </w:rPr>
            </w:pPr>
          </w:p>
        </w:tc>
        <w:tc>
          <w:tcPr>
            <w:tcW w:w="29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Reclassification of foreign currency translation adjustments into earnings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pension and post-retirement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Reclassification of pension and post-retirement benefit losses into earnings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available-for-sale marketable 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change in fair value of cash flow hedges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cash flow hedge losses (gains) into earnings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income taxes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69" w:right="239" w:bottom="1440" w:gutter="0" w:footer="0" w:header="0"/>
        </w:sectPr>
      </w:pPr>
    </w:p>
    <w:bookmarkStart w:id="5" w:name="page6"/>
    <w:bookmarkEnd w:id="5"/>
    <w:p>
      <w:pPr>
        <w:jc w:val="center"/>
        <w:ind w:left="840" w:right="2300"/>
        <w:spacing w:after="0" w:line="258" w:lineRule="auto"/>
        <w:rPr>
          <w:sz w:val="20"/>
          <w:szCs w:val="20"/>
          <w:color w:val="auto"/>
        </w:rPr>
      </w:pPr>
      <w:r>
        <w:rPr>
          <w:rFonts w:ascii="Arial" w:cs="Arial" w:eastAsia="Arial" w:hAnsi="Arial"/>
          <w:sz w:val="16"/>
          <w:szCs w:val="16"/>
          <w:b w:val="1"/>
          <w:bCs w:val="1"/>
          <w:color w:val="auto"/>
        </w:rPr>
        <w:t>LENNOX INTERNATIONAL INC. AND SUBSIDIARIES CONSOLIDATED STATEMENTS OF STOCKHOLDERS' (DEFICIT) EQUITY For the Three Months ended March 31, 2018 and 2019 (Unaudited) (In millions, except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4"/>
          </w:tcPr>
          <w:p>
            <w:pPr>
              <w:jc w:val="center"/>
              <w:ind w:right="160"/>
              <w:spacing w:after="0"/>
              <w:rPr>
                <w:sz w:val="20"/>
                <w:szCs w:val="20"/>
                <w:color w:val="auto"/>
              </w:rPr>
            </w:pPr>
            <w:r>
              <w:rPr>
                <w:rFonts w:ascii="Arial" w:cs="Arial" w:eastAsia="Arial" w:hAnsi="Arial"/>
                <w:sz w:val="15"/>
                <w:szCs w:val="15"/>
                <w:b w:val="1"/>
                <w:bCs w:val="1"/>
                <w:color w:val="auto"/>
                <w:w w:val="91"/>
              </w:rPr>
              <w:t>Accumulated</w:t>
            </w:r>
          </w:p>
        </w:tc>
        <w:tc>
          <w:tcPr>
            <w:tcW w:w="40" w:type="dxa"/>
            <w:vAlign w:val="bottom"/>
          </w:tcPr>
          <w:p>
            <w:pPr>
              <w:spacing w:after="0"/>
              <w:rPr>
                <w:sz w:val="14"/>
                <w:szCs w:val="14"/>
                <w:color w:val="auto"/>
              </w:rPr>
            </w:pPr>
          </w:p>
        </w:tc>
        <w:tc>
          <w:tcPr>
            <w:tcW w:w="1400" w:type="dxa"/>
            <w:vAlign w:val="bottom"/>
            <w:gridSpan w:val="8"/>
          </w:tcPr>
          <w:p>
            <w:pPr>
              <w:jc w:val="center"/>
              <w:ind w:right="120"/>
              <w:spacing w:after="0"/>
              <w:rPr>
                <w:sz w:val="20"/>
                <w:szCs w:val="20"/>
                <w:color w:val="auto"/>
              </w:rPr>
            </w:pPr>
            <w:r>
              <w:rPr>
                <w:rFonts w:ascii="Arial" w:cs="Arial" w:eastAsia="Arial" w:hAnsi="Arial"/>
                <w:sz w:val="15"/>
                <w:szCs w:val="15"/>
                <w:b w:val="1"/>
                <w:bCs w:val="1"/>
                <w:color w:val="auto"/>
                <w:w w:val="92"/>
              </w:rPr>
              <w:t>Treasury Stock at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tcPr>
          <w:p>
            <w:pPr>
              <w:spacing w:after="0" w:line="162" w:lineRule="exact"/>
              <w:rPr>
                <w:sz w:val="20"/>
                <w:szCs w:val="20"/>
                <w:color w:val="auto"/>
              </w:rPr>
            </w:pPr>
            <w:r>
              <w:rPr>
                <w:rFonts w:ascii="Arial" w:cs="Arial" w:eastAsia="Arial" w:hAnsi="Arial"/>
                <w:sz w:val="15"/>
                <w:szCs w:val="15"/>
                <w:b w:val="1"/>
                <w:bCs w:val="1"/>
                <w:color w:val="auto"/>
              </w:rPr>
              <w:t>Common</w:t>
            </w:r>
          </w:p>
        </w:tc>
        <w:tc>
          <w:tcPr>
            <w:tcW w:w="880" w:type="dxa"/>
            <w:vAlign w:val="bottom"/>
            <w:gridSpan w:val="5"/>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94"/>
              </w:rPr>
              <w:t>Other</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6"/>
          </w:tcPr>
          <w:p>
            <w:pPr>
              <w:jc w:val="center"/>
              <w:ind w:right="620"/>
              <w:spacing w:after="0" w:line="162" w:lineRule="exact"/>
              <w:rPr>
                <w:sz w:val="20"/>
                <w:szCs w:val="20"/>
                <w:color w:val="auto"/>
              </w:rPr>
            </w:pPr>
            <w:r>
              <w:rPr>
                <w:rFonts w:ascii="Arial" w:cs="Arial" w:eastAsia="Arial" w:hAnsi="Arial"/>
                <w:sz w:val="15"/>
                <w:szCs w:val="15"/>
                <w:b w:val="1"/>
                <w:bCs w:val="1"/>
                <w:color w:val="auto"/>
                <w:w w:val="89"/>
              </w:rPr>
              <w:t>Cost</w:t>
            </w:r>
          </w:p>
        </w:tc>
        <w:tc>
          <w:tcPr>
            <w:tcW w:w="980" w:type="dxa"/>
            <w:vAlign w:val="bottom"/>
            <w:gridSpan w:val="4"/>
          </w:tcPr>
          <w:p>
            <w:pPr>
              <w:jc w:val="center"/>
              <w:ind w:right="40"/>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restart"/>
          </w:tcPr>
          <w:p>
            <w:pPr>
              <w:ind w:left="20"/>
              <w:spacing w:after="0" w:line="159" w:lineRule="exact"/>
              <w:rPr>
                <w:sz w:val="20"/>
                <w:szCs w:val="20"/>
                <w:color w:val="auto"/>
              </w:rPr>
            </w:pPr>
            <w:r>
              <w:rPr>
                <w:rFonts w:ascii="Arial" w:cs="Arial" w:eastAsia="Arial" w:hAnsi="Arial"/>
                <w:sz w:val="15"/>
                <w:szCs w:val="15"/>
                <w:b w:val="1"/>
                <w:bCs w:val="1"/>
                <w:color w:val="auto"/>
              </w:rPr>
              <w:t>Stock</w:t>
            </w:r>
          </w:p>
        </w:tc>
        <w:tc>
          <w:tcPr>
            <w:tcW w:w="40" w:type="dxa"/>
            <w:vAlign w:val="bottom"/>
            <w:vMerge w:val="restart"/>
          </w:tcPr>
          <w:p>
            <w:pPr>
              <w:spacing w:after="0"/>
              <w:rPr>
                <w:sz w:val="4"/>
                <w:szCs w:val="4"/>
                <w:color w:val="auto"/>
              </w:rPr>
            </w:pPr>
          </w:p>
        </w:tc>
        <w:tc>
          <w:tcPr>
            <w:tcW w:w="840" w:type="dxa"/>
            <w:vAlign w:val="bottom"/>
            <w:gridSpan w:val="4"/>
            <w:vMerge w:val="restart"/>
          </w:tcPr>
          <w:p>
            <w:pPr>
              <w:ind w:left="100"/>
              <w:spacing w:after="0" w:line="159" w:lineRule="exact"/>
              <w:rPr>
                <w:sz w:val="20"/>
                <w:szCs w:val="20"/>
                <w:color w:val="auto"/>
              </w:rPr>
            </w:pPr>
            <w:r>
              <w:rPr>
                <w:rFonts w:ascii="Arial" w:cs="Arial" w:eastAsia="Arial" w:hAnsi="Arial"/>
                <w:sz w:val="15"/>
                <w:szCs w:val="15"/>
                <w:b w:val="1"/>
                <w:bCs w:val="1"/>
                <w:color w:val="auto"/>
              </w:rPr>
              <w:t>Paid-In</w:t>
            </w:r>
          </w:p>
        </w:tc>
        <w:tc>
          <w:tcPr>
            <w:tcW w:w="40" w:type="dxa"/>
            <w:vAlign w:val="bottom"/>
            <w:vMerge w:val="restart"/>
          </w:tcPr>
          <w:p>
            <w:pPr>
              <w:spacing w:after="0"/>
              <w:rPr>
                <w:sz w:val="4"/>
                <w:szCs w:val="4"/>
                <w:color w:val="auto"/>
              </w:rPr>
            </w:pPr>
          </w:p>
        </w:tc>
        <w:tc>
          <w:tcPr>
            <w:tcW w:w="740" w:type="dxa"/>
            <w:vAlign w:val="bottom"/>
            <w:gridSpan w:val="3"/>
            <w:vMerge w:val="restart"/>
          </w:tcPr>
          <w:p>
            <w:pPr>
              <w:jc w:val="right"/>
              <w:ind w:right="160"/>
              <w:spacing w:after="0" w:line="159" w:lineRule="exact"/>
              <w:rPr>
                <w:sz w:val="20"/>
                <w:szCs w:val="20"/>
                <w:color w:val="auto"/>
              </w:rPr>
            </w:pPr>
            <w:r>
              <w:rPr>
                <w:rFonts w:ascii="Arial" w:cs="Arial" w:eastAsia="Arial" w:hAnsi="Arial"/>
                <w:sz w:val="15"/>
                <w:szCs w:val="15"/>
                <w:b w:val="1"/>
                <w:bCs w:val="1"/>
                <w:color w:val="auto"/>
                <w:w w:val="88"/>
              </w:rPr>
              <w:t>Retained</w:t>
            </w:r>
          </w:p>
        </w:tc>
        <w:tc>
          <w:tcPr>
            <w:tcW w:w="1180" w:type="dxa"/>
            <w:vAlign w:val="bottom"/>
            <w:gridSpan w:val="5"/>
            <w:vMerge w:val="restart"/>
          </w:tcPr>
          <w:p>
            <w:pPr>
              <w:jc w:val="center"/>
              <w:ind w:right="120"/>
              <w:spacing w:after="0" w:line="159" w:lineRule="exact"/>
              <w:rPr>
                <w:sz w:val="20"/>
                <w:szCs w:val="20"/>
                <w:color w:val="auto"/>
              </w:rPr>
            </w:pPr>
            <w:r>
              <w:rPr>
                <w:rFonts w:ascii="Arial" w:cs="Arial" w:eastAsia="Arial" w:hAnsi="Arial"/>
                <w:sz w:val="15"/>
                <w:szCs w:val="15"/>
                <w:b w:val="1"/>
                <w:bCs w:val="1"/>
                <w:color w:val="auto"/>
                <w:w w:val="90"/>
              </w:rPr>
              <w:t>Comprehensive</w:t>
            </w: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1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4"/>
              </w:rPr>
              <w:t>Issued</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Capital</w:t>
            </w:r>
          </w:p>
        </w:tc>
        <w:tc>
          <w:tcPr>
            <w:tcW w:w="120" w:type="dxa"/>
            <w:vAlign w:val="bottom"/>
            <w:tcBorders>
              <w:bottom w:val="single" w:sz="8" w:color="CCEEFF"/>
            </w:tcBorders>
            <w:gridSpan w:val="2"/>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3"/>
              </w:rPr>
              <w:t>Earnings</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85"/>
              </w:rPr>
              <w:t>Loss</w:t>
            </w:r>
          </w:p>
        </w:tc>
        <w:tc>
          <w:tcPr>
            <w:tcW w:w="100" w:type="dxa"/>
            <w:vAlign w:val="bottom"/>
            <w:tcBorders>
              <w:bottom w:val="single" w:sz="8" w:color="CCEEFF"/>
            </w:tcBorders>
            <w:gridSpan w:val="2"/>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Shares</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8"/>
              </w:rPr>
              <w:t>Amount</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5"/>
              </w:rPr>
              <w:t>Equity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as of December 31, 2017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1,061.5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w w:val="92"/>
              </w:rPr>
              <w:t>$1,575.9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45.4</w:t>
            </w:r>
          </w:p>
        </w:tc>
        <w:tc>
          <w:tcPr>
            <w:tcW w:w="2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$(2,430.8)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Cumulative effect adjustment upon adoption of new</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160" w:type="dxa"/>
            <w:vAlign w:val="bottom"/>
          </w:tcPr>
          <w:p>
            <w:pPr>
              <w:ind w:left="280"/>
              <w:spacing w:after="0" w:line="162" w:lineRule="exact"/>
              <w:rPr>
                <w:sz w:val="20"/>
                <w:szCs w:val="20"/>
                <w:color w:val="auto"/>
              </w:rPr>
            </w:pPr>
            <w:r>
              <w:rPr>
                <w:rFonts w:ascii="Arial" w:cs="Arial" w:eastAsia="Arial" w:hAnsi="Arial"/>
                <w:sz w:val="15"/>
                <w:szCs w:val="15"/>
                <w:color w:val="auto"/>
              </w:rPr>
              <w:t>accounting standards (ASU 2016-16), (ASU 2018-02),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(ASU2016-1) and (ASC 606)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restart"/>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vMerge w:val="restart"/>
          </w:tcPr>
          <w:p>
            <w:pPr>
              <w:jc w:val="right"/>
              <w:ind w:right="23"/>
              <w:spacing w:after="0"/>
              <w:rPr>
                <w:sz w:val="20"/>
                <w:szCs w:val="20"/>
                <w:color w:val="auto"/>
              </w:rPr>
            </w:pPr>
            <w:r>
              <w:rPr>
                <w:rFonts w:ascii="Arial" w:cs="Arial" w:eastAsia="Arial" w:hAnsi="Arial"/>
                <w:sz w:val="15"/>
                <w:szCs w:val="15"/>
                <w:color w:val="auto"/>
              </w:rPr>
              <w:t>16.9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(24.5)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income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37.9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Dividends, $0.51 per share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(21.1)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 currency translation adjustments</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Pension and post-retirement liability changes, net of tax</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expense of $0.1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Stock-based compensation expense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Change in cash flow hedges, net of tax benefit of $1.7</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Treasury shares reissued for common stock</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0" w:type="dxa"/>
            <w:vAlign w:val="bottom"/>
            <w:shd w:val="clear" w:color="auto" w:fill="CCEEFF"/>
          </w:tcPr>
          <w:p>
            <w:pPr>
              <w:spacing w:after="0"/>
              <w:rPr>
                <w:sz w:val="23"/>
                <w:szCs w:val="23"/>
                <w:color w:val="auto"/>
              </w:rPr>
            </w:pPr>
          </w:p>
        </w:tc>
        <w:tc>
          <w:tcPr>
            <w:tcW w:w="800" w:type="dxa"/>
            <w:vAlign w:val="bottom"/>
            <w:gridSpan w:val="4"/>
            <w:shd w:val="clear" w:color="auto" w:fill="CCEEFF"/>
          </w:tcPr>
          <w:p>
            <w:pPr>
              <w:jc w:val="right"/>
              <w:ind w:right="3"/>
              <w:spacing w:after="0"/>
              <w:rPr>
                <w:sz w:val="20"/>
                <w:szCs w:val="20"/>
                <w:color w:val="auto"/>
              </w:rPr>
            </w:pPr>
            <w:r>
              <w:rPr>
                <w:rFonts w:ascii="Arial" w:cs="Arial" w:eastAsia="Arial" w:hAnsi="Arial"/>
                <w:sz w:val="15"/>
                <w:szCs w:val="15"/>
                <w:color w:val="auto"/>
              </w:rPr>
              <w:t>7.9</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Treasury stock purchases</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gridSpan w:val="2"/>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23"/>
                <w:szCs w:val="23"/>
                <w:color w:val="auto"/>
              </w:rPr>
            </w:pPr>
          </w:p>
        </w:tc>
        <w:tc>
          <w:tcPr>
            <w:tcW w:w="5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color w:val="auto"/>
              </w:rPr>
              <w:t>0.8</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gridSpan w:val="2"/>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(145.6)</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March 31, 2018</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1,036.7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$1,609.6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(181.3)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45.9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6"/>
              </w:rPr>
              <w:t>$</w:t>
            </w:r>
            <w:r>
              <w:rPr>
                <w:rFonts w:ascii="Arial" w:cs="Arial" w:eastAsia="Arial" w:hAnsi="Arial"/>
                <w:sz w:val="15"/>
                <w:szCs w:val="15"/>
                <w:b w:val="1"/>
                <w:bCs w:val="1"/>
                <w:color w:val="auto"/>
                <w:w w:val="96"/>
              </w:rPr>
              <w:t>(2,568.5)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1"/>
              </w:rPr>
              <w:t>Accumulated</w:t>
            </w:r>
          </w:p>
        </w:tc>
        <w:tc>
          <w:tcPr>
            <w:tcW w:w="40" w:type="dxa"/>
            <w:vAlign w:val="bottom"/>
          </w:tcPr>
          <w:p>
            <w:pPr>
              <w:spacing w:after="0"/>
              <w:rPr>
                <w:sz w:val="24"/>
                <w:szCs w:val="24"/>
                <w:color w:val="auto"/>
              </w:rPr>
            </w:pPr>
          </w:p>
        </w:tc>
        <w:tc>
          <w:tcPr>
            <w:tcW w:w="1400" w:type="dxa"/>
            <w:vAlign w:val="bottom"/>
            <w:gridSpan w:val="8"/>
          </w:tcPr>
          <w:p>
            <w:pPr>
              <w:jc w:val="center"/>
              <w:ind w:right="40"/>
              <w:spacing w:after="0"/>
              <w:rPr>
                <w:sz w:val="20"/>
                <w:szCs w:val="20"/>
                <w:color w:val="auto"/>
              </w:rPr>
            </w:pPr>
            <w:r>
              <w:rPr>
                <w:rFonts w:ascii="Arial" w:cs="Arial" w:eastAsia="Arial" w:hAnsi="Arial"/>
                <w:sz w:val="15"/>
                <w:szCs w:val="15"/>
                <w:b w:val="1"/>
                <w:bCs w:val="1"/>
                <w:color w:val="auto"/>
                <w:w w:val="92"/>
              </w:rPr>
              <w:t>Treasury Stock at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tcPr>
          <w:p>
            <w:pPr>
              <w:jc w:val="center"/>
              <w:ind w:right="80"/>
              <w:spacing w:after="0" w:line="162" w:lineRule="exact"/>
              <w:rPr>
                <w:sz w:val="20"/>
                <w:szCs w:val="20"/>
                <w:color w:val="auto"/>
              </w:rPr>
            </w:pPr>
            <w:r>
              <w:rPr>
                <w:rFonts w:ascii="Arial" w:cs="Arial" w:eastAsia="Arial" w:hAnsi="Arial"/>
                <w:sz w:val="15"/>
                <w:szCs w:val="15"/>
                <w:b w:val="1"/>
                <w:bCs w:val="1"/>
                <w:color w:val="auto"/>
                <w:w w:val="92"/>
              </w:rPr>
              <w:t>Common</w:t>
            </w:r>
          </w:p>
        </w:tc>
        <w:tc>
          <w:tcPr>
            <w:tcW w:w="40" w:type="dxa"/>
            <w:vAlign w:val="bottom"/>
          </w:tcPr>
          <w:p>
            <w:pPr>
              <w:spacing w:after="0"/>
              <w:rPr>
                <w:sz w:val="14"/>
                <w:szCs w:val="14"/>
                <w:color w:val="auto"/>
              </w:rPr>
            </w:pPr>
          </w:p>
        </w:tc>
        <w:tc>
          <w:tcPr>
            <w:tcW w:w="840" w:type="dxa"/>
            <w:vAlign w:val="bottom"/>
            <w:gridSpan w:val="4"/>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80"/>
              <w:spacing w:after="0" w:line="162" w:lineRule="exact"/>
              <w:rPr>
                <w:sz w:val="20"/>
                <w:szCs w:val="20"/>
                <w:color w:val="auto"/>
              </w:rPr>
            </w:pPr>
            <w:r>
              <w:rPr>
                <w:rFonts w:ascii="Arial" w:cs="Arial" w:eastAsia="Arial" w:hAnsi="Arial"/>
                <w:sz w:val="15"/>
                <w:szCs w:val="15"/>
                <w:b w:val="1"/>
                <w:bCs w:val="1"/>
                <w:color w:val="auto"/>
                <w:w w:val="94"/>
              </w:rPr>
              <w:t>Other</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5"/>
          </w:tcPr>
          <w:p>
            <w:pPr>
              <w:jc w:val="center"/>
              <w:ind w:right="560"/>
              <w:spacing w:after="0" w:line="162" w:lineRule="exact"/>
              <w:rPr>
                <w:sz w:val="20"/>
                <w:szCs w:val="20"/>
                <w:color w:val="auto"/>
              </w:rPr>
            </w:pPr>
            <w:r>
              <w:rPr>
                <w:rFonts w:ascii="Arial" w:cs="Arial" w:eastAsia="Arial" w:hAnsi="Arial"/>
                <w:sz w:val="15"/>
                <w:szCs w:val="15"/>
                <w:b w:val="1"/>
                <w:bCs w:val="1"/>
                <w:color w:val="auto"/>
                <w:w w:val="89"/>
              </w:rPr>
              <w:t>Cost</w:t>
            </w:r>
          </w:p>
        </w:tc>
        <w:tc>
          <w:tcPr>
            <w:tcW w:w="40" w:type="dxa"/>
            <w:vAlign w:val="bottom"/>
          </w:tcPr>
          <w:p>
            <w:pPr>
              <w:spacing w:after="0"/>
              <w:rPr>
                <w:sz w:val="14"/>
                <w:szCs w:val="14"/>
                <w:color w:val="auto"/>
              </w:rPr>
            </w:pPr>
          </w:p>
        </w:tc>
        <w:tc>
          <w:tcPr>
            <w:tcW w:w="940" w:type="dxa"/>
            <w:vAlign w:val="bottom"/>
            <w:gridSpan w:val="3"/>
          </w:tcPr>
          <w:p>
            <w:pPr>
              <w:jc w:val="center"/>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restart"/>
          </w:tcPr>
          <w:p>
            <w:pPr>
              <w:jc w:val="center"/>
              <w:ind w:right="180"/>
              <w:spacing w:after="0" w:line="159" w:lineRule="exact"/>
              <w:rPr>
                <w:sz w:val="20"/>
                <w:szCs w:val="20"/>
                <w:color w:val="auto"/>
              </w:rPr>
            </w:pPr>
            <w:r>
              <w:rPr>
                <w:rFonts w:ascii="Arial" w:cs="Arial" w:eastAsia="Arial" w:hAnsi="Arial"/>
                <w:sz w:val="15"/>
                <w:szCs w:val="15"/>
                <w:b w:val="1"/>
                <w:bCs w:val="1"/>
                <w:color w:val="auto"/>
                <w:w w:val="88"/>
              </w:rPr>
              <w:t>Stock</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vMerge w:val="restart"/>
          </w:tcPr>
          <w:p>
            <w:pPr>
              <w:ind w:left="20"/>
              <w:spacing w:after="0" w:line="159" w:lineRule="exact"/>
              <w:rPr>
                <w:sz w:val="20"/>
                <w:szCs w:val="20"/>
                <w:color w:val="auto"/>
              </w:rPr>
            </w:pPr>
            <w:r>
              <w:rPr>
                <w:rFonts w:ascii="Arial" w:cs="Arial" w:eastAsia="Arial" w:hAnsi="Arial"/>
                <w:sz w:val="15"/>
                <w:szCs w:val="15"/>
                <w:b w:val="1"/>
                <w:bCs w:val="1"/>
                <w:color w:val="auto"/>
              </w:rPr>
              <w:t>Paid-In</w:t>
            </w:r>
          </w:p>
        </w:tc>
        <w:tc>
          <w:tcPr>
            <w:tcW w:w="40" w:type="dxa"/>
            <w:vAlign w:val="bottom"/>
          </w:tcPr>
          <w:p>
            <w:pPr>
              <w:spacing w:after="0"/>
              <w:rPr>
                <w:sz w:val="4"/>
                <w:szCs w:val="4"/>
                <w:color w:val="auto"/>
              </w:rPr>
            </w:pPr>
          </w:p>
        </w:tc>
        <w:tc>
          <w:tcPr>
            <w:tcW w:w="740" w:type="dxa"/>
            <w:vAlign w:val="bottom"/>
            <w:gridSpan w:val="3"/>
            <w:vMerge w:val="restart"/>
          </w:tcPr>
          <w:p>
            <w:pPr>
              <w:ind w:left="40"/>
              <w:spacing w:after="0" w:line="159" w:lineRule="exact"/>
              <w:rPr>
                <w:sz w:val="20"/>
                <w:szCs w:val="20"/>
                <w:color w:val="auto"/>
              </w:rPr>
            </w:pPr>
            <w:r>
              <w:rPr>
                <w:rFonts w:ascii="Arial" w:cs="Arial" w:eastAsia="Arial" w:hAnsi="Arial"/>
                <w:sz w:val="15"/>
                <w:szCs w:val="15"/>
                <w:b w:val="1"/>
                <w:bCs w:val="1"/>
                <w:color w:val="auto"/>
              </w:rPr>
              <w:t>Retained</w:t>
            </w:r>
          </w:p>
        </w:tc>
        <w:tc>
          <w:tcPr>
            <w:tcW w:w="40" w:type="dxa"/>
            <w:vAlign w:val="bottom"/>
          </w:tcPr>
          <w:p>
            <w:pPr>
              <w:spacing w:after="0"/>
              <w:rPr>
                <w:sz w:val="4"/>
                <w:szCs w:val="4"/>
                <w:color w:val="auto"/>
              </w:rPr>
            </w:pPr>
          </w:p>
        </w:tc>
        <w:tc>
          <w:tcPr>
            <w:tcW w:w="1140" w:type="dxa"/>
            <w:vAlign w:val="bottom"/>
            <w:gridSpan w:val="4"/>
            <w:vMerge w:val="restart"/>
          </w:tcPr>
          <w:p>
            <w:pPr>
              <w:jc w:val="center"/>
              <w:ind w:right="80"/>
              <w:spacing w:after="0" w:line="159" w:lineRule="exact"/>
              <w:rPr>
                <w:sz w:val="20"/>
                <w:szCs w:val="20"/>
                <w:color w:val="auto"/>
              </w:rPr>
            </w:pPr>
            <w:r>
              <w:rPr>
                <w:rFonts w:ascii="Arial" w:cs="Arial" w:eastAsia="Arial" w:hAnsi="Arial"/>
                <w:sz w:val="15"/>
                <w:szCs w:val="15"/>
                <w:b w:val="1"/>
                <w:bCs w:val="1"/>
                <w:color w:val="auto"/>
                <w:w w:val="90"/>
              </w:rPr>
              <w:t>Comprehensive</w:t>
            </w:r>
          </w:p>
        </w:tc>
        <w:tc>
          <w:tcPr>
            <w:tcW w:w="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120"/>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CCEEFF"/>
            </w:tcBorders>
          </w:tcPr>
          <w:p>
            <w:pPr>
              <w:spacing w:after="0"/>
              <w:rPr>
                <w:sz w:val="17"/>
                <w:szCs w:val="17"/>
                <w:color w:val="auto"/>
              </w:rPr>
            </w:pPr>
          </w:p>
        </w:tc>
        <w:tc>
          <w:tcPr>
            <w:tcW w:w="4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88"/>
              </w:rPr>
              <w:t>Issued</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3"/>
              </w:rPr>
              <w:t>Earnings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85"/>
              </w:rPr>
              <w:t>Loss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83"/>
              </w:rPr>
              <w:t>Shares</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54"/>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Balance as of December 31, 2018</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1,078.8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9"/>
              </w:rPr>
              <w:t>$1,855.0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2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$(2,895.5)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Effect on adjustment upon adoption of new accounting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standards (ASC 842)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(0.3)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income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Dividends, $0.64 per share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(25.3)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Foreign currency translation adjustments</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Pension and post-retirement liability changes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(0.2)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Stock-based compensation expense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Change in cash flow hedges, net of tax expense of $2.3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6.2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Treasury shares reissued for common stock</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0" w:type="dxa"/>
            <w:vAlign w:val="bottom"/>
            <w:shd w:val="clear" w:color="auto" w:fill="CCEEFF"/>
          </w:tcPr>
          <w:p>
            <w:pPr>
              <w:spacing w:after="0"/>
              <w:rPr>
                <w:sz w:val="23"/>
                <w:szCs w:val="23"/>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CCEEFF"/>
            </w:tcBorders>
          </w:tcPr>
          <w:p>
            <w:pPr>
              <w:spacing w:after="0"/>
              <w:rPr>
                <w:sz w:val="23"/>
                <w:szCs w:val="23"/>
                <w:color w:val="auto"/>
              </w:rPr>
            </w:pPr>
          </w:p>
        </w:tc>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Treasury stock purchases</w:t>
            </w:r>
          </w:p>
        </w:tc>
        <w:tc>
          <w:tcPr>
            <w:tcW w:w="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gridSpan w:val="2"/>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(113.5)</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(113.5)</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March 31, 2019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1,079.4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$1,898.7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(180.2)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$ 47.6</w:t>
            </w:r>
          </w:p>
        </w:tc>
        <w:tc>
          <w:tcPr>
            <w:tcW w:w="2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(3,003.6)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(204.8)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60"/>
          </w:cols>
          <w:pgMar w:left="820" w:top="585" w:right="819" w:bottom="1440" w:gutter="0" w:footer="0" w:header="0"/>
        </w:sectPr>
      </w:pPr>
    </w:p>
    <w:bookmarkStart w:id="6" w:name="page7"/>
    <w:bookmarkEnd w:id="6"/>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(Amounts in millions)</w:t>
            </w:r>
          </w:p>
        </w:tc>
        <w:tc>
          <w:tcPr>
            <w:tcW w:w="240" w:type="dxa"/>
            <w:vAlign w:val="bottom"/>
            <w:tcBorders>
              <w:bottom w:val="single" w:sz="8" w:color="auto"/>
            </w:tcBorders>
            <w:shd w:val="clear" w:color="auto" w:fill="CCEEFF"/>
          </w:tcPr>
          <w:p>
            <w:pPr>
              <w:spacing w:after="0"/>
              <w:rPr>
                <w:sz w:val="17"/>
                <w:szCs w:val="17"/>
                <w:color w:val="auto"/>
              </w:rPr>
            </w:pPr>
          </w:p>
        </w:tc>
        <w:tc>
          <w:tcPr>
            <w:tcW w:w="3040" w:type="dxa"/>
            <w:vAlign w:val="bottom"/>
            <w:tcBorders>
              <w:bottom w:val="single" w:sz="8" w:color="auto"/>
            </w:tcBorders>
            <w:gridSpan w:val="4"/>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11"/>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53"/>
        </w:trPr>
        <w:tc>
          <w:tcPr>
            <w:tcW w:w="8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4"/>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operating activities: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37.9</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Loss on sale of business</w:t>
            </w:r>
          </w:p>
        </w:tc>
        <w:tc>
          <w:tcPr>
            <w:tcW w:w="24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Gain from insurance recoveries, net of losses incurred</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Income from equity method investments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assets held for sale</w:t>
            </w:r>
          </w:p>
        </w:tc>
        <w:tc>
          <w:tcPr>
            <w:tcW w:w="2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Restructuring charges, net of cash paid</w:t>
            </w:r>
          </w:p>
        </w:tc>
        <w:tc>
          <w:tcPr>
            <w:tcW w:w="24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Provision for bad debts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Unrealized losses (gains) on derivative contracts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 expense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16.6</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Pension expense</w:t>
            </w:r>
          </w:p>
        </w:tc>
        <w:tc>
          <w:tcPr>
            <w:tcW w:w="24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Pension contributions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Other items, net</w:t>
            </w:r>
          </w:p>
        </w:tc>
        <w:tc>
          <w:tcPr>
            <w:tcW w:w="24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effects of divestitures: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Accounts and notes receivable</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payable and receivable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r>
      <w:tr>
        <w:trPr>
          <w:trHeight w:val="264"/>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5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(83.5)</w:t>
            </w:r>
          </w:p>
        </w:tc>
      </w:tr>
      <w:tr>
        <w:trPr>
          <w:trHeight w:val="264"/>
        </w:trPr>
        <w:tc>
          <w:tcPr>
            <w:tcW w:w="8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Cash flows from investing activities: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the disposal of property, plant and equipment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proceeds from sale of business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(22.6)</w:t>
            </w:r>
          </w:p>
        </w:tc>
      </w:tr>
      <w:tr>
        <w:trPr>
          <w:trHeight w:val="264"/>
        </w:trPr>
        <w:tc>
          <w:tcPr>
            <w:tcW w:w="8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Cash flows from financing activities: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borrowings, net</w:t>
            </w:r>
          </w:p>
        </w:tc>
        <w:tc>
          <w:tcPr>
            <w:tcW w:w="2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Asset securitization payments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(51.0)</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payments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Long-term debt borrowings</w:t>
            </w:r>
          </w:p>
        </w:tc>
        <w:tc>
          <w:tcPr>
            <w:tcW w:w="24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Borrowings from credit facility</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790.0</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Payments on credit facility</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(444.1)</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employee stock purchases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Repurchases of common stock</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Repurchases of common stock to satisfy employee withholding tax obligations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264"/>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dividends paid</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r>
      <w:tr>
        <w:trPr>
          <w:trHeight w:val="25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96.0</w:t>
            </w:r>
          </w:p>
        </w:tc>
      </w:tr>
      <w:tr>
        <w:trPr>
          <w:trHeight w:val="250"/>
        </w:trPr>
        <w:tc>
          <w:tcPr>
            <w:tcW w:w="8100" w:type="dxa"/>
            <w:vAlign w:val="bottom"/>
          </w:tcPr>
          <w:p>
            <w:pPr>
              <w:ind w:left="20"/>
              <w:spacing w:after="0"/>
              <w:rPr>
                <w:sz w:val="20"/>
                <w:szCs w:val="20"/>
                <w:color w:val="auto"/>
              </w:rPr>
            </w:pPr>
            <w:r>
              <w:rPr>
                <w:rFonts w:ascii="Arial" w:cs="Arial" w:eastAsia="Arial" w:hAnsi="Arial"/>
                <w:sz w:val="14"/>
                <w:szCs w:val="14"/>
                <w:color w:val="auto"/>
              </w:rPr>
              <w:t>Decrease in cash and cash equivalents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w:t>
            </w: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57.1</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Supplemental disclosures of cash flow information:</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97"/>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paid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r>
      <w:tr>
        <w:trPr>
          <w:trHeight w:val="21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Income taxes paid (net of refunds)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8100" w:type="dxa"/>
            <w:vAlign w:val="bottom"/>
          </w:tcPr>
          <w:p>
            <w:pPr>
              <w:ind w:left="280"/>
              <w:spacing w:after="0"/>
              <w:rPr>
                <w:sz w:val="20"/>
                <w:szCs w:val="20"/>
                <w:color w:val="auto"/>
              </w:rPr>
            </w:pPr>
            <w:r>
              <w:rPr>
                <w:rFonts w:ascii="Arial" w:cs="Arial" w:eastAsia="Arial" w:hAnsi="Arial"/>
                <w:sz w:val="14"/>
                <w:szCs w:val="14"/>
                <w:color w:val="auto"/>
              </w:rPr>
              <w:t>Insurance recoveries received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76" w:orient="portrait"/>
          <w:cols w:equalWidth="0" w:num="1">
            <w:col w:w="11380"/>
          </w:cols>
          <w:pgMar w:left="260" w:top="769" w:right="259" w:bottom="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76" w:orient="portrait"/>
          <w:cols w:equalWidth="0" w:num="1">
            <w:col w:w="11380"/>
          </w:cols>
          <w:pgMar w:left="260" w:top="769" w:right="25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accompanying unaudited Consolidated Balance Sheet as of March 31, 2019, the accompanying unaudited Consolidated Statements of Operations for the three months ended March 31, 2019 and 2018, the accompanying unaudited Consolidated Statements of Comprehensive Income for the three months ended March 31, 2019 and 2018, the accompanying unaudited Consolidated Statements of Stockholders' (Deficit) Equity for the three months ended March 31, 2019 and 2018, and the accompanying unaudited Consolidated Statements of Cash Flows for the three months ended March 31, 2019 and 2018 should be read in conjunction with our audited consolidated financial statements and footnotes included in our Annual Report on Form 10-K for the year ended December 31, 2018. 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18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1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amounts have been reclassified from the prior year presentation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306"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In August 2018, the SEC issued Release No. 33-10532 that amends and clarifies certain financial reporting requirements. The principal change to our financial reporting is the inclusion of the annual disclosure requirement of changes in stockholders’ equity in Rule 3-04 of Regulation S-X to interim periods.</w:t>
      </w:r>
    </w:p>
    <w:p>
      <w:pPr>
        <w:spacing w:after="0" w:line="20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also adopted other new accounting standards during the first quarter of 2019. The impact of these additional standards are discussed in their respective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following table disaggregates our revenue by business segment by geography which provides information as to the major source of revenue. See Note 16 for additional description of our reportable business segments and the products and services being sold in each segment.</w:t>
      </w:r>
    </w:p>
    <w:p>
      <w:pPr>
        <w:spacing w:after="0" w:line="80"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6"/>
                <w:szCs w:val="16"/>
                <w:b w:val="1"/>
                <w:bCs w:val="1"/>
                <w:color w:val="auto"/>
              </w:rPr>
              <w:t>For the Three Months Ended March 31, 2019</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1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682.1</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49.0</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465.6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173.3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151.4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790.3</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3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6"/>
                <w:szCs w:val="16"/>
                <w:b w:val="1"/>
                <w:bCs w:val="1"/>
                <w:color w:val="auto"/>
              </w:rPr>
              <w:t>For the Three Months Ended March 31,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1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681.5</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47.8</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105.5</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453.7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179.1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834.8</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color w:val="auto"/>
        </w:rPr>
        <w:t xml:space="preserve">Residential Heating &amp; Cooling </w:t>
      </w:r>
      <w:r>
        <w:rPr>
          <w:rFonts w:ascii="Arial" w:cs="Arial" w:eastAsia="Arial" w:hAnsi="Arial"/>
          <w:sz w:val="17"/>
          <w:szCs w:val="17"/>
          <w:color w:val="auto"/>
        </w:rPr>
        <w:t>- We manufacture and market a broad range of furnaces, air conditioners, heat pumps, packaged heating and cooling</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segment, for the three months ended March 31, 2019 and 2018, direct sales represent approximately $334.7 million and $339.5 million of revenues, and sales to independent distributors represent approximately $130.9 million and $114.2 million of revenues, respectively. Given the nature of our business, customer product orders are fulfilled at a point in time and not over a period of time.</w:t>
      </w:r>
    </w:p>
    <w:p>
      <w:pPr>
        <w:spacing w:after="0" w:line="17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b w:val="1"/>
          <w:bCs w:val="1"/>
          <w:color w:val="auto"/>
        </w:rPr>
        <w:t xml:space="preserve">Commercial Heating &amp; Cooling </w:t>
      </w:r>
      <w:r>
        <w:rPr>
          <w:rFonts w:ascii="Arial" w:cs="Arial" w:eastAsia="Arial" w:hAnsi="Arial"/>
          <w:sz w:val="17"/>
          <w:szCs w:val="17"/>
          <w:color w:val="auto"/>
        </w:rPr>
        <w:t>- In North America, we manufacture and sell unitary heating and cooling equipment used in light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segment, for the three months ended March 31, 2019 and 2018, equipment sales represent approximately $143.5 million and $151.5 million of revenues while $29.8 million and $27.6 million of our revenue is generated from our service business, respectively.</w:t>
      </w:r>
    </w:p>
    <w:p>
      <w:pPr>
        <w:spacing w:after="0" w:line="172"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7"/>
          <w:szCs w:val="17"/>
          <w:b w:val="1"/>
          <w:bCs w:val="1"/>
          <w:color w:val="auto"/>
        </w:rPr>
        <w:t xml:space="preserve">Refrigeration </w:t>
      </w:r>
      <w:r>
        <w:rPr>
          <w:rFonts w:ascii="Arial" w:cs="Arial" w:eastAsia="Arial" w:hAnsi="Arial"/>
          <w:sz w:val="17"/>
          <w:szCs w:val="17"/>
          <w:color w:val="auto"/>
        </w:rPr>
        <w:t>- We manufacture and market equipment for the global commercial refrigeration markets under the Heatcraft Worldwide Refrigeration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Revenue for the products sold is $148.9 million and $200.0 million for the three months ended March 31, 2019 and 2018 and and is recognized at a point in time when control transfers to the customer, which is generally at time of shipment. The remaining segment revenue relates to service revenues related to start-up and commissioning activities.</w:t>
      </w:r>
    </w:p>
    <w:p>
      <w:pPr>
        <w:spacing w:after="0" w:line="174"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58"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services) in exchange for the consideration given, and, accordingly, record a ratable portion of the expenditure to Selling, general and administrative (“SG&amp;A”) expenses. All other advertising, promotions and marketing costs are expensed as incurred.</w:t>
      </w:r>
    </w:p>
    <w:p>
      <w:pPr>
        <w:spacing w:after="0" w:line="16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189"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w:t>
      </w:r>
    </w:p>
    <w:p>
      <w:pPr>
        <w:spacing w:after="0" w:line="180"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 The noncurrent portion of deferred revenue is included in Other liabilities in our Consolidated Balance Sheet.</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5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4"/>
              </w:rPr>
              <w:t>$ Change</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7"/>
        </w:trPr>
        <w:tc>
          <w:tcPr>
            <w:tcW w:w="582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37"/>
        </w:trPr>
        <w:tc>
          <w:tcPr>
            <w:tcW w:w="5820" w:type="dxa"/>
            <w:vAlign w:val="bottom"/>
          </w:tcPr>
          <w:p>
            <w:pPr>
              <w:ind w:left="20"/>
              <w:spacing w:after="0"/>
              <w:rPr>
                <w:sz w:val="20"/>
                <w:szCs w:val="20"/>
                <w:color w:val="auto"/>
              </w:rPr>
            </w:pPr>
            <w:r>
              <w:rPr>
                <w:rFonts w:ascii="Arial" w:cs="Arial" w:eastAsia="Arial" w:hAnsi="Arial"/>
                <w:sz w:val="16"/>
                <w:szCs w:val="16"/>
                <w:color w:val="auto"/>
              </w:rPr>
              <w:t>Contract liabilities - noncurrent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For the three months ended March 31, 2019 and 2018, we recognized revenue of $1.1 million and $1.6 million related to our contract liabilities at January 1, 2019 and 2018, respectively. Impairment losses recognized in our receivables and contract assets were de minimis in the first quarter of 2019 and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inventories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March 31, 2019</w:t>
            </w:r>
          </w:p>
        </w:tc>
        <w:tc>
          <w:tcPr>
            <w:tcW w:w="19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5"/>
              </w:rPr>
              <w:t>As of December 31, 2018</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parts</w:t>
            </w:r>
          </w:p>
        </w:tc>
        <w:tc>
          <w:tcPr>
            <w:tcW w:w="28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37"/>
        </w:trPr>
        <w:tc>
          <w:tcPr>
            <w:tcW w:w="4580" w:type="dxa"/>
            <w:vAlign w:val="bottom"/>
          </w:tcPr>
          <w:p>
            <w:pPr>
              <w:ind w:left="280"/>
              <w:spacing w:after="0"/>
              <w:rPr>
                <w:sz w:val="20"/>
                <w:szCs w:val="20"/>
                <w:color w:val="auto"/>
              </w:rPr>
            </w:pPr>
            <w:r>
              <w:rPr>
                <w:rFonts w:ascii="Arial" w:cs="Arial" w:eastAsia="Arial" w:hAnsi="Arial"/>
                <w:sz w:val="18"/>
                <w:szCs w:val="18"/>
                <w:color w:val="auto"/>
              </w:rPr>
              <w:t>Subtotal</w:t>
            </w:r>
          </w:p>
        </w:tc>
        <w:tc>
          <w:tcPr>
            <w:tcW w:w="28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current cost over last-in, first-out cost</w:t>
            </w:r>
          </w:p>
        </w:tc>
        <w:tc>
          <w:tcPr>
            <w:tcW w:w="28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Total inventories, net</w:t>
            </w:r>
          </w:p>
        </w:tc>
        <w:tc>
          <w:tcPr>
            <w:tcW w:w="28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600.1</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509.8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60" w:type="dxa"/>
            <w:vAlign w:val="bottom"/>
            <w:vMerge w:val="restart"/>
          </w:tcPr>
          <w:p>
            <w:pPr>
              <w:jc w:val="right"/>
              <w:ind w:right="159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Goodwill:</w:t>
      </w:r>
    </w:p>
    <w:p>
      <w:pPr>
        <w:spacing w:after="0" w:line="175" w:lineRule="exact"/>
        <w:rPr>
          <w:sz w:val="20"/>
          <w:szCs w:val="20"/>
          <w:color w:val="auto"/>
        </w:rPr>
      </w:pPr>
    </w:p>
    <w:p>
      <w:pPr>
        <w:ind w:right="700" w:firstLine="243"/>
        <w:spacing w:after="0" w:line="277" w:lineRule="auto"/>
        <w:rPr>
          <w:sz w:val="20"/>
          <w:szCs w:val="20"/>
          <w:color w:val="auto"/>
        </w:rPr>
      </w:pPr>
      <w:r>
        <w:rPr>
          <w:rFonts w:ascii="Arial" w:cs="Arial" w:eastAsia="Arial" w:hAnsi="Arial"/>
          <w:sz w:val="18"/>
          <w:szCs w:val="18"/>
          <w:color w:val="auto"/>
        </w:rPr>
        <w:t>The changes in the carrying amount of goodwill for the first three months of 2019, in total and by segment, are summarized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at December</w:t>
            </w:r>
          </w:p>
        </w:tc>
        <w:tc>
          <w:tcPr>
            <w:tcW w:w="160" w:type="dxa"/>
            <w:vAlign w:val="bottom"/>
          </w:tcPr>
          <w:p>
            <w:pPr>
              <w:spacing w:after="0"/>
              <w:rPr>
                <w:sz w:val="14"/>
                <w:szCs w:val="14"/>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Changes in foreign</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Balance at March 31,</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currency translation</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31, 2018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 xml:space="preserve">Reallocation </w:t>
            </w:r>
            <w:r>
              <w:rPr>
                <w:rFonts w:ascii="Arial" w:cs="Arial" w:eastAsia="Arial" w:hAnsi="Arial"/>
                <w:sz w:val="8"/>
                <w:szCs w:val="8"/>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rates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Goodwill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186.6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186.5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8"/>
        <w:spacing w:after="0" w:line="243" w:lineRule="auto"/>
        <w:tabs>
          <w:tab w:leader="none" w:pos="196" w:val="left"/>
        </w:tabs>
        <w:numPr>
          <w:ilvl w:val="0"/>
          <w:numId w:val="1"/>
        </w:numPr>
        <w:rPr>
          <w:rFonts w:ascii="Arial" w:cs="Arial" w:eastAsia="Arial" w:hAnsi="Arial"/>
          <w:sz w:val="23"/>
          <w:szCs w:val="23"/>
          <w:color w:val="auto"/>
          <w:vertAlign w:val="superscript"/>
        </w:rPr>
      </w:pPr>
      <w:r>
        <w:rPr>
          <w:rFonts w:ascii="Arial" w:cs="Arial" w:eastAsia="Arial" w:hAnsi="Arial"/>
          <w:sz w:val="17"/>
          <w:szCs w:val="17"/>
          <w:color w:val="auto"/>
        </w:rPr>
        <w:t>In 2019, we reorganized our external financial reporting structure by moving our European Commercial HVAC business from our Commercial segment to our Refrigeration segment as we will manage both our commercial HVAC and refrigeration operations in Europe together. See Note 16 for additional information.</w:t>
      </w:r>
    </w:p>
    <w:p>
      <w:pPr>
        <w:spacing w:after="0" w:line="20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perform our annual goodwill impairment test in the fourth quarter of each year. We continue to monitor our reporting units for indicators of impairment throughout the year to determine if a change in facts or circumstances warrants a re-evaluation of our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have foreign exchange forward contracts and commodity futures contracts designated as cash flow hedges that are scheduled to mature through January 2020 and August 2020, respectively.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2019</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unsettled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7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Losses (gains) included in AOCL, net of tax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bl>
    <w:p>
      <w:pPr>
        <w:spacing w:after="0" w:line="256" w:lineRule="exact"/>
        <w:rPr>
          <w:sz w:val="20"/>
          <w:szCs w:val="20"/>
          <w:color w:val="auto"/>
        </w:rPr>
      </w:pPr>
    </w:p>
    <w:p>
      <w:pPr>
        <w:ind w:left="500" w:hanging="168"/>
        <w:spacing w:after="0" w:line="216" w:lineRule="auto"/>
        <w:tabs>
          <w:tab w:leader="none" w:pos="541"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Assuming commodity and foreign currency prices remain constant, we expect to reclassify $1.2 million of derivative losses into earnings within the next 12 months.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2019, we had no unrecognized tax benefits.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are currently under examination for our U.S. federal income taxes under the Internal Revenue Service's Compliance Assurance Program for 2018 and are subject to examination by numerous other taxing authorities in the U.S. and in foreign jurisdictions. We are generally no longer subject to U.S. federal, state and local, or non-U.S. income tax examinations by taxing authorities for years prior to 2011.</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Since January 1, 2019, several states have enacted legislation effective for tax years beginning on or after January 1, 2019, including changes to tax rates and apportionment methods. The impact of these changes is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 xml:space="preserve">On February 25, 2016, the FASB issued ASU No. 2016-02, </w:t>
      </w:r>
      <w:r>
        <w:rPr>
          <w:rFonts w:ascii="Arial" w:cs="Arial" w:eastAsia="Arial" w:hAnsi="Arial"/>
          <w:sz w:val="16"/>
          <w:szCs w:val="16"/>
          <w:i w:val="1"/>
          <w:iCs w:val="1"/>
          <w:color w:val="auto"/>
        </w:rPr>
        <w:t>Leases (ASC 842).</w:t>
      </w:r>
      <w:r>
        <w:rPr>
          <w:rFonts w:ascii="Arial" w:cs="Arial" w:eastAsia="Arial" w:hAnsi="Arial"/>
          <w:sz w:val="16"/>
          <w:szCs w:val="16"/>
          <w:color w:val="auto"/>
        </w:rPr>
        <w:t xml:space="preserve"> We adopted ASC 842 on January 1, 2019, using the effective date method, with the cumulative-effect adjustment to the opening balance sheet of retained earnings as of the effective date. The financial results reported in periods prior to January 1, 2019 are unchanged. Upon adoption, we recognized almost all of our leases greater than one year in duration on the balance sheet as right-of-use assets and lease liabilities. For income statement purposes, the FASB retained a dual model, requiring leases to be classified as either operating or finance. Classification is based on criteria that are largely similar to those applied in current lease accounting, but without explicit bright lines. We have made certain assumptions in judgments when applying ASC 842. Those judgments of most significance are as follows:</w:t>
      </w:r>
    </w:p>
    <w:p>
      <w:pPr>
        <w:spacing w:after="0" w:line="5" w:lineRule="exact"/>
        <w:rPr>
          <w:sz w:val="20"/>
          <w:szCs w:val="20"/>
          <w:color w:val="auto"/>
        </w:rPr>
      </w:pPr>
    </w:p>
    <w:p>
      <w:pPr>
        <w:ind w:left="940" w:hanging="32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elected the package of practical expedients available for transition which allow us to not reassess:</w:t>
      </w:r>
    </w:p>
    <w:p>
      <w:pPr>
        <w:spacing w:after="0" w:line="9" w:lineRule="exact"/>
        <w:rPr>
          <w:rFonts w:ascii="Arial" w:cs="Arial" w:eastAsia="Arial" w:hAnsi="Arial"/>
          <w:sz w:val="18"/>
          <w:szCs w:val="18"/>
          <w:color w:val="auto"/>
        </w:rPr>
      </w:pPr>
    </w:p>
    <w:p>
      <w:pPr>
        <w:ind w:left="1580" w:hanging="31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expired or existing contracts contain leases under the new definition of a lease;</w:t>
      </w:r>
    </w:p>
    <w:p>
      <w:pPr>
        <w:spacing w:after="0" w:line="9" w:lineRule="exact"/>
        <w:rPr>
          <w:rFonts w:ascii="Arial" w:cs="Arial" w:eastAsia="Arial" w:hAnsi="Arial"/>
          <w:sz w:val="18"/>
          <w:szCs w:val="18"/>
          <w:color w:val="auto"/>
        </w:rPr>
      </w:pPr>
    </w:p>
    <w:p>
      <w:pPr>
        <w:ind w:left="1580" w:hanging="31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Lease classification for expired or existing leases; and</w:t>
      </w:r>
    </w:p>
    <w:p>
      <w:pPr>
        <w:spacing w:after="0" w:line="9" w:lineRule="exact"/>
        <w:rPr>
          <w:rFonts w:ascii="Arial" w:cs="Arial" w:eastAsia="Arial" w:hAnsi="Arial"/>
          <w:sz w:val="18"/>
          <w:szCs w:val="18"/>
          <w:color w:val="auto"/>
        </w:rPr>
      </w:pPr>
    </w:p>
    <w:p>
      <w:pPr>
        <w:ind w:left="1580" w:hanging="31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previously capitalized initial direct costs would qualify for capitalization under ASC 842.</w:t>
      </w:r>
    </w:p>
    <w:p>
      <w:pPr>
        <w:spacing w:after="0" w:line="9" w:lineRule="exact"/>
        <w:rPr>
          <w:rFonts w:ascii="Arial" w:cs="Arial" w:eastAsia="Arial" w:hAnsi="Arial"/>
          <w:sz w:val="18"/>
          <w:szCs w:val="18"/>
          <w:color w:val="auto"/>
        </w:rPr>
      </w:pPr>
    </w:p>
    <w:p>
      <w:pPr>
        <w:ind w:left="940" w:right="20" w:hanging="324"/>
        <w:spacing w:after="0" w:line="250"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did not elect to use hindsight for transition when considering judgments and estimates such as assessments of lessee options to extend or terminate a lease or purchase the underlying asset.</w:t>
      </w:r>
    </w:p>
    <w:p>
      <w:pPr>
        <w:ind w:left="940" w:hanging="32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did not elect to reassess whether land easements meet the definition of a lease if they were not accounted for as leases under the former rules.</w:t>
      </w:r>
    </w:p>
    <w:p>
      <w:pPr>
        <w:spacing w:after="0" w:line="32" w:lineRule="exact"/>
        <w:rPr>
          <w:rFonts w:ascii="Arial" w:cs="Arial" w:eastAsia="Arial" w:hAnsi="Arial"/>
          <w:sz w:val="16"/>
          <w:szCs w:val="16"/>
          <w:color w:val="auto"/>
        </w:rPr>
      </w:pPr>
    </w:p>
    <w:p>
      <w:pPr>
        <w:ind w:left="940" w:hanging="32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all asset classes, we elected to not recognize a right-of-use asset and lease liability for leases with a term of 12 months or less.</w:t>
      </w:r>
    </w:p>
    <w:p>
      <w:pPr>
        <w:spacing w:after="0" w:line="9" w:lineRule="exact"/>
        <w:rPr>
          <w:rFonts w:ascii="Arial" w:cs="Arial" w:eastAsia="Arial" w:hAnsi="Arial"/>
          <w:sz w:val="18"/>
          <w:szCs w:val="18"/>
          <w:color w:val="auto"/>
        </w:rPr>
      </w:pPr>
    </w:p>
    <w:p>
      <w:pPr>
        <w:ind w:left="940" w:hanging="324"/>
        <w:spacing w:after="0" w:line="261"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all asset classes, we elected to not separate non-lease components from lease components to which they relate and have accounted for the combined lease and non-lease components as a single lease component.</w:t>
      </w:r>
    </w:p>
    <w:p>
      <w:pPr>
        <w:spacing w:after="0" w:line="184"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determine if an arrangement is a lease at inception. Operating leases are included in our Consolidated Balance Sheet as Right-of-use assets from operating leases, Current operating lease liabilities and Long-term operating lease liabilities. Finance leases are included in Property, plant and equipment, Current maturities of long-term debt and Long-term debt in our Consolidated Balance Sheet. 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which is the date we enter the leased space and begin to make improvements in preparation for its intended use. Variable lease components represent amounts that are not fixed in nature and are not tied to an index or rate, and are recognized as incurred.</w:t>
      </w:r>
    </w:p>
    <w:p>
      <w:pPr>
        <w:spacing w:after="0" w:line="18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170"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2" w:name="page13"/>
    <w:bookmarkEnd w:id="12"/>
    <w:p>
      <w:pPr>
        <w:ind w:right="20" w:firstLine="230"/>
        <w:spacing w:after="0" w:line="342" w:lineRule="auto"/>
        <w:rPr>
          <w:sz w:val="20"/>
          <w:szCs w:val="20"/>
          <w:color w:val="auto"/>
        </w:rPr>
      </w:pPr>
      <w:r>
        <w:rPr>
          <w:rFonts w:ascii="Arial" w:cs="Arial" w:eastAsia="Arial" w:hAnsi="Arial"/>
          <w:sz w:val="16"/>
          <w:szCs w:val="16"/>
          <w:color w:val="auto"/>
        </w:rPr>
        <w:t>We lease certain real and personal property under non-cancelable operating leases. Approximately 80% of our right-of-use assets and lease liabilities relate to our leases of real estate with the remaining amounts relating to our leases of IT equipment, fleet vehicles and manufacturing and distribution equipment.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52" w:lineRule="exact"/>
        <w:rPr>
          <w:sz w:val="20"/>
          <w:szCs w:val="20"/>
          <w:color w:val="auto"/>
        </w:rPr>
      </w:pPr>
    </w:p>
    <w:p>
      <w:pPr>
        <w:jc w:val="center"/>
        <w:ind w:left="8800"/>
        <w:spacing w:after="0"/>
        <w:rPr>
          <w:sz w:val="20"/>
          <w:szCs w:val="20"/>
          <w:color w:val="auto"/>
        </w:rPr>
      </w:pPr>
      <w:r>
        <w:rPr>
          <w:rFonts w:ascii="Arial" w:cs="Arial" w:eastAsia="Arial" w:hAnsi="Arial"/>
          <w:sz w:val="15"/>
          <w:szCs w:val="15"/>
          <w:b w:val="1"/>
          <w:bCs w:val="1"/>
          <w:color w:val="auto"/>
        </w:rPr>
        <w:t>For the Three Months Ended March</w:t>
      </w:r>
    </w:p>
    <w:p>
      <w:pPr>
        <w:spacing w:after="0" w:line="38"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right-of-use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paid for amounts included in the measurement lease liabilities: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cash flows from operating leases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Right-of-use assets obtained in exchange for new finance lease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Right-of-use assets obtained in exchange for new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11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11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0"/>
        </w:trPr>
        <w:tc>
          <w:tcPr>
            <w:tcW w:w="11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11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22.1</w:t>
            </w:r>
          </w:p>
        </w:tc>
      </w:tr>
      <w:tr>
        <w:trPr>
          <w:trHeight w:val="27"/>
        </w:trPr>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w:t>
            </w:r>
          </w:p>
        </w:tc>
      </w:tr>
    </w:tbl>
    <w:p>
      <w:pPr>
        <w:spacing w:after="0" w:line="1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37465</wp:posOffset>
            </wp:positionV>
            <wp:extent cx="16376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8080" w:space="720"/>
            <w:col w:w="262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0"/>
              <w:spacing w:after="0"/>
              <w:rPr>
                <w:sz w:val="20"/>
                <w:szCs w:val="20"/>
                <w:color w:val="auto"/>
              </w:rPr>
            </w:pPr>
            <w:r>
              <w:rPr>
                <w:rFonts w:ascii="Arial" w:cs="Arial" w:eastAsia="Arial" w:hAnsi="Arial"/>
                <w:sz w:val="18"/>
                <w:szCs w:val="18"/>
                <w:color w:val="auto"/>
              </w:rPr>
              <w:t>Finance lease right-of-use assets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22.7</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170.1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Finance lease liability, current</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6.3</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liability,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Operating lease liability, current</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48.1</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5.46 years</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4.37 years</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648"/>
        </w:trPr>
        <w:tc>
          <w:tcPr>
            <w:tcW w:w="9820" w:type="dxa"/>
            <w:vAlign w:val="bottom"/>
            <w:gridSpan w:val="4"/>
          </w:tcPr>
          <w:p>
            <w:pPr>
              <w:ind w:left="260"/>
              <w:spacing w:after="0"/>
              <w:rPr>
                <w:sz w:val="20"/>
                <w:szCs w:val="20"/>
                <w:color w:val="auto"/>
              </w:rPr>
            </w:pPr>
            <w:r>
              <w:rPr>
                <w:rFonts w:ascii="Arial" w:cs="Arial" w:eastAsia="Arial" w:hAnsi="Arial"/>
                <w:sz w:val="18"/>
                <w:szCs w:val="18"/>
                <w:color w:val="auto"/>
                <w:w w:val="97"/>
              </w:rPr>
              <w:t>Future annual minimum lease payments and capital lease commitments as of March 31, 2019 were as follows (in millions):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88"/>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6"/>
                <w:szCs w:val="16"/>
                <w:b w:val="1"/>
                <w:bCs w:val="1"/>
                <w:color w:val="auto"/>
                <w:w w:val="92"/>
              </w:rPr>
              <w:t>Finance Leases</w:t>
            </w:r>
          </w:p>
        </w:tc>
      </w:tr>
      <w:tr>
        <w:trPr>
          <w:trHeight w:val="33"/>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three months ended March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4" w:right="239" w:bottom="1440" w:gutter="0" w:footer="0" w:header="0"/>
          <w:type w:val="continuous"/>
        </w:sectPr>
      </w:pPr>
    </w:p>
    <w:bookmarkStart w:id="13" w:name="page14"/>
    <w:bookmarkEnd w:id="13"/>
    <w:p>
      <w:pPr>
        <w:ind w:right="680" w:firstLine="243"/>
        <w:spacing w:after="0" w:line="342" w:lineRule="auto"/>
        <w:rPr>
          <w:sz w:val="20"/>
          <w:szCs w:val="20"/>
          <w:color w:val="auto"/>
        </w:rPr>
      </w:pPr>
      <w:r>
        <w:rPr>
          <w:rFonts w:ascii="Arial" w:cs="Arial" w:eastAsia="Arial" w:hAnsi="Arial"/>
          <w:sz w:val="16"/>
          <w:szCs w:val="16"/>
          <w:color w:val="auto"/>
        </w:rPr>
        <w:t>The Company adopted ASU 2016-02 on January 1, 2019 as noted above, and as required, the following disclosure is provided for periods prior to adoption. Future annual minimum lease payments and capital lease commitments as of December 31, 2018 were as follows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18"/>
                <w:szCs w:val="18"/>
                <w:color w:val="auto"/>
              </w:rPr>
            </w:pPr>
          </w:p>
        </w:tc>
        <w:tc>
          <w:tcPr>
            <w:tcW w:w="1380" w:type="dxa"/>
            <w:vAlign w:val="bottom"/>
          </w:tcPr>
          <w:p>
            <w:pPr>
              <w:jc w:val="right"/>
              <w:ind w:right="211"/>
              <w:spacing w:after="0"/>
              <w:rPr>
                <w:sz w:val="20"/>
                <w:szCs w:val="20"/>
                <w:color w:val="auto"/>
              </w:rPr>
            </w:pPr>
            <w:r>
              <w:rPr>
                <w:rFonts w:ascii="Arial" w:cs="Arial" w:eastAsia="Arial" w:hAnsi="Arial"/>
                <w:sz w:val="16"/>
                <w:szCs w:val="16"/>
                <w:b w:val="1"/>
                <w:bCs w:val="1"/>
                <w:color w:val="auto"/>
                <w:w w:val="94"/>
              </w:rPr>
              <w:t>Capital Leases</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230"/>
        </w:trPr>
        <w:tc>
          <w:tcPr>
            <w:tcW w:w="8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On March 1, 2019, we entered into an agreement with a financial institution to renew the lease of our corporate headquarters in Richardson, Texas for a term of five years through March 1, 2024. The leased property consists of an office building of approximately 192,000 square feet, land and related improvements. During the lease term, we are obligated to pay base rent in quarterly installments, payable in arrears. At the end of the lease term, we must do one of the following: (i) purchase the property for $41.2 million; (ii) vacate the property and return it in good condition; (iii) arrange for the sale of the leased property to a third party; or (iv) renew the lease under mutually agreeable terms. If we elect to sell the property to a third party and the sales proceeds are less than the lease balance of $41.2 million, we must pay any such deficit to the financial institution. Any such deficit payment cannot exceed 87% of the lease balance. The headquarters lease is classified as an operating lease and its future annual minimum lease payments are included in the table above.</w:t>
      </w:r>
    </w:p>
    <w:p>
      <w:pPr>
        <w:spacing w:after="0" w:line="16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obligations under the headquarters lease are secured by a pledge of our interest in the leased property. The lease contains customary lease covenants and events of default as well as events of default if (i) indebtedness of $75 million or more is not paid when due, (ii) there is a change of control or (iii) we fail to comply with certain covenants incorporated from our existing credit facility agreement. We believe we were in compliance with these financial covenants as of March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assumptions, as necessary.</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2019</w:t>
            </w:r>
          </w:p>
        </w:tc>
        <w:tc>
          <w:tcPr>
            <w:tcW w:w="19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As of December 31, 2018</w:t>
            </w:r>
          </w:p>
        </w:tc>
      </w:tr>
      <w:tr>
        <w:trPr>
          <w:trHeight w:val="33"/>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73.7</w:t>
            </w:r>
          </w:p>
        </w:tc>
      </w:tr>
      <w:tr>
        <w:trPr>
          <w:trHeight w:val="27"/>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113.8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111.6</w:t>
            </w: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changes in product warranty liabilities related to continuing operations for the three months ended March 31, 2019 were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 as of December 31, 2018</w:t>
            </w:r>
          </w:p>
        </w:tc>
        <w:tc>
          <w:tcPr>
            <w:tcW w:w="5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111.6</w:t>
            </w: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Warranty claims paid</w:t>
            </w:r>
          </w:p>
        </w:tc>
        <w:tc>
          <w:tcPr>
            <w:tcW w:w="5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resulting from issuance of new warranties</w:t>
            </w:r>
          </w:p>
        </w:tc>
        <w:tc>
          <w:tcPr>
            <w:tcW w:w="5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Warranty liability from divestitures</w:t>
            </w:r>
          </w:p>
        </w:tc>
        <w:tc>
          <w:tcPr>
            <w:tcW w:w="5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Total warranty liability as of March 31, 2019</w:t>
            </w:r>
          </w:p>
        </w:tc>
        <w:tc>
          <w:tcPr>
            <w:tcW w:w="57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jc w:val="right"/>
              <w:ind w:right="4170"/>
              <w:spacing w:after="0"/>
              <w:rPr>
                <w:sz w:val="20"/>
                <w:szCs w:val="20"/>
                <w:color w:val="auto"/>
              </w:rPr>
            </w:pPr>
            <w:r>
              <w:rPr>
                <w:rFonts w:ascii="Arial" w:cs="Arial" w:eastAsia="Arial" w:hAnsi="Arial"/>
                <w:sz w:val="18"/>
                <w:szCs w:val="18"/>
                <w:color w:val="auto"/>
              </w:rPr>
              <w:t>12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0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jc w:val="both"/>
        <w:ind w:firstLine="243"/>
        <w:spacing w:after="0" w:line="286"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8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so we may have greater financial exposure for future settlements and judgments. For the three months ended March 31, 2019 and 2018, expense for asbestos-related litigation was $1.4 million and $2.1 million, respectively, net of probable insurance recoveries, for known and future asbestos-related litigation and is recorded in Losses (gains) and other expenses, net in the Consolidated Statements of Operations.</w:t>
      </w:r>
    </w:p>
    <w:p>
      <w:pPr>
        <w:spacing w:after="0" w:line="19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Marshalltown Tornado and Recovery</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On July 19, 2018, our manufacturing facility in Marshalltown, Iowa was severely damaged by a tornado. We have insurance for the repair or replacement of our assets that suffered damage or loss, and we are working closely with our insurance carriers and claims adjusters to ascertain the amount of insurance recoveries due to us as a result of the damage and loss we suffered. Our insurance policies also provide business interruption coverage, including lost profits, and reimbursement for other expenses and costs that have been incurred relating to the damages and losses suffered. These costs and insurance recoveries are shown in Gain from insurance recoveries, net of losses incurred and Insurance proceeds for lost profits in the Consolidated Statements of Operations.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Gain from insurance recoveries, net of losses incurred:</w:t>
      </w:r>
    </w:p>
    <w:p>
      <w:pPr>
        <w:spacing w:after="0" w:line="37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9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(Amounts in millions)</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52"/>
              <w:spacing w:after="0"/>
              <w:rPr>
                <w:sz w:val="20"/>
                <w:szCs w:val="20"/>
                <w:color w:val="auto"/>
              </w:rPr>
            </w:pPr>
            <w:r>
              <w:rPr>
                <w:rFonts w:ascii="Arial" w:cs="Arial" w:eastAsia="Arial" w:hAnsi="Arial"/>
                <w:sz w:val="16"/>
                <w:szCs w:val="16"/>
                <w:b w:val="1"/>
                <w:bCs w:val="1"/>
                <w:color w:val="auto"/>
                <w:w w:val="91"/>
              </w:rPr>
              <w:t>For the Three months Ended</w:t>
            </w: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vMerge w:val="continue"/>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512"/>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Insurance recoveries received</w:t>
            </w:r>
          </w:p>
        </w:tc>
        <w:tc>
          <w:tcPr>
            <w:tcW w:w="35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76.0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losses and expenses incurred:</w:t>
            </w:r>
          </w:p>
        </w:tc>
        <w:tc>
          <w:tcPr>
            <w:tcW w:w="3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Site clean-up and remediation</w:t>
            </w:r>
          </w:p>
        </w:tc>
        <w:tc>
          <w:tcPr>
            <w:tcW w:w="3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Factory inefficiencies due to lower productivity</w:t>
            </w:r>
          </w:p>
        </w:tc>
        <w:tc>
          <w:tcPr>
            <w:tcW w:w="3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losses and expenses</w:t>
            </w:r>
          </w:p>
        </w:tc>
        <w:tc>
          <w:tcPr>
            <w:tcW w:w="3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29.6</w:t>
            </w:r>
          </w:p>
        </w:tc>
        <w:tc>
          <w:tcPr>
            <w:tcW w:w="0" w:type="dxa"/>
            <w:vAlign w:val="bottom"/>
          </w:tcPr>
          <w:p>
            <w:pPr>
              <w:spacing w:after="0"/>
              <w:rPr>
                <w:sz w:val="1"/>
                <w:szCs w:val="1"/>
                <w:color w:val="auto"/>
              </w:rPr>
            </w:pPr>
          </w:p>
        </w:tc>
      </w:tr>
      <w:tr>
        <w:trPr>
          <w:trHeight w:val="29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gain from insurance recoveries</w:t>
            </w:r>
          </w:p>
        </w:tc>
        <w:tc>
          <w:tcPr>
            <w:tcW w:w="35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46.4</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Presentation in the Consolidated Statements of Operations:</w:t>
            </w:r>
          </w:p>
        </w:tc>
        <w:tc>
          <w:tcPr>
            <w:tcW w:w="3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Gain from insurance recoveries, net of losses incurred</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Insurance proceeds for lost profits</w:t>
            </w:r>
          </w:p>
        </w:tc>
        <w:tc>
          <w:tcPr>
            <w:tcW w:w="3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891"/>
        </w:trPr>
        <w:tc>
          <w:tcPr>
            <w:tcW w:w="4940" w:type="dxa"/>
            <w:vAlign w:val="bottom"/>
          </w:tcPr>
          <w:p>
            <w:pPr>
              <w:spacing w:after="0"/>
              <w:rPr>
                <w:sz w:val="24"/>
                <w:szCs w:val="24"/>
                <w:color w:val="auto"/>
              </w:rPr>
            </w:pPr>
          </w:p>
        </w:tc>
        <w:tc>
          <w:tcPr>
            <w:tcW w:w="3580" w:type="dxa"/>
            <w:vAlign w:val="bottom"/>
          </w:tcPr>
          <w:p>
            <w:pPr>
              <w:jc w:val="right"/>
              <w:ind w:right="29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Lines of Credit and Financing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As of March 31, 2019</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6"/>
                <w:szCs w:val="16"/>
                <w:b w:val="1"/>
                <w:bCs w:val="1"/>
                <w:color w:val="auto"/>
                <w:w w:val="94"/>
              </w:rPr>
              <w:t>As of December 31, 2018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Securitization Program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Finance lease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maturities of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Domestic credit facility</w:t>
            </w:r>
          </w:p>
        </w:tc>
        <w:tc>
          <w:tcPr>
            <w:tcW w:w="26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689.5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378.0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1,296.6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1,041.3</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Through several of our foreign subsidiaries, we have facilities available to assist in financing seasonal borrowing needs for our foreign locations. We had no outstanding foreign obligations as of March 31, 2019 or December 31, 2018. There were no proceeds or repayments on these facilities for the three months ended March 31, 2019. Proceeds and repayments on these facilities were $0.3 million and $0.4 million, respectively, for the three months ended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 The ASP will expire in November 2019 and we intend to renew the ASP prior to its expiration.</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provides for a maximum securitization amount ranging from $225.0 million to $380.0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of March 31, 2019</w:t>
            </w: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As of December 31, 2018</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Eligible amount available under the ASP on qualified accounts receivable</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Less: Beneficial interest transferred</w:t>
            </w: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amount available</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jc w:val="both"/>
        <w:ind w:firstLine="243"/>
        <w:spacing w:after="0" w:line="255" w:lineRule="auto"/>
        <w:rPr>
          <w:sz w:val="20"/>
          <w:szCs w:val="20"/>
          <w:color w:val="auto"/>
        </w:rPr>
      </w:pPr>
      <w:r>
        <w:rPr>
          <w:rFonts w:ascii="Arial" w:cs="Arial" w:eastAsia="Arial" w:hAnsi="Arial"/>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March 31, 2019 and December 31, 2018 were 3.26% and 3.27%, respectively. The unused fee is based on 101% of the maximum available amount less the beneficial interest transferred and is calculated at a 0.35% fixed rate throughout the term of the agreement. We recorded these fees in Interest expense, net in the accompanying Consolidated Statements of Operations.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March 31, 2019, we believe we were in compliance with all covenant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January 22, 2019, we amended our credit facility with the Domestic Credit Facility to provide for a $350.0 million increase in revolving commitments. The Domestic Credit Facility currently consists of a $1,000.0 million unsecured revolving credit facility and a $190.0 million unsecured term loan that matures in August 2021 (the "Maturity Date"). Under our Domestic Credit Facility, we had outstanding borrowings of $697.0 million, of which $160.0 million was the term loan balance, as well as $2.5 million committed to standby letters of credit as of March 31, 2019. Subject to covenant limitations, $460.5 million was available for future borrowings. The unsecured term loan also matures on the Maturity Date and requires quarterly principal repayments of $7.5 million. The revolving credit facility includes a subfacility for swingline loans of up to $65.0 million.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40" w:type="dxa"/>
            <w:vAlign w:val="bottom"/>
            <w:gridSpan w:val="2"/>
          </w:tcPr>
          <w:p>
            <w:pPr>
              <w:ind w:left="440"/>
              <w:spacing w:after="0"/>
              <w:rPr>
                <w:sz w:val="20"/>
                <w:szCs w:val="20"/>
                <w:color w:val="auto"/>
              </w:rPr>
            </w:pPr>
            <w:r>
              <w:rPr>
                <w:rFonts w:ascii="Arial" w:cs="Arial" w:eastAsia="Arial" w:hAnsi="Arial"/>
                <w:sz w:val="16"/>
                <w:szCs w:val="16"/>
                <w:b w:val="1"/>
                <w:bCs w:val="1"/>
                <w:color w:val="auto"/>
              </w:rPr>
              <w:t>As of March 31, 2019</w:t>
            </w:r>
          </w:p>
        </w:tc>
        <w:tc>
          <w:tcPr>
            <w:tcW w:w="2340" w:type="dxa"/>
            <w:vAlign w:val="bottom"/>
          </w:tcPr>
          <w:p>
            <w:pPr>
              <w:jc w:val="right"/>
              <w:ind w:right="234"/>
              <w:spacing w:after="0"/>
              <w:rPr>
                <w:sz w:val="20"/>
                <w:szCs w:val="20"/>
                <w:color w:val="auto"/>
              </w:rPr>
            </w:pPr>
            <w:r>
              <w:rPr>
                <w:rFonts w:ascii="Arial" w:cs="Arial" w:eastAsia="Arial" w:hAnsi="Arial"/>
                <w:sz w:val="16"/>
                <w:szCs w:val="16"/>
                <w:b w:val="1"/>
                <w:bCs w:val="1"/>
                <w:color w:val="auto"/>
              </w:rPr>
              <w:t>As of December 31, 2018</w:t>
            </w:r>
          </w:p>
        </w:tc>
      </w:tr>
      <w:tr>
        <w:trPr>
          <w:trHeight w:val="33"/>
        </w:trPr>
        <w:tc>
          <w:tcPr>
            <w:tcW w:w="66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 rate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66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Cash Flow to Net Interest Expense Ratio no less than</w:t>
            </w:r>
          </w:p>
        </w:tc>
        <w:tc>
          <w:tcPr>
            <w:tcW w:w="34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39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3"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and payable and the lenders’ commitments will automatically terminate). As of March 31, 2019, we believe we were in compliance with all covenant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issued $350.0 million of senior unsecured notes in November 2016 (the "Notes") which will mature on November 15, 2023 with interest being paid on May 15 and November 15 at 3.00% per annum semiannually. The Notes are guaranteed, on a senior unsecured basis, by each of our domestic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March 31, 2019, we believe we were in compliance with all covenant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Benefit Plans:</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March 10, 2017, the FASB issued ASU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Cost</w:t>
      </w:r>
      <w:r>
        <w:rPr>
          <w:rFonts w:ascii="Arial" w:cs="Arial" w:eastAsia="Arial" w:hAnsi="Arial"/>
          <w:sz w:val="17"/>
          <w:szCs w:val="17"/>
          <w:color w:val="auto"/>
        </w:rPr>
        <w:t>. ASU 2017-07 changes the income statement presentation of defined benefit plan expense by requiring separation between operating expense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cost component) and non-operating expense (all other components, including interest cost, amortization of prior service cost, curtailments and settlements, etc.). The operating expense component is reported with similar compensation costs while the non-operating components are reported in Other expense (income), net in the Statement of Operations. In addition, only the service cost component is eligible for capitalization as part of an asset such as inventory or property, plant and equipment. We elected the practical expedient to use the prior year's disclosure as a basis for the retroactive adoption of the ASU. The ASU did not have a material impact on our financial results.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net periodic benefit cost were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220" w:type="dxa"/>
            <w:vAlign w:val="bottom"/>
            <w:gridSpan w:val="5"/>
          </w:tcPr>
          <w:p>
            <w:pPr>
              <w:jc w:val="right"/>
              <w:ind w:right="111"/>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33"/>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ind w:right="531"/>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w w:val="90"/>
              </w:rPr>
              <w:t>Pension Benefits</w:t>
            </w:r>
          </w:p>
        </w:tc>
        <w:tc>
          <w:tcPr>
            <w:tcW w:w="980" w:type="dxa"/>
            <w:vAlign w:val="bottom"/>
          </w:tcPr>
          <w:p>
            <w:pPr>
              <w:spacing w:after="0"/>
              <w:rPr>
                <w:sz w:val="18"/>
                <w:szCs w:val="18"/>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100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w:t>
            </w: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January 2018, we reduced our estimated long-term rate of return on plan assets for U.S. pension plans from 7.5% to 6.5%. A 25 basis point decrease in the long-term rate of return will result in a $0.7 million increase in net periodic benefit cost for U.S. pension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2010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125" w:lineRule="exact"/>
        <w:rPr>
          <w:sz w:val="20"/>
          <w:szCs w:val="20"/>
          <w:color w:val="auto"/>
        </w:rPr>
      </w:pPr>
    </w:p>
    <w:p>
      <w:pPr>
        <w:jc w:val="center"/>
        <w:ind w:left="7940"/>
        <w:spacing w:after="0"/>
        <w:rPr>
          <w:sz w:val="20"/>
          <w:szCs w:val="20"/>
          <w:color w:val="auto"/>
        </w:rPr>
      </w:pPr>
      <w:r>
        <w:rPr>
          <w:rFonts w:ascii="Arial" w:cs="Arial" w:eastAsia="Arial" w:hAnsi="Arial"/>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37465</wp:posOffset>
            </wp:positionV>
            <wp:extent cx="2058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0" w:lineRule="exact"/>
        <w:rPr>
          <w:sz w:val="20"/>
          <w:szCs w:val="20"/>
          <w:color w:val="auto"/>
        </w:rPr>
      </w:pPr>
    </w:p>
    <w:p>
      <w:pPr>
        <w:ind w:left="8660"/>
        <w:spacing w:after="0"/>
        <w:tabs>
          <w:tab w:leader="none" w:pos="103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37465</wp:posOffset>
            </wp:positionV>
            <wp:extent cx="707517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5170" cy="18034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060" w:val="left"/>
          <w:tab w:leader="none" w:pos="9260" w:val="left"/>
          <w:tab w:leader="none" w:pos="9720" w:val="left"/>
          <w:tab w:leader="none" w:pos="10940" w:val="left"/>
        </w:tabs>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w:t>
        <w:tab/>
        <w:t>$</w:t>
      </w:r>
      <w:r>
        <w:rPr>
          <w:sz w:val="20"/>
          <w:szCs w:val="20"/>
          <w:color w:val="auto"/>
        </w:rPr>
        <w:tab/>
      </w:r>
      <w:r>
        <w:rPr>
          <w:rFonts w:ascii="Arial" w:cs="Arial" w:eastAsia="Arial" w:hAnsi="Arial"/>
          <w:sz w:val="15"/>
          <w:szCs w:val="15"/>
          <w:color w:val="auto"/>
        </w:rPr>
        <w:t>4.8</w:t>
      </w:r>
    </w:p>
    <w:p>
      <w:pPr>
        <w:spacing w:after="0" w:line="20" w:lineRule="exact"/>
        <w:rPr>
          <w:sz w:val="20"/>
          <w:szCs w:val="20"/>
          <w:color w:val="auto"/>
        </w:rPr>
      </w:pPr>
    </w:p>
    <w:p>
      <w:pPr>
        <w:ind w:left="5620" w:right="5620" w:hanging="5369"/>
        <w:spacing w:after="0" w:line="838" w:lineRule="auto"/>
        <w:tabs>
          <w:tab w:leader="none" w:pos="439"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All expense was recorded in our Corporate and Other business segment. 16</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Stock Repurchases: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Board of Directors has authorized a total of $2.5 billion to repurchase shares of our common stock (collectively referred to as the "Share Repurchase Plans"), including a $500 million share repurchase authorization in March 2018.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March 31, 2019, $346 million of shares may be repurchased under the Share Repurchase Plans.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repurchased 0.4 million shares for $100.0 million from open market transactions during the first quarter of 2019.</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also repurchased 0.1 million shares for $13.5 million during the three months ended March 31, 2019 from employees who surrendered shares to satisfy minimum tax withholding obligations upon the exercise of long-term incentive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Income (Loss):</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80" w:type="dxa"/>
            <w:vAlign w:val="bottom"/>
            <w:gridSpan w:val="5"/>
          </w:tcPr>
          <w:p>
            <w:pPr>
              <w:jc w:val="right"/>
              <w:ind w:right="50"/>
              <w:spacing w:after="0"/>
              <w:rPr>
                <w:sz w:val="20"/>
                <w:szCs w:val="20"/>
                <w:color w:val="auto"/>
              </w:rPr>
            </w:pPr>
            <w:r>
              <w:rPr>
                <w:rFonts w:ascii="Arial" w:cs="Arial" w:eastAsia="Arial" w:hAnsi="Arial"/>
                <w:sz w:val="16"/>
                <w:szCs w:val="16"/>
                <w:b w:val="1"/>
                <w:bCs w:val="1"/>
                <w:color w:val="auto"/>
                <w:w w:val="98"/>
              </w:rPr>
              <w:t>For the Three Months Ended March 31,</w:t>
            </w:r>
          </w:p>
        </w:tc>
        <w:tc>
          <w:tcPr>
            <w:tcW w:w="120" w:type="dxa"/>
            <w:vAlign w:val="bottom"/>
          </w:tcPr>
          <w:p>
            <w:pPr>
              <w:spacing w:after="0"/>
              <w:rPr>
                <w:sz w:val="18"/>
                <w:szCs w:val="18"/>
                <w:color w:val="auto"/>
              </w:rPr>
            </w:pPr>
          </w:p>
        </w:tc>
        <w:tc>
          <w:tcPr>
            <w:tcW w:w="3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Gains/(Losses) on 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Commodity futures contracts/foreign exchange forward</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980" w:type="dxa"/>
            <w:vAlign w:val="bottom"/>
          </w:tcPr>
          <w:p>
            <w:pPr>
              <w:jc w:val="right"/>
              <w:ind w:right="7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920" w:type="dxa"/>
            <w:vAlign w:val="bottom"/>
            <w:tcBorders>
              <w:top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77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 Selling, general and</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costs</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Loss (gain), net on sale of businesses and</w:t>
            </w: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adjustments upon sale of business</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980" w:type="dxa"/>
            <w:vAlign w:val="bottom"/>
          </w:tcPr>
          <w:p>
            <w:pPr>
              <w:jc w:val="right"/>
              <w:ind w:right="7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related property</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47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 from AOCL</w:t>
            </w: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17</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ind w:left="260"/>
        <w:spacing w:after="0"/>
        <w:rPr>
          <w:sz w:val="20"/>
          <w:szCs w:val="20"/>
          <w:color w:val="auto"/>
        </w:rPr>
      </w:pPr>
      <w:r>
        <w:rPr>
          <w:rFonts w:ascii="Arial" w:cs="Arial" w:eastAsia="Arial" w:hAnsi="Arial"/>
          <w:sz w:val="17"/>
          <w:szCs w:val="17"/>
          <w:color w:val="auto"/>
        </w:rPr>
        <w:t>The following table provides information on changes in AOCL, by component (net of tax), for the three months ended March 31, 2019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Defined Benefit</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Gains (Losses) on</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Pension Plan</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562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Cash Flow Hedges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Items</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 AOCL</w:t>
            </w:r>
          </w:p>
        </w:tc>
      </w:tr>
      <w:tr>
        <w:trPr>
          <w:trHeight w:val="33"/>
        </w:trPr>
        <w:tc>
          <w:tcPr>
            <w:tcW w:w="5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5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5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5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other comprehensive (loss) income</w:t>
            </w:r>
          </w:p>
        </w:tc>
        <w:tc>
          <w:tcPr>
            <w:tcW w:w="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5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31, 2019</w:t>
            </w: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Charges: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record restructuring charges associated with management-approved restructuring plans when we reorganize or remove duplicative headcount or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in 2019</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Information regarding the restructuring charges for all ongoing activities is presented in the following table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Total Charges</w:t>
            </w:r>
          </w:p>
        </w:tc>
      </w:tr>
      <w:tr>
        <w:trPr>
          <w:trHeight w:val="203"/>
        </w:trPr>
        <w:tc>
          <w:tcPr>
            <w:tcW w:w="674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Expected to</w:t>
            </w: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Severance and related expense</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write-offs and accelerated depreciation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Lease termination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restructuring charges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restructuring charges are excluded from our calculation of segment profit (loss), the table below presents the restructuring charges associated with each segment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Total Charges</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Expected to</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31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2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2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restructuring charges</w:t>
            </w:r>
          </w:p>
        </w:tc>
        <w:tc>
          <w:tcPr>
            <w:tcW w:w="31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14.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Divestiture:</w:t>
      </w:r>
    </w:p>
    <w:p>
      <w:pPr>
        <w:spacing w:after="0" w:line="225" w:lineRule="exact"/>
        <w:rPr>
          <w:sz w:val="20"/>
          <w:szCs w:val="20"/>
          <w:color w:val="auto"/>
        </w:rPr>
      </w:pPr>
    </w:p>
    <w:p>
      <w:pPr>
        <w:jc w:val="both"/>
        <w:ind w:right="180" w:firstLine="243"/>
        <w:spacing w:after="0" w:line="264" w:lineRule="auto"/>
        <w:rPr>
          <w:sz w:val="20"/>
          <w:szCs w:val="20"/>
          <w:color w:val="auto"/>
        </w:rPr>
      </w:pPr>
      <w:r>
        <w:rPr>
          <w:rFonts w:ascii="Arial" w:cs="Arial" w:eastAsia="Arial" w:hAnsi="Arial"/>
          <w:sz w:val="18"/>
          <w:szCs w:val="18"/>
          <w:color w:val="auto"/>
        </w:rPr>
        <w:t>During the first quarter of 2019, we obtained Board of Directors' approval and signed an agreement with EPTA S.p.A., a private Italian company, for the sale of our Kysor Warren business. The sale was completed on March 29, 2019. The following table summarizes the net loss recognized in connection with this divestiture:</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33"/>
              <w:spacing w:after="0"/>
              <w:rPr>
                <w:sz w:val="20"/>
                <w:szCs w:val="20"/>
                <w:color w:val="auto"/>
              </w:rPr>
            </w:pPr>
            <w:r>
              <w:rPr>
                <w:rFonts w:ascii="Arial" w:cs="Arial" w:eastAsia="Arial" w:hAnsi="Arial"/>
                <w:sz w:val="16"/>
                <w:szCs w:val="16"/>
                <w:b w:val="1"/>
                <w:bCs w:val="1"/>
                <w:color w:val="auto"/>
                <w:w w:val="92"/>
              </w:rPr>
              <w:t>For the Three Months Ended</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6"/>
                <w:szCs w:val="16"/>
                <w:b w:val="1"/>
                <w:bCs w:val="1"/>
                <w:color w:val="auto"/>
              </w:rPr>
              <w:t>March 31, 2019</w:t>
            </w:r>
          </w:p>
        </w:tc>
      </w:tr>
      <w:tr>
        <w:trPr>
          <w:trHeight w:val="237"/>
        </w:trPr>
        <w:tc>
          <w:tcPr>
            <w:tcW w:w="8500" w:type="dxa"/>
            <w:vAlign w:val="bottom"/>
          </w:tcPr>
          <w:p>
            <w:pPr>
              <w:ind w:left="20"/>
              <w:spacing w:after="0"/>
              <w:rPr>
                <w:sz w:val="20"/>
                <w:szCs w:val="20"/>
                <w:color w:val="auto"/>
              </w:rPr>
            </w:pPr>
            <w:r>
              <w:rPr>
                <w:rFonts w:ascii="Arial" w:cs="Arial" w:eastAsia="Arial" w:hAnsi="Arial"/>
                <w:sz w:val="18"/>
                <w:szCs w:val="18"/>
                <w:color w:val="auto"/>
              </w:rPr>
              <w:t>Cash received from the buyer</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49.0</w:t>
            </w:r>
          </w:p>
        </w:tc>
      </w:tr>
      <w:tr>
        <w:trPr>
          <w:trHeight w:val="27"/>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sold</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AOCI reclassification adjustments, primarily foreign currency translation</w:t>
            </w:r>
          </w:p>
        </w:tc>
        <w:tc>
          <w:tcPr>
            <w:tcW w:w="1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costs to sell</w:t>
            </w:r>
          </w:p>
        </w:tc>
        <w:tc>
          <w:tcPr>
            <w:tcW w:w="1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8500" w:type="dxa"/>
            <w:vAlign w:val="bottom"/>
          </w:tcPr>
          <w:p>
            <w:pPr>
              <w:ind w:left="260"/>
              <w:spacing w:after="0"/>
              <w:rPr>
                <w:sz w:val="20"/>
                <w:szCs w:val="20"/>
                <w:color w:val="auto"/>
              </w:rPr>
            </w:pPr>
            <w:r>
              <w:rPr>
                <w:rFonts w:ascii="Arial" w:cs="Arial" w:eastAsia="Arial" w:hAnsi="Arial"/>
                <w:sz w:val="18"/>
                <w:szCs w:val="18"/>
                <w:b w:val="1"/>
                <w:bCs w:val="1"/>
                <w:color w:val="auto"/>
              </w:rPr>
              <w:t>Loss on sale of business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r>
      <w:tr>
        <w:trPr>
          <w:trHeight w:val="20"/>
        </w:trPr>
        <w:tc>
          <w:tcPr>
            <w:tcW w:w="8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New Zealand and Asia Divestiture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2018, we obtained Board of Directors' approval and signed an agreement with Beijer Ref AB, a Stockholm Stock Exchange-listed company, for the sale of our Australia, New Zealand and Asia business, except for the Milperra property that was sold during the second quarter of 2018. We completed the sale to Beijer Ref AB in the second quarter of 2018 with the final post-completion adjustment being recorded in the third quarter of 2018. The following table summarizes the net loss recognized in connection with this divestiture:</w:t>
      </w:r>
    </w:p>
    <w:p>
      <w:pPr>
        <w:spacing w:after="0" w:line="33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For the Year Ended December</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31, 2018</w:t>
            </w:r>
          </w:p>
        </w:tc>
      </w:tr>
      <w:tr>
        <w:trPr>
          <w:trHeight w:val="217"/>
        </w:trPr>
        <w:tc>
          <w:tcPr>
            <w:tcW w:w="8500" w:type="dxa"/>
            <w:vAlign w:val="bottom"/>
          </w:tcPr>
          <w:p>
            <w:pPr>
              <w:ind w:left="20"/>
              <w:spacing w:after="0"/>
              <w:rPr>
                <w:sz w:val="20"/>
                <w:szCs w:val="20"/>
                <w:color w:val="auto"/>
              </w:rPr>
            </w:pPr>
            <w:r>
              <w:rPr>
                <w:rFonts w:ascii="Arial" w:cs="Arial" w:eastAsia="Arial" w:hAnsi="Arial"/>
                <w:sz w:val="16"/>
                <w:szCs w:val="16"/>
                <w:color w:val="auto"/>
              </w:rPr>
              <w:t>Cash received from the buyer</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assets sold </w:t>
            </w:r>
            <w:r>
              <w:rPr>
                <w:rFonts w:ascii="Arial" w:cs="Arial" w:eastAsia="Arial" w:hAnsi="Arial"/>
                <w:sz w:val="21"/>
                <w:szCs w:val="21"/>
                <w:color w:val="auto"/>
                <w:vertAlign w:val="superscript"/>
              </w:rPr>
              <w:t>(1)</w:t>
            </w:r>
          </w:p>
        </w:tc>
        <w:tc>
          <w:tcPr>
            <w:tcW w:w="4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AOCI reclassification adjustments, primarily foreign currency translation</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 costs to sell</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4"/>
        </w:trPr>
        <w:tc>
          <w:tcPr>
            <w:tcW w:w="8500" w:type="dxa"/>
            <w:vAlign w:val="bottom"/>
          </w:tcPr>
          <w:p>
            <w:pPr>
              <w:ind w:left="260"/>
              <w:spacing w:after="0"/>
              <w:rPr>
                <w:sz w:val="20"/>
                <w:szCs w:val="20"/>
                <w:color w:val="auto"/>
              </w:rPr>
            </w:pPr>
            <w:r>
              <w:rPr>
                <w:rFonts w:ascii="Arial" w:cs="Arial" w:eastAsia="Arial" w:hAnsi="Arial"/>
                <w:sz w:val="16"/>
                <w:szCs w:val="16"/>
                <w:b w:val="1"/>
                <w:bCs w:val="1"/>
                <w:color w:val="auto"/>
              </w:rPr>
              <w:t>Loss on sale of business</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20" w:firstLine="494"/>
        <w:spacing w:after="0" w:line="252" w:lineRule="auto"/>
        <w:tabs>
          <w:tab w:leader="none" w:pos="678"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Includes $10.3 million of net assets that were written down during the quarter ended March 31, 2018 based on the expected proceeds from the sale, net of selling costs for the sale for our Australia, New Zealand and Asia business.</w:t>
      </w:r>
    </w:p>
    <w:p>
      <w:pPr>
        <w:spacing w:after="0" w:line="189"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The Milperra property was sold during the quarter ended June 30, 2018. We received net cash proceeds of $37.2 million net of direct costs to sell of $1.5 million. The net gain recognized in connection with this sale was $23.8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America Divestiture</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the second quarter of 2018, we obtained Board of Directors' approval and signed an agreement with Elgin SA, a private Brazilian company, for the sale of our South America business. The sale was subject to Brazilian antitrust approval. We obtained antitrust approval and completed the sale to Elgin SA in the third quarter of 2018. The following table summarizes the net loss recognized in connection with this divestiture:</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For the Year Ended December</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31, 2018</w:t>
            </w:r>
          </w:p>
        </w:tc>
      </w:tr>
      <w:tr>
        <w:trPr>
          <w:trHeight w:val="217"/>
        </w:trPr>
        <w:tc>
          <w:tcPr>
            <w:tcW w:w="8500" w:type="dxa"/>
            <w:vAlign w:val="bottom"/>
          </w:tcPr>
          <w:p>
            <w:pPr>
              <w:ind w:left="20"/>
              <w:spacing w:after="0"/>
              <w:rPr>
                <w:sz w:val="20"/>
                <w:szCs w:val="20"/>
                <w:color w:val="auto"/>
              </w:rPr>
            </w:pPr>
            <w:r>
              <w:rPr>
                <w:rFonts w:ascii="Arial" w:cs="Arial" w:eastAsia="Arial" w:hAnsi="Arial"/>
                <w:sz w:val="16"/>
                <w:szCs w:val="16"/>
                <w:color w:val="auto"/>
              </w:rPr>
              <w:t>Cash received from the buyer</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assets sold </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AOCI reclassification adjustments, primarily foreign currency translation</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 costs to sell</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44"/>
        </w:trPr>
        <w:tc>
          <w:tcPr>
            <w:tcW w:w="8500" w:type="dxa"/>
            <w:vAlign w:val="bottom"/>
          </w:tcPr>
          <w:p>
            <w:pPr>
              <w:ind w:left="260"/>
              <w:spacing w:after="0"/>
              <w:rPr>
                <w:sz w:val="20"/>
                <w:szCs w:val="20"/>
                <w:color w:val="auto"/>
              </w:rPr>
            </w:pPr>
            <w:r>
              <w:rPr>
                <w:rFonts w:ascii="Arial" w:cs="Arial" w:eastAsia="Arial" w:hAnsi="Arial"/>
                <w:sz w:val="16"/>
                <w:szCs w:val="16"/>
                <w:b w:val="1"/>
                <w:bCs w:val="1"/>
                <w:color w:val="auto"/>
              </w:rPr>
              <w:t>Loss on sale of business</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1" w:name="page22"/>
    <w:bookmarkEnd w:id="21"/>
    <w:p>
      <w:pPr>
        <w:ind w:firstLine="494"/>
        <w:spacing w:after="0" w:line="252" w:lineRule="auto"/>
        <w:tabs>
          <w:tab w:leader="none" w:pos="678"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$1.2 million of net assets that were written down during the quarter ended June 30, 2018 based on the expected proceeds from the sale, net of selling costs for the sale for our Brazil business.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total Loss (gain), net on sale of businesses and related property in our Consolidated Statements of Operations for year ended December 31, 2018 of $27.0 million is comprised of the $13.3 million loss on the sale of our Australia, New Zealand and Asia business, the $23.8 million gain on the sale of our Milperra property, and the $37.5 million loss on the sale of our Brazil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computations of basic and diluted earnings per share for Income from continuing operations were as follows (in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51"/>
              <w:spacing w:after="0"/>
              <w:rPr>
                <w:sz w:val="20"/>
                <w:szCs w:val="20"/>
                <w:color w:val="auto"/>
              </w:rPr>
            </w:pPr>
            <w:r>
              <w:rPr>
                <w:rFonts w:ascii="Arial" w:cs="Arial" w:eastAsia="Arial" w:hAnsi="Arial"/>
                <w:sz w:val="16"/>
                <w:szCs w:val="16"/>
                <w:b w:val="1"/>
                <w:bCs w:val="1"/>
                <w:color w:val="auto"/>
                <w:w w:val="98"/>
              </w:rPr>
              <w:t>For the Three Months Ended March 31,</w:t>
            </w:r>
          </w:p>
        </w:tc>
      </w:tr>
      <w:tr>
        <w:trPr>
          <w:trHeight w:val="33"/>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 Loss from discontinued operations</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37.9</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basic</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 Potential effect of dilutive securities attributable to stock-based payments</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10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42.1</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tcPr>
          <w:p>
            <w:pPr>
              <w:jc w:val="right"/>
              <w:ind w:right="79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0.91</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bottom w:val="single" w:sz="8" w:color="auto"/>
            </w:tcBorders>
          </w:tcPr>
          <w:p>
            <w:pPr>
              <w:jc w:val="right"/>
              <w:ind w:right="79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0.91</w:t>
            </w:r>
          </w:p>
        </w:tc>
      </w:tr>
      <w:tr>
        <w:trPr>
          <w:trHeight w:val="284"/>
        </w:trPr>
        <w:tc>
          <w:tcPr>
            <w:tcW w:w="8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10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w w:val="94"/>
              </w:rPr>
              <w:t>For the Three Months Ended March 31,</w:t>
            </w:r>
          </w:p>
        </w:tc>
      </w:tr>
      <w:tr>
        <w:trPr>
          <w:trHeight w:val="33"/>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33"/>
        </w:trPr>
        <w:tc>
          <w:tcPr>
            <w:tcW w:w="4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w:t>
            </w:r>
          </w:p>
        </w:tc>
        <w:tc>
          <w:tcPr>
            <w:tcW w:w="4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Price per share</w:t>
            </w:r>
          </w:p>
        </w:tc>
        <w:tc>
          <w:tcPr>
            <w:tcW w:w="4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214.63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205.53</w:t>
            </w:r>
          </w:p>
        </w:tc>
      </w:tr>
      <w:tr>
        <w:trPr>
          <w:trHeight w:val="702"/>
        </w:trPr>
        <w:tc>
          <w:tcPr>
            <w:tcW w:w="4120" w:type="dxa"/>
            <w:vAlign w:val="bottom"/>
          </w:tcPr>
          <w:p>
            <w:pPr>
              <w:spacing w:after="0"/>
              <w:rPr>
                <w:sz w:val="24"/>
                <w:szCs w:val="24"/>
                <w:color w:val="auto"/>
              </w:rPr>
            </w:pPr>
          </w:p>
        </w:tc>
        <w:tc>
          <w:tcPr>
            <w:tcW w:w="4220" w:type="dxa"/>
            <w:vAlign w:val="bottom"/>
          </w:tcPr>
          <w:p>
            <w:pPr>
              <w:jc w:val="right"/>
              <w:ind w:right="245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63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16. Reportable Business Segments: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or Services</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228"/>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 Heating &amp;</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Furnaces, air conditioners, heat pumps, packaged heating and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Replacement;</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cooling systems, indoor air quality equipment, comfort control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 replacement parts</w:t>
            </w:r>
          </w:p>
        </w:tc>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Commercial Heating &amp;</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Unitary heating and air conditioning equipment, applied</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systems, controls, installation and service of commercial</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heating and cooling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Central America</w:t>
            </w: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South America</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Condensing units, unit coolers, fluid coolers, air cooled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condensers, air handlers, process chillers, controls,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Preservation;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compressorized racks, supermarket display cases and systems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Europe</w:t>
            </w:r>
            <w:r>
              <w:rPr>
                <w:rFonts w:ascii="Arial" w:cs="Arial" w:eastAsia="Arial" w:hAnsi="Arial"/>
                <w:sz w:val="25"/>
                <w:szCs w:val="25"/>
                <w:color w:val="auto"/>
                <w:vertAlign w:val="superscript"/>
              </w:rPr>
              <w:t>(1)</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Asia Pacific</w:t>
            </w:r>
            <w:r>
              <w:rPr>
                <w:rFonts w:ascii="Arial" w:cs="Arial" w:eastAsia="Arial" w:hAnsi="Arial"/>
                <w:sz w:val="25"/>
                <w:szCs w:val="25"/>
                <w:color w:val="auto"/>
                <w:vertAlign w:val="superscript"/>
              </w:rPr>
              <w:t>(2)</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South America</w:t>
            </w:r>
            <w:r>
              <w:rPr>
                <w:rFonts w:ascii="Arial" w:cs="Arial" w:eastAsia="Arial" w:hAnsi="Arial"/>
                <w:sz w:val="25"/>
                <w:szCs w:val="25"/>
                <w:color w:val="auto"/>
                <w:vertAlign w:val="superscript"/>
              </w:rPr>
              <w:t>(2)</w:t>
            </w:r>
          </w:p>
        </w:tc>
      </w:tr>
      <w:tr>
        <w:trPr>
          <w:trHeight w:val="230"/>
        </w:trPr>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America</w:t>
            </w: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Effective January 1, 2019, we realigned our segment structure. We shifted financial reporting of the European Commercial HVAC business from our Commercial Heating &amp; Cooling segment to our Refrigeration segment as we manage both our commercial HVAC and refrigeration operations in Europe together. We have revised our historical segment results to present them on a comparable basis.</w:t>
      </w:r>
    </w:p>
    <w:p>
      <w:pPr>
        <w:spacing w:after="0" w:line="204"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Our businesses in the Asia Pacific and South America area were sold in the second and third quarters of 2018, respectively. Refer to Note 14 for details regarding the divestiture of these businesses.</w:t>
      </w:r>
    </w:p>
    <w:p>
      <w:pPr>
        <w:spacing w:after="0" w:line="2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3180" w:type="dxa"/>
            <w:vAlign w:val="bottom"/>
            <w:gridSpan w:val="5"/>
          </w:tcPr>
          <w:p>
            <w:pPr>
              <w:jc w:val="right"/>
              <w:ind w:right="91"/>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33"/>
        </w:trPr>
        <w:tc>
          <w:tcPr>
            <w:tcW w:w="78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78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r>
      <w:tr>
        <w:trPr>
          <w:trHeight w:val="33"/>
        </w:trPr>
        <w:tc>
          <w:tcPr>
            <w:tcW w:w="7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465.6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453.7</w:t>
            </w:r>
          </w:p>
        </w:tc>
      </w:tr>
      <w:tr>
        <w:trPr>
          <w:trHeight w:val="27"/>
        </w:trPr>
        <w:tc>
          <w:tcPr>
            <w:tcW w:w="7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9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151.4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202.0</w:t>
            </w:r>
          </w:p>
        </w:tc>
      </w:tr>
      <w:tr>
        <w:trPr>
          <w:trHeight w:val="27"/>
        </w:trPr>
        <w:tc>
          <w:tcPr>
            <w:tcW w:w="7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8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790.3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834.8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7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5"/>
                <w:szCs w:val="25"/>
                <w:b w:val="1"/>
                <w:bCs w:val="1"/>
                <w:color w:val="auto"/>
                <w:vertAlign w:val="superscript"/>
              </w:rPr>
              <w:t>(1)</w:t>
            </w:r>
          </w:p>
        </w:tc>
        <w:tc>
          <w:tcPr>
            <w:tcW w:w="9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51.3</w:t>
            </w:r>
          </w:p>
        </w:tc>
      </w:tr>
      <w:tr>
        <w:trPr>
          <w:trHeight w:val="27"/>
        </w:trPr>
        <w:tc>
          <w:tcPr>
            <w:tcW w:w="7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9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7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7800" w:type="dxa"/>
            <w:vAlign w:val="bottom"/>
          </w:tcPr>
          <w:p>
            <w:pPr>
              <w:ind w:left="280"/>
              <w:spacing w:after="0"/>
              <w:rPr>
                <w:sz w:val="20"/>
                <w:szCs w:val="20"/>
                <w:color w:val="auto"/>
              </w:rPr>
            </w:pPr>
            <w:r>
              <w:rPr>
                <w:rFonts w:ascii="Arial" w:cs="Arial" w:eastAsia="Arial" w:hAnsi="Arial"/>
                <w:sz w:val="18"/>
                <w:szCs w:val="18"/>
                <w:color w:val="auto"/>
              </w:rPr>
              <w:t>Total segment profit</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w:t>
            </w:r>
          </w:p>
        </w:tc>
      </w:tr>
      <w:tr>
        <w:trPr>
          <w:trHeight w:val="27"/>
        </w:trPr>
        <w:tc>
          <w:tcPr>
            <w:tcW w:w="7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to 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Special inventory write down</w:t>
            </w:r>
          </w:p>
        </w:tc>
        <w:tc>
          <w:tcPr>
            <w:tcW w:w="98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7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tcPr>
          <w:p>
            <w:pPr>
              <w:ind w:left="40"/>
              <w:spacing w:after="0"/>
              <w:rPr>
                <w:sz w:val="20"/>
                <w:szCs w:val="20"/>
                <w:color w:val="auto"/>
              </w:rPr>
            </w:pPr>
            <w:r>
              <w:rPr>
                <w:rFonts w:ascii="Arial" w:cs="Arial" w:eastAsia="Arial" w:hAnsi="Arial"/>
                <w:sz w:val="18"/>
                <w:szCs w:val="18"/>
                <w:color w:val="auto"/>
              </w:rPr>
              <w:t>Loss on assets held for sale</w:t>
            </w:r>
          </w:p>
        </w:tc>
        <w:tc>
          <w:tcPr>
            <w:tcW w:w="98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7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insurance recoveries, net of losses incurred</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Items in losses (gains) and other expenses, net that are excluded from segment profit (loss) </w:t>
            </w:r>
            <w:r>
              <w:rPr>
                <w:rFonts w:ascii="Arial" w:cs="Arial" w:eastAsia="Arial" w:hAnsi="Arial"/>
                <w:sz w:val="25"/>
                <w:szCs w:val="25"/>
                <w:color w:val="auto"/>
                <w:vertAlign w:val="superscript"/>
              </w:rPr>
              <w:t>(1)</w:t>
            </w:r>
          </w:p>
        </w:tc>
        <w:tc>
          <w:tcPr>
            <w:tcW w:w="98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57"/>
        </w:trPr>
        <w:tc>
          <w:tcPr>
            <w:tcW w:w="7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53.0</w:t>
            </w: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hanging="169"/>
        <w:spacing w:after="0"/>
        <w:tabs>
          <w:tab w:leader="none" w:pos="42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We define segment profit (loss) as a segment's operating income included in the accompanying Consolidated Statements of Operations, excluding:</w:t>
      </w:r>
    </w:p>
    <w:p>
      <w:pPr>
        <w:spacing w:after="0" w:line="2" w:lineRule="exact"/>
        <w:rPr>
          <w:rFonts w:ascii="Arial" w:cs="Arial" w:eastAsia="Arial" w:hAnsi="Arial"/>
          <w:sz w:val="20"/>
          <w:szCs w:val="20"/>
          <w:color w:val="auto"/>
          <w:vertAlign w:val="superscript"/>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7"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12"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6"/>
          <w:szCs w:val="16"/>
          <w:color w:val="auto"/>
        </w:rPr>
        <w:t>Divestiture costs,</w:t>
      </w:r>
    </w:p>
    <w:p>
      <w:pPr>
        <w:spacing w:after="0" w:line="6" w:lineRule="exact"/>
        <w:rPr>
          <w:rFonts w:ascii="Arial" w:cs="Arial" w:eastAsia="Arial" w:hAnsi="Arial"/>
          <w:sz w:val="18"/>
          <w:szCs w:val="18"/>
          <w:color w:val="auto"/>
        </w:rPr>
      </w:pPr>
    </w:p>
    <w:p>
      <w:pPr>
        <w:ind w:left="1380" w:hanging="238"/>
        <w:spacing w:after="0"/>
        <w:tabs>
          <w:tab w:leader="none" w:pos="1380" w:val="left"/>
        </w:tabs>
        <w:numPr>
          <w:ilvl w:val="2"/>
          <w:numId w:val="8"/>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Special inventory write down,</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Loss on sale of business,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Loss on assets held for sale,</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Gain from insurance recoveries, net of losses incurred;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Restructuring charges.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84" w:right="239"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i w:val="1"/>
          <w:iCs w:val="1"/>
          <w:color w:val="auto"/>
        </w:rPr>
        <w:t>Total Assets by Segment</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As of March 31,</w:t>
            </w: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As of December</w:t>
            </w:r>
          </w:p>
        </w:tc>
      </w:tr>
      <w:tr>
        <w:trPr>
          <w:trHeight w:val="210"/>
        </w:trPr>
        <w:tc>
          <w:tcPr>
            <w:tcW w:w="7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b w:val="1"/>
                <w:bCs w:val="1"/>
                <w:color w:val="auto"/>
              </w:rPr>
              <w:t>31, 2018</w:t>
            </w:r>
          </w:p>
        </w:tc>
      </w:tr>
      <w:tr>
        <w:trPr>
          <w:trHeight w:val="33"/>
        </w:trPr>
        <w:tc>
          <w:tcPr>
            <w:tcW w:w="7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1,108.1</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837.4</w:t>
            </w:r>
          </w:p>
        </w:tc>
      </w:tr>
      <w:tr>
        <w:trPr>
          <w:trHeight w:val="27"/>
        </w:trPr>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349.5</w:t>
            </w:r>
          </w:p>
        </w:tc>
      </w:tr>
      <w:tr>
        <w:trPr>
          <w:trHeight w:val="243"/>
        </w:trPr>
        <w:tc>
          <w:tcPr>
            <w:tcW w:w="726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2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462.9</w:t>
            </w:r>
          </w:p>
        </w:tc>
      </w:tr>
      <w:tr>
        <w:trPr>
          <w:trHeight w:val="27"/>
        </w:trPr>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w:t>
            </w:r>
          </w:p>
        </w:tc>
      </w:tr>
      <w:tr>
        <w:trPr>
          <w:trHeight w:val="257"/>
        </w:trPr>
        <w:tc>
          <w:tcPr>
            <w:tcW w:w="726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2,105.7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1,817.2</w:t>
            </w:r>
          </w:p>
        </w:tc>
      </w:tr>
      <w:tr>
        <w:trPr>
          <w:trHeight w:val="20"/>
        </w:trPr>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assets in the Corporate and other segment primarily consist of cash, short-term investments, property, plant and equipment and deferred tax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 recorded in the operating segments represent those assets directly associated with those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at March 31, 2019 were the same as those used at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5 for more information related to our derivative instruments.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carrying amounts of Cash and cash equivalents,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2019</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302.9</w:t>
            </w:r>
          </w:p>
        </w:tc>
      </w:tr>
      <w:tr>
        <w:trPr>
          <w:trHeight w:val="27"/>
        </w:trPr>
        <w:tc>
          <w:tcPr>
            <w:tcW w:w="7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senior unsecured notes are unconditionally guaranteed by certain of our subsidiaries (the “Guarantor Subsidiaries”) and are not guaranteed by our other subsidiaries (the “Non-Guarantor Subsidiaries”). The Guarantor Subsidiaries are 100% owned, all guarantees are full and unconditional, and all guarantees are joint and several. As a result of the guarantee arrangements, we are required to present the following condensed consolidating financial statements.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condensed consolidating financial statements reflect our investments in our subsidiaries using the equity method of accounting. The principal elimination entries eliminate investments in subsidiaries and intercompany balances and transactions. Our condensed consolidating financial statements and our Guarantor Subsidiaries and Non-Guarantor Subsidiaries as of March 31, 2019 and December 31, 2018, and for the three months ended March 31, 2019 and 2018 are shown on the following pages.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300" w:type="dxa"/>
            <w:vAlign w:val="bottom"/>
          </w:tcPr>
          <w:p>
            <w:pPr>
              <w:spacing w:after="0"/>
              <w:rPr>
                <w:sz w:val="14"/>
                <w:szCs w:val="14"/>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Right-of-use assets from operating leases</w:t>
            </w:r>
          </w:p>
        </w:tc>
        <w:tc>
          <w:tcPr>
            <w:tcW w:w="30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4"/>
        </w:trPr>
        <w:tc>
          <w:tcPr>
            <w:tcW w:w="47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(payables) receivables,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2,239.1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2,105.7</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9"/>
              </w:rPr>
              <w:t>LIABILITIES AND STOCKHOLDERS’ (DEFICIT) EQUITY</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Income taxes (receivable) payable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Pensions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1,069.8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447.4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stockholders' (deficit) equity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1,395.2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b w:val="1"/>
                <w:bCs w:val="1"/>
                <w:color w:val="auto"/>
              </w:rPr>
              <w:t>579.7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(204.8)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2,239.1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2,105.7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30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(payables) receivables,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604.4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2,102.8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938.5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1,817.2</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w w:val="99"/>
              </w:rPr>
              <w:t>LIABILITIES AND STOCKHOLDERS’ (DEFICIT) EQUITY</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 payable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Pensions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494.2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1,966.8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stockholders' (deficit) equity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1,333.4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444.3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938.5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1,817.2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7" w:name="page28"/>
    <w:bookmarkEnd w:id="27"/>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March 31,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722.9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121.2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790.3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Insurance proceeds for lost profits</w:t>
            </w:r>
          </w:p>
        </w:tc>
        <w:tc>
          <w:tcPr>
            <w:tcW w:w="260" w:type="dxa"/>
            <w:vAlign w:val="bottom"/>
          </w:tcPr>
          <w:p>
            <w:pPr>
              <w:spacing w:after="0"/>
              <w:rPr>
                <w:sz w:val="21"/>
                <w:szCs w:val="2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insurance recoveries, net of losses incurred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129.9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69.3</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130.3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8" w:name="page29"/>
    <w:bookmarkEnd w:id="28"/>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March 31,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716.3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279.0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834.8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38.9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37.9</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w w:val="92"/>
              </w:rPr>
              <w:t>Insurance recoveries received for property damage incurred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from natural disaster</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239.2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9"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19. Subsequent Event:</w:t>
      </w:r>
    </w:p>
    <w:p>
      <w:pPr>
        <w:spacing w:after="0" w:line="2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3, 2019, we entered into an agreement with Pacific Life Insurance Company to purchase a group annuity contract and transfer $100.0 million of our pension plan assets and the related benefit obligations. This transaction required a remeasurement of the pension plan and we expect to recognize a $61.0 million non-cash pension settlement pre-tax loss in the second quarter of 2019 for this remeasurement.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 In addition to the specific uncertainties discussed elsewhere in this Quarterly Report on Form 10-Q, the risk factors set forth in Part I, “Item 1A. Risk Factors” in our Annual Report on Form 10-K for the year ended December 31, 2018,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16 in the Notes to the Consolidated Financial Statements.</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5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9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newly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July 19, 2018, our manufacturing facility in Marshalltown, Iowa was damaged by a tornado. Insurance covers the repair or replacement of our assets that suffered damage or loss, and we are working closely with our insurance carriers and claims adjusters to ascertain the amount of insurance recoveries due to us as a result of the damage and loss we suffered. Our insurance policies also provide business interruption coverage, including lost profits, and reimbursement for other expenses and costs that have been incurred relating to the damages and losses suffered. In the first quarter of 2019, we incurred expenses of $30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2" w:name="page33"/>
    <w:bookmarkEnd w:id="32"/>
    <w:p>
      <w:pPr>
        <w:jc w:val="both"/>
        <w:spacing w:after="0" w:line="290" w:lineRule="auto"/>
        <w:rPr>
          <w:sz w:val="20"/>
          <w:szCs w:val="20"/>
          <w:color w:val="auto"/>
        </w:rPr>
      </w:pPr>
      <w:r>
        <w:rPr>
          <w:rFonts w:ascii="Arial" w:cs="Arial" w:eastAsia="Arial" w:hAnsi="Arial"/>
          <w:sz w:val="16"/>
          <w:szCs w:val="16"/>
          <w:color w:val="auto"/>
        </w:rPr>
        <w:t>related to damages caused by the tornado, which included site clean-up and demolition, factory inefficiencies, freight to move product to other warehouses and sales and marketing promotional costs. We received insurance recoveries of $76 million in the first quarter of 2019 and allocated the first $36 million of these proceeds to cover our expenses and rebuilding costs incurred during the three months ended March 31, 2019, which is included in Gain from insurance recoveries, net of losses incurred in the Consolidated Statements of Operations. The remaining $40 million of insurance recoveries represents amounts for lost profits and is shown in Insurance proceeds for lost profits in the Consolidated Statements of Operations. For the year ended December 31, 2019, we expect to receive insurance proceeds of $80 million related to lost profits and $154 million to fund the reconstruction of the facility and as reimbursement for other losses and expenses expected to be incurred. We ultimately expect to receive a cumulative total of $107 million in insurance proceeds related to lost profits and a cumulative total of $251 million to fund the reconstruction of the facility and as reimbursement for other losses and expenses expected to be incurred.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Residential Heating &amp; Cooling segment performed well in the first quarter of 2019, with a 3% increase in net sales and a $35 million increase in segment profit, including the impact of insurance proceeds received for lost profits, compared to the first quarter of 2019. Our Commercial Heating &amp; Cooling segment had a 3% decrease in net sales and a $7 million decrease in segment profit compared to the first quarter of 2018. This segment's results were driven by lower volumes and higher product costs partially offset by higher price and mix. Sales in our Refrigeration segment decreased by 25% due to the sale of our Australia, New Zealand, Asia and South America businesses in the second and third quarters of 2018. The Refrigeration segment profit in the current quarter was flat compared to the first quarter of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decreased $45 million, or 5%, to $790 million in the first quarter of 2019 primarily due to the sale of our Australia, New Zealand, Asia and Brazil businesses in the second and third quarters of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income in the first quarter of 2019 increased $42 million to $95 million, including $40 million of insurance proceeds for lost profits.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for the first quarter of 2019 increased $31 million to $69 million.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$1.73 per share in the first quarter of 2019 compared to $0.90 per share in the first quarter of 2018.</w:t>
      </w: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three months ended March 31, 2019, we returned $26 million to shareholders through dividend payments and have repurchased $100 million of common stock. We also received $44 million in net proceeds from the sale of our Kysor Warren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2019 Compared to First Quarter of 2018 -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gridSpan w:val="6"/>
          </w:tcPr>
          <w:p>
            <w:pPr>
              <w:ind w:left="440"/>
              <w:spacing w:after="0"/>
              <w:rPr>
                <w:sz w:val="20"/>
                <w:szCs w:val="20"/>
                <w:color w:val="auto"/>
              </w:rPr>
            </w:pPr>
            <w:r>
              <w:rPr>
                <w:rFonts w:ascii="Arial" w:cs="Arial" w:eastAsia="Arial" w:hAnsi="Arial"/>
                <w:sz w:val="16"/>
                <w:szCs w:val="16"/>
                <w:b w:val="1"/>
                <w:bCs w:val="1"/>
                <w:color w:val="auto"/>
              </w:rPr>
              <w:t>For the Three Months Ended March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5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Percent</w:t>
            </w:r>
          </w:p>
        </w:tc>
        <w:tc>
          <w:tcPr>
            <w:tcW w:w="2620" w:type="dxa"/>
            <w:vAlign w:val="bottom"/>
            <w:gridSpan w:val="3"/>
            <w:vMerge w:val="restart"/>
          </w:tcPr>
          <w:p>
            <w:pPr>
              <w:jc w:val="right"/>
              <w:ind w:right="6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4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180" w:type="dxa"/>
            <w:vAlign w:val="bottom"/>
            <w:gridSpan w:val="5"/>
            <w:vMerge w:val="continue"/>
          </w:tcPr>
          <w:p>
            <w:pPr>
              <w:spacing w:after="0"/>
              <w:rPr>
                <w:sz w:val="6"/>
                <w:szCs w:val="6"/>
                <w:color w:val="auto"/>
              </w:rPr>
            </w:pPr>
          </w:p>
        </w:tc>
        <w:tc>
          <w:tcPr>
            <w:tcW w:w="150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rPr>
              <w:t>Change</w:t>
            </w:r>
          </w:p>
        </w:tc>
        <w:tc>
          <w:tcPr>
            <w:tcW w:w="2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00" w:type="dxa"/>
            <w:vAlign w:val="bottom"/>
            <w:gridSpan w:val="2"/>
          </w:tcPr>
          <w:p>
            <w:pPr>
              <w:ind w:left="280"/>
              <w:spacing w:after="0"/>
              <w:rPr>
                <w:sz w:val="20"/>
                <w:szCs w:val="20"/>
                <w:color w:val="auto"/>
              </w:rPr>
            </w:pPr>
            <w:r>
              <w:rPr>
                <w:rFonts w:ascii="Arial" w:cs="Arial" w:eastAsia="Arial" w:hAnsi="Arial"/>
                <w:sz w:val="16"/>
                <w:szCs w:val="16"/>
                <w:b w:val="1"/>
                <w:bCs w:val="1"/>
                <w:color w:val="auto"/>
              </w:rPr>
              <w:t>Fav/(Unfav)</w:t>
            </w: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834.8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Loss on assets held for sale</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proceeds for lost profits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Gain from insurance recoveries, net of losses incurred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94.7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53.0</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78.7 %</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12.0 %</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5% in the first quarter of 2019 compared to the first quarter of 2018, of which 6% was related to our divested businesses in Australia, New Zealand, Asia and South America and 1% from unfavorable foreign currency exchange rates, partially offset by 2% from favorable price and mix across all of our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Gross profit margin in the first quarter of 2019 decreased to 25.5% compared to 26.7% in the first quarter of 2018. We saw decreases in profit margin of 120 basis points ("bps") from higher commodity prices, 140 bps from higher freight and distribution costs, and 80 bps from other product costs. Partially offsetting these decreases were positive margin increases of 150 bps from favorable price and mix and 70 bps from sourcing and engineering-led cost reductions.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Selling, general and administrative expenses, or SG&amp;A, was $146 million in the first quarter of 2019 compared to $155 million in the first quarter of 2018, and as a percentage of net sales decreased 20 bps to 18.4%. SG&amp;A decreased primarily due to the sale of our divested businesses in Australia, New Zealand, Asia and South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and other expenses, net for the first quarter of 2019 and 2018 included the following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5"/>
          <w:szCs w:val="15"/>
          <w:b w:val="1"/>
          <w:bCs w:val="1"/>
          <w:color w:val="auto"/>
        </w:rPr>
        <w:t>For the Three Months Ended March</w:t>
      </w:r>
    </w:p>
    <w:p>
      <w:pPr>
        <w:spacing w:after="0" w:line="38"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 (gains) on settled future contracts</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exchange losses (gains)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7"/>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7"/>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Asbestos-related litigation</w:t>
            </w:r>
          </w:p>
        </w:tc>
        <w:tc>
          <w:tcPr>
            <w:tcW w:w="84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Divestiture costs</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7"/>
                <w:szCs w:val="17"/>
                <w:color w:val="auto"/>
              </w:rPr>
              <w:t>2.5</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Losses (gains) and other expenses, net (pre-tax)</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net change in unrealized losses (gains)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 Refer to Note 14 in the Notes to the Consolidated Financial Statements for more information on the divestiture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Restructuring charges were $0.5 million in the first quarter of 2019 and were primarily for projects to realign resources in our Refrigeration segment. For additional information on our restructuring activities, refer to Note 13 in the Notes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Sale of Businesses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recognized a loss of $8.5 million on the sale of our Kysor Warren business in the first quarter of 2019. Refer to Note 14 in the Notes to the Consolidated Financial Statements for additional information.</w:t>
      </w:r>
    </w:p>
    <w:p>
      <w:pPr>
        <w:sectPr>
          <w:pgSz w:w="11900" w:h="16838" w:orient="portrait"/>
          <w:cols w:equalWidth="0" w:num="1">
            <w:col w:w="11420"/>
          </w:cols>
          <w:pgMar w:left="240" w:top="123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33"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$3 million in the first quarter of 2019 was down from $4 million when compared to the first quarter of 2018. The decrease is because the joint ventures have experienced increased costs related to commodities and components and have not passed along these increased costs to customers through price increases.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$11 million in the first quarter of 2019 was up from $8 million in the first quarter of 2018 due to an increase in our average net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effective tax rate was 16.4% for the three months ended March 31, 2019 compared to 13.9% for the three months ended March 31, 2018. The rate for the three months ended March 31, 2019 is higher as compared to the three months ended March 31, 2018 primarily due to lower excess tax benefits from share-based compensation as a percentage of pre-tax income. We expect our annual effective tax rate to be between 22% and 23%, excluding the impact of excess tax benefits recorded as a reduction of income taxes under ASU No. 2016-09.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2019 Compared to First Quarter of 2018 -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Residential Heating &amp; Cooling segment's net sales and profit for the first quarter of 2019 and 2018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306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For the Three Months Ended March 31,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Pr>
          <w:p>
            <w:pPr>
              <w:jc w:val="right"/>
              <w:ind w:right="2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7"/>
        </w:trPr>
        <w:tc>
          <w:tcPr>
            <w:tcW w:w="5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sales increased 3% in the first quarter of 2019 compared to the first quarter of 2018 on higher combined price and mix.</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the first quarter of 2019 increased $35 million compared to the first quarter of 2018 due to $40 million of insurance proceeds for lost profits due to the Marshalltown tornado, $12 million from higher price and mix combined, and $4 million from sourcing and engineering-led cost reductions. Partially offsetting these increases were $9 million from higher freight and costs associated with distribution investments, $7 million from higher commodity costs, $3 million of higher SG&amp;A expenses and $2 million from higher warranty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Commercial Heating &amp; Cooling segment's net sales and profit for the first quarter of 2019 and 2018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 March</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0"/>
              </w:rPr>
              <w:t>31,</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173.3</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Profit</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15.1</w:t>
            </w: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3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2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459"/>
        </w:trPr>
        <w:tc>
          <w:tcPr>
            <w:tcW w:w="33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5" w:name="page36"/>
    <w:bookmarkEnd w:id="35"/>
    <w:p>
      <w:pPr>
        <w:jc w:val="both"/>
        <w:ind w:firstLine="243"/>
        <w:spacing w:after="0" w:line="277" w:lineRule="auto"/>
        <w:rPr>
          <w:sz w:val="20"/>
          <w:szCs w:val="20"/>
          <w:color w:val="auto"/>
        </w:rPr>
      </w:pPr>
      <w:r>
        <w:rPr>
          <w:rFonts w:ascii="Arial" w:cs="Arial" w:eastAsia="Arial" w:hAnsi="Arial"/>
          <w:sz w:val="18"/>
          <w:szCs w:val="18"/>
          <w:color w:val="auto"/>
        </w:rPr>
        <w:t>Net sales decreased 3% in the first quarter of 2019 compared to the first quarter of 2018. Sales volume was lower by 6%, partially offset by 3% higher price and mix combined.</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the first quarter of 2019 decreased $7 million compared to the first quarter of 2018. The decrease was driven by $4 million from lower sales volume, $4 million of higher other product costs, $2 million of higher commodity costs, $2 million of lower factory productivity, $1 million of higher freight and distribution expense, and $1 million of higher SG&amp;A expense. Partially offsetting these decreases was $7 million of higher price and mix combined.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first quarter of 2019 and 2018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060" w:type="dxa"/>
            <w:vAlign w:val="bottom"/>
            <w:gridSpan w:val="6"/>
          </w:tcPr>
          <w:p>
            <w:pPr>
              <w:ind w:left="100"/>
              <w:spacing w:after="0"/>
              <w:rPr>
                <w:sz w:val="20"/>
                <w:szCs w:val="20"/>
                <w:color w:val="auto"/>
              </w:rPr>
            </w:pPr>
            <w:r>
              <w:rPr>
                <w:rFonts w:ascii="Arial" w:cs="Arial" w:eastAsia="Arial" w:hAnsi="Arial"/>
                <w:sz w:val="16"/>
                <w:szCs w:val="16"/>
                <w:b w:val="1"/>
                <w:bCs w:val="1"/>
                <w:color w:val="auto"/>
                <w:w w:val="99"/>
              </w:rPr>
              <w:t>For the Three Months Ended March 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8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25% in the first quarter of 2019 compared to the first quarter of 2018. The loss of sales from the divested Australia, New Zealand, Asia and South America businesses contributed 24% and unfavorable foreign currency exchange rates contributed 2%, partially offset by 1% higher price and mix combined.</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Segment profit in the first quarter of 2019 was flat compared to the first quarter of 2018 due to $3 million of sourcing and engineering-led cost reductions, $2 million from higher price and mix combined, and $1 million of higher factory productivity, offset by $2 million lower profit due to the divested Australia, Asia and South America businesses, $2 million from higher commodity costs, $1 million of higher freight and distribution expense, and $1 million of higher SG&amp;A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Corporate and other expenses increased $1 million in the first quarter of 2019 compared to the first quarter of 2018 primarily due to the timing of information technology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three months ended March 31, 2019 and 2018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5"/>
          <w:szCs w:val="15"/>
          <w:b w:val="1"/>
          <w:bCs w:val="1"/>
          <w:color w:val="auto"/>
        </w:rPr>
        <w:t>For the Three Months Ended March</w:t>
      </w:r>
    </w:p>
    <w:p>
      <w:pPr>
        <w:spacing w:after="0" w:line="38"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r>
      <w:tr>
        <w:trPr>
          <w:trHeight w:val="27"/>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i w:val="1"/>
          <w:iCs w:val="1"/>
          <w:color w:val="auto"/>
        </w:rPr>
        <w:t xml:space="preserve">Net Cash Provided by Operating Activities - </w:t>
      </w:r>
      <w:r>
        <w:rPr>
          <w:rFonts w:ascii="Arial" w:cs="Arial" w:eastAsia="Arial" w:hAnsi="Arial"/>
          <w:sz w:val="17"/>
          <w:szCs w:val="17"/>
          <w:color w:val="auto"/>
        </w:rPr>
        <w:t>The net cash used in operating activities in the first three months of 2019 and 2018 reflects the seasonal</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working capital requirements. The increase in cash used in operating activities in the first three months of 2019 as compared to 2018 was mainly due to the timing of working capital payments and due in part by the supply disruption caused by the tornado at our Marshalltown facility.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00" w:right="239" w:bottom="1440" w:gutter="0" w:footer="0" w:header="0"/>
        </w:sectPr>
      </w:pPr>
    </w:p>
    <w:bookmarkStart w:id="36" w:name="page37"/>
    <w:bookmarkEnd w:id="36"/>
    <w:p>
      <w:pPr>
        <w:jc w:val="both"/>
        <w:ind w:firstLine="243"/>
        <w:spacing w:after="0" w:line="302" w:lineRule="auto"/>
        <w:rPr>
          <w:sz w:val="20"/>
          <w:szCs w:val="20"/>
          <w:color w:val="auto"/>
        </w:rPr>
      </w:pPr>
      <w:r>
        <w:rPr>
          <w:rFonts w:ascii="Arial" w:cs="Arial" w:eastAsia="Arial" w:hAnsi="Arial"/>
          <w:sz w:val="16"/>
          <w:szCs w:val="16"/>
          <w:i w:val="1"/>
          <w:iCs w:val="1"/>
          <w:color w:val="auto"/>
        </w:rPr>
        <w:t xml:space="preserve">Net Cash Provided by (Used in) Investing Activities - </w:t>
      </w:r>
      <w:r>
        <w:rPr>
          <w:rFonts w:ascii="Arial" w:cs="Arial" w:eastAsia="Arial" w:hAnsi="Arial"/>
          <w:sz w:val="16"/>
          <w:szCs w:val="16"/>
          <w:color w:val="auto"/>
        </w:rPr>
        <w:t>Capital expenditures were $37 million in the first three months of 2019 compared to $23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three months of 2018. Capital expenditures in 2019 were primarily related to the reconstruction of the Marshalltown facility as well as equipment and investments in systems and software to support the overall enterprise. Net proceeds of $44 million in the first quarter of 2019 were provided by the sale of our Kysor Warren business. We also received $7 million in insurance proceeds to fund the reconstruction of our Marshalltown facility.</w:t>
      </w:r>
    </w:p>
    <w:p>
      <w:pPr>
        <w:spacing w:after="0" w:line="15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Net Cash Provided by Financing Activities - </w:t>
      </w:r>
      <w:r>
        <w:rPr>
          <w:rFonts w:ascii="Arial" w:cs="Arial" w:eastAsia="Arial" w:hAnsi="Arial"/>
          <w:sz w:val="18"/>
          <w:szCs w:val="18"/>
          <w:color w:val="auto"/>
        </w:rPr>
        <w:t>Net cash provided by financing activities in the first three months of 2019 was $109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$96 million in the first three months of 2018. The increase in cash provided by financing activities is largely due to a reduction in the amount of share repurchases in the first quarter of 2019 compared to the first quarter of 2018, partially offset by higher payments, net of borrowings, on our revolving credit facility. During the first three months of 2019, we repurchased $100 million of shares as compared to $150 million of shares in the first three months of 2018. We also we returned $26 million to shareholders through dividend payments in the first three months of 2019. For additional information on share repurchases, refer to Note 11 in the Notes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March 31, 2019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Outstanding</w:t>
            </w:r>
          </w:p>
        </w:tc>
      </w:tr>
      <w:tr>
        <w:trPr>
          <w:trHeight w:val="210"/>
        </w:trPr>
        <w:tc>
          <w:tcPr>
            <w:tcW w:w="9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Arial" w:cs="Arial" w:eastAsia="Arial" w:hAnsi="Arial"/>
                <w:sz w:val="16"/>
                <w:szCs w:val="16"/>
                <w:b w:val="1"/>
                <w:bCs w:val="1"/>
                <w:color w:val="auto"/>
              </w:rPr>
              <w:t>Borrowings</w:t>
            </w:r>
          </w:p>
        </w:tc>
      </w:tr>
      <w:tr>
        <w:trPr>
          <w:trHeight w:val="33"/>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Asset Securitization Program</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224.5</w:t>
            </w: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r>
      <w:tr>
        <w:trPr>
          <w:trHeight w:val="270"/>
        </w:trPr>
        <w:tc>
          <w:tcPr>
            <w:tcW w:w="9320" w:type="dxa"/>
            <w:vAlign w:val="bottom"/>
          </w:tcPr>
          <w:p>
            <w:pPr>
              <w:ind w:left="40"/>
              <w:spacing w:after="0" w:line="270" w:lineRule="exact"/>
              <w:rPr>
                <w:sz w:val="20"/>
                <w:szCs w:val="20"/>
                <w:color w:val="auto"/>
              </w:rPr>
            </w:pPr>
            <w:r>
              <w:rPr>
                <w:rFonts w:ascii="Arial" w:cs="Arial" w:eastAsia="Arial" w:hAnsi="Arial"/>
                <w:sz w:val="18"/>
                <w:szCs w:val="18"/>
                <w:color w:val="auto"/>
              </w:rPr>
              <w:t>Domestic credit facility</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7.5</w:t>
            </w:r>
          </w:p>
        </w:tc>
      </w:tr>
      <w:tr>
        <w:trPr>
          <w:trHeight w:val="27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9320" w:type="dxa"/>
            <w:vAlign w:val="bottom"/>
          </w:tcPr>
          <w:p>
            <w:pPr>
              <w:ind w:left="260"/>
              <w:spacing w:after="0"/>
              <w:rPr>
                <w:sz w:val="20"/>
                <w:szCs w:val="20"/>
                <w:color w:val="auto"/>
              </w:rPr>
            </w:pPr>
            <w:r>
              <w:rPr>
                <w:rFonts w:ascii="Arial" w:cs="Arial" w:eastAsia="Arial" w:hAnsi="Arial"/>
                <w:sz w:val="18"/>
                <w:szCs w:val="18"/>
                <w:color w:val="auto"/>
              </w:rPr>
              <w:t>Total current maturities of long-term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237.6</w:t>
            </w: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93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r>
      <w:tr>
        <w:trPr>
          <w:trHeight w:val="270"/>
        </w:trPr>
        <w:tc>
          <w:tcPr>
            <w:tcW w:w="9320" w:type="dxa"/>
            <w:vAlign w:val="bottom"/>
          </w:tcPr>
          <w:p>
            <w:pPr>
              <w:ind w:left="40"/>
              <w:spacing w:after="0" w:line="270" w:lineRule="exact"/>
              <w:rPr>
                <w:sz w:val="20"/>
                <w:szCs w:val="20"/>
                <w:color w:val="auto"/>
              </w:rPr>
            </w:pPr>
            <w:r>
              <w:rPr>
                <w:rFonts w:ascii="Arial" w:cs="Arial" w:eastAsia="Arial" w:hAnsi="Arial"/>
                <w:sz w:val="18"/>
                <w:szCs w:val="18"/>
                <w:color w:val="auto"/>
              </w:rPr>
              <w:t>Domestic credit facility</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689.5</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9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1,059.0</w:t>
            </w:r>
          </w:p>
        </w:tc>
      </w:tr>
      <w:tr>
        <w:trPr>
          <w:trHeight w:val="237"/>
        </w:trPr>
        <w:tc>
          <w:tcPr>
            <w:tcW w:w="9320" w:type="dxa"/>
            <w:vAlign w:val="bottom"/>
          </w:tcPr>
          <w:p>
            <w:pPr>
              <w:ind w:left="40"/>
              <w:spacing w:after="0"/>
              <w:rPr>
                <w:sz w:val="20"/>
                <w:szCs w:val="20"/>
                <w:color w:val="auto"/>
              </w:rPr>
            </w:pPr>
            <w:r>
              <w:rPr>
                <w:rFonts w:ascii="Arial" w:cs="Arial" w:eastAsia="Arial" w:hAnsi="Arial"/>
                <w:sz w:val="18"/>
                <w:szCs w:val="18"/>
                <w:b w:val="1"/>
                <w:bCs w:val="1"/>
                <w:color w:val="auto"/>
              </w:rPr>
              <w:t>Total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1,296.6</w:t>
            </w:r>
          </w:p>
        </w:tc>
      </w:tr>
      <w:tr>
        <w:trPr>
          <w:trHeight w:val="27"/>
        </w:trPr>
        <w:tc>
          <w:tcPr>
            <w:tcW w:w="9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hanging="332"/>
        <w:spacing w:after="0" w:line="226" w:lineRule="auto"/>
        <w:tabs>
          <w:tab w:leader="none" w:pos="218"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available future borrowings on our domestic credit facility are $460.5 million after being reduced by the outstanding borrowings and $2.5 million in outstanding standby letters of credit. We also had $30.7 million in outstanding standby letters of credit outside of the domestic credit facility as of March 31, 2019.</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223"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maximum securitization amount ranges from $225.0 million to $380.0 million, depending on the period. The maximum capacity of the ASP is the lesser of the maximum securitization amount or 100% of the net pool balance less reserves, as defined under the ASP.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118.7% at March 31, 2019 from 116.8% at December 31, 2018.</w:t>
      </w:r>
    </w:p>
    <w:p>
      <w:pPr>
        <w:spacing w:after="0" w:line="46"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As of March 31, 2019,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believe our cash and cash equivalents of $32 million, future cash generated from operations and available future borrowings are sufficient to fund operations, planned capital expenditures, future contractual obligations, potential share repurchases and dividends and other needs in the foreseeable future. Included in our cash and cash equivalents of $32 million as of March 31, 2019 was $16.6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5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expected capital expenditures for 2019 are $100 million, excluding capital expenditures made in conjunction with repair of our Marshalltown facility as those repairs will be covered by insurance. We also continue to increase shareholder value through our share repurchase programs and dividend payments, with the completion of $100 million of share repurchases in the first three months of 2019 and the declaration of $26 million of cash dividends in the first three months of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information regarding our commitments, contingencies and guarantees, see Note 7 in the 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2018. Our exposure to market risk has not changed materially since December 31,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March 31, 2019,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During the quarter ended March 31, 2019, we implemented new controls as part of our efforts to adopt ASU 2016-02. We implemented new controls related to the adoption process, a new IT system to capture, calculate, and account for leases, and gather the necessary data to properly account for leases under ASC 842. There were no other changes in our internal control over financial reporting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1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risk factors discussed in Part I, “Item 1A. Risk Factors” in our Annual Report on Form 10-K for the year ended December 31, 2018, which could materially affect our business, financial condition or results of operations. There have been no material changes to our risk factors from those disclosed in our 2018 Annual Report on Form 10-K.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9" w:name="page40"/>
    <w:bookmarkEnd w:id="39"/>
    <w:p>
      <w:pPr>
        <w:ind w:left="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first quarter of 2019, we purchased shares of our common stock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 yet be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Average Price Paid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under our Share</w:t>
            </w:r>
          </w:p>
        </w:tc>
      </w:tr>
      <w:tr>
        <w:trPr>
          <w:trHeight w:val="203"/>
        </w:trPr>
        <w:tc>
          <w:tcPr>
            <w:tcW w:w="366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6"/>
                <w:szCs w:val="16"/>
                <w:b w:val="1"/>
                <w:bCs w:val="1"/>
                <w:color w:val="auto"/>
              </w:rPr>
              <w:t>Total Number of</w:t>
            </w:r>
          </w:p>
        </w:tc>
        <w:tc>
          <w:tcPr>
            <w:tcW w:w="240" w:type="dxa"/>
            <w:vAlign w:val="bottom"/>
          </w:tcPr>
          <w:p>
            <w:pPr>
              <w:spacing w:after="0"/>
              <w:rPr>
                <w:sz w:val="17"/>
                <w:szCs w:val="17"/>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per Share (including</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As Part of</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 Plans</w:t>
            </w:r>
          </w:p>
        </w:tc>
      </w:tr>
      <w:tr>
        <w:trPr>
          <w:trHeight w:val="243"/>
        </w:trPr>
        <w:tc>
          <w:tcPr>
            <w:tcW w:w="36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b w:val="1"/>
                <w:bCs w:val="1"/>
                <w:color w:val="auto"/>
                <w:w w:val="89"/>
                <w:vertAlign w:val="superscript"/>
              </w:rPr>
              <w:t>(1)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5"/>
              </w:rPr>
              <w:t>fees)</w:t>
            </w:r>
          </w:p>
        </w:tc>
        <w:tc>
          <w:tcPr>
            <w:tcW w:w="2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2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(in millions) </w:t>
            </w:r>
            <w:r>
              <w:rPr>
                <w:rFonts w:ascii="Arial" w:cs="Arial" w:eastAsia="Arial" w:hAnsi="Arial"/>
                <w:sz w:val="21"/>
                <w:szCs w:val="21"/>
                <w:b w:val="1"/>
                <w:bCs w:val="1"/>
                <w:color w:val="auto"/>
                <w:w w:val="89"/>
                <w:vertAlign w:val="superscript"/>
              </w:rPr>
              <w:t>(2)</w:t>
            </w: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through February 2</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1,377</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221.40</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445.8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February 3 through February 23</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423,103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243.90</w:t>
            </w:r>
          </w:p>
        </w:tc>
        <w:tc>
          <w:tcPr>
            <w:tcW w:w="22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410,085</w:t>
            </w:r>
          </w:p>
        </w:tc>
        <w:tc>
          <w:tcPr>
            <w:tcW w:w="2260" w:type="dxa"/>
            <w:vAlign w:val="bottom"/>
            <w:gridSpan w:val="2"/>
          </w:tcPr>
          <w:p>
            <w:pPr>
              <w:jc w:val="right"/>
              <w:ind w:right="19"/>
              <w:spacing w:after="0"/>
              <w:rPr>
                <w:sz w:val="20"/>
                <w:szCs w:val="20"/>
                <w:color w:val="auto"/>
              </w:rPr>
            </w:pPr>
            <w:r>
              <w:rPr>
                <w:rFonts w:ascii="Arial" w:cs="Arial" w:eastAsia="Arial" w:hAnsi="Arial"/>
                <w:sz w:val="18"/>
                <w:szCs w:val="18"/>
                <w:color w:val="auto"/>
              </w:rPr>
              <w:t>345.8</w:t>
            </w: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24 through March 30</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40,024</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250.21</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345.8</w:t>
            </w:r>
          </w:p>
        </w:tc>
      </w:tr>
      <w:tr>
        <w:trPr>
          <w:trHeight w:val="237"/>
        </w:trPr>
        <w:tc>
          <w:tcPr>
            <w:tcW w:w="366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464,504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410,085</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right="20" w:hanging="169"/>
        <w:spacing w:after="0" w:line="216" w:lineRule="auto"/>
        <w:tabs>
          <w:tab w:leader="none" w:pos="476"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We repurchased 54,419 shares of common stock in January, February and March of 2019 surrendered to LII to satisfy employee tax-withholding obligations in connection with the exercise of long-term incentive awards.</w:t>
      </w:r>
    </w:p>
    <w:p>
      <w:pPr>
        <w:spacing w:after="0" w:line="41" w:lineRule="exact"/>
        <w:rPr>
          <w:rFonts w:ascii="Arial" w:cs="Arial" w:eastAsia="Arial" w:hAnsi="Arial"/>
          <w:sz w:val="25"/>
          <w:szCs w:val="25"/>
          <w:color w:val="auto"/>
          <w:vertAlign w:val="superscript"/>
        </w:rPr>
      </w:pPr>
    </w:p>
    <w:p>
      <w:pPr>
        <w:ind w:left="420" w:hanging="169"/>
        <w:spacing w:after="0" w:line="227" w:lineRule="auto"/>
        <w:tabs>
          <w:tab w:leader="none" w:pos="484"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After $100.0 million share repurchase from stock market transactions during the first quarter. The stock repurchase was executed pursuant to a previously announced repurchase plan. See Note 11 in the Notes to the Consolidated Financial Statements for further details.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460" w:type="dxa"/>
            <w:vAlign w:val="bottom"/>
            <w:gridSpan w:val="20"/>
            <w:shd w:val="clear" w:color="auto" w:fill="CCEEFF"/>
          </w:tcPr>
          <w:p>
            <w:pPr>
              <w:spacing w:after="0"/>
              <w:rPr>
                <w:sz w:val="20"/>
                <w:szCs w:val="20"/>
                <w:color w:val="auto"/>
              </w:rPr>
            </w:pPr>
            <w:r>
              <w:rPr>
                <w:rFonts w:ascii="Arial" w:cs="Arial" w:eastAsia="Arial" w:hAnsi="Arial"/>
                <w:sz w:val="18"/>
                <w:szCs w:val="18"/>
                <w:color w:val="auto"/>
                <w:w w:val="97"/>
              </w:rPr>
              <w:t>Restated Certificate of Incorporation of Lennox International Inc. (“LII”) (filed as Exhibit 3.1 to LII’s Registration Statement on Form S-1</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20"/>
            <w:shd w:val="clear" w:color="auto" w:fill="CCEEFF"/>
          </w:tcPr>
          <w:p>
            <w:pPr>
              <w:spacing w:after="0"/>
              <w:rPr>
                <w:sz w:val="20"/>
                <w:szCs w:val="20"/>
                <w:color w:val="auto"/>
              </w:rPr>
            </w:pPr>
            <w:r>
              <w:rPr>
                <w:rFonts w:ascii="Arial" w:cs="Arial" w:eastAsia="Arial" w:hAnsi="Arial"/>
                <w:sz w:val="18"/>
                <w:szCs w:val="18"/>
                <w:color w:val="auto"/>
              </w:rPr>
              <w:t>(Registration Statement No. 333-75725) filed on April 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460" w:type="dxa"/>
            <w:vAlign w:val="bottom"/>
            <w:gridSpan w:val="20"/>
          </w:tcPr>
          <w:p>
            <w:pPr>
              <w:spacing w:after="0" w:line="202"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Amended and Restated Bylaws of LII (filed as Exhibit 3.1 to LII’s Current Report on Form 8-K filed on December 16, 2013 and incorporated</w:t>
              </w:r>
            </w:hyperlink>
          </w:p>
        </w:tc>
      </w:tr>
      <w:tr>
        <w:trPr>
          <w:trHeight w:val="196"/>
        </w:trPr>
        <w:tc>
          <w:tcPr>
            <w:tcW w:w="960" w:type="dxa"/>
            <w:vAlign w:val="bottom"/>
          </w:tcPr>
          <w:p>
            <w:pPr>
              <w:spacing w:after="0"/>
              <w:rPr>
                <w:sz w:val="17"/>
                <w:szCs w:val="17"/>
                <w:color w:val="auto"/>
              </w:rPr>
            </w:pPr>
          </w:p>
        </w:tc>
        <w:tc>
          <w:tcPr>
            <w:tcW w:w="102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260" w:type="dxa"/>
            <w:vAlign w:val="bottom"/>
            <w:gridSpan w:val="7"/>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460" w:type="dxa"/>
            <w:vAlign w:val="bottom"/>
            <w:gridSpan w:val="20"/>
            <w:shd w:val="clear" w:color="auto" w:fill="CCEEFF"/>
          </w:tcPr>
          <w:p>
            <w:pPr>
              <w:spacing w:after="0"/>
              <w:rPr>
                <w:sz w:val="20"/>
                <w:szCs w:val="20"/>
                <w:color w:val="auto"/>
              </w:rPr>
            </w:pPr>
            <w:r>
              <w:rPr>
                <w:rFonts w:ascii="Arial" w:cs="Arial" w:eastAsia="Arial" w:hAnsi="Arial"/>
                <w:sz w:val="18"/>
                <w:szCs w:val="18"/>
                <w:color w:val="auto"/>
                <w:w w:val="95"/>
              </w:rPr>
              <w:t>Specimen Stock Certificate for the Common Stock, par value $.01 per share, of LII (filed as Exhibit 4.1 to LII’s Amendment to Registration</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20"/>
            <w:shd w:val="clear" w:color="auto" w:fill="CCEEFF"/>
          </w:tcPr>
          <w:p>
            <w:pPr>
              <w:spacing w:after="0"/>
              <w:rPr>
                <w:sz w:val="20"/>
                <w:szCs w:val="20"/>
                <w:color w:val="auto"/>
              </w:rPr>
            </w:pPr>
            <w:r>
              <w:rPr>
                <w:rFonts w:ascii="Arial" w:cs="Arial" w:eastAsia="Arial" w:hAnsi="Arial"/>
                <w:sz w:val="18"/>
                <w:szCs w:val="18"/>
                <w:color w:val="auto"/>
              </w:rPr>
              <w:t>Statement on Form S-1/A (Registration No. 333-75725) filed on June 16,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460" w:type="dxa"/>
            <w:vAlign w:val="bottom"/>
            <w:gridSpan w:val="20"/>
          </w:tcPr>
          <w:p>
            <w:pPr>
              <w:spacing w:after="0" w:line="202"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Indenture, dated as of May 3, 2010, between LII and U.S. Bank National Association, as trustee (filed as Exhibit 4.3 to LII’s Post-Effective</w:t>
              </w:r>
            </w:hyperlink>
          </w:p>
        </w:tc>
      </w:tr>
      <w:tr>
        <w:trPr>
          <w:trHeight w:val="20"/>
        </w:trPr>
        <w:tc>
          <w:tcPr>
            <w:tcW w:w="96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0"/>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Amendment No. 1 to Registration Statement on S-3 (Registration No. 333-155796) filed on May 3, 2010, and incorporated herein by reference).</w:t>
              </w:r>
            </w:hyperlink>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7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4.3</w:t>
            </w:r>
          </w:p>
        </w:tc>
        <w:tc>
          <w:tcPr>
            <w:tcW w:w="1040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Form of Supplemental Indenture among LII, the guarantors party thereto and U.S. Bank National Association, as trustee (filed as Exhibit 4.11 to</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LII’s Post-Effective Amendment No. 1 to Registration Statement on S-3 (Registration No. 333-155796) filed on May 3, 2010, and incorporated</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140" w:type="dxa"/>
            <w:vAlign w:val="bottom"/>
            <w:tcBorders>
              <w:top w:val="single" w:sz="8" w:color="CCEEFF"/>
            </w:tcBorders>
            <w:gridSpan w:val="4"/>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4.4</w:t>
            </w:r>
          </w:p>
        </w:tc>
        <w:tc>
          <w:tcPr>
            <w:tcW w:w="10460" w:type="dxa"/>
            <w:vAlign w:val="bottom"/>
            <w:gridSpan w:val="20"/>
          </w:tcPr>
          <w:p>
            <w:pPr>
              <w:spacing w:after="0" w:line="202"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Sixth Supplemental Indenture, dated as of November 3, 2016, among LII, each other existing Guarantor under the Indenture, dated as of May 3,</w:t>
              </w:r>
            </w:hyperlink>
          </w:p>
        </w:tc>
      </w:tr>
      <w:tr>
        <w:trPr>
          <w:trHeight w:val="196"/>
        </w:trPr>
        <w:tc>
          <w:tcPr>
            <w:tcW w:w="960" w:type="dxa"/>
            <w:vAlign w:val="bottom"/>
          </w:tcPr>
          <w:p>
            <w:pPr>
              <w:spacing w:after="0"/>
              <w:rPr>
                <w:sz w:val="17"/>
                <w:szCs w:val="17"/>
                <w:color w:val="auto"/>
              </w:rPr>
            </w:pPr>
          </w:p>
        </w:tc>
        <w:tc>
          <w:tcPr>
            <w:tcW w:w="10360" w:type="dxa"/>
            <w:vAlign w:val="bottom"/>
            <w:tcBorders>
              <w:top w:val="single" w:sz="8" w:color="0000FF"/>
            </w:tcBorders>
            <w:gridSpan w:val="17"/>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2010, as subsequently supplemented, and US Bank National Association, as trustee (filed as Exhibit 4.2 to LII’s Current Report on Form 8-K</w:t>
              </w:r>
            </w:hyperlink>
          </w:p>
        </w:tc>
        <w:tc>
          <w:tcPr>
            <w:tcW w:w="10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1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filed on November 3, 2016, and incorporated by reference).</w:t>
              </w:r>
            </w:hyperlink>
          </w:p>
        </w:tc>
        <w:tc>
          <w:tcPr>
            <w:tcW w:w="300" w:type="dxa"/>
            <w:vAlign w:val="bottom"/>
            <w:gridSpan w:val="8"/>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4.5</w:t>
            </w:r>
          </w:p>
        </w:tc>
        <w:tc>
          <w:tcPr>
            <w:tcW w:w="10460" w:type="dxa"/>
            <w:vAlign w:val="bottom"/>
            <w:gridSpan w:val="20"/>
            <w:shd w:val="clear" w:color="auto" w:fill="CCEEFF"/>
          </w:tcPr>
          <w:p>
            <w:pPr>
              <w:spacing w:after="0" w:line="202"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Seventh Supplemental Indenture, dated as of January 23, 2019, among LII Mexico Holdings Ltd., Lennox International Inc., each other existing</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6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Guarantor under the Indenture, dated as of May 3, 2010, as subsequently supplemented, and US Bank National Association, as trustee (filed as</w:t>
              </w:r>
            </w:hyperlink>
          </w:p>
        </w:tc>
        <w:tc>
          <w:tcPr>
            <w:tcW w:w="100" w:type="dxa"/>
            <w:vAlign w:val="bottom"/>
            <w:tcBorders>
              <w:top w:val="single" w:sz="8" w:color="CCEEFF"/>
            </w:tcBorders>
            <w:gridSpan w:val="3"/>
            <w:shd w:val="clear" w:color="auto" w:fill="CCEEFF"/>
          </w:tcPr>
          <w:p>
            <w:pPr>
              <w:spacing w:after="0"/>
              <w:rPr>
                <w:sz w:val="17"/>
                <w:szCs w:val="17"/>
                <w:color w:val="auto"/>
              </w:rPr>
            </w:pP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28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Exhibit 2.5 to LII's Annual Report on Form 10-K filed on February 19, 2019 and incorporated herein by reference).</w:t>
              </w:r>
            </w:hyperlink>
          </w:p>
        </w:tc>
        <w:tc>
          <w:tcPr>
            <w:tcW w:w="18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3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7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4.6</w:t>
            </w:r>
          </w:p>
        </w:tc>
        <w:tc>
          <w:tcPr>
            <w:tcW w:w="9800" w:type="dxa"/>
            <w:vAlign w:val="bottom"/>
            <w:tcBorders>
              <w:bottom w:val="single" w:sz="8" w:color="0000FF"/>
            </w:tcBorders>
            <w:gridSpan w:val="8"/>
          </w:tcPr>
          <w:p>
            <w:pPr>
              <w:spacing w:after="0" w:line="202"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Form of 3.000% Notes due 2023 (filed as Exhibit A in Exhibit 4.2 to LII’s Current Report on Form 8-K filed on November 3, 2016, and</w:t>
              </w:r>
            </w:hyperlink>
          </w:p>
        </w:tc>
        <w:tc>
          <w:tcPr>
            <w:tcW w:w="660" w:type="dxa"/>
            <w:vAlign w:val="bottom"/>
            <w:gridSpan w:val="1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0"/>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incorporated by reference).</w:t>
              </w:r>
            </w:hyperlink>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024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Third Amendment (Incremental Amendment) to Sixth Amended and Restated Credit Facility Agreement dated as of January 22, 2019, among</w:t>
              </w:r>
            </w:hyperlink>
          </w:p>
        </w:tc>
        <w:tc>
          <w:tcPr>
            <w:tcW w:w="220" w:type="dxa"/>
            <w:vAlign w:val="bottom"/>
            <w:tcBorders>
              <w:bottom w:val="single" w:sz="8" w:color="CCEEFF"/>
            </w:tcBorders>
            <w:gridSpan w:val="6"/>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0"/>
            <w:shd w:val="clear" w:color="auto" w:fill="CCEEFF"/>
          </w:tcPr>
          <w:p>
            <w:pPr>
              <w:spacing w:after="0" w:line="196"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Lennox International Inc., a Delaware corporation, the lenders from time to time party thereto, and J.P.Morgan Chase Bank, N.A., as</w:t>
              </w:r>
            </w:hyperlink>
          </w:p>
        </w:tc>
      </w:tr>
      <w:tr>
        <w:trPr>
          <w:trHeight w:val="20"/>
        </w:trPr>
        <w:tc>
          <w:tcPr>
            <w:tcW w:w="960" w:type="dxa"/>
            <w:vAlign w:val="bottom"/>
            <w:shd w:val="clear" w:color="auto" w:fill="CCEEFF"/>
          </w:tcPr>
          <w:p>
            <w:pPr>
              <w:spacing w:after="0" w:line="20" w:lineRule="exact"/>
              <w:rPr>
                <w:sz w:val="1"/>
                <w:szCs w:val="1"/>
                <w:color w:val="auto"/>
              </w:rPr>
            </w:pPr>
          </w:p>
        </w:tc>
        <w:tc>
          <w:tcPr>
            <w:tcW w:w="44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420" w:type="dxa"/>
            <w:vAlign w:val="bottom"/>
            <w:gridSpan w:val="9"/>
            <w:shd w:val="clear" w:color="auto" w:fill="CCEEFF"/>
          </w:tcPr>
          <w:p>
            <w:pPr>
              <w:spacing w:after="0" w:line="20" w:lineRule="exact"/>
              <w:rPr>
                <w:sz w:val="1"/>
                <w:szCs w:val="1"/>
                <w:color w:val="auto"/>
              </w:rPr>
            </w:pPr>
          </w:p>
        </w:tc>
      </w:tr>
      <w:tr>
        <w:trPr>
          <w:trHeight w:val="244"/>
        </w:trPr>
        <w:tc>
          <w:tcPr>
            <w:tcW w:w="960" w:type="dxa"/>
            <w:vAlign w:val="bottom"/>
            <w:shd w:val="clear" w:color="auto" w:fill="CCEEFF"/>
          </w:tcPr>
          <w:p>
            <w:pPr>
              <w:spacing w:after="0"/>
              <w:rPr>
                <w:sz w:val="21"/>
                <w:szCs w:val="21"/>
                <w:color w:val="auto"/>
              </w:rPr>
            </w:pPr>
          </w:p>
        </w:tc>
        <w:tc>
          <w:tcPr>
            <w:tcW w:w="10460" w:type="dxa"/>
            <w:vAlign w:val="bottom"/>
            <w:gridSpan w:val="20"/>
            <w:shd w:val="clear" w:color="auto" w:fill="CCEEFF"/>
          </w:tcPr>
          <w:p>
            <w:pPr>
              <w:spacing w:after="0" w:line="196"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Administrative Agent (filed as Exhibit 10.1 to LII’s Current Report on Form 8-K filed on January 25, 2019, and incorporated by reference).</w:t>
              </w:r>
            </w:hyperlink>
          </w:p>
        </w:tc>
      </w:tr>
      <w:tr>
        <w:trPr>
          <w:trHeight w:val="203"/>
        </w:trPr>
        <w:tc>
          <w:tcPr>
            <w:tcW w:w="96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31.1</w:t>
            </w:r>
          </w:p>
        </w:tc>
        <w:tc>
          <w:tcPr>
            <w:tcW w:w="10040" w:type="dxa"/>
            <w:vAlign w:val="bottom"/>
            <w:tcBorders>
              <w:top w:val="single" w:sz="8" w:color="0000FF"/>
            </w:tcBorders>
            <w:gridSpan w:val="11"/>
          </w:tcPr>
          <w:p>
            <w:pPr>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Certification of the principal executive officer (filed herewith).</w:t>
              </w:r>
            </w:hyperlink>
          </w:p>
        </w:tc>
        <w:tc>
          <w:tcPr>
            <w:tcW w:w="420" w:type="dxa"/>
            <w:vAlign w:val="bottom"/>
            <w:tcBorders>
              <w:top w:val="single" w:sz="8" w:color="CCEEFF"/>
            </w:tcBorders>
            <w:gridSpan w:val="9"/>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3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446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4"/>
              </w:rPr>
            </w:pPr>
            <w:hyperlink w:anchor="page44">
              <w:r>
                <w:rPr>
                  <w:rFonts w:ascii="Arial" w:cs="Arial" w:eastAsia="Arial" w:hAnsi="Arial"/>
                  <w:sz w:val="18"/>
                  <w:szCs w:val="18"/>
                  <w:color w:val="0000FF"/>
                  <w:w w:val="94"/>
                </w:rPr>
                <w:t>Certification of the principal financial officer (filed herewith).</w:t>
              </w:r>
            </w:hyperlink>
          </w:p>
        </w:tc>
        <w:tc>
          <w:tcPr>
            <w:tcW w:w="6000" w:type="dxa"/>
            <w:vAlign w:val="bottom"/>
            <w:tcBorders>
              <w:bottom w:val="single" w:sz="8" w:color="CCEEFF"/>
            </w:tcBorders>
            <w:gridSpan w:val="16"/>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32.1</w:t>
            </w:r>
          </w:p>
        </w:tc>
        <w:tc>
          <w:tcPr>
            <w:tcW w:w="9920" w:type="dxa"/>
            <w:vAlign w:val="bottom"/>
            <w:tcBorders>
              <w:bottom w:val="single" w:sz="8" w:color="0000FF"/>
            </w:tcBorders>
            <w:gridSpan w:val="9"/>
          </w:tcPr>
          <w:p>
            <w:pPr>
              <w:spacing w:after="0" w:line="202"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of the principal executive officer and the principal financial officer pursuant to 18 U.S.C. Section 1350 (furnished herewith).</w:t>
              </w:r>
            </w:hyperlink>
          </w:p>
        </w:tc>
        <w:tc>
          <w:tcPr>
            <w:tcW w:w="540" w:type="dxa"/>
            <w:vAlign w:val="bottom"/>
            <w:gridSpan w:val="11"/>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No. (101).INS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No. (101).SCH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(101).CAL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(101).LAB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(101).PRE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(101).DEF XBRL Taxonomy Extension Definition Linkbase Document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1" w:name="page42"/>
    <w:bookmarkEnd w:id="4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20"/>
          </w:cols>
          <w:pgMar w:left="240" w:top="796" w:right="11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2019</w:t>
      </w:r>
    </w:p>
    <w:p>
      <w:pPr>
        <w:spacing w:after="0" w:line="200" w:lineRule="exact"/>
        <w:rPr>
          <w:sz w:val="20"/>
          <w:szCs w:val="20"/>
          <w:color w:val="auto"/>
        </w:rPr>
      </w:pPr>
    </w:p>
    <w:p>
      <w:pPr>
        <w:spacing w:after="0" w:line="34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2019</w:t>
      </w:r>
    </w:p>
    <w:p>
      <w:pPr>
        <w:spacing w:after="0" w:line="200" w:lineRule="exact"/>
        <w:rPr>
          <w:sz w:val="20"/>
          <w:szCs w:val="20"/>
          <w:color w:val="auto"/>
        </w:rPr>
      </w:pPr>
    </w:p>
    <w:p>
      <w:pPr>
        <w:spacing w:after="0" w:line="34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March 31, 2019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April 22, 2019</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2"/>
    </w:lvl>
  </w:abstractNum>
  <w:abstractNum w:abstractNumId="7">
    <w:nsid w:val="1F16E9E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27" Type="http://schemas.openxmlformats.org/officeDocument/2006/relationships/hyperlink" Target="http://www.sec.gov/Archives/edgar/data/1069202/000119312513474576/d644537dex31.htm" TargetMode="External"/><Relationship Id="rId28" Type="http://schemas.openxmlformats.org/officeDocument/2006/relationships/hyperlink" Target="http://www.sec.gov/Archives/edgar/data/1017609/000095012310042399/d72548exv4w3.htm" TargetMode="External"/><Relationship Id="rId29" Type="http://schemas.openxmlformats.org/officeDocument/2006/relationships/hyperlink" Target="http://www.sec.gov/Archives/edgar/data/1017609/000095012310042399/d72548exv4w11.htm" TargetMode="External"/><Relationship Id="rId30" Type="http://schemas.openxmlformats.org/officeDocument/2006/relationships/hyperlink" Target="http://www.sec.gov/Archives/edgar/data/1069202/000119312516758285/d284193dex42.htm" TargetMode="External"/><Relationship Id="rId31" Type="http://schemas.openxmlformats.org/officeDocument/2006/relationships/hyperlink" Target="http://www.sec.gov/Archives/edgar/data/1069202/000106920219000008/lii-ex45_20181231x10k.htm" TargetMode="External"/><Relationship Id="rId32" Type="http://schemas.openxmlformats.org/officeDocument/2006/relationships/hyperlink" Target="http://www.sec.gov/Archives/edgar/data/1069202/000106920219000002/exhibit1012018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2019-12-28T13:41:08Z</dcterms:created>
  <dcterms:modified xsi:type="dcterms:W3CDTF">2019-12-28T13:41:08Z</dcterms:modified>
</cp:coreProperties>
</file>