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487680</wp:posOffset>
            </wp:positionH>
            <wp:positionV relativeFrom="page">
              <wp:posOffset>674370</wp:posOffset>
            </wp:positionV>
            <wp:extent cx="69164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16420" cy="8255"/>
                    </a:xfrm>
                    <a:prstGeom prst="rect">
                      <a:avLst/>
                    </a:prstGeom>
                    <a:noFill/>
                  </pic:spPr>
                </pic:pic>
              </a:graphicData>
            </a:graphic>
          </wp:anchor>
        </w:drawing>
        <w:drawing>
          <wp:anchor simplePos="0" relativeHeight="251657728" behindDoc="1" locked="0" layoutInCell="0" allowOverlap="1">
            <wp:simplePos x="0" y="0"/>
            <wp:positionH relativeFrom="page">
              <wp:posOffset>487680</wp:posOffset>
            </wp:positionH>
            <wp:positionV relativeFrom="page">
              <wp:posOffset>699770</wp:posOffset>
            </wp:positionV>
            <wp:extent cx="69164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16420" cy="8255"/>
                    </a:xfrm>
                    <a:prstGeom prst="rect">
                      <a:avLst/>
                    </a:prstGeom>
                    <a:noFill/>
                  </pic:spPr>
                </pic:pic>
              </a:graphicData>
            </a:graphic>
          </wp:anchor>
        </w:drawing>
        <w:t>UNITED STATES</w:t>
      </w:r>
    </w:p>
    <w:p>
      <w:pPr>
        <w:spacing w:after="0" w:line="38"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b w:val="1"/>
          <w:bCs w:val="1"/>
          <w:color w:val="auto"/>
        </w:rPr>
        <w:t>Washington, D. C. 20549</w:t>
      </w:r>
    </w:p>
    <w:p>
      <w:pPr>
        <w:spacing w:after="0" w:line="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51"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44"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w:t>
      </w:r>
    </w:p>
    <w:p>
      <w:pPr>
        <w:ind w:left="700" w:hanging="413"/>
        <w:spacing w:after="0"/>
        <w:tabs>
          <w:tab w:leader="none" w:pos="7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OF 1934</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the quarterly period ended March 31, 2024</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50"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w:t>
      </w:r>
    </w:p>
    <w:p>
      <w:pPr>
        <w:ind w:left="700" w:hanging="413"/>
        <w:spacing w:after="0"/>
        <w:tabs>
          <w:tab w:leader="none" w:pos="7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OF 1934</w:t>
      </w:r>
    </w:p>
    <w:p>
      <w:pPr>
        <w:spacing w:after="0" w:line="9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1"/>
          <w:szCs w:val="21"/>
          <w:b w:val="1"/>
          <w:bCs w:val="1"/>
          <w:color w:val="auto"/>
        </w:rPr>
        <w:t>For the transition period from _____to ______</w:t>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001-15149</w:t>
      </w:r>
    </w:p>
    <w:p>
      <w:pPr>
        <w:spacing w:after="0" w:line="30"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LENNOX INTERNATIONAL INC</w:t>
      </w:r>
      <w:r>
        <w:rPr>
          <w:rFonts w:ascii="Times New Roman" w:cs="Times New Roman" w:eastAsia="Times New Roman" w:hAnsi="Times New Roman"/>
          <w:sz w:val="35"/>
          <w:szCs w:val="35"/>
          <w:b w:val="1"/>
          <w:bCs w:val="1"/>
          <w:color w:val="auto"/>
        </w:rPr>
        <w:t>.</w:t>
      </w:r>
    </w:p>
    <w:p>
      <w:pPr>
        <w:spacing w:after="0" w:line="6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Incorporated pursuant to the laws of the State of Delaware</w:t>
      </w:r>
    </w:p>
    <w:p>
      <w:pPr>
        <w:spacing w:after="0" w:line="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Internal Revenue Service Employer Identification No. 42-0991521</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2140 LAKE PARK BLVD., RICHARDSON, Texas, 75080</w:t>
      </w:r>
    </w:p>
    <w:p>
      <w:pPr>
        <w:spacing w:after="0" w:line="30" w:lineRule="exact"/>
        <w:rPr>
          <w:sz w:val="24"/>
          <w:szCs w:val="24"/>
          <w:color w:val="auto"/>
        </w:rPr>
      </w:pPr>
    </w:p>
    <w:p>
      <w:pPr>
        <w:ind w:left="5500" w:hanging="432"/>
        <w:spacing w:after="0"/>
        <w:tabs>
          <w:tab w:leader="none" w:pos="5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497-5000</w:t>
      </w:r>
    </w:p>
    <w:p>
      <w:pPr>
        <w:spacing w:after="0" w:line="6" w:lineRule="exact"/>
        <w:rPr>
          <w:rFonts w:ascii="Times New Roman" w:cs="Times New Roman" w:eastAsia="Times New Roman" w:hAnsi="Times New Roman"/>
          <w:sz w:val="18"/>
          <w:szCs w:val="18"/>
          <w:b w:val="1"/>
          <w:bCs w:val="1"/>
          <w:color w:val="auto"/>
        </w:rPr>
      </w:pPr>
    </w:p>
    <w:p>
      <w:pPr>
        <w:ind w:left="3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w:t>
      </w:r>
    </w:p>
    <w:p>
      <w:pPr>
        <w:spacing w:after="0" w:line="6" w:lineRule="exact"/>
        <w:rPr>
          <w:rFonts w:ascii="Times New Roman" w:cs="Times New Roman" w:eastAsia="Times New Roman" w:hAnsi="Times New Roman"/>
          <w:sz w:val="18"/>
          <w:szCs w:val="18"/>
          <w:b w:val="1"/>
          <w:bCs w:val="1"/>
          <w:color w:val="auto"/>
        </w:rPr>
      </w:pPr>
    </w:p>
    <w:p>
      <w:pPr>
        <w:ind w:left="3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422" w:right="339" w:bottom="1440" w:gutter="0" w:footer="0" w:header="0"/>
        </w:sectPr>
      </w:pPr>
    </w:p>
    <w:p>
      <w:pPr>
        <w:spacing w:after="0" w:line="24"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0"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7"/>
          <w:szCs w:val="17"/>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LII</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New York Stock Exchange</w:t>
      </w:r>
    </w:p>
    <w:p>
      <w:pPr>
        <w:spacing w:after="0" w:line="148" w:lineRule="exact"/>
        <w:rPr>
          <w:sz w:val="24"/>
          <w:szCs w:val="24"/>
          <w:color w:val="auto"/>
        </w:rPr>
      </w:pPr>
    </w:p>
    <w:p>
      <w:pPr>
        <w:sectPr>
          <w:pgSz w:w="11900" w:h="16838" w:orient="portrait"/>
          <w:cols w:equalWidth="0" w:num="3">
            <w:col w:w="4360" w:space="720"/>
            <w:col w:w="1440" w:space="720"/>
            <w:col w:w="4000"/>
          </w:cols>
          <w:pgMar w:left="320" w:top="1422" w:right="339" w:bottom="1440" w:gutter="0" w:footer="0" w:header="0"/>
          <w:type w:val="continuous"/>
        </w:sectPr>
      </w:pPr>
    </w:p>
    <w:p>
      <w:pPr>
        <w:jc w:val="both"/>
        <w:ind w:firstLine="241"/>
        <w:spacing w:after="0" w:line="24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 w:lineRule="exact"/>
        <w:rPr>
          <w:sz w:val="24"/>
          <w:szCs w:val="24"/>
          <w:color w:val="auto"/>
        </w:rPr>
      </w:pPr>
    </w:p>
    <w:p>
      <w:pPr>
        <w:jc w:val="both"/>
        <w:ind w:firstLine="241"/>
        <w:spacing w:after="0" w:line="24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60" w:type="dxa"/>
        <w:tblCellMar>
          <w:top w:w="0" w:type="dxa"/>
          <w:left w:w="0" w:type="dxa"/>
          <w:bottom w:w="0" w:type="dxa"/>
          <w:right w:w="0" w:type="dxa"/>
        </w:tblCellMar>
      </w:tblPr>
      <w:tr>
        <w:trPr>
          <w:trHeight w:val="27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60" w:type="dxa"/>
            <w:vAlign w:val="bottom"/>
          </w:tcPr>
          <w:p>
            <w:pPr>
              <w:ind w:left="500"/>
              <w:spacing w:after="0" w:line="211" w:lineRule="exact"/>
              <w:rPr>
                <w:sz w:val="20"/>
                <w:szCs w:val="20"/>
                <w:color w:val="auto"/>
              </w:rPr>
            </w:pPr>
            <w:r>
              <w:rPr>
                <w:rFonts w:ascii="MS PGothic" w:cs="MS PGothic" w:eastAsia="MS PGothic" w:hAnsi="MS PGothic"/>
                <w:sz w:val="21"/>
                <w:szCs w:val="21"/>
                <w:color w:val="auto"/>
              </w:rPr>
              <w:t>☒</w:t>
            </w: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26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60" w:type="dxa"/>
            <w:vAlign w:val="bottom"/>
          </w:tcPr>
          <w:p>
            <w:pPr>
              <w:ind w:left="500"/>
              <w:spacing w:after="0" w:line="211" w:lineRule="exact"/>
              <w:rPr>
                <w:sz w:val="20"/>
                <w:szCs w:val="20"/>
                <w:color w:val="auto"/>
              </w:rPr>
            </w:pPr>
            <w:r>
              <w:rPr>
                <w:rFonts w:ascii="MS PGothic" w:cs="MS PGothic" w:eastAsia="MS PGothic" w:hAnsi="MS PGothic"/>
                <w:sz w:val="21"/>
                <w:szCs w:val="21"/>
                <w:color w:val="auto"/>
              </w:rPr>
              <w:t>☐</w:t>
            </w: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360"/>
        </w:trPr>
        <w:tc>
          <w:tcPr>
            <w:tcW w:w="2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bl>
    <w:p>
      <w:pPr>
        <w:spacing w:after="0" w:line="40" w:lineRule="exact"/>
        <w:rPr>
          <w:sz w:val="24"/>
          <w:szCs w:val="24"/>
          <w:color w:val="auto"/>
        </w:rPr>
      </w:pPr>
    </w:p>
    <w:p>
      <w:pPr>
        <w:ind w:firstLine="241"/>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 w:lineRule="exact"/>
        <w:rPr>
          <w:sz w:val="24"/>
          <w:szCs w:val="24"/>
          <w:color w:val="auto"/>
        </w:rPr>
      </w:pPr>
    </w:p>
    <w:p>
      <w:pPr>
        <w:ind w:left="240" w:right="2480"/>
        <w:spacing w:after="0" w:line="26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15, 2024, the number of shares outstanding of the registrant’s common stock, par value $0.01 per share, was 35,624,454.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814070</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38100</wp:posOffset>
            </wp:positionV>
            <wp:extent cx="6998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63500</wp:posOffset>
            </wp:positionV>
            <wp:extent cx="69983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74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84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60"/>
        </w:trPr>
        <w:tc>
          <w:tcPr>
            <w:tcW w:w="8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8"/>
              </w:rPr>
              <w:t>Part I</w:t>
            </w:r>
          </w:p>
        </w:tc>
        <w:tc>
          <w:tcPr>
            <w:tcW w:w="9760" w:type="dxa"/>
            <w:vAlign w:val="bottom"/>
            <w:gridSpan w:val="18"/>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FF"/>
              </w:rPr>
              <w:t>Financial Information</w:t>
            </w: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800" w:type="dxa"/>
            <w:vAlign w:val="bottom"/>
          </w:tcPr>
          <w:p>
            <w:pPr>
              <w:spacing w:after="0"/>
              <w:rPr>
                <w:sz w:val="15"/>
                <w:szCs w:val="15"/>
                <w:color w:val="auto"/>
              </w:rPr>
            </w:pPr>
          </w:p>
        </w:tc>
        <w:tc>
          <w:tcPr>
            <w:tcW w:w="9760" w:type="dxa"/>
            <w:vAlign w:val="bottom"/>
            <w:gridSpan w:val="18"/>
          </w:tcPr>
          <w:p>
            <w:pPr>
              <w:spacing w:after="0" w:line="174" w:lineRule="exact"/>
              <w:rPr>
                <w:sz w:val="20"/>
                <w:szCs w:val="20"/>
                <w:color w:val="auto"/>
              </w:rPr>
            </w:pPr>
            <w:r>
              <w:rPr>
                <w:rFonts w:ascii="Times New Roman" w:cs="Times New Roman" w:eastAsia="Times New Roman" w:hAnsi="Times New Roman"/>
                <w:sz w:val="16"/>
                <w:szCs w:val="16"/>
                <w:color w:val="0000FF"/>
              </w:rPr>
              <w:t>Item 1. Financial Statements</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5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Consolidated Balance Sheets - March 31, 2024 (Unaudited) and December 31, 2023</w:t>
            </w:r>
          </w:p>
        </w:tc>
        <w:tc>
          <w:tcPr>
            <w:tcW w:w="400" w:type="dxa"/>
            <w:vAlign w:val="bottom"/>
            <w:gridSpan w:val="4"/>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1</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Operations (Unaudited) - Three Months Ended March 31, 2024 and 2023</w:t>
            </w:r>
          </w:p>
        </w:tc>
        <w:tc>
          <w:tcPr>
            <w:tcW w:w="400" w:type="dxa"/>
            <w:vAlign w:val="bottom"/>
            <w:gridSpan w:val="4"/>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5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(Unaudited) - Three Months Ended March 31, 2024 and 2023</w:t>
            </w:r>
          </w:p>
        </w:tc>
        <w:tc>
          <w:tcPr>
            <w:tcW w:w="400" w:type="dxa"/>
            <w:vAlign w:val="bottom"/>
            <w:gridSpan w:val="4"/>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3</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 (Deficit) (Unaudited) - Three Months Ended March 31, 2024 and 2023</w:t>
            </w:r>
          </w:p>
        </w:tc>
        <w:tc>
          <w:tcPr>
            <w:tcW w:w="400" w:type="dxa"/>
            <w:vAlign w:val="bottom"/>
            <w:gridSpan w:val="4"/>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4</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5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Consolidated Statements of Cash Flows (Unaudited) - Three Months Ended March 31, 2024 and 2023</w:t>
            </w:r>
          </w:p>
        </w:tc>
        <w:tc>
          <w:tcPr>
            <w:tcW w:w="3000" w:type="dxa"/>
            <w:vAlign w:val="bottom"/>
            <w:gridSpan w:val="3"/>
            <w:shd w:val="clear" w:color="auto" w:fill="CCEEFF"/>
          </w:tcPr>
          <w:p>
            <w:pPr>
              <w:spacing w:after="0"/>
              <w:rPr>
                <w:sz w:val="16"/>
                <w:szCs w:val="16"/>
                <w:color w:val="auto"/>
              </w:rPr>
            </w:pPr>
          </w:p>
        </w:tc>
        <w:tc>
          <w:tcPr>
            <w:tcW w:w="400" w:type="dxa"/>
            <w:vAlign w:val="bottom"/>
            <w:gridSpan w:val="4"/>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5</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56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 (Unaudited)</w:t>
            </w:r>
          </w:p>
        </w:tc>
        <w:tc>
          <w:tcPr>
            <w:tcW w:w="3000" w:type="dxa"/>
            <w:vAlign w:val="bottom"/>
            <w:gridSpan w:val="3"/>
          </w:tcPr>
          <w:p>
            <w:pPr>
              <w:spacing w:after="0"/>
              <w:rPr>
                <w:sz w:val="16"/>
                <w:szCs w:val="16"/>
                <w:color w:val="auto"/>
              </w:rPr>
            </w:pPr>
          </w:p>
        </w:tc>
        <w:tc>
          <w:tcPr>
            <w:tcW w:w="400" w:type="dxa"/>
            <w:vAlign w:val="bottom"/>
            <w:gridSpan w:val="4"/>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6</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62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0000FF"/>
                <w:w w:val="99"/>
              </w:rPr>
              <w:t>Item 2. Management's Discussion and Analysis of Financial Condition and Results of Operations</w:t>
            </w:r>
          </w:p>
        </w:tc>
        <w:tc>
          <w:tcPr>
            <w:tcW w:w="3520" w:type="dxa"/>
            <w:vAlign w:val="bottom"/>
            <w:gridSpan w:val="5"/>
            <w:shd w:val="clear" w:color="auto" w:fill="CCEEFF"/>
          </w:tcPr>
          <w:p>
            <w:pPr>
              <w:spacing w:after="0"/>
              <w:rPr>
                <w:sz w:val="16"/>
                <w:szCs w:val="16"/>
                <w:color w:val="auto"/>
              </w:rPr>
            </w:pPr>
          </w:p>
        </w:tc>
        <w:tc>
          <w:tcPr>
            <w:tcW w:w="400" w:type="dxa"/>
            <w:vAlign w:val="bottom"/>
            <w:gridSpan w:val="4"/>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17</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62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Item 3. Quantitative and Qualitative Disclosures About Market Risk</w:t>
            </w:r>
          </w:p>
        </w:tc>
        <w:tc>
          <w:tcPr>
            <w:tcW w:w="3520" w:type="dxa"/>
            <w:vAlign w:val="bottom"/>
            <w:gridSpan w:val="5"/>
          </w:tcPr>
          <w:p>
            <w:pPr>
              <w:spacing w:after="0"/>
              <w:rPr>
                <w:sz w:val="16"/>
                <w:szCs w:val="16"/>
                <w:color w:val="auto"/>
              </w:rPr>
            </w:pPr>
          </w:p>
        </w:tc>
        <w:tc>
          <w:tcPr>
            <w:tcW w:w="400" w:type="dxa"/>
            <w:vAlign w:val="bottom"/>
            <w:gridSpan w:val="4"/>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23</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7"/>
        </w:trPr>
        <w:tc>
          <w:tcPr>
            <w:tcW w:w="800" w:type="dxa"/>
            <w:vAlign w:val="bottom"/>
            <w:shd w:val="clear" w:color="auto" w:fill="CCEEFF"/>
          </w:tcPr>
          <w:p>
            <w:pPr>
              <w:spacing w:after="0"/>
              <w:rPr>
                <w:sz w:val="18"/>
                <w:szCs w:val="18"/>
                <w:color w:val="auto"/>
              </w:rPr>
            </w:pPr>
          </w:p>
        </w:tc>
        <w:tc>
          <w:tcPr>
            <w:tcW w:w="208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0000FF"/>
                <w:w w:val="99"/>
              </w:rPr>
              <w:t>Item 4. Controls and Procedures</w:t>
            </w:r>
          </w:p>
        </w:tc>
        <w:tc>
          <w:tcPr>
            <w:tcW w:w="7680" w:type="dxa"/>
            <w:vAlign w:val="bottom"/>
            <w:gridSpan w:val="9"/>
            <w:shd w:val="clear" w:color="auto" w:fill="CCEEFF"/>
          </w:tcPr>
          <w:p>
            <w:pPr>
              <w:spacing w:after="0"/>
              <w:rPr>
                <w:sz w:val="18"/>
                <w:szCs w:val="18"/>
                <w:color w:val="auto"/>
              </w:rPr>
            </w:pPr>
          </w:p>
        </w:tc>
        <w:tc>
          <w:tcPr>
            <w:tcW w:w="400" w:type="dxa"/>
            <w:vAlign w:val="bottom"/>
            <w:gridSpan w:val="4"/>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23</w:t>
            </w:r>
          </w:p>
        </w:tc>
        <w:tc>
          <w:tcPr>
            <w:tcW w:w="240" w:type="dxa"/>
            <w:vAlign w:val="bottom"/>
            <w:shd w:val="clear" w:color="auto" w:fill="CCEEFF"/>
          </w:tcPr>
          <w:p>
            <w:pPr>
              <w:spacing w:after="0"/>
              <w:rPr>
                <w:sz w:val="18"/>
                <w:szCs w:val="18"/>
                <w:color w:val="auto"/>
              </w:rPr>
            </w:pPr>
          </w:p>
        </w:tc>
      </w:tr>
      <w:tr>
        <w:trPr>
          <w:trHeight w:val="174"/>
        </w:trPr>
        <w:tc>
          <w:tcPr>
            <w:tcW w:w="800" w:type="dxa"/>
            <w:vAlign w:val="bottom"/>
            <w:tcBorders>
              <w:top w:val="single" w:sz="8" w:color="CCEEFF"/>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8"/>
              </w:rPr>
              <w:t>Part II</w:t>
            </w:r>
          </w:p>
        </w:tc>
        <w:tc>
          <w:tcPr>
            <w:tcW w:w="2080" w:type="dxa"/>
            <w:vAlign w:val="bottom"/>
            <w:tcBorders>
              <w:top w:val="single" w:sz="8" w:color="0000FF"/>
            </w:tcBorders>
            <w:gridSpan w:val="9"/>
          </w:tcPr>
          <w:p>
            <w:pPr>
              <w:spacing w:after="0" w:line="174" w:lineRule="exact"/>
              <w:rPr>
                <w:sz w:val="20"/>
                <w:szCs w:val="20"/>
                <w:color w:val="auto"/>
              </w:rPr>
            </w:pPr>
            <w:r>
              <w:rPr>
                <w:rFonts w:ascii="Times New Roman" w:cs="Times New Roman" w:eastAsia="Times New Roman" w:hAnsi="Times New Roman"/>
                <w:sz w:val="16"/>
                <w:szCs w:val="16"/>
                <w:color w:val="0000FF"/>
              </w:rPr>
              <w:t>Other Information</w:t>
            </w:r>
          </w:p>
        </w:tc>
        <w:tc>
          <w:tcPr>
            <w:tcW w:w="7680" w:type="dxa"/>
            <w:vAlign w:val="bottom"/>
            <w:tcBorders>
              <w:top w:val="single" w:sz="8" w:color="CCEEFF"/>
            </w:tcBorders>
            <w:gridSpan w:val="9"/>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1.</w:t>
            </w:r>
          </w:p>
        </w:tc>
        <w:tc>
          <w:tcPr>
            <w:tcW w:w="928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Legal Proceedings</w:t>
            </w:r>
          </w:p>
        </w:tc>
        <w:tc>
          <w:tcPr>
            <w:tcW w:w="400" w:type="dxa"/>
            <w:vAlign w:val="bottom"/>
            <w:gridSpan w:val="4"/>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24</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168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1A. Risk Factors</w:t>
            </w:r>
          </w:p>
        </w:tc>
        <w:tc>
          <w:tcPr>
            <w:tcW w:w="8080" w:type="dxa"/>
            <w:vAlign w:val="bottom"/>
            <w:gridSpan w:val="11"/>
          </w:tcPr>
          <w:p>
            <w:pPr>
              <w:spacing w:after="0"/>
              <w:rPr>
                <w:sz w:val="16"/>
                <w:szCs w:val="16"/>
                <w:color w:val="auto"/>
              </w:rPr>
            </w:pPr>
          </w:p>
        </w:tc>
        <w:tc>
          <w:tcPr>
            <w:tcW w:w="400" w:type="dxa"/>
            <w:vAlign w:val="bottom"/>
            <w:gridSpan w:val="4"/>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24</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2.</w:t>
            </w:r>
          </w:p>
        </w:tc>
        <w:tc>
          <w:tcPr>
            <w:tcW w:w="390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w w:val="99"/>
              </w:rPr>
              <w:t>Unregistered Sales of Equity Securities and Use of Proceeds</w:t>
            </w:r>
          </w:p>
        </w:tc>
        <w:tc>
          <w:tcPr>
            <w:tcW w:w="5380" w:type="dxa"/>
            <w:vAlign w:val="bottom"/>
            <w:gridSpan w:val="7"/>
            <w:shd w:val="clear" w:color="auto" w:fill="CCEEFF"/>
          </w:tcPr>
          <w:p>
            <w:pPr>
              <w:spacing w:after="0"/>
              <w:rPr>
                <w:sz w:val="16"/>
                <w:szCs w:val="16"/>
                <w:color w:val="auto"/>
              </w:rPr>
            </w:pPr>
          </w:p>
        </w:tc>
        <w:tc>
          <w:tcPr>
            <w:tcW w:w="400" w:type="dxa"/>
            <w:vAlign w:val="bottom"/>
            <w:gridSpan w:val="4"/>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24</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5.</w:t>
            </w:r>
          </w:p>
        </w:tc>
        <w:tc>
          <w:tcPr>
            <w:tcW w:w="390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0000FF"/>
              </w:rPr>
              <w:t>Other Information</w:t>
            </w:r>
          </w:p>
        </w:tc>
        <w:tc>
          <w:tcPr>
            <w:tcW w:w="5380" w:type="dxa"/>
            <w:vAlign w:val="bottom"/>
            <w:gridSpan w:val="7"/>
          </w:tcPr>
          <w:p>
            <w:pPr>
              <w:spacing w:after="0"/>
              <w:rPr>
                <w:sz w:val="16"/>
                <w:szCs w:val="16"/>
                <w:color w:val="auto"/>
              </w:rPr>
            </w:pPr>
          </w:p>
        </w:tc>
        <w:tc>
          <w:tcPr>
            <w:tcW w:w="400" w:type="dxa"/>
            <w:vAlign w:val="bottom"/>
            <w:gridSpan w:val="4"/>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24</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6.</w:t>
            </w:r>
          </w:p>
        </w:tc>
        <w:tc>
          <w:tcPr>
            <w:tcW w:w="928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Exhibits</w:t>
            </w:r>
          </w:p>
        </w:tc>
        <w:tc>
          <w:tcPr>
            <w:tcW w:w="400" w:type="dxa"/>
            <w:vAlign w:val="bottom"/>
            <w:gridSpan w:val="4"/>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25</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111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 except shares and par values)</w:t>
            </w:r>
          </w:p>
        </w:tc>
        <w:tc>
          <w:tcPr>
            <w:tcW w:w="24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80" w:type="dxa"/>
            <w:vAlign w:val="bottom"/>
          </w:tcPr>
          <w:p>
            <w:pPr>
              <w:spacing w:after="0"/>
              <w:rPr>
                <w:sz w:val="18"/>
                <w:szCs w:val="18"/>
                <w:color w:val="auto"/>
              </w:rPr>
            </w:pPr>
          </w:p>
        </w:tc>
        <w:tc>
          <w:tcPr>
            <w:tcW w:w="18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189"/>
        </w:trPr>
        <w:tc>
          <w:tcPr>
            <w:tcW w:w="69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9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Current Assets:</w:t>
            </w: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0" w:type="dxa"/>
            <w:vAlign w:val="bottom"/>
          </w:tcPr>
          <w:p>
            <w:pPr>
              <w:spacing w:after="0"/>
              <w:rPr>
                <w:sz w:val="1"/>
                <w:szCs w:val="1"/>
                <w:color w:val="auto"/>
              </w:rPr>
            </w:pPr>
          </w:p>
        </w:tc>
      </w:tr>
      <w:tr>
        <w:trPr>
          <w:trHeight w:val="223"/>
        </w:trPr>
        <w:tc>
          <w:tcPr>
            <w:tcW w:w="6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Short-term investments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31"/>
        </w:trPr>
        <w:tc>
          <w:tcPr>
            <w:tcW w:w="6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9"/>
              </w:rPr>
              <w:t>Accounts and notes receivable, net of allowances of $15.4 and $14.4 in 2024 and 2023, respectively</w:t>
            </w: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594.6</w:t>
            </w:r>
          </w:p>
        </w:tc>
        <w:tc>
          <w:tcPr>
            <w:tcW w:w="0" w:type="dxa"/>
            <w:vAlign w:val="bottom"/>
          </w:tcPr>
          <w:p>
            <w:pPr>
              <w:spacing w:after="0"/>
              <w:rPr>
                <w:sz w:val="1"/>
                <w:szCs w:val="1"/>
                <w:color w:val="auto"/>
              </w:rPr>
            </w:pPr>
          </w:p>
        </w:tc>
      </w:tr>
      <w:tr>
        <w:trPr>
          <w:trHeight w:val="223"/>
        </w:trPr>
        <w:tc>
          <w:tcPr>
            <w:tcW w:w="6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Inventories, net</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699.1</w:t>
            </w:r>
          </w:p>
        </w:tc>
        <w:tc>
          <w:tcPr>
            <w:tcW w:w="0" w:type="dxa"/>
            <w:vAlign w:val="bottom"/>
          </w:tcPr>
          <w:p>
            <w:pPr>
              <w:spacing w:after="0"/>
              <w:rPr>
                <w:sz w:val="1"/>
                <w:szCs w:val="1"/>
                <w:color w:val="auto"/>
              </w:rPr>
            </w:pPr>
          </w:p>
        </w:tc>
      </w:tr>
      <w:tr>
        <w:trPr>
          <w:trHeight w:val="231"/>
        </w:trPr>
        <w:tc>
          <w:tcPr>
            <w:tcW w:w="6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0" w:type="dxa"/>
            <w:vAlign w:val="bottom"/>
          </w:tcPr>
          <w:p>
            <w:pPr>
              <w:spacing w:after="0"/>
              <w:rPr>
                <w:sz w:val="1"/>
                <w:szCs w:val="1"/>
                <w:color w:val="auto"/>
              </w:rPr>
            </w:pPr>
          </w:p>
        </w:tc>
      </w:tr>
      <w:tr>
        <w:trPr>
          <w:trHeight w:val="216"/>
        </w:trPr>
        <w:tc>
          <w:tcPr>
            <w:tcW w:w="6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assets</w:t>
            </w: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1,564.5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1,433.5</w:t>
            </w:r>
          </w:p>
        </w:tc>
        <w:tc>
          <w:tcPr>
            <w:tcW w:w="0" w:type="dxa"/>
            <w:vAlign w:val="bottom"/>
          </w:tcPr>
          <w:p>
            <w:pPr>
              <w:spacing w:after="0"/>
              <w:rPr>
                <w:sz w:val="1"/>
                <w:szCs w:val="1"/>
                <w:color w:val="auto"/>
              </w:rPr>
            </w:pPr>
          </w:p>
        </w:tc>
      </w:tr>
      <w:tr>
        <w:trPr>
          <w:trHeight w:val="169"/>
        </w:trPr>
        <w:tc>
          <w:tcPr>
            <w:tcW w:w="69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Property, plant and equipment, net of accumulated depreciation of $928.1 and $910.8 in 2024 and</w:t>
            </w:r>
          </w:p>
        </w:tc>
        <w:tc>
          <w:tcPr>
            <w:tcW w:w="240" w:type="dxa"/>
            <w:vAlign w:val="bottom"/>
            <w:shd w:val="clear" w:color="auto" w:fill="CCEEFF"/>
          </w:tcPr>
          <w:p>
            <w:pPr>
              <w:spacing w:after="0"/>
              <w:rPr>
                <w:sz w:val="14"/>
                <w:szCs w:val="14"/>
                <w:color w:val="auto"/>
              </w:rPr>
            </w:pP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759.1</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720.4</w:t>
            </w:r>
          </w:p>
        </w:tc>
        <w:tc>
          <w:tcPr>
            <w:tcW w:w="0" w:type="dxa"/>
            <w:vAlign w:val="bottom"/>
          </w:tcPr>
          <w:p>
            <w:pPr>
              <w:spacing w:after="0"/>
              <w:rPr>
                <w:sz w:val="1"/>
                <w:szCs w:val="1"/>
                <w:color w:val="auto"/>
              </w:rPr>
            </w:pPr>
          </w:p>
        </w:tc>
      </w:tr>
      <w:tr>
        <w:trPr>
          <w:trHeight w:val="222"/>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 respectively</w:t>
            </w:r>
          </w:p>
        </w:tc>
        <w:tc>
          <w:tcPr>
            <w:tcW w:w="240" w:type="dxa"/>
            <w:vAlign w:val="bottom"/>
            <w:shd w:val="clear" w:color="auto" w:fill="CCEEFF"/>
          </w:tcPr>
          <w:p>
            <w:pPr>
              <w:spacing w:after="0"/>
              <w:rPr>
                <w:sz w:val="19"/>
                <w:szCs w:val="19"/>
                <w:color w:val="auto"/>
              </w:rPr>
            </w:pPr>
          </w:p>
        </w:tc>
        <w:tc>
          <w:tcPr>
            <w:tcW w:w="18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Right-of-use assets from operating leases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213.6</w:t>
            </w:r>
          </w:p>
        </w:tc>
        <w:tc>
          <w:tcPr>
            <w:tcW w:w="0" w:type="dxa"/>
            <w:vAlign w:val="bottom"/>
          </w:tcPr>
          <w:p>
            <w:pPr>
              <w:spacing w:after="0"/>
              <w:rPr>
                <w:sz w:val="1"/>
                <w:szCs w:val="1"/>
                <w:color w:val="auto"/>
              </w:rPr>
            </w:pPr>
          </w:p>
        </w:tc>
      </w:tr>
      <w:tr>
        <w:trPr>
          <w:trHeight w:val="231"/>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219.9</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222.1</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0" w:type="dxa"/>
            <w:vAlign w:val="bottom"/>
          </w:tcPr>
          <w:p>
            <w:pPr>
              <w:spacing w:after="0"/>
              <w:rPr>
                <w:sz w:val="1"/>
                <w:szCs w:val="1"/>
                <w:color w:val="auto"/>
              </w:rPr>
            </w:pPr>
          </w:p>
        </w:tc>
      </w:tr>
      <w:tr>
        <w:trPr>
          <w:trHeight w:val="227"/>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 net</w:t>
            </w: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156.9</w:t>
            </w:r>
          </w:p>
        </w:tc>
        <w:tc>
          <w:tcPr>
            <w:tcW w:w="0" w:type="dxa"/>
            <w:vAlign w:val="bottom"/>
          </w:tcPr>
          <w:p>
            <w:pPr>
              <w:spacing w:after="0"/>
              <w:rPr>
                <w:sz w:val="1"/>
                <w:szCs w:val="1"/>
                <w:color w:val="auto"/>
              </w:rPr>
            </w:pPr>
          </w:p>
        </w:tc>
      </w:tr>
      <w:tr>
        <w:trPr>
          <w:trHeight w:val="225"/>
        </w:trPr>
        <w:tc>
          <w:tcPr>
            <w:tcW w:w="6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2,985.4</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2,798.3</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Current Liabilities: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437.8</w:t>
            </w:r>
          </w:p>
        </w:tc>
        <w:tc>
          <w:tcPr>
            <w:tcW w:w="16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374.7</w:t>
            </w:r>
          </w:p>
        </w:tc>
        <w:tc>
          <w:tcPr>
            <w:tcW w:w="0" w:type="dxa"/>
            <w:vAlign w:val="bottom"/>
          </w:tcPr>
          <w:p>
            <w:pPr>
              <w:spacing w:after="0"/>
              <w:rPr>
                <w:sz w:val="1"/>
                <w:szCs w:val="1"/>
                <w:color w:val="auto"/>
              </w:rPr>
            </w:pPr>
          </w:p>
        </w:tc>
      </w:tr>
      <w:tr>
        <w:trPr>
          <w:trHeight w:val="231"/>
        </w:trPr>
        <w:tc>
          <w:tcPr>
            <w:tcW w:w="6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expenses</w:t>
            </w: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302.3</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416.1</w:t>
            </w:r>
          </w:p>
        </w:tc>
        <w:tc>
          <w:tcPr>
            <w:tcW w:w="0" w:type="dxa"/>
            <w:vAlign w:val="bottom"/>
          </w:tcPr>
          <w:p>
            <w:pPr>
              <w:spacing w:after="0"/>
              <w:rPr>
                <w:sz w:val="1"/>
                <w:szCs w:val="1"/>
                <w:color w:val="auto"/>
              </w:rPr>
            </w:pPr>
          </w:p>
        </w:tc>
      </w:tr>
      <w:tr>
        <w:trPr>
          <w:trHeight w:val="223"/>
        </w:trPr>
        <w:tc>
          <w:tcPr>
            <w:tcW w:w="6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Income taxes payable</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31"/>
        </w:trPr>
        <w:tc>
          <w:tcPr>
            <w:tcW w:w="6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Commercial paper</w:t>
            </w: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0" w:type="dxa"/>
            <w:vAlign w:val="bottom"/>
          </w:tcPr>
          <w:p>
            <w:pPr>
              <w:spacing w:after="0"/>
              <w:rPr>
                <w:sz w:val="1"/>
                <w:szCs w:val="1"/>
                <w:color w:val="auto"/>
              </w:rPr>
            </w:pPr>
          </w:p>
        </w:tc>
      </w:tr>
      <w:tr>
        <w:trPr>
          <w:trHeight w:val="223"/>
        </w:trPr>
        <w:tc>
          <w:tcPr>
            <w:tcW w:w="6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231"/>
        </w:trPr>
        <w:tc>
          <w:tcPr>
            <w:tcW w:w="6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24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0" w:type="dxa"/>
            <w:vAlign w:val="bottom"/>
          </w:tcPr>
          <w:p>
            <w:pPr>
              <w:spacing w:after="0"/>
              <w:rPr>
                <w:sz w:val="1"/>
                <w:szCs w:val="1"/>
                <w:color w:val="auto"/>
              </w:rPr>
            </w:pPr>
          </w:p>
        </w:tc>
      </w:tr>
      <w:tr>
        <w:trPr>
          <w:trHeight w:val="216"/>
        </w:trPr>
        <w:tc>
          <w:tcPr>
            <w:tcW w:w="6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1,014.6</w:t>
            </w:r>
          </w:p>
        </w:tc>
        <w:tc>
          <w:tcPr>
            <w:tcW w:w="0" w:type="dxa"/>
            <w:vAlign w:val="bottom"/>
          </w:tcPr>
          <w:p>
            <w:pPr>
              <w:spacing w:after="0"/>
              <w:rPr>
                <w:sz w:val="1"/>
                <w:szCs w:val="1"/>
                <w:color w:val="auto"/>
              </w:rPr>
            </w:pPr>
          </w:p>
        </w:tc>
      </w:tr>
      <w:tr>
        <w:trPr>
          <w:trHeight w:val="231"/>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1,153.7</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1,143.1</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164.6</w:t>
            </w:r>
          </w:p>
        </w:tc>
        <w:tc>
          <w:tcPr>
            <w:tcW w:w="0" w:type="dxa"/>
            <w:vAlign w:val="bottom"/>
          </w:tcPr>
          <w:p>
            <w:pPr>
              <w:spacing w:after="0"/>
              <w:rPr>
                <w:sz w:val="1"/>
                <w:szCs w:val="1"/>
                <w:color w:val="auto"/>
              </w:rPr>
            </w:pPr>
          </w:p>
        </w:tc>
      </w:tr>
      <w:tr>
        <w:trPr>
          <w:trHeight w:val="231"/>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Pensions</w:t>
            </w: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0" w:type="dxa"/>
            <w:vAlign w:val="bottom"/>
          </w:tcPr>
          <w:p>
            <w:pPr>
              <w:spacing w:after="0"/>
              <w:rPr>
                <w:sz w:val="1"/>
                <w:szCs w:val="1"/>
                <w:color w:val="auto"/>
              </w:rPr>
            </w:pPr>
          </w:p>
        </w:tc>
      </w:tr>
      <w:tr>
        <w:trPr>
          <w:trHeight w:val="223"/>
        </w:trPr>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173.7</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168.2</w:t>
            </w:r>
          </w:p>
        </w:tc>
        <w:tc>
          <w:tcPr>
            <w:tcW w:w="0" w:type="dxa"/>
            <w:vAlign w:val="bottom"/>
          </w:tcPr>
          <w:p>
            <w:pPr>
              <w:spacing w:after="0"/>
              <w:rPr>
                <w:sz w:val="1"/>
                <w:szCs w:val="1"/>
                <w:color w:val="auto"/>
              </w:rPr>
            </w:pPr>
          </w:p>
        </w:tc>
      </w:tr>
      <w:tr>
        <w:trPr>
          <w:trHeight w:val="225"/>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2,616.6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2,513.0</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Stockholders' equity:</w:t>
            </w: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Preferred stock, $0.01 par value, 25,000,000 shares authorized, no shares issued or outstanding</w:t>
            </w:r>
          </w:p>
        </w:tc>
        <w:tc>
          <w:tcPr>
            <w:tcW w:w="240" w:type="dxa"/>
            <w:vAlign w:val="bottom"/>
          </w:tcPr>
          <w:p>
            <w:pPr>
              <w:spacing w:after="0"/>
              <w:rPr>
                <w:sz w:val="19"/>
                <w:szCs w:val="19"/>
                <w:color w:val="auto"/>
              </w:rPr>
            </w:pPr>
          </w:p>
        </w:tc>
        <w:tc>
          <w:tcPr>
            <w:tcW w:w="19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1"/>
        </w:trPr>
        <w:tc>
          <w:tcPr>
            <w:tcW w:w="6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Common stock, $0.01 par value, 200,000,000 shares authorized, 87,170,197 shares issued</w:t>
            </w: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23"/>
        </w:trPr>
        <w:tc>
          <w:tcPr>
            <w:tcW w:w="6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1,184.6</w:t>
            </w:r>
          </w:p>
        </w:tc>
        <w:tc>
          <w:tcPr>
            <w:tcW w:w="0" w:type="dxa"/>
            <w:vAlign w:val="bottom"/>
          </w:tcPr>
          <w:p>
            <w:pPr>
              <w:spacing w:after="0"/>
              <w:rPr>
                <w:sz w:val="1"/>
                <w:szCs w:val="1"/>
                <w:color w:val="auto"/>
              </w:rPr>
            </w:pPr>
          </w:p>
        </w:tc>
      </w:tr>
      <w:tr>
        <w:trPr>
          <w:trHeight w:val="231"/>
        </w:trPr>
        <w:tc>
          <w:tcPr>
            <w:tcW w:w="6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Retained earnings</w:t>
            </w: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3,591.1</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3,506.2</w:t>
            </w:r>
          </w:p>
        </w:tc>
        <w:tc>
          <w:tcPr>
            <w:tcW w:w="0" w:type="dxa"/>
            <w:vAlign w:val="bottom"/>
          </w:tcPr>
          <w:p>
            <w:pPr>
              <w:spacing w:after="0"/>
              <w:rPr>
                <w:sz w:val="1"/>
                <w:szCs w:val="1"/>
                <w:color w:val="auto"/>
              </w:rPr>
            </w:pPr>
          </w:p>
        </w:tc>
      </w:tr>
      <w:tr>
        <w:trPr>
          <w:trHeight w:val="223"/>
        </w:trPr>
        <w:tc>
          <w:tcPr>
            <w:tcW w:w="6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0" w:type="dxa"/>
            <w:vAlign w:val="bottom"/>
          </w:tcPr>
          <w:p>
            <w:pPr>
              <w:spacing w:after="0"/>
              <w:rPr>
                <w:sz w:val="1"/>
                <w:szCs w:val="1"/>
                <w:color w:val="auto"/>
              </w:rPr>
            </w:pPr>
          </w:p>
        </w:tc>
      </w:tr>
      <w:tr>
        <w:trPr>
          <w:trHeight w:val="231"/>
        </w:trPr>
        <w:tc>
          <w:tcPr>
            <w:tcW w:w="6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Treasury stock, at cost, 51,548,073 shares and 51,588,103 shares for 2024 and 2023, respectively</w:t>
            </w:r>
          </w:p>
        </w:tc>
        <w:tc>
          <w:tcPr>
            <w:tcW w:w="24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(4,355.9)</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(4,349.5)</w:t>
            </w:r>
          </w:p>
        </w:tc>
        <w:tc>
          <w:tcPr>
            <w:tcW w:w="0" w:type="dxa"/>
            <w:vAlign w:val="bottom"/>
          </w:tcPr>
          <w:p>
            <w:pPr>
              <w:spacing w:after="0"/>
              <w:rPr>
                <w:sz w:val="1"/>
                <w:szCs w:val="1"/>
                <w:color w:val="auto"/>
              </w:rPr>
            </w:pPr>
          </w:p>
        </w:tc>
      </w:tr>
      <w:tr>
        <w:trPr>
          <w:trHeight w:val="218"/>
        </w:trPr>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stockholders' equity</w:t>
            </w: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368.8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285.3</w:t>
            </w:r>
          </w:p>
        </w:tc>
        <w:tc>
          <w:tcPr>
            <w:tcW w:w="0" w:type="dxa"/>
            <w:vAlign w:val="bottom"/>
          </w:tcPr>
          <w:p>
            <w:pPr>
              <w:spacing w:after="0"/>
              <w:rPr>
                <w:sz w:val="1"/>
                <w:szCs w:val="1"/>
                <w:color w:val="auto"/>
              </w:rPr>
            </w:pPr>
          </w:p>
        </w:tc>
      </w:tr>
      <w:tr>
        <w:trPr>
          <w:trHeight w:val="248"/>
        </w:trPr>
        <w:tc>
          <w:tcPr>
            <w:tcW w:w="6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2,985.4</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2,798.3</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 except per share data)</w:t>
            </w:r>
          </w:p>
        </w:tc>
        <w:tc>
          <w:tcPr>
            <w:tcW w:w="26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March</w:t>
            </w:r>
          </w:p>
        </w:tc>
        <w:tc>
          <w:tcPr>
            <w:tcW w:w="0" w:type="dxa"/>
            <w:vAlign w:val="bottom"/>
          </w:tcPr>
          <w:p>
            <w:pPr>
              <w:spacing w:after="0"/>
              <w:rPr>
                <w:sz w:val="1"/>
                <w:szCs w:val="1"/>
                <w:color w:val="auto"/>
              </w:rPr>
            </w:pPr>
          </w:p>
        </w:tc>
      </w:tr>
      <w:tr>
        <w:trPr>
          <w:trHeight w:val="212"/>
        </w:trPr>
        <w:tc>
          <w:tcPr>
            <w:tcW w:w="8560" w:type="dxa"/>
            <w:vAlign w:val="bottom"/>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3"/>
            <w:shd w:val="clear" w:color="auto" w:fill="CCEEFF"/>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w w:val="99"/>
              </w:rPr>
              <w:t>31,</w:t>
            </w:r>
          </w:p>
        </w:tc>
        <w:tc>
          <w:tcPr>
            <w:tcW w:w="9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5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2"/>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1,049.4</w:t>
            </w:r>
          </w:p>
        </w:tc>
        <w:tc>
          <w:tcPr>
            <w:tcW w:w="0" w:type="dxa"/>
            <w:vAlign w:val="bottom"/>
          </w:tcPr>
          <w:p>
            <w:pPr>
              <w:spacing w:after="0"/>
              <w:rPr>
                <w:sz w:val="1"/>
                <w:szCs w:val="1"/>
                <w:color w:val="auto"/>
              </w:rPr>
            </w:pPr>
          </w:p>
        </w:tc>
      </w:tr>
      <w:tr>
        <w:trPr>
          <w:trHeight w:val="227"/>
        </w:trPr>
        <w:tc>
          <w:tcPr>
            <w:tcW w:w="8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0" w:type="dxa"/>
            <w:vAlign w:val="bottom"/>
          </w:tcPr>
          <w:p>
            <w:pPr>
              <w:spacing w:after="0"/>
              <w:rPr>
                <w:sz w:val="1"/>
                <w:szCs w:val="1"/>
                <w:color w:val="auto"/>
              </w:rPr>
            </w:pPr>
          </w:p>
        </w:tc>
      </w:tr>
      <w:tr>
        <w:trPr>
          <w:trHeight w:val="220"/>
        </w:trPr>
        <w:tc>
          <w:tcPr>
            <w:tcW w:w="8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0" w:type="dxa"/>
            <w:vAlign w:val="bottom"/>
          </w:tcPr>
          <w:p>
            <w:pPr>
              <w:spacing w:after="0"/>
              <w:rPr>
                <w:sz w:val="1"/>
                <w:szCs w:val="1"/>
                <w:color w:val="auto"/>
              </w:rPr>
            </w:pPr>
          </w:p>
        </w:tc>
      </w:tr>
      <w:tr>
        <w:trPr>
          <w:trHeight w:val="227"/>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0" w:type="dxa"/>
            <w:vAlign w:val="bottom"/>
          </w:tcPr>
          <w:p>
            <w:pPr>
              <w:spacing w:after="0"/>
              <w:rPr>
                <w:sz w:val="1"/>
                <w:szCs w:val="1"/>
                <w:color w:val="auto"/>
              </w:rPr>
            </w:pPr>
          </w:p>
        </w:tc>
      </w:tr>
      <w:tr>
        <w:trPr>
          <w:trHeight w:val="227"/>
        </w:trPr>
        <w:tc>
          <w:tcPr>
            <w:tcW w:w="8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7"/>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0"/>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139.5</w:t>
            </w:r>
          </w:p>
        </w:tc>
        <w:tc>
          <w:tcPr>
            <w:tcW w:w="0" w:type="dxa"/>
            <w:vAlign w:val="bottom"/>
          </w:tcPr>
          <w:p>
            <w:pPr>
              <w:spacing w:after="0"/>
              <w:rPr>
                <w:sz w:val="1"/>
                <w:szCs w:val="1"/>
                <w:color w:val="auto"/>
              </w:rPr>
            </w:pPr>
          </w:p>
        </w:tc>
      </w:tr>
      <w:tr>
        <w:trPr>
          <w:trHeight w:val="227"/>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settlements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7"/>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7"/>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8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27"/>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0"/>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124.3</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98.0</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5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Basic:</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460" w:type="dxa"/>
            <w:vAlign w:val="bottom"/>
            <w:gridSpan w:val="3"/>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5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Diluted:</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460" w:type="dxa"/>
            <w:vAlign w:val="bottom"/>
            <w:gridSpan w:val="3"/>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Basic</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0" w:type="dxa"/>
            <w:vAlign w:val="bottom"/>
          </w:tcPr>
          <w:p>
            <w:pPr>
              <w:spacing w:after="0"/>
              <w:rPr>
                <w:sz w:val="1"/>
                <w:szCs w:val="1"/>
                <w:color w:val="auto"/>
              </w:rPr>
            </w:pPr>
          </w:p>
        </w:tc>
      </w:tr>
      <w:tr>
        <w:trPr>
          <w:trHeight w:val="227"/>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Diluted</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60" w:top="1119" w:right="35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140" w:type="dxa"/>
            <w:vAlign w:val="bottom"/>
          </w:tcPr>
          <w:p>
            <w:pPr>
              <w:spacing w:after="0"/>
              <w:rPr>
                <w:sz w:val="16"/>
                <w:szCs w:val="16"/>
                <w:color w:val="auto"/>
              </w:rPr>
            </w:pPr>
          </w:p>
        </w:tc>
        <w:tc>
          <w:tcPr>
            <w:tcW w:w="2200" w:type="dxa"/>
            <w:vAlign w:val="bottom"/>
            <w:gridSpan w:val="4"/>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0" w:type="dxa"/>
            <w:vAlign w:val="bottom"/>
          </w:tcPr>
          <w:p>
            <w:pPr>
              <w:spacing w:after="0"/>
              <w:rPr>
                <w:sz w:val="1"/>
                <w:szCs w:val="1"/>
                <w:color w:val="auto"/>
              </w:rPr>
            </w:pPr>
          </w:p>
        </w:tc>
      </w:tr>
      <w:tr>
        <w:trPr>
          <w:trHeight w:val="212"/>
        </w:trPr>
        <w:tc>
          <w:tcPr>
            <w:tcW w:w="884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8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2"/>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w:t>
            </w:r>
          </w:p>
        </w:tc>
        <w:tc>
          <w:tcPr>
            <w:tcW w:w="0" w:type="dxa"/>
            <w:vAlign w:val="bottom"/>
          </w:tcPr>
          <w:p>
            <w:pPr>
              <w:spacing w:after="0"/>
              <w:rPr>
                <w:sz w:val="1"/>
                <w:szCs w:val="1"/>
                <w:color w:val="auto"/>
              </w:rPr>
            </w:pPr>
          </w:p>
        </w:tc>
      </w:tr>
      <w:tr>
        <w:trPr>
          <w:trHeight w:val="207"/>
        </w:trPr>
        <w:tc>
          <w:tcPr>
            <w:tcW w:w="8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 (loss):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7"/>
        </w:trPr>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pension and post-retirement liabilities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Reclassification of pension and post-retirement benefit losses into earnings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7"/>
        </w:trPr>
        <w:tc>
          <w:tcPr>
            <w:tcW w:w="8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Pension settlements</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7"/>
        </w:trPr>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change in fair value of cash flow hedges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7"/>
        </w:trPr>
        <w:tc>
          <w:tcPr>
            <w:tcW w:w="88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Reclassification of cash flow hedge losses into earnings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0"/>
        </w:trPr>
        <w:tc>
          <w:tcPr>
            <w:tcW w:w="8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comprehensive (loss) income before taxes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0"/>
        </w:trPr>
        <w:tc>
          <w:tcPr>
            <w:tcW w:w="8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 expense</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0"/>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 net of tax</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0" w:type="dxa"/>
            <w:vAlign w:val="bottom"/>
          </w:tcPr>
          <w:p>
            <w:pPr>
              <w:spacing w:after="0"/>
              <w:rPr>
                <w:sz w:val="1"/>
                <w:szCs w:val="1"/>
                <w:color w:val="auto"/>
              </w:rPr>
            </w:pPr>
          </w:p>
        </w:tc>
      </w:tr>
      <w:tr>
        <w:trPr>
          <w:trHeight w:val="220"/>
        </w:trPr>
        <w:tc>
          <w:tcPr>
            <w:tcW w:w="8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110.0</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60" w:top="879"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LENNOX INTERNATIONAL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 (DEFICIT)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2024 and 2023</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47"/>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20" w:type="dxa"/>
            <w:vAlign w:val="bottom"/>
          </w:tcPr>
          <w:p>
            <w:pPr>
              <w:spacing w:after="0"/>
              <w:rPr>
                <w:sz w:val="12"/>
                <w:szCs w:val="12"/>
                <w:color w:val="auto"/>
              </w:rPr>
            </w:pPr>
          </w:p>
        </w:tc>
        <w:tc>
          <w:tcPr>
            <w:tcW w:w="1820" w:type="dxa"/>
            <w:vAlign w:val="bottom"/>
            <w:gridSpan w:val="6"/>
            <w:vMerge w:val="restart"/>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100" w:type="dxa"/>
            <w:vAlign w:val="bottom"/>
            <w:gridSpan w:val="2"/>
            <w:vMerge w:val="restart"/>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4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restart"/>
          </w:tcPr>
          <w:p>
            <w:pPr>
              <w:ind w:left="20"/>
              <w:spacing w:after="0" w:line="161" w:lineRule="exact"/>
              <w:rPr>
                <w:sz w:val="20"/>
                <w:szCs w:val="20"/>
                <w:color w:val="auto"/>
              </w:rPr>
            </w:pPr>
            <w:r>
              <w:rPr>
                <w:rFonts w:ascii="Times New Roman" w:cs="Times New Roman" w:eastAsia="Times New Roman" w:hAnsi="Times New Roman"/>
                <w:sz w:val="15"/>
                <w:szCs w:val="15"/>
                <w:b w:val="1"/>
                <w:bCs w:val="1"/>
                <w:color w:val="auto"/>
              </w:rPr>
              <w:t>Common</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3"/>
            <w:vMerge w:val="restart"/>
          </w:tcPr>
          <w:p>
            <w:pPr>
              <w:jc w:val="center"/>
              <w:ind w:right="200"/>
              <w:spacing w:after="0" w:line="161" w:lineRule="exact"/>
              <w:rPr>
                <w:sz w:val="20"/>
                <w:szCs w:val="20"/>
                <w:color w:val="auto"/>
              </w:rPr>
            </w:pPr>
            <w:r>
              <w:rPr>
                <w:rFonts w:ascii="Times New Roman" w:cs="Times New Roman" w:eastAsia="Times New Roman" w:hAnsi="Times New Roman"/>
                <w:sz w:val="15"/>
                <w:szCs w:val="15"/>
                <w:b w:val="1"/>
                <w:bCs w:val="1"/>
                <w:color w:val="auto"/>
                <w:w w:val="99"/>
              </w:rPr>
              <w:t>Paid-In</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3"/>
            <w:vMerge w:val="restart"/>
          </w:tcPr>
          <w:p>
            <w:pPr>
              <w:ind w:left="20"/>
              <w:spacing w:after="0" w:line="161"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220" w:type="dxa"/>
            <w:vAlign w:val="bottom"/>
            <w:gridSpan w:val="4"/>
            <w:vMerge w:val="restart"/>
          </w:tcPr>
          <w:p>
            <w:pPr>
              <w:jc w:val="center"/>
              <w:ind w:right="60"/>
              <w:spacing w:after="0" w:line="161" w:lineRule="exact"/>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2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gridSpan w:val="6"/>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920" w:type="dxa"/>
            <w:vAlign w:val="bottom"/>
            <w:gridSpan w:val="2"/>
            <w:vMerge w:val="restart"/>
          </w:tcPr>
          <w:p>
            <w:pPr>
              <w:ind w:left="20"/>
              <w:spacing w:after="0" w:line="161"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37"/>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three months ended March 31, 2024)</w:t>
            </w:r>
          </w:p>
        </w:tc>
        <w:tc>
          <w:tcPr>
            <w:tcW w:w="1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4280" w:type="dxa"/>
            <w:vAlign w:val="bottom"/>
            <w:vMerge w:val="continue"/>
          </w:tcPr>
          <w:p>
            <w:pPr>
              <w:spacing w:after="0"/>
              <w:rPr>
                <w:sz w:val="17"/>
                <w:szCs w:val="17"/>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Stock Issued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Loss</w:t>
            </w:r>
          </w:p>
        </w:tc>
        <w:tc>
          <w:tcPr>
            <w:tcW w:w="2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4"/>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2023</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1,184.6</w:t>
            </w: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3,506.2</w:t>
            </w: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(56.9)</w:t>
            </w: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51.6</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(4,349.5)</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285.3</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124.3</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$1.10 per share</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(39.4)</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5"/>
                <w:szCs w:val="15"/>
                <w:color w:val="auto"/>
              </w:rPr>
              <w:t>Pension and post-retirement liability changes, net of tax expense</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of $0.1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 in cash flow hedges, net of tax expense of $0.5</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200"/>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(0.1)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0" w:type="dxa"/>
            <w:vAlign w:val="bottom"/>
          </w:tcPr>
          <w:p>
            <w:pPr>
              <w:spacing w:after="0"/>
              <w:rPr>
                <w:sz w:val="1"/>
                <w:szCs w:val="1"/>
                <w:color w:val="auto"/>
              </w:rPr>
            </w:pPr>
          </w:p>
        </w:tc>
      </w:tr>
      <w:tr>
        <w:trPr>
          <w:trHeight w:val="195"/>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March 31, 2024</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1,190.6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3,591.1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(57.9)</w:t>
            </w:r>
          </w:p>
        </w:tc>
        <w:tc>
          <w:tcPr>
            <w:tcW w:w="80" w:type="dxa"/>
            <w:vAlign w:val="bottom"/>
          </w:tcPr>
          <w:p>
            <w:pPr>
              <w:spacing w:after="0"/>
              <w:rPr>
                <w:sz w:val="17"/>
                <w:szCs w:val="17"/>
                <w:color w:val="auto"/>
              </w:rPr>
            </w:pPr>
          </w:p>
        </w:tc>
        <w:tc>
          <w:tcPr>
            <w:tcW w:w="880" w:type="dxa"/>
            <w:vAlign w:val="bottom"/>
            <w:tcBorders>
              <w:top w:val="single" w:sz="8" w:color="auto"/>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51.5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(4,355.9)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368.8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7"/>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vMerge w:val="restart"/>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47"/>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20" w:type="dxa"/>
            <w:vAlign w:val="bottom"/>
          </w:tcPr>
          <w:p>
            <w:pPr>
              <w:spacing w:after="0"/>
              <w:rPr>
                <w:sz w:val="12"/>
                <w:szCs w:val="12"/>
                <w:color w:val="auto"/>
              </w:rPr>
            </w:pPr>
          </w:p>
        </w:tc>
        <w:tc>
          <w:tcPr>
            <w:tcW w:w="1840" w:type="dxa"/>
            <w:vAlign w:val="bottom"/>
            <w:gridSpan w:val="7"/>
            <w:vMerge w:val="restart"/>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restart"/>
          </w:tcPr>
          <w:p>
            <w:pPr>
              <w:ind w:left="20"/>
              <w:spacing w:after="0" w:line="147" w:lineRule="exact"/>
              <w:rPr>
                <w:sz w:val="20"/>
                <w:szCs w:val="20"/>
                <w:color w:val="auto"/>
              </w:rPr>
            </w:pPr>
            <w:r>
              <w:rPr>
                <w:rFonts w:ascii="Times New Roman" w:cs="Times New Roman" w:eastAsia="Times New Roman" w:hAnsi="Times New Roman"/>
                <w:sz w:val="15"/>
                <w:szCs w:val="15"/>
                <w:b w:val="1"/>
                <w:bCs w:val="1"/>
                <w:color w:val="auto"/>
              </w:rPr>
              <w:t>Common</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3"/>
            <w:vMerge w:val="restart"/>
          </w:tcPr>
          <w:p>
            <w:pPr>
              <w:jc w:val="center"/>
              <w:ind w:right="140"/>
              <w:spacing w:after="0" w:line="147" w:lineRule="exact"/>
              <w:rPr>
                <w:sz w:val="20"/>
                <w:szCs w:val="20"/>
                <w:color w:val="auto"/>
              </w:rPr>
            </w:pPr>
            <w:r>
              <w:rPr>
                <w:rFonts w:ascii="Times New Roman" w:cs="Times New Roman" w:eastAsia="Times New Roman" w:hAnsi="Times New Roman"/>
                <w:sz w:val="15"/>
                <w:szCs w:val="15"/>
                <w:b w:val="1"/>
                <w:bCs w:val="1"/>
                <w:color w:val="auto"/>
              </w:rPr>
              <w:t>Paid-In</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3"/>
            <w:vMerge w:val="restart"/>
          </w:tcPr>
          <w:p>
            <w:pPr>
              <w:ind w:left="40"/>
              <w:spacing w:after="0" w:line="147"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80" w:type="dxa"/>
            <w:vAlign w:val="bottom"/>
          </w:tcPr>
          <w:p>
            <w:pPr>
              <w:spacing w:after="0"/>
              <w:rPr>
                <w:sz w:val="8"/>
                <w:szCs w:val="8"/>
                <w:color w:val="auto"/>
              </w:rPr>
            </w:pPr>
          </w:p>
        </w:tc>
        <w:tc>
          <w:tcPr>
            <w:tcW w:w="1140" w:type="dxa"/>
            <w:vAlign w:val="bottom"/>
            <w:gridSpan w:val="3"/>
            <w:vMerge w:val="restart"/>
          </w:tcPr>
          <w:p>
            <w:pPr>
              <w:jc w:val="center"/>
              <w:ind w:right="80"/>
              <w:spacing w:after="0" w:line="147"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20" w:type="dxa"/>
            <w:vAlign w:val="bottom"/>
          </w:tcPr>
          <w:p>
            <w:pPr>
              <w:spacing w:after="0"/>
              <w:rPr>
                <w:sz w:val="8"/>
                <w:szCs w:val="8"/>
                <w:color w:val="auto"/>
              </w:rPr>
            </w:pPr>
          </w:p>
        </w:tc>
        <w:tc>
          <w:tcPr>
            <w:tcW w:w="1840" w:type="dxa"/>
            <w:vAlign w:val="bottom"/>
            <w:tcBorders>
              <w:bottom w:val="single" w:sz="8" w:color="auto"/>
            </w:tcBorders>
            <w:gridSpan w:val="7"/>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920" w:type="dxa"/>
            <w:vAlign w:val="bottom"/>
            <w:gridSpan w:val="2"/>
            <w:vMerge w:val="restart"/>
          </w:tcPr>
          <w:p>
            <w:pPr>
              <w:ind w:left="20"/>
              <w:spacing w:after="0" w:line="147"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4"/>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three months ended March 31, 2023)</w:t>
            </w: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Stock Issued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Loss</w:t>
            </w:r>
          </w:p>
        </w:tc>
        <w:tc>
          <w:tcPr>
            <w:tcW w:w="2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197"/>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2022</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1,155.2</w:t>
            </w: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3,070.6</w:t>
            </w: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(90.6)</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51.7</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(4,339.2)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(203.1)</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98.0</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$1.06 per share</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(37.7)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5"/>
                <w:szCs w:val="15"/>
                <w:color w:val="auto"/>
              </w:rPr>
              <w:t>Pension and post-retirement liability changes, net of tax expense</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of $0.0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 in cash flow hedges, net of tax benefit of $1.8</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(0.2)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194"/>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March 31, 2023</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1,161.1</w:t>
            </w: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3,130.9</w:t>
            </w: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(78.6)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51.7</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(4,340.2)</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(125.9)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(Amounts in millions)</w:t>
            </w:r>
          </w:p>
        </w:tc>
        <w:tc>
          <w:tcPr>
            <w:tcW w:w="1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rPr>
              <w:t>For the Three Months Ended March 31,</w:t>
            </w:r>
          </w:p>
        </w:tc>
      </w:tr>
      <w:tr>
        <w:trPr>
          <w:trHeight w:val="225"/>
        </w:trPr>
        <w:tc>
          <w:tcPr>
            <w:tcW w:w="78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124.3</w:t>
            </w:r>
          </w:p>
        </w:tc>
        <w:tc>
          <w:tcPr>
            <w:tcW w:w="12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Adjustments to reconcile net income to net cash used in operating activities: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Income from equity method investments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Unrealized losses, net on derivative contracts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Deferred income taxes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Pension expense</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Pension contributions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Other items, net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Changes in assets and liabilities, net of effects of acquisitions and divestitures: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Accounts and notes receivable</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Inventories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(150.4)</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Other current assets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Accrued expenses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Income taxes payable and receivable, net</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Leases, net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Other, net</w:t>
            </w: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8"/>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(78.8)</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the disposal of property, plant and equipment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r>
      <w:tr>
        <w:trPr>
          <w:trHeight w:val="224"/>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Acquisitions, net of cash</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(Purchases of) proceeds from short-term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8"/>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(33.7)</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Commercial paper payments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Commercial paper borrowings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Asset securitization payments</w:t>
            </w: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Long-term debt payments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Borrowings from credit facility</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610.5</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Payments on credit facility</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(414.5)</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employee stock purchases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Repurchases of common stock to satisfy employee withholding tax obligations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3"/>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Cash dividends paid</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w:t>
            </w: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101.1</w:t>
            </w: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Decrease in cash and cash equivalents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3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2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52.6</w:t>
            </w: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40.4</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94"/>
        </w:trPr>
        <w:tc>
          <w:tcPr>
            <w:tcW w:w="7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2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Supplemental disclosures of cash flow information:</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7"/>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paid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6"/>
        </w:trPr>
        <w:tc>
          <w:tcPr>
            <w:tcW w:w="7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taxes paid (net of refunds)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1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60" w:top="438"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228"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References in this Quarterly Report on Form 10-Q to "we","our","us","LII" or the "Company" refer to Lennox International Inc. and its subsidiaries, unless the context requires otherwise.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1" w:lineRule="exact"/>
        <w:rPr>
          <w:sz w:val="20"/>
          <w:szCs w:val="20"/>
          <w:color w:val="auto"/>
        </w:rPr>
      </w:pPr>
    </w:p>
    <w:p>
      <w:pPr>
        <w:jc w:val="both"/>
        <w:ind w:firstLine="241"/>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Balance Sheet as of March 31, 2024, the accompanying unaudited Consolidated Statements of Operations for the three months ended March 31, 2024 and 2023, the accompanying unaudited Consolidated Statements of Comprehensive Income for the three months ended March 31, 2024 and 2023, the accompanying unaudited Consolidated Statements of Stockholders' Equity (Deficit) for the three months ended March 31, 2024 and 2023, and the accompanying unaudited Consolidated Statements of Cash Flows for the three months ended March 31, 2024 and 2023 should be read in conjunction with our audited consolidated financial statements and footnotes included in our Annual Report on Form 10-K for the year ended December 31, 2023.</w:t>
      </w:r>
    </w:p>
    <w:p>
      <w:pPr>
        <w:spacing w:after="0" w:line="214"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generally accepted accounting principles (“GAAP”) for interim financial information and with the instructions to Form 10-Q and Article 10 of Regulation S-X. The accompanying consolidated financial statements contain all material adjustments, consisting principally of normal recurring adjustments, necessary for a fair presentation of our financial position, results of operations and cash flows. Certain information and footnote disclosures normally included in financial statements prepared in accordance with GAAP have been condensed or omitted pursuant to applicable rules and regulations, although we believe that the disclosures herein are adequate to make the information presented not misleading. The operating results for the interim periods are not necessarily indicative of the results that may be expected for a full year.</w:t>
      </w:r>
    </w:p>
    <w:p>
      <w:pPr>
        <w:spacing w:after="0" w:line="215"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the 13-week periods comprising each fiscal quarter are denoted by the last day of the respective calendar quarter.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1" w:lineRule="exact"/>
        <w:rPr>
          <w:sz w:val="20"/>
          <w:szCs w:val="20"/>
          <w:color w:val="auto"/>
        </w:rPr>
      </w:pPr>
    </w:p>
    <w:p>
      <w:pPr>
        <w:jc w:val="both"/>
        <w:ind w:firstLine="241"/>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contingencies, guarantee obligations, indemnifications, and assumptions used in the calculation of income taxes, pension and post-retirement medical benefits, self-insurance and warranty reserves, and stock-based compensation, among others. These estimates and assumptions are based on our best estimates and judgment.</w:t>
      </w:r>
    </w:p>
    <w:p>
      <w:pPr>
        <w:spacing w:after="0" w:line="214"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combine to increase the uncertainty inherent in such estimates and assumptions. Future events and their effects cannot be determined with precision and actual results could differ significantly from these estimates. Changes in these estimates will be reflected in the financial statements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2. Reportable Business Segments:</w:t>
      </w:r>
    </w:p>
    <w:p>
      <w:pPr>
        <w:spacing w:after="0" w:line="251" w:lineRule="exact"/>
        <w:rPr>
          <w:sz w:val="20"/>
          <w:szCs w:val="20"/>
          <w:color w:val="auto"/>
        </w:rPr>
      </w:pPr>
    </w:p>
    <w:p>
      <w:pPr>
        <w:jc w:val="both"/>
        <w:ind w:right="20" w:firstLine="241"/>
        <w:spacing w:after="0" w:line="272" w:lineRule="auto"/>
        <w:rPr>
          <w:sz w:val="20"/>
          <w:szCs w:val="20"/>
          <w:color w:val="auto"/>
        </w:rPr>
      </w:pPr>
      <w:r>
        <w:rPr>
          <w:rFonts w:ascii="Times New Roman" w:cs="Times New Roman" w:eastAsia="Times New Roman" w:hAnsi="Times New Roman"/>
          <w:sz w:val="18"/>
          <w:szCs w:val="18"/>
          <w:color w:val="auto"/>
        </w:rPr>
        <w:t>We operate in two reportable business segments of the heating, ventilation, air conditioning and refrigeration (“HVACR”) industry. Our segments are organized primarily by the nature of the products and services we provide. The following table describes each segment:</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4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Product or Services</w:t>
            </w: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Markets Served</w:t>
            </w:r>
          </w:p>
        </w:tc>
        <w:tc>
          <w:tcPr>
            <w:tcW w:w="1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Geographic Areas</w:t>
            </w:r>
          </w:p>
        </w:tc>
      </w:tr>
      <w:tr>
        <w:trPr>
          <w:trHeight w:val="170"/>
        </w:trPr>
        <w:tc>
          <w:tcPr>
            <w:tcW w:w="182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i w:val="1"/>
                <w:iCs w:val="1"/>
                <w:color w:val="auto"/>
                <w:w w:val="99"/>
              </w:rPr>
              <w:t>Home Comfort Solutions</w:t>
            </w:r>
          </w:p>
        </w:tc>
        <w:tc>
          <w:tcPr>
            <w:tcW w:w="120" w:type="dxa"/>
            <w:vAlign w:val="bottom"/>
            <w:tcBorders>
              <w:top w:val="single" w:sz="8" w:color="CCEEFF"/>
            </w:tcBorders>
            <w:shd w:val="clear" w:color="auto" w:fill="CCEEFF"/>
          </w:tcPr>
          <w:p>
            <w:pPr>
              <w:spacing w:after="0"/>
              <w:rPr>
                <w:sz w:val="14"/>
                <w:szCs w:val="14"/>
                <w:color w:val="auto"/>
              </w:rPr>
            </w:pPr>
          </w:p>
        </w:tc>
        <w:tc>
          <w:tcPr>
            <w:tcW w:w="4540" w:type="dxa"/>
            <w:vAlign w:val="bottom"/>
            <w:tcBorders>
              <w:top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Furnaces, air conditioners, heat pumps, packaged heating and</w:t>
            </w:r>
          </w:p>
        </w:tc>
        <w:tc>
          <w:tcPr>
            <w:tcW w:w="100" w:type="dxa"/>
            <w:vAlign w:val="bottom"/>
            <w:tcBorders>
              <w:top w:val="single" w:sz="8" w:color="CCEEFF"/>
            </w:tcBorders>
            <w:shd w:val="clear" w:color="auto" w:fill="CCEEFF"/>
          </w:tcPr>
          <w:p>
            <w:pPr>
              <w:spacing w:after="0"/>
              <w:rPr>
                <w:sz w:val="14"/>
                <w:szCs w:val="14"/>
                <w:color w:val="auto"/>
              </w:rPr>
            </w:pPr>
          </w:p>
        </w:tc>
        <w:tc>
          <w:tcPr>
            <w:tcW w:w="278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Residential Replacement;</w:t>
            </w:r>
          </w:p>
        </w:tc>
        <w:tc>
          <w:tcPr>
            <w:tcW w:w="1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United States</w:t>
            </w:r>
          </w:p>
        </w:tc>
      </w:tr>
      <w:tr>
        <w:trPr>
          <w:trHeight w:val="182"/>
        </w:trPr>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4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cooling systems, indoor air quality equipment, comfort control</w:t>
            </w:r>
          </w:p>
        </w:tc>
        <w:tc>
          <w:tcPr>
            <w:tcW w:w="28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Residential New Construction</w:t>
            </w:r>
          </w:p>
        </w:tc>
        <w:tc>
          <w:tcPr>
            <w:tcW w:w="17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Canada</w:t>
            </w:r>
          </w:p>
        </w:tc>
      </w:tr>
      <w:tr>
        <w:trPr>
          <w:trHeight w:val="232"/>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 replacement parts and supplies</w:t>
            </w:r>
          </w:p>
        </w:tc>
        <w:tc>
          <w:tcPr>
            <w:tcW w:w="2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174"/>
        </w:trPr>
        <w:tc>
          <w:tcPr>
            <w:tcW w:w="194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Building Climate</w:t>
            </w:r>
          </w:p>
        </w:tc>
        <w:tc>
          <w:tcPr>
            <w:tcW w:w="464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Unitary heating and air conditioning equipment, applied</w:t>
            </w:r>
          </w:p>
        </w:tc>
        <w:tc>
          <w:tcPr>
            <w:tcW w:w="28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Light Commercial;</w:t>
            </w:r>
          </w:p>
        </w:tc>
        <w:tc>
          <w:tcPr>
            <w:tcW w:w="17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United States</w:t>
            </w:r>
          </w:p>
        </w:tc>
      </w:tr>
      <w:tr>
        <w:trPr>
          <w:trHeight w:val="182"/>
        </w:trPr>
        <w:tc>
          <w:tcPr>
            <w:tcW w:w="19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Solutions</w:t>
            </w:r>
          </w:p>
        </w:tc>
        <w:tc>
          <w:tcPr>
            <w:tcW w:w="46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systems, controls, installation and service of commercial</w:t>
            </w:r>
          </w:p>
        </w:tc>
        <w:tc>
          <w:tcPr>
            <w:tcW w:w="28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Food Preservation;</w:t>
            </w:r>
          </w:p>
        </w:tc>
        <w:tc>
          <w:tcPr>
            <w:tcW w:w="17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Canada</w:t>
            </w:r>
          </w:p>
        </w:tc>
      </w:tr>
      <w:tr>
        <w:trPr>
          <w:trHeight w:val="179"/>
        </w:trPr>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2"/>
          </w:tcPr>
          <w:p>
            <w:pPr>
              <w:spacing w:after="0" w:line="179" w:lineRule="exact"/>
              <w:rPr>
                <w:sz w:val="20"/>
                <w:szCs w:val="20"/>
                <w:color w:val="auto"/>
              </w:rPr>
            </w:pPr>
            <w:r>
              <w:rPr>
                <w:rFonts w:ascii="Times New Roman" w:cs="Times New Roman" w:eastAsia="Times New Roman" w:hAnsi="Times New Roman"/>
                <w:sz w:val="18"/>
                <w:szCs w:val="18"/>
                <w:color w:val="auto"/>
              </w:rPr>
              <w:t>heating and cooling equipment, variable refrigerant flow</w:t>
            </w:r>
          </w:p>
        </w:tc>
        <w:tc>
          <w:tcPr>
            <w:tcW w:w="288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Non-Food Industry</w:t>
            </w:r>
          </w:p>
        </w:tc>
        <w:tc>
          <w:tcPr>
            <w:tcW w:w="1720" w:type="dxa"/>
            <w:vAlign w:val="bottom"/>
          </w:tcPr>
          <w:p>
            <w:pPr>
              <w:spacing w:after="0"/>
              <w:rPr>
                <w:sz w:val="15"/>
                <w:szCs w:val="15"/>
                <w:color w:val="auto"/>
              </w:rPr>
            </w:pPr>
          </w:p>
        </w:tc>
      </w:tr>
      <w:tr>
        <w:trPr>
          <w:trHeight w:val="174"/>
        </w:trPr>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commercial products, curb, curb adapters, drop box diffusers,</w:t>
            </w: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2"/>
        </w:trPr>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HVAC recycling and salvage service, condensing units, unit</w:t>
            </w: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79"/>
        </w:trPr>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2"/>
          </w:tcPr>
          <w:p>
            <w:pPr>
              <w:spacing w:after="0" w:line="179" w:lineRule="exact"/>
              <w:rPr>
                <w:sz w:val="20"/>
                <w:szCs w:val="20"/>
                <w:color w:val="auto"/>
              </w:rPr>
            </w:pPr>
            <w:r>
              <w:rPr>
                <w:rFonts w:ascii="Times New Roman" w:cs="Times New Roman" w:eastAsia="Times New Roman" w:hAnsi="Times New Roman"/>
                <w:sz w:val="18"/>
                <w:szCs w:val="18"/>
                <w:color w:val="auto"/>
              </w:rPr>
              <w:t>coolers, fluid coolers, air cooled condensers, air handlers,</w:t>
            </w: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33"/>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process chillers, controls, compressorized racks</w:t>
            </w: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spacing w:after="0" w:line="70"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use segment profit or loss as the primary measure of profitability to evaluate operating performance and to allocate capital resources. We define segment profit or loss as a segment’s income or loss from continuing operations before income taxes included in the accompanying Consolidated Statements of Operations, excluding certain items. The reconciliation in the table below details the items excluded.</w:t>
      </w:r>
    </w:p>
    <w:p>
      <w:pPr>
        <w:spacing w:after="0" w:line="204"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Our corporate costs include those costs related to corporate functions such as legal, internal audit, treasury, human resources, tax compliance and senior executive staff. Any intercompany sales and associated profit (and any other intercompany items) are eliminated from segment results. There were no significant intercompany eliminations for the periods presented.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Net Sales and Profit (Loss)</w:t>
      </w:r>
    </w:p>
    <w:p>
      <w:pPr>
        <w:spacing w:after="0" w:line="251" w:lineRule="exact"/>
        <w:rPr>
          <w:sz w:val="20"/>
          <w:szCs w:val="20"/>
          <w:color w:val="auto"/>
        </w:rPr>
      </w:pPr>
    </w:p>
    <w:p>
      <w:pPr>
        <w:jc w:val="both"/>
        <w:ind w:firstLine="241"/>
        <w:spacing w:after="0" w:line="272" w:lineRule="auto"/>
        <w:rPr>
          <w:sz w:val="20"/>
          <w:szCs w:val="20"/>
          <w:color w:val="auto"/>
        </w:rPr>
      </w:pPr>
      <w:r>
        <w:rPr>
          <w:rFonts w:ascii="Times New Roman" w:cs="Times New Roman" w:eastAsia="Times New Roman" w:hAnsi="Times New Roman"/>
          <w:sz w:val="18"/>
          <w:szCs w:val="18"/>
          <w:color w:val="auto"/>
        </w:rPr>
        <w:t>Net sales and segment profit (loss) for each segment, along with a reconciliation of segment profit (loss) to Operating income, are shown below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60" w:type="dxa"/>
            <w:vAlign w:val="bottom"/>
          </w:tcPr>
          <w:p>
            <w:pPr>
              <w:spacing w:after="0"/>
              <w:rPr>
                <w:sz w:val="18"/>
                <w:szCs w:val="18"/>
                <w:color w:val="auto"/>
              </w:rPr>
            </w:pPr>
          </w:p>
        </w:tc>
        <w:tc>
          <w:tcPr>
            <w:tcW w:w="27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 March 31,</w:t>
            </w:r>
          </w:p>
        </w:tc>
      </w:tr>
      <w:tr>
        <w:trPr>
          <w:trHeight w:val="208"/>
        </w:trPr>
        <w:tc>
          <w:tcPr>
            <w:tcW w:w="84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7"/>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w:t>
            </w:r>
          </w:p>
        </w:tc>
      </w:tr>
      <w:tr>
        <w:trPr>
          <w:trHeight w:val="227"/>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Climate Solutions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r>
      <w:tr>
        <w:trPr>
          <w:trHeight w:val="227"/>
        </w:trPr>
        <w:tc>
          <w:tcPr>
            <w:tcW w:w="846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3"/>
                <w:szCs w:val="23"/>
                <w:b w:val="1"/>
                <w:bCs w:val="1"/>
                <w:color w:val="auto"/>
                <w:vertAlign w:val="superscript"/>
              </w:rPr>
              <w:t>(1)</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45"/>
        </w:trPr>
        <w:tc>
          <w:tcPr>
            <w:tcW w:w="84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1,049.4</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8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27"/>
        </w:trPr>
        <w:tc>
          <w:tcPr>
            <w:tcW w:w="84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b w:val="1"/>
                <w:bCs w:val="1"/>
                <w:color w:val="auto"/>
              </w:rPr>
              <w:t xml:space="preserve">Segment profit (loss) </w:t>
            </w:r>
            <w:r>
              <w:rPr>
                <w:rFonts w:ascii="Times New Roman" w:cs="Times New Roman" w:eastAsia="Times New Roman" w:hAnsi="Times New Roman"/>
                <w:sz w:val="23"/>
                <w:szCs w:val="23"/>
                <w:b w:val="1"/>
                <w:bCs w:val="1"/>
                <w:color w:val="auto"/>
                <w:vertAlign w:val="superscript"/>
              </w:rPr>
              <w:t>(2)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7"/>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27"/>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Climate Solutions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7"/>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0"/>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segment profit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27"/>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Operating income: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84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Items in Losses (gains) and other expenses, net that are excluded from segment profit (loss)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166.8</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139.5</w:t>
            </w: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400" w:hanging="153"/>
        <w:spacing w:after="0" w:line="227" w:lineRule="auto"/>
        <w:tabs>
          <w:tab w:leader="none" w:pos="43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Corporate and Other segment included our European portfolio. In the fourth quarter of 2023 we completed the divestiture of our European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9" w:name="page10"/>
    <w:bookmarkEnd w:id="9"/>
    <w:p>
      <w:pPr>
        <w:ind w:left="420" w:hanging="173"/>
        <w:spacing w:after="0"/>
        <w:tabs>
          <w:tab w:leader="none" w:pos="420" w:val="left"/>
        </w:tabs>
        <w:numPr>
          <w:ilvl w:val="1"/>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define segment profit (loss) as a segment's operating income included in the accompanying Consolidated Statements of Operations, excluding:</w:t>
      </w:r>
    </w:p>
    <w:p>
      <w:pPr>
        <w:spacing w:after="0" w:line="1" w:lineRule="exact"/>
        <w:rPr>
          <w:rFonts w:ascii="Times New Roman" w:cs="Times New Roman" w:eastAsia="Times New Roman" w:hAnsi="Times New Roman"/>
          <w:sz w:val="22"/>
          <w:szCs w:val="22"/>
          <w:color w:val="auto"/>
          <w:vertAlign w:val="superscript"/>
        </w:rPr>
      </w:pPr>
    </w:p>
    <w:p>
      <w:pPr>
        <w:ind w:left="1040" w:hanging="232"/>
        <w:spacing w:after="0"/>
        <w:tabs>
          <w:tab w:leader="none" w:pos="10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items in Losses (gains) and other expenses, net:</w:t>
      </w:r>
    </w:p>
    <w:p>
      <w:pPr>
        <w:spacing w:after="0" w:line="5" w:lineRule="exact"/>
        <w:rPr>
          <w:rFonts w:ascii="Times New Roman" w:cs="Times New Roman" w:eastAsia="Times New Roman" w:hAnsi="Times New Roman"/>
          <w:sz w:val="18"/>
          <w:szCs w:val="18"/>
          <w:color w:val="auto"/>
        </w:rPr>
      </w:pPr>
    </w:p>
    <w:p>
      <w:pPr>
        <w:ind w:left="1680" w:hanging="230"/>
        <w:spacing w:after="0"/>
        <w:tabs>
          <w:tab w:leader="none" w:pos="168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change in unrealized (gains) losses on unsettled futures contracts,</w:t>
      </w:r>
    </w:p>
    <w:p>
      <w:pPr>
        <w:spacing w:after="0" w:line="6" w:lineRule="exact"/>
        <w:rPr>
          <w:rFonts w:ascii="Times New Roman" w:cs="Times New Roman" w:eastAsia="Times New Roman" w:hAnsi="Times New Roman"/>
          <w:sz w:val="18"/>
          <w:szCs w:val="18"/>
          <w:color w:val="auto"/>
        </w:rPr>
      </w:pPr>
    </w:p>
    <w:p>
      <w:pPr>
        <w:ind w:left="1680" w:hanging="230"/>
        <w:spacing w:after="0"/>
        <w:tabs>
          <w:tab w:leader="none" w:pos="168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and special litigation charges, and</w:t>
      </w:r>
    </w:p>
    <w:p>
      <w:pPr>
        <w:spacing w:after="0" w:line="6" w:lineRule="exact"/>
        <w:rPr>
          <w:rFonts w:ascii="Times New Roman" w:cs="Times New Roman" w:eastAsia="Times New Roman" w:hAnsi="Times New Roman"/>
          <w:sz w:val="18"/>
          <w:szCs w:val="18"/>
          <w:color w:val="auto"/>
        </w:rPr>
      </w:pPr>
    </w:p>
    <w:p>
      <w:pPr>
        <w:ind w:left="1680" w:hanging="230"/>
        <w:spacing w:after="0"/>
        <w:tabs>
          <w:tab w:leader="none" w:pos="168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net</w:t>
      </w:r>
    </w:p>
    <w:p>
      <w:pPr>
        <w:spacing w:after="0" w:line="224" w:lineRule="exact"/>
        <w:rPr>
          <w:rFonts w:ascii="Times New Roman" w:cs="Times New Roman" w:eastAsia="Times New Roman" w:hAnsi="Times New Roman"/>
          <w:sz w:val="18"/>
          <w:szCs w:val="18"/>
          <w:color w:val="auto"/>
        </w:rPr>
      </w:pPr>
    </w:p>
    <w:p>
      <w:pPr>
        <w:ind w:left="180" w:hanging="173"/>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computations of basic and diluted earnings per share were as follows (in millions, except per share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80" w:type="dxa"/>
            <w:vAlign w:val="bottom"/>
          </w:tcPr>
          <w:p>
            <w:pPr>
              <w:spacing w:after="0"/>
              <w:rPr>
                <w:sz w:val="18"/>
                <w:szCs w:val="18"/>
                <w:color w:val="auto"/>
              </w:rPr>
            </w:pPr>
          </w:p>
        </w:tc>
        <w:tc>
          <w:tcPr>
            <w:tcW w:w="3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420" w:type="dxa"/>
            <w:vAlign w:val="bottom"/>
            <w:tcBorders>
              <w:bottom w:val="single" w:sz="8" w:color="auto"/>
            </w:tcBorders>
          </w:tcPr>
          <w:p>
            <w:pPr>
              <w:spacing w:after="0"/>
              <w:rPr>
                <w:sz w:val="18"/>
                <w:szCs w:val="18"/>
                <w:color w:val="auto"/>
              </w:rPr>
            </w:pPr>
          </w:p>
        </w:tc>
      </w:tr>
      <w:tr>
        <w:trPr>
          <w:trHeight w:val="208"/>
        </w:trPr>
        <w:tc>
          <w:tcPr>
            <w:tcW w:w="75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r>
      <w:tr>
        <w:trPr>
          <w:trHeight w:val="22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6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124.3</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w:t>
            </w:r>
          </w:p>
        </w:tc>
      </w:tr>
      <w:tr>
        <w:trPr>
          <w:trHeight w:val="267"/>
        </w:trPr>
        <w:tc>
          <w:tcPr>
            <w:tcW w:w="75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27"/>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basic</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r>
      <w:tr>
        <w:trPr>
          <w:trHeight w:val="227"/>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Potential effect of dilutive securities attributable to stock-based payments</w:t>
            </w: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5"/>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diluted</w:t>
            </w:r>
          </w:p>
        </w:tc>
        <w:tc>
          <w:tcPr>
            <w:tcW w:w="1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7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52"/>
        </w:trPr>
        <w:tc>
          <w:tcPr>
            <w:tcW w:w="7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1160" w:type="dxa"/>
            <w:vAlign w:val="bottom"/>
            <w:tcBorders>
              <w:bottom w:val="single" w:sz="8" w:color="auto"/>
            </w:tcBorders>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5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7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52"/>
        </w:trPr>
        <w:tc>
          <w:tcPr>
            <w:tcW w:w="7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1160" w:type="dxa"/>
            <w:vAlign w:val="bottom"/>
            <w:tcBorders>
              <w:bottom w:val="single" w:sz="8" w:color="auto"/>
            </w:tcBorders>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5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ind w:firstLine="160"/>
        <w:spacing w:after="0" w:line="277" w:lineRule="auto"/>
        <w:rPr>
          <w:sz w:val="20"/>
          <w:szCs w:val="20"/>
          <w:color w:val="auto"/>
        </w:rPr>
      </w:pPr>
      <w:r>
        <w:rPr>
          <w:rFonts w:ascii="Times New Roman" w:cs="Times New Roman" w:eastAsia="Times New Roman" w:hAnsi="Times New Roman"/>
          <w:sz w:val="18"/>
          <w:szCs w:val="18"/>
          <w:color w:val="auto"/>
        </w:rPr>
        <w:t>The following stock appreciation rights and restricted stock units were outstanding but not included in the diluted earnings per share calculation as the assumed exercise of such rights would have been anti-dilutive (in millions, except for per share data):</w:t>
      </w:r>
    </w:p>
    <w:p>
      <w:pPr>
        <w:spacing w:after="0" w:line="233"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20320</wp:posOffset>
            </wp:positionV>
            <wp:extent cx="23241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24100" cy="8255"/>
                    </a:xfrm>
                    <a:prstGeom prst="rect">
                      <a:avLst/>
                    </a:prstGeom>
                    <a:noFill/>
                  </pic:spPr>
                </pic:pic>
              </a:graphicData>
            </a:graphic>
          </wp:anchor>
        </w:drawing>
      </w:r>
    </w:p>
    <w:p>
      <w:pPr>
        <w:spacing w:after="0" w:line="23" w:lineRule="exact"/>
        <w:rPr>
          <w:sz w:val="20"/>
          <w:szCs w:val="20"/>
          <w:color w:val="auto"/>
        </w:rPr>
      </w:pPr>
    </w:p>
    <w:p>
      <w:pPr>
        <w:ind w:left="8300"/>
        <w:spacing w:after="0"/>
        <w:tabs>
          <w:tab w:leader="none" w:pos="1018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33590" cy="152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3590" cy="152400"/>
                    </a:xfrm>
                    <a:prstGeom prst="rect">
                      <a:avLst/>
                    </a:prstGeom>
                    <a:noFill/>
                  </pic:spPr>
                </pic:pic>
              </a:graphicData>
            </a:graphic>
          </wp:anchor>
        </w:drawing>
      </w:r>
    </w:p>
    <w:p>
      <w:pPr>
        <w:spacing w:after="0" w:line="21" w:lineRule="exact"/>
        <w:rPr>
          <w:sz w:val="20"/>
          <w:szCs w:val="20"/>
          <w:color w:val="auto"/>
        </w:rPr>
      </w:pPr>
    </w:p>
    <w:p>
      <w:pPr>
        <w:ind w:left="20"/>
        <w:spacing w:after="0"/>
        <w:tabs>
          <w:tab w:leader="none" w:pos="9080" w:val="left"/>
          <w:tab w:leader="none" w:pos="10920" w:val="left"/>
        </w:tabs>
        <w:rPr>
          <w:sz w:val="20"/>
          <w:szCs w:val="20"/>
          <w:color w:val="auto"/>
        </w:rPr>
      </w:pPr>
      <w:r>
        <w:rPr>
          <w:rFonts w:ascii="Times New Roman" w:cs="Times New Roman" w:eastAsia="Times New Roman" w:hAnsi="Times New Roman"/>
          <w:sz w:val="18"/>
          <w:szCs w:val="18"/>
          <w:color w:val="auto"/>
        </w:rPr>
        <w:t>Weighted-average number of shares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0.3</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Commitments and Contingencies: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30" w:lineRule="exact"/>
        <w:rPr>
          <w:sz w:val="20"/>
          <w:szCs w:val="20"/>
          <w:color w:val="auto"/>
        </w:rPr>
      </w:pPr>
    </w:p>
    <w:p>
      <w:pPr>
        <w:jc w:val="both"/>
        <w:ind w:firstLine="241"/>
        <w:spacing w:after="0" w:line="249"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leases are included in our Consolidated Balance Sheets as Right-of-use assets from operating leases, Current operating lease liabilities and Long-term operating lease liabilities. Finance leases are included in Property, plant and equipment, Current maturities of long-term debt and Long-term debt in our Consolidated Balance Sheets. We do not recognize a right-of-use asset and lease liability for leases with a term of 12 months or less. We do not separate non-lease components from lease components to which they relate and have accounted for the combined lease and non-lease components as a single lease component.</w:t>
      </w:r>
    </w:p>
    <w:p>
      <w:pPr>
        <w:spacing w:after="0" w:line="216" w:lineRule="exact"/>
        <w:rPr>
          <w:sz w:val="20"/>
          <w:szCs w:val="20"/>
          <w:color w:val="auto"/>
        </w:rPr>
      </w:pPr>
    </w:p>
    <w:p>
      <w:pPr>
        <w:jc w:val="both"/>
        <w:ind w:firstLine="241"/>
        <w:spacing w:after="0" w:line="253" w:lineRule="auto"/>
        <w:rPr>
          <w:sz w:val="20"/>
          <w:szCs w:val="20"/>
          <w:color w:val="auto"/>
        </w:rPr>
      </w:pPr>
      <w:r>
        <w:rPr>
          <w:rFonts w:ascii="Times New Roman" w:cs="Times New Roman" w:eastAsia="Times New Roman" w:hAnsi="Times New Roman"/>
          <w:sz w:val="18"/>
          <w:szCs w:val="18"/>
          <w:color w:val="auto"/>
        </w:rPr>
        <w:t>Many of our lease agreements contain renewal options; however, we do not recognize right-of-use assets or lease liabilities for renewal periods unless it is determined that we are reasonably certain of renewing the lease at inception or when a triggering event occurs. Some of our lease agreements contain rent escalation clauses (including index-based escalations), rent holidays, capital improvement funding or other lease concessions. We recognize our minimum rental expense on a straight-line basis based on the fixed components of a lease arrangement. We amortize this expense over the term of the lease beginning with the date of initial possession. Variable lease components represent amounts that are not fixed in nature and are not tied to an index or rate, and are recognized as incurred. Under certain of our third-party service agreements, we control a specific space or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10" w:name="page11"/>
    <w:bookmarkEnd w:id="10"/>
    <w:p>
      <w:pPr>
        <w:jc w:val="both"/>
        <w:spacing w:after="0" w:line="277" w:lineRule="auto"/>
        <w:rPr>
          <w:sz w:val="20"/>
          <w:szCs w:val="20"/>
          <w:color w:val="auto"/>
        </w:rPr>
      </w:pPr>
      <w:r>
        <w:rPr>
          <w:rFonts w:ascii="Times New Roman" w:cs="Times New Roman" w:eastAsia="Times New Roman" w:hAnsi="Times New Roman"/>
          <w:sz w:val="18"/>
          <w:szCs w:val="18"/>
          <w:color w:val="auto"/>
        </w:rPr>
        <w:t>underlying asset used in providing the service by the third-party service provider. These arrangements meet the definition under ASC 842 and therefore are accounted for under ASC 842.</w:t>
      </w:r>
    </w:p>
    <w:p>
      <w:pPr>
        <w:spacing w:after="0" w:line="190"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In determining our right-of-use assets and lease liabilities, we apply a discount rate to the minimum lease payments within each lease agreement. ASC 842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incremental borrowing rate. To estimate our specific incremental borrowing rates over various periods (ranging from 1-year through 30-years), a comparable market yield curve consistent with our credit quality was calibrated to our publicly outstanding debt instruments.</w:t>
      </w:r>
    </w:p>
    <w:p>
      <w:pPr>
        <w:spacing w:after="0" w:line="210"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lease certain real and personal property under non-cancelable operating leases. Approximately 75% of our right-of-use assets and lease liabilities relate to our leases of real estate with the remaining amounts primarily relating to our leases of IT equipment, fleet vehicles and manufacturing and distribution equipment.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 and Product Related Contingencies</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provide warranties to customers for some of our products and record liabilities for the estimated future warranty-related costs based on failure rates, cost experience and other factors. We periodically review the assumptions used to determine the product warranty liabilities and will adjust the liabilities in future periods for changes in experience, as necessary.</w:t>
      </w:r>
    </w:p>
    <w:p>
      <w:pPr>
        <w:spacing w:after="0" w:line="204" w:lineRule="exact"/>
        <w:rPr>
          <w:sz w:val="20"/>
          <w:szCs w:val="20"/>
          <w:color w:val="auto"/>
        </w:rPr>
      </w:pPr>
    </w:p>
    <w:p>
      <w:pPr>
        <w:jc w:val="both"/>
        <w:ind w:firstLine="241"/>
        <w:spacing w:after="0" w:line="272" w:lineRule="auto"/>
        <w:rPr>
          <w:sz w:val="20"/>
          <w:szCs w:val="20"/>
          <w:color w:val="auto"/>
        </w:rPr>
      </w:pPr>
      <w:r>
        <w:rPr>
          <w:rFonts w:ascii="Times New Roman" w:cs="Times New Roman" w:eastAsia="Times New Roman" w:hAnsi="Times New Roman"/>
          <w:sz w:val="18"/>
          <w:szCs w:val="18"/>
          <w:color w:val="auto"/>
        </w:rPr>
        <w:t>Liabilities for estimated product warranty costs related to continuing operations are included in the following captions on the accompanying Consolidated Balance Sheets (in millions) as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176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45"/>
        </w:trPr>
        <w:tc>
          <w:tcPr>
            <w:tcW w:w="7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warranty liability</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142.8</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changes in product warranty liabilities related to continuing operations for the three months ended March 31, 2024 were as follows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warranty liability as of December 31, 2023</w:t>
            </w:r>
          </w:p>
        </w:tc>
        <w:tc>
          <w:tcPr>
            <w:tcW w:w="820" w:type="dxa"/>
            <w:vAlign w:val="bottom"/>
            <w:shd w:val="clear" w:color="auto" w:fill="CCEEFF"/>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142.8</w:t>
            </w:r>
          </w:p>
        </w:tc>
      </w:tr>
      <w:tr>
        <w:trPr>
          <w:trHeight w:val="227"/>
        </w:trPr>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Warranty claims paid</w:t>
            </w: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7"/>
        </w:trPr>
        <w:tc>
          <w:tcPr>
            <w:tcW w:w="9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resulting from issuance of new warranties</w:t>
            </w: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7"/>
        </w:trPr>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estimates associated with pre-existing liabilities</w:t>
            </w: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7"/>
        </w:trPr>
        <w:tc>
          <w:tcPr>
            <w:tcW w:w="9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foreign currency translation rates and other</w:t>
            </w:r>
          </w:p>
        </w:tc>
        <w:tc>
          <w:tcPr>
            <w:tcW w:w="8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warranty liability as of March 31, 2024</w:t>
            </w:r>
          </w:p>
        </w:tc>
        <w:tc>
          <w:tcPr>
            <w:tcW w:w="8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147.6</w:t>
            </w:r>
          </w:p>
        </w:tc>
      </w:tr>
      <w:tr>
        <w:trPr>
          <w:trHeight w:val="20"/>
        </w:trPr>
        <w:tc>
          <w:tcPr>
            <w:tcW w:w="9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are involved in a number of claims and lawsuits incidental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204"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It is management's opinion that none of these claims or lawsuits or any threatened litigation will have a material adverse effect on our financial condition, results of operations or cash flows. Claims and lawsuits, however, involve uncertainties and it is possible that their eventual outcome could adversely affect our results of operations for a particular period.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 Repurchases:</w:t>
      </w:r>
    </w:p>
    <w:p>
      <w:pPr>
        <w:spacing w:after="0" w:line="251"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Our Board of Directors has authorized a total of $4.0 billion to repurchase shares of our common stock (collectively referred to as the "Share Repurchase Plans"), including a $1.0 billion share repurchase authorization in July 2021. The Share Repurchase Plans allow us to repurchase shares from time to time in open market transactions and in privately negotiated transactions based on business, market, applicable legal requirements and other considerations. The Share Repurchase Plans do not require the repurchase of a specific number of shares and may be terminated at any time. As of March 31, 2024, $546 million was available for repurchase under the Share Repurchase Plans.</w:t>
      </w:r>
    </w:p>
    <w:p>
      <w:pPr>
        <w:sectPr>
          <w:pgSz w:w="11900" w:h="16838" w:orient="portrait"/>
          <w:cols w:equalWidth="0" w:num="1">
            <w:col w:w="11240"/>
          </w:cols>
          <w:pgMar w:left="320" w:top="8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6. Revenue Recognition:</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The following table disaggregates our revenue by business segment by geography which provides information as to the major source of revenue. See Note 2 for additional information on our reportable business segments and the products and services sold in each segment. All amount presented reflect the revised segment presentation.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580" w:type="dxa"/>
            <w:vAlign w:val="bottom"/>
            <w:tcBorders>
              <w:bottom w:val="single" w:sz="8" w:color="auto"/>
            </w:tcBorders>
            <w:gridSpan w:val="5"/>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2024</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Home Comfort Solutions</w:t>
            </w:r>
          </w:p>
        </w:tc>
        <w:tc>
          <w:tcPr>
            <w:tcW w:w="200" w:type="dxa"/>
            <w:vAlign w:val="bottom"/>
          </w:tcPr>
          <w:p>
            <w:pPr>
              <w:spacing w:after="0"/>
              <w:rPr>
                <w:sz w:val="13"/>
                <w:szCs w:val="13"/>
                <w:color w:val="auto"/>
              </w:rPr>
            </w:pPr>
          </w:p>
        </w:tc>
        <w:tc>
          <w:tcPr>
            <w:tcW w:w="1680" w:type="dxa"/>
            <w:vAlign w:val="bottom"/>
            <w:gridSpan w:val="2"/>
          </w:tcPr>
          <w:p>
            <w:pPr>
              <w:ind w:left="80"/>
              <w:spacing w:after="0" w:line="154" w:lineRule="exact"/>
              <w:rPr>
                <w:sz w:val="20"/>
                <w:szCs w:val="20"/>
                <w:color w:val="auto"/>
              </w:rPr>
            </w:pPr>
            <w:r>
              <w:rPr>
                <w:rFonts w:ascii="Times New Roman" w:cs="Times New Roman" w:eastAsia="Times New Roman" w:hAnsi="Times New Roman"/>
                <w:sz w:val="16"/>
                <w:szCs w:val="16"/>
                <w:b w:val="1"/>
                <w:bCs w:val="1"/>
                <w:color w:val="auto"/>
              </w:rPr>
              <w:t>Building Climate</w:t>
            </w:r>
          </w:p>
        </w:tc>
        <w:tc>
          <w:tcPr>
            <w:tcW w:w="140" w:type="dxa"/>
            <w:vAlign w:val="bottom"/>
          </w:tcPr>
          <w:p>
            <w:pPr>
              <w:spacing w:after="0"/>
              <w:rPr>
                <w:sz w:val="13"/>
                <w:szCs w:val="13"/>
                <w:color w:val="auto"/>
              </w:rPr>
            </w:pP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260" w:type="dxa"/>
            <w:vAlign w:val="bottom"/>
          </w:tcPr>
          <w:p>
            <w:pPr>
              <w:spacing w:after="0"/>
              <w:rPr>
                <w:sz w:val="13"/>
                <w:szCs w:val="13"/>
                <w:color w:val="auto"/>
              </w:rPr>
            </w:pPr>
          </w:p>
        </w:tc>
        <w:tc>
          <w:tcPr>
            <w:tcW w:w="150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3820" w:type="dxa"/>
            <w:vAlign w:val="bottom"/>
            <w:vMerge w:val="continue"/>
          </w:tcPr>
          <w:p>
            <w:pPr>
              <w:spacing w:after="0"/>
              <w:rPr>
                <w:sz w:val="18"/>
                <w:szCs w:val="18"/>
                <w:color w:val="auto"/>
              </w:rPr>
            </w:pPr>
          </w:p>
        </w:tc>
        <w:tc>
          <w:tcPr>
            <w:tcW w:w="18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0" w:type="dxa"/>
            <w:vAlign w:val="bottom"/>
          </w:tcPr>
          <w:p>
            <w:pPr>
              <w:spacing w:after="0"/>
              <w:rPr>
                <w:sz w:val="1"/>
                <w:szCs w:val="1"/>
                <w:color w:val="auto"/>
              </w:rPr>
            </w:pPr>
          </w:p>
        </w:tc>
      </w:tr>
      <w:tr>
        <w:trPr>
          <w:trHeight w:val="22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27"/>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6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674.6</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372.5</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1,047.1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4"/>
        </w:trPr>
        <w:tc>
          <w:tcPr>
            <w:tcW w:w="3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8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580" w:type="dxa"/>
            <w:vAlign w:val="bottom"/>
            <w:tcBorders>
              <w:bottom w:val="single" w:sz="8" w:color="auto"/>
            </w:tcBorders>
            <w:gridSpan w:val="5"/>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2023</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Home Comfort Solutions</w:t>
            </w:r>
          </w:p>
        </w:tc>
        <w:tc>
          <w:tcPr>
            <w:tcW w:w="200" w:type="dxa"/>
            <w:vAlign w:val="bottom"/>
          </w:tcPr>
          <w:p>
            <w:pPr>
              <w:spacing w:after="0"/>
              <w:rPr>
                <w:sz w:val="13"/>
                <w:szCs w:val="13"/>
                <w:color w:val="auto"/>
              </w:rPr>
            </w:pPr>
          </w:p>
        </w:tc>
        <w:tc>
          <w:tcPr>
            <w:tcW w:w="168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Building Climate</w:t>
            </w:r>
          </w:p>
        </w:tc>
        <w:tc>
          <w:tcPr>
            <w:tcW w:w="140" w:type="dxa"/>
            <w:vAlign w:val="bottom"/>
          </w:tcPr>
          <w:p>
            <w:pPr>
              <w:spacing w:after="0"/>
              <w:rPr>
                <w:sz w:val="13"/>
                <w:szCs w:val="13"/>
                <w:color w:val="auto"/>
              </w:rPr>
            </w:pP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260" w:type="dxa"/>
            <w:vAlign w:val="bottom"/>
          </w:tcPr>
          <w:p>
            <w:pPr>
              <w:spacing w:after="0"/>
              <w:rPr>
                <w:sz w:val="13"/>
                <w:szCs w:val="13"/>
                <w:color w:val="auto"/>
              </w:rPr>
            </w:pPr>
          </w:p>
        </w:tc>
        <w:tc>
          <w:tcPr>
            <w:tcW w:w="150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3820" w:type="dxa"/>
            <w:vAlign w:val="bottom"/>
            <w:vMerge w:val="continue"/>
          </w:tcPr>
          <w:p>
            <w:pPr>
              <w:spacing w:after="0"/>
              <w:rPr>
                <w:sz w:val="18"/>
                <w:szCs w:val="18"/>
                <w:color w:val="auto"/>
              </w:rPr>
            </w:pPr>
          </w:p>
        </w:tc>
        <w:tc>
          <w:tcPr>
            <w:tcW w:w="18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4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933.9</w:t>
            </w:r>
          </w:p>
        </w:tc>
        <w:tc>
          <w:tcPr>
            <w:tcW w:w="0" w:type="dxa"/>
            <w:vAlign w:val="bottom"/>
          </w:tcPr>
          <w:p>
            <w:pPr>
              <w:spacing w:after="0"/>
              <w:rPr>
                <w:sz w:val="1"/>
                <w:szCs w:val="1"/>
                <w:color w:val="auto"/>
              </w:rPr>
            </w:pPr>
          </w:p>
        </w:tc>
      </w:tr>
      <w:tr>
        <w:trPr>
          <w:trHeight w:val="22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27"/>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6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2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681.0</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308.7</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59.7</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1,049.4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jc w:val="both"/>
        <w:ind w:firstLine="241"/>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Home Comfort Solutions </w:t>
      </w:r>
      <w:r>
        <w:rPr>
          <w:rFonts w:ascii="Times New Roman" w:cs="Times New Roman" w:eastAsia="Times New Roman" w:hAnsi="Times New Roman"/>
          <w:sz w:val="18"/>
          <w:szCs w:val="18"/>
          <w:color w:val="auto"/>
        </w:rPr>
        <w:t>- We manufacture and market a broad range of furnaces, air conditioners, heat pumps, packaged heating and cooling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stores or to independent distributors. For the three months ended March 31, 2024 and 2023, direct sales represented 74% and 70% of revenues, and sales to independent distributors represented the remainder. Given the nature of our business, customer product orders are fulfilled at a point in time and not over a period of time.</w:t>
      </w:r>
    </w:p>
    <w:p>
      <w:pPr>
        <w:spacing w:after="0" w:line="205" w:lineRule="exact"/>
        <w:rPr>
          <w:sz w:val="20"/>
          <w:szCs w:val="20"/>
          <w:color w:val="auto"/>
        </w:rPr>
      </w:pPr>
    </w:p>
    <w:p>
      <w:pPr>
        <w:jc w:val="both"/>
        <w:ind w:firstLine="241"/>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Building Climate Solutions </w:t>
      </w:r>
      <w:r>
        <w:rPr>
          <w:rFonts w:ascii="Times New Roman" w:cs="Times New Roman" w:eastAsia="Times New Roman" w:hAnsi="Times New Roman"/>
          <w:sz w:val="18"/>
          <w:szCs w:val="18"/>
          <w:color w:val="auto"/>
        </w:rPr>
        <w:t>- In North America, we manufacture and sell unitary heating and cooling equipment used in light commercial applications,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as low-rise office buildings, restaurants, retail centers, churches and schools. These products are distributed primarily through commercial contractors and directly to national account customers in the planned replacement, emergency replacement and new construction markets. We manufacture and market equipment for the commercial refrigeration markets under the Heatcraft Worldwide Refrigeration name. Our products are used in the food retail, food service, cold storage as well as non-food refrigeration markets. We sell these products to distributors, installing contractors, engineering design firms, original equipment manufacturers and end-users. Lennox National Account Services provides installation, service and preventive maintenance for HVAC national account customers in the United States and Canada. AES manufactures curb, curb adapters, drop box diffusers, offers HVAC recycling and salvage services and focuses on multi-family HVAC replacement for expired mechanical assets. Revenue related to service contracts is recognized as the services are performed under the contract based on the relative fair value of the services provided. For the three months ended March 31, 2024 and 2023, equipment sales represented 83% and 85% of revenues and the remainder of our revenue was generated from our service business.</w:t>
      </w:r>
    </w:p>
    <w:p>
      <w:pPr>
        <w:spacing w:after="0" w:line="213" w:lineRule="exact"/>
        <w:rPr>
          <w:sz w:val="20"/>
          <w:szCs w:val="20"/>
          <w:color w:val="auto"/>
        </w:rPr>
      </w:pPr>
    </w:p>
    <w:p>
      <w:pPr>
        <w:jc w:val="both"/>
        <w:ind w:firstLine="241"/>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Corporate and Other </w:t>
      </w:r>
      <w:r>
        <w:rPr>
          <w:rFonts w:ascii="Times New Roman" w:cs="Times New Roman" w:eastAsia="Times New Roman" w:hAnsi="Times New Roman"/>
          <w:sz w:val="18"/>
          <w:szCs w:val="18"/>
          <w:color w:val="auto"/>
        </w:rPr>
        <w:t>- In Europe, we manufactured and marketed equipment for the global commercial refrigeration markets. We also manufactured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sold unitary heating and cooling products and applied systems. A de minimis amount of segment revenue related to services for start-up and commissioning activities. In the fourth quarter of 2023, we completed the divestiture of our European operations</w:t>
      </w:r>
      <w:r>
        <w:rPr>
          <w:rFonts w:ascii="Times New Roman" w:cs="Times New Roman" w:eastAsia="Times New Roman" w:hAnsi="Times New Roman"/>
          <w:sz w:val="16"/>
          <w:szCs w:val="16"/>
          <w:color w:val="auto"/>
        </w:rPr>
        <w:t>.</w:t>
      </w:r>
    </w:p>
    <w:p>
      <w:pPr>
        <w:spacing w:after="0" w:line="2" w:lineRule="exact"/>
        <w:rPr>
          <w:sz w:val="20"/>
          <w:szCs w:val="20"/>
          <w:color w:val="auto"/>
        </w:rPr>
      </w:pPr>
    </w:p>
    <w:p>
      <w:pPr>
        <w:jc w:val="both"/>
        <w:ind w:firstLine="24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Contract Liabilities </w:t>
      </w:r>
      <w:r>
        <w:rPr>
          <w:rFonts w:ascii="Times New Roman" w:cs="Times New Roman" w:eastAsia="Times New Roman" w:hAnsi="Times New Roman"/>
          <w:sz w:val="18"/>
          <w:szCs w:val="18"/>
          <w:color w:val="auto"/>
        </w:rPr>
        <w:t>- Our contract liabilities consist of advance payments and deferred revenue. Net contract liabilities consisted of the following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millions) as of:</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4"/>
        </w:trPr>
        <w:tc>
          <w:tcPr>
            <w:tcW w:w="716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560" w:type="dxa"/>
            <w:vAlign w:val="bottom"/>
          </w:tcPr>
          <w:p>
            <w:pPr>
              <w:jc w:val="right"/>
              <w:ind w:right="13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1.9</w:t>
            </w:r>
          </w:p>
        </w:tc>
        <w:tc>
          <w:tcPr>
            <w:tcW w:w="12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156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45"/>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60" w:type="dxa"/>
            <w:vAlign w:val="bottom"/>
            <w:tcBorders>
              <w:bottom w:val="single" w:sz="8" w:color="auto"/>
            </w:tcBorders>
            <w:shd w:val="clear" w:color="auto" w:fill="CCEEFF"/>
          </w:tcPr>
          <w:p>
            <w:pPr>
              <w:jc w:val="right"/>
              <w:ind w:right="13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For the three months ended March 31, 2024 and 2023, we recognized revenue of $5.7 million and $3.0 million related to our contract liabilities at January 1, 2024 and 2023, respectively. Impairment losses recognized in our receivables and contract assets were de minimis in 2024 and 2023.</w:t>
      </w:r>
    </w:p>
    <w:p>
      <w:pPr>
        <w:spacing w:after="0" w:line="186" w:lineRule="exact"/>
        <w:rPr>
          <w:sz w:val="20"/>
          <w:szCs w:val="20"/>
          <w:color w:val="auto"/>
        </w:rPr>
      </w:pPr>
    </w:p>
    <w:p>
      <w:pPr>
        <w:ind w:right="8400" w:firstLine="7"/>
        <w:spacing w:after="0" w:line="261" w:lineRule="auto"/>
        <w:tabs>
          <w:tab w:leader="none" w:pos="178"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Financial Statement Details: Inventories:</w:t>
      </w: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inventories are as follows (in millions) as of:</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176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parts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r>
      <w:tr>
        <w:trPr>
          <w:trHeight w:val="220"/>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of current cost over last-in, first-out cost</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 net</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823.4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699.1</w:t>
            </w:r>
          </w:p>
        </w:tc>
      </w:tr>
      <w:tr>
        <w:trPr>
          <w:trHeight w:val="20"/>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changes in the carrying amount of goodwill in 2024, in total and by segment, are summarized in the table below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Balance as of</w:t>
            </w:r>
          </w:p>
        </w:tc>
        <w:tc>
          <w:tcPr>
            <w:tcW w:w="280" w:type="dxa"/>
            <w:vAlign w:val="bottom"/>
          </w:tcPr>
          <w:p>
            <w:pPr>
              <w:spacing w:after="0"/>
              <w:rPr>
                <w:sz w:val="16"/>
                <w:szCs w:val="16"/>
                <w:color w:val="auto"/>
              </w:rPr>
            </w:pPr>
          </w:p>
        </w:tc>
        <w:tc>
          <w:tcPr>
            <w:tcW w:w="16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Balance as of March 31,</w:t>
            </w:r>
          </w:p>
        </w:tc>
      </w:tr>
      <w:tr>
        <w:trPr>
          <w:trHeight w:val="214"/>
        </w:trPr>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80" w:type="dxa"/>
            <w:vAlign w:val="bottom"/>
          </w:tcPr>
          <w:p>
            <w:pPr>
              <w:spacing w:after="0"/>
              <w:rPr>
                <w:sz w:val="18"/>
                <w:szCs w:val="18"/>
                <w:color w:val="auto"/>
              </w:rPr>
            </w:pPr>
          </w:p>
        </w:tc>
        <w:tc>
          <w:tcPr>
            <w:tcW w:w="1620" w:type="dxa"/>
            <w:vAlign w:val="bottom"/>
            <w:gridSpan w:val="2"/>
          </w:tcPr>
          <w:p>
            <w:pPr>
              <w:ind w:left="180"/>
              <w:spacing w:after="0" w:line="214" w:lineRule="exact"/>
              <w:rPr>
                <w:sz w:val="20"/>
                <w:szCs w:val="20"/>
                <w:color w:val="auto"/>
              </w:rPr>
            </w:pPr>
            <w:r>
              <w:rPr>
                <w:rFonts w:ascii="Times New Roman" w:cs="Times New Roman" w:eastAsia="Times New Roman" w:hAnsi="Times New Roman"/>
                <w:sz w:val="16"/>
                <w:szCs w:val="16"/>
                <w:b w:val="1"/>
                <w:bCs w:val="1"/>
                <w:color w:val="auto"/>
              </w:rPr>
              <w:t xml:space="preserve">Adjustment </w:t>
            </w:r>
            <w:r>
              <w:rPr>
                <w:rFonts w:ascii="Times New Roman" w:cs="Times New Roman" w:eastAsia="Times New Roman" w:hAnsi="Times New Roman"/>
                <w:sz w:val="20"/>
                <w:szCs w:val="20"/>
                <w:b w:val="1"/>
                <w:bCs w:val="1"/>
                <w:color w:val="auto"/>
                <w:vertAlign w:val="superscript"/>
              </w:rPr>
              <w:t>(1)</w:t>
            </w:r>
          </w:p>
        </w:tc>
        <w:tc>
          <w:tcPr>
            <w:tcW w:w="420" w:type="dxa"/>
            <w:vAlign w:val="bottom"/>
          </w:tcPr>
          <w:p>
            <w:pPr>
              <w:spacing w:after="0"/>
              <w:rPr>
                <w:sz w:val="18"/>
                <w:szCs w:val="18"/>
                <w:color w:val="auto"/>
              </w:rPr>
            </w:pPr>
          </w:p>
        </w:tc>
        <w:tc>
          <w:tcPr>
            <w:tcW w:w="1340" w:type="dxa"/>
            <w:vAlign w:val="bottom"/>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0"/>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7"/>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Building Climate Solutions </w:t>
            </w:r>
            <w:r>
              <w:rPr>
                <w:rFonts w:ascii="Times New Roman" w:cs="Times New Roman" w:eastAsia="Times New Roman" w:hAnsi="Times New Roman"/>
                <w:sz w:val="10"/>
                <w:szCs w:val="10"/>
                <w:color w:val="auto"/>
              </w:rPr>
              <w:t>(1)</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r>
      <w:tr>
        <w:trPr>
          <w:trHeight w:val="245"/>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Goodwill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222.1</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219.9</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left="820" w:hanging="172"/>
        <w:spacing w:after="0"/>
        <w:tabs>
          <w:tab w:leader="none" w:pos="82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discussed in Note 13, an update to our purchase price allocation of AES resulted in a $2.2 million reduction of goodwill.</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monitor our reporting units for indicators of impairment throughout the year to determine if a change in facts or circumstances warrants a re-evaluation of our goodwill. We have not recorded any goodwill impairments for the three months ended March 31, 2024 or in any periods presented for our continuing businesses.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Objectives and Strategies for Using Derivative Instruments</w:t>
      </w:r>
    </w:p>
    <w:p>
      <w:pPr>
        <w:spacing w:after="0" w:line="249"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Commodity Price Risk - </w:t>
      </w:r>
      <w:r>
        <w:rPr>
          <w:rFonts w:ascii="Times New Roman" w:cs="Times New Roman" w:eastAsia="Times New Roman" w:hAnsi="Times New Roman"/>
          <w:sz w:val="18"/>
          <w:szCs w:val="18"/>
          <w:color w:val="auto"/>
        </w:rPr>
        <w:t>We utilize a cash flow hedging program to mitigate our exposure to volatility in the prices of metal commodities used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and lower percentages are hedged at future dates. This strategy allows for protection against near-term price volatility while allowing us to adjust to market price movements over time.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sectPr>
      </w:pPr>
    </w:p>
    <w:bookmarkStart w:id="13" w:name="page14"/>
    <w:bookmarkEnd w:id="13"/>
    <w:p>
      <w:pPr>
        <w:jc w:val="both"/>
        <w:ind w:firstLine="241"/>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Interest Rate Risk - </w:t>
      </w:r>
      <w:r>
        <w:rPr>
          <w:rFonts w:ascii="Times New Roman" w:cs="Times New Roman" w:eastAsia="Times New Roman" w:hAnsi="Times New Roman"/>
          <w:sz w:val="18"/>
          <w:szCs w:val="18"/>
          <w:color w:val="auto"/>
        </w:rPr>
        <w:t>A portion of our debt bears interest at variable rates, and as a result, we are subject to variability in the cash paid for interest.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mitigate a portion of that risk, we may choose to engage in an interest rate swap hedging strategy to eliminate the variability of interest payment cash flows. We are not currently hedged against interest rate risk.</w:t>
      </w:r>
    </w:p>
    <w:p>
      <w:pPr>
        <w:spacing w:after="0" w:line="201" w:lineRule="exact"/>
        <w:rPr>
          <w:sz w:val="20"/>
          <w:szCs w:val="20"/>
          <w:color w:val="auto"/>
        </w:rPr>
      </w:pPr>
    </w:p>
    <w:p>
      <w:pPr>
        <w:jc w:val="both"/>
        <w:ind w:firstLine="241"/>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Foreign Currency Risk - </w:t>
      </w:r>
      <w:r>
        <w:rPr>
          <w:rFonts w:ascii="Times New Roman" w:cs="Times New Roman" w:eastAsia="Times New Roman" w:hAnsi="Times New Roman"/>
          <w:sz w:val="18"/>
          <w:szCs w:val="18"/>
          <w:color w:val="auto"/>
        </w:rPr>
        <w:t>Foreign currency exchange rate movements create a degree of risk by affecting the U.S. dollar value of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51"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We have foreign exchange forward contracts and commodity futures contracts designated as cash flow hedges that are scheduled to mature through August 2025. Unrealized gains or losses from our cash flow hedges are included in Accumulated other comprehensive loss (“AOCL”) and are expected to be reclassified into earnings within the next 17 months based on the prices of the commodities and foreign currencies at the settlement dates. We recorded the following amounts in AOCL related to our cash flow hedges (in millions) as of:</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6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losses (gains), net on unsettled contracts</w:t>
            </w:r>
          </w:p>
        </w:tc>
        <w:tc>
          <w:tcPr>
            <w:tcW w:w="1560" w:type="dxa"/>
            <w:vAlign w:val="bottom"/>
            <w:shd w:val="clear" w:color="auto" w:fill="CCEEFF"/>
          </w:tcPr>
          <w:p>
            <w:pPr>
              <w:jc w:val="right"/>
              <w:ind w:right="13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rPr>
              <w:t>2.6</w:t>
            </w:r>
          </w:p>
        </w:tc>
      </w:tr>
      <w:tr>
        <w:trPr>
          <w:trHeight w:val="22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left="1293"/>
              <w:spacing w:after="0"/>
              <w:rPr>
                <w:sz w:val="20"/>
                <w:szCs w:val="20"/>
                <w:color w:val="auto"/>
              </w:rPr>
            </w:pPr>
            <w:r>
              <w:rPr>
                <w:rFonts w:ascii="Times New Roman" w:cs="Times New Roman" w:eastAsia="Times New Roman" w:hAnsi="Times New Roman"/>
                <w:sz w:val="18"/>
                <w:szCs w:val="18"/>
                <w:color w:val="auto"/>
                <w:w w:val="98"/>
              </w:rPr>
              <w:t>(0.6)</w:t>
            </w:r>
          </w:p>
        </w:tc>
      </w:tr>
      <w:tr>
        <w:trPr>
          <w:trHeight w:val="245"/>
        </w:trPr>
        <w:tc>
          <w:tcPr>
            <w:tcW w:w="7160" w:type="dxa"/>
            <w:vAlign w:val="bottom"/>
            <w:tcBorders>
              <w:bottom w:val="single" w:sz="8" w:color="CCEEFF"/>
            </w:tcBorders>
            <w:shd w:val="clear" w:color="auto" w:fill="CCEEFF"/>
          </w:tcPr>
          <w:p>
            <w:pPr>
              <w:ind w:left="220"/>
              <w:spacing w:after="0" w:line="221" w:lineRule="exact"/>
              <w:rPr>
                <w:sz w:val="20"/>
                <w:szCs w:val="20"/>
                <w:color w:val="auto"/>
              </w:rPr>
            </w:pPr>
            <w:r>
              <w:rPr>
                <w:rFonts w:ascii="Times New Roman" w:cs="Times New Roman" w:eastAsia="Times New Roman" w:hAnsi="Times New Roman"/>
                <w:sz w:val="18"/>
                <w:szCs w:val="18"/>
                <w:color w:val="auto"/>
              </w:rPr>
              <w:t xml:space="preserve">Unrealized losses (gains), net included in AOCL, net of tax </w:t>
            </w:r>
            <w:r>
              <w:rPr>
                <w:rFonts w:ascii="Times New Roman" w:cs="Times New Roman" w:eastAsia="Times New Roman" w:hAnsi="Times New Roman"/>
                <w:sz w:val="23"/>
                <w:szCs w:val="23"/>
                <w:color w:val="auto"/>
                <w:vertAlign w:val="superscript"/>
              </w:rPr>
              <w:t>(1)</w:t>
            </w:r>
          </w:p>
        </w:tc>
        <w:tc>
          <w:tcPr>
            <w:tcW w:w="1560" w:type="dxa"/>
            <w:vAlign w:val="bottom"/>
            <w:tcBorders>
              <w:bottom w:val="single" w:sz="8" w:color="auto"/>
            </w:tcBorders>
            <w:shd w:val="clear" w:color="auto" w:fill="CCEEFF"/>
          </w:tcPr>
          <w:p>
            <w:pPr>
              <w:jc w:val="right"/>
              <w:ind w:right="13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480" w:hanging="153"/>
        <w:spacing w:after="0" w:line="238" w:lineRule="auto"/>
        <w:tabs>
          <w:tab w:leader="none" w:pos="501"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Assuming commodity prices and foreign currency exchange rates remain constant, we expect to reclassify $0.2 million of derivative gain as of March 31, 2024 into earnings within the next 12 months.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1"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We issue various long-term incentive awards, including performance share units, restricted stock units and stock appreciation rights under the Lennox International Inc. 2019 Equity and Incentive Plan, as it may be amended and restated from time to time. Stock-based compensation expense related to continuing operations is included in Selling, general and administrative expenses in the accompanying Consolidated Statements of Operations as follows (in millions):</w:t>
      </w:r>
    </w:p>
    <w:p>
      <w:pPr>
        <w:spacing w:after="0" w:line="11"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4542790</wp:posOffset>
            </wp:positionH>
            <wp:positionV relativeFrom="paragraph">
              <wp:posOffset>20320</wp:posOffset>
            </wp:positionV>
            <wp:extent cx="25958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5880" cy="8255"/>
                    </a:xfrm>
                    <a:prstGeom prst="rect">
                      <a:avLst/>
                    </a:prstGeom>
                    <a:noFill/>
                  </pic:spPr>
                </pic:pic>
              </a:graphicData>
            </a:graphic>
          </wp:anchor>
        </w:drawing>
      </w:r>
    </w:p>
    <w:p>
      <w:pPr>
        <w:spacing w:after="0" w:line="23" w:lineRule="exact"/>
        <w:rPr>
          <w:sz w:val="20"/>
          <w:szCs w:val="20"/>
          <w:color w:val="auto"/>
        </w:rPr>
      </w:pPr>
    </w:p>
    <w:p>
      <w:pPr>
        <w:ind w:left="7980"/>
        <w:spacing w:after="0"/>
        <w:tabs>
          <w:tab w:leader="none" w:pos="1008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33590" cy="152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3590" cy="152400"/>
                    </a:xfrm>
                    <a:prstGeom prst="rect">
                      <a:avLst/>
                    </a:prstGeom>
                    <a:noFill/>
                  </pic:spPr>
                </pic:pic>
              </a:graphicData>
            </a:graphic>
          </wp:anchor>
        </w:drawing>
      </w:r>
    </w:p>
    <w:p>
      <w:pPr>
        <w:spacing w:after="0" w:line="21" w:lineRule="exact"/>
        <w:rPr>
          <w:sz w:val="20"/>
          <w:szCs w:val="20"/>
          <w:color w:val="auto"/>
        </w:rPr>
      </w:pPr>
    </w:p>
    <w:p>
      <w:pPr>
        <w:ind w:left="20"/>
        <w:spacing w:after="0"/>
        <w:tabs>
          <w:tab w:leader="none" w:pos="7160" w:val="left"/>
          <w:tab w:leader="none" w:pos="8820" w:val="left"/>
          <w:tab w:leader="none" w:pos="9260" w:val="left"/>
          <w:tab w:leader="none" w:pos="10920" w:val="left"/>
        </w:tabs>
        <w:rPr>
          <w:sz w:val="20"/>
          <w:szCs w:val="20"/>
          <w:color w:val="auto"/>
        </w:rPr>
      </w:pPr>
      <w:r>
        <w:rPr>
          <w:rFonts w:ascii="Times New Roman" w:cs="Times New Roman" w:eastAsia="Times New Roman" w:hAnsi="Times New Roman"/>
          <w:sz w:val="18"/>
          <w:szCs w:val="18"/>
          <w:color w:val="auto"/>
        </w:rPr>
        <w:t>Stock-based compensation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6.6</w:t>
        <w:tab/>
        <w:t>$</w:t>
      </w:r>
      <w:r>
        <w:rPr>
          <w:sz w:val="20"/>
          <w:szCs w:val="20"/>
          <w:color w:val="auto"/>
        </w:rPr>
        <w:tab/>
      </w:r>
      <w:r>
        <w:rPr>
          <w:rFonts w:ascii="Times New Roman" w:cs="Times New Roman" w:eastAsia="Times New Roman" w:hAnsi="Times New Roman"/>
          <w:sz w:val="18"/>
          <w:szCs w:val="18"/>
          <w:color w:val="auto"/>
        </w:rPr>
        <w:t>6.1</w:t>
      </w:r>
    </w:p>
    <w:p>
      <w:pPr>
        <w:spacing w:after="0" w:line="327" w:lineRule="exact"/>
        <w:rPr>
          <w:sz w:val="20"/>
          <w:szCs w:val="20"/>
          <w:color w:val="auto"/>
        </w:rPr>
      </w:pPr>
    </w:p>
    <w:p>
      <w:pPr>
        <w:jc w:val="both"/>
        <w:ind w:firstLine="241"/>
        <w:spacing w:after="0" w:line="272" w:lineRule="auto"/>
        <w:rPr>
          <w:sz w:val="20"/>
          <w:szCs w:val="20"/>
          <w:color w:val="auto"/>
        </w:rPr>
      </w:pPr>
      <w:r>
        <w:rPr>
          <w:rFonts w:ascii="Times New Roman" w:cs="Times New Roman" w:eastAsia="Times New Roman" w:hAnsi="Times New Roman"/>
          <w:sz w:val="18"/>
          <w:szCs w:val="18"/>
          <w:color w:val="auto"/>
        </w:rPr>
        <w:t>Historically, our annual equity awards were granted in December. However, starting in 2024, we made the decision to move our annual grant to February on a go-forward basis. Equity awards granted in February 2024 were as follows:</w:t>
      </w:r>
    </w:p>
    <w:tbl>
      <w:tblPr>
        <w:tblLayout w:type="fixed"/>
        <w:tblInd w:w="0" w:type="dxa"/>
        <w:tblCellMar>
          <w:top w:w="0" w:type="dxa"/>
          <w:left w:w="0" w:type="dxa"/>
          <w:bottom w:w="0" w:type="dxa"/>
          <w:right w:w="0" w:type="dxa"/>
        </w:tblCellMar>
      </w:tblPr>
      <w:tr>
        <w:trPr>
          <w:trHeight w:val="164"/>
        </w:trPr>
        <w:tc>
          <w:tcPr>
            <w:tcW w:w="7160" w:type="dxa"/>
            <w:vAlign w:val="bottom"/>
          </w:tcPr>
          <w:p>
            <w:pPr>
              <w:spacing w:after="0"/>
              <w:rPr>
                <w:sz w:val="14"/>
                <w:szCs w:val="14"/>
                <w:color w:val="auto"/>
              </w:rPr>
            </w:pPr>
          </w:p>
        </w:tc>
        <w:tc>
          <w:tcPr>
            <w:tcW w:w="2100" w:type="dxa"/>
            <w:vAlign w:val="bottom"/>
            <w:gridSpan w:val="2"/>
            <w:vMerge w:val="restart"/>
          </w:tcPr>
          <w:p>
            <w:pPr>
              <w:ind w:left="7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98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auto"/>
              </w:rPr>
              <w:t>Weighted - Average Grant</w:t>
            </w:r>
          </w:p>
        </w:tc>
        <w:tc>
          <w:tcPr>
            <w:tcW w:w="0" w:type="dxa"/>
            <w:vAlign w:val="bottom"/>
          </w:tcPr>
          <w:p>
            <w:pPr>
              <w:spacing w:after="0"/>
              <w:rPr>
                <w:sz w:val="1"/>
                <w:szCs w:val="1"/>
                <w:color w:val="auto"/>
              </w:rPr>
            </w:pPr>
          </w:p>
        </w:tc>
      </w:tr>
      <w:tr>
        <w:trPr>
          <w:trHeight w:val="212"/>
        </w:trPr>
        <w:tc>
          <w:tcPr>
            <w:tcW w:w="7160" w:type="dxa"/>
            <w:vAlign w:val="bottom"/>
          </w:tcPr>
          <w:p>
            <w:pPr>
              <w:spacing w:after="0"/>
              <w:rPr>
                <w:sz w:val="18"/>
                <w:szCs w:val="18"/>
                <w:color w:val="auto"/>
              </w:rPr>
            </w:pPr>
          </w:p>
        </w:tc>
        <w:tc>
          <w:tcPr>
            <w:tcW w:w="2100" w:type="dxa"/>
            <w:vAlign w:val="bottom"/>
            <w:gridSpan w:val="2"/>
            <w:vMerge w:val="continue"/>
          </w:tcPr>
          <w:p>
            <w:pPr>
              <w:spacing w:after="0"/>
              <w:rPr>
                <w:sz w:val="18"/>
                <w:szCs w:val="18"/>
                <w:color w:val="auto"/>
              </w:rPr>
            </w:pPr>
          </w:p>
        </w:tc>
        <w:tc>
          <w:tcPr>
            <w:tcW w:w="1980" w:type="dxa"/>
            <w:vAlign w:val="bottom"/>
            <w:gridSpan w:val="2"/>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Date Fair Value per Share</w:t>
            </w:r>
          </w:p>
        </w:tc>
        <w:tc>
          <w:tcPr>
            <w:tcW w:w="0" w:type="dxa"/>
            <w:vAlign w:val="bottom"/>
          </w:tcPr>
          <w:p>
            <w:pPr>
              <w:spacing w:after="0"/>
              <w:rPr>
                <w:sz w:val="1"/>
                <w:szCs w:val="1"/>
                <w:color w:val="auto"/>
              </w:rPr>
            </w:pPr>
          </w:p>
        </w:tc>
      </w:tr>
      <w:tr>
        <w:trPr>
          <w:trHeight w:val="222"/>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19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23,690</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403.68</w:t>
            </w:r>
          </w:p>
        </w:tc>
        <w:tc>
          <w:tcPr>
            <w:tcW w:w="0" w:type="dxa"/>
            <w:vAlign w:val="bottom"/>
          </w:tcPr>
          <w:p>
            <w:pPr>
              <w:spacing w:after="0"/>
              <w:rPr>
                <w:sz w:val="1"/>
                <w:szCs w:val="1"/>
                <w:color w:val="auto"/>
              </w:rPr>
            </w:pP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27,391</w:t>
            </w:r>
          </w:p>
        </w:tc>
        <w:tc>
          <w:tcPr>
            <w:tcW w:w="120" w:type="dxa"/>
            <w:vAlign w:val="bottom"/>
          </w:tcPr>
          <w:p>
            <w:pPr>
              <w:spacing w:after="0"/>
              <w:rPr>
                <w:sz w:val="19"/>
                <w:szCs w:val="19"/>
                <w:color w:val="auto"/>
              </w:rPr>
            </w:pPr>
          </w:p>
        </w:tc>
        <w:tc>
          <w:tcPr>
            <w:tcW w:w="76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403.68</w:t>
            </w:r>
          </w:p>
        </w:tc>
        <w:tc>
          <w:tcPr>
            <w:tcW w:w="0" w:type="dxa"/>
            <w:vAlign w:val="bottom"/>
          </w:tcPr>
          <w:p>
            <w:pPr>
              <w:spacing w:after="0"/>
              <w:rPr>
                <w:sz w:val="1"/>
                <w:szCs w:val="1"/>
                <w:color w:val="auto"/>
              </w:rPr>
            </w:pP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1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47,245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136.37</w:t>
            </w: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Pension Benefit Plans: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net periodic benefit cost for pension benefits were as follows (in millions):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4"/>
        </w:trPr>
        <w:tc>
          <w:tcPr>
            <w:tcW w:w="7160" w:type="dxa"/>
            <w:vAlign w:val="bottom"/>
            <w:tcBorders>
              <w:bottom w:val="single" w:sz="8" w:color="CCEEFF"/>
            </w:tcBorders>
          </w:tcPr>
          <w:p>
            <w:pPr>
              <w:spacing w:after="0"/>
              <w:rPr>
                <w:sz w:val="18"/>
                <w:szCs w:val="18"/>
                <w:color w:val="auto"/>
              </w:rPr>
            </w:pPr>
          </w:p>
        </w:tc>
        <w:tc>
          <w:tcPr>
            <w:tcW w:w="356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520" w:type="dxa"/>
            <w:vAlign w:val="bottom"/>
            <w:tcBorders>
              <w:bottom w:val="single" w:sz="8" w:color="auto"/>
            </w:tcBorders>
          </w:tcPr>
          <w:p>
            <w:pPr>
              <w:spacing w:after="0"/>
              <w:rPr>
                <w:sz w:val="18"/>
                <w:szCs w:val="18"/>
                <w:color w:val="auto"/>
              </w:rPr>
            </w:pPr>
          </w:p>
        </w:tc>
      </w:tr>
      <w:tr>
        <w:trPr>
          <w:trHeight w:val="210"/>
        </w:trPr>
        <w:tc>
          <w:tcPr>
            <w:tcW w:w="716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shd w:val="clear" w:color="auto" w:fill="CCEEFF"/>
          </w:tcPr>
          <w:p>
            <w:pPr>
              <w:spacing w:after="0"/>
              <w:rPr>
                <w:sz w:val="18"/>
                <w:szCs w:val="18"/>
                <w:color w:val="auto"/>
              </w:rPr>
            </w:pP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380" w:type="dxa"/>
            <w:vAlign w:val="bottom"/>
          </w:tcPr>
          <w:p>
            <w:pPr>
              <w:jc w:val="right"/>
              <w:ind w:right="11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460" w:type="dxa"/>
            <w:vAlign w:val="bottom"/>
          </w:tcPr>
          <w:p>
            <w:pPr>
              <w:jc w:val="right"/>
              <w:ind w:right="12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0.6</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2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rPr>
              <w:t>2.2</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8"/>
              </w:rPr>
              <w:t>(2.4)</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1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2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rPr>
              <w:t>0.2</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8"/>
              </w:rPr>
              <w:t>(0.1)</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and curtailments</w:t>
            </w:r>
          </w:p>
        </w:tc>
        <w:tc>
          <w:tcPr>
            <w:tcW w:w="13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spacing w:after="0"/>
              <w:rPr>
                <w:sz w:val="19"/>
                <w:szCs w:val="19"/>
                <w:color w:val="auto"/>
              </w:rPr>
            </w:pPr>
          </w:p>
        </w:tc>
        <w:tc>
          <w:tcPr>
            <w:tcW w:w="52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rPr>
              <w:t>0.2</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1380" w:type="dxa"/>
            <w:vAlign w:val="bottom"/>
            <w:tcBorders>
              <w:top w:val="single" w:sz="8" w:color="auto"/>
              <w:bottom w:val="single" w:sz="8" w:color="auto"/>
            </w:tcBorders>
          </w:tcPr>
          <w:p>
            <w:pPr>
              <w:jc w:val="right"/>
              <w:ind w:right="11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ind w:right="1254"/>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rPr>
              <w:t>0.7</w:t>
            </w:r>
          </w:p>
        </w:tc>
      </w:tr>
      <w:tr>
        <w:trPr>
          <w:trHeight w:val="20"/>
        </w:trPr>
        <w:tc>
          <w:tcPr>
            <w:tcW w:w="7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51"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As of March 31, 2024, we had approximately $4.3 million in total gross unrecognized tax benefits. If recognized, $4.3 million would be recorded through the Consolidated Statements of Operations.</w:t>
      </w:r>
    </w:p>
    <w:p>
      <w:pPr>
        <w:spacing w:after="0" w:line="190"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Our effective tax rate was 19.4% for the three months ended March 31, 2024 compared to 21.7% for the three months ended March 31, 2023. The decrease in the rate is primarily due to a discrete favorable adjustment for excess tax benefits in 2024 and unfavorable adjustments in 2023 related to discrete return to provision adjustments.</w:t>
      </w:r>
    </w:p>
    <w:p>
      <w:pPr>
        <w:spacing w:after="0" w:line="204"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are currently under a limited scope audit by the Internal Revenue Service for our 2021 and 2022 tax years. There are also ongoing U.S. state and local audits and other foreign audits covering fiscal years 2017 through 2023. We are generally no longer subject to U.S. federal, state and local, or non-U.S. income tax examinations by taxing authorities for years prior to 2017.</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Lines of Credit and Financing Arrangements: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outstanding debt obligations and their classification in the accompanying Consolidated Balance Sheets (in millions)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paper</w:t>
            </w:r>
          </w:p>
        </w:tc>
        <w:tc>
          <w:tcPr>
            <w:tcW w:w="28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67"/>
        </w:trPr>
        <w:tc>
          <w:tcPr>
            <w:tcW w:w="7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maturities of long-term debt:</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0"/>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0"/>
        </w:trPr>
        <w:tc>
          <w:tcPr>
            <w:tcW w:w="7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long-term debt</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1,143.1</w:t>
            </w:r>
          </w:p>
        </w:tc>
      </w:tr>
      <w:tr>
        <w:trPr>
          <w:trHeight w:val="245"/>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1,426.2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1,305.2</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Obligations</w:t>
      </w:r>
    </w:p>
    <w:p>
      <w:pPr>
        <w:spacing w:after="0" w:line="249"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Through several of our foreign subsidiaries, we have facilities available to assist us in financing seasonal borrowing needs for our foreign locations. We had no outstanding foreign obligations as of March 31, 2024 or December 31, 2023 and there were no borrowings or repayments on these facilities during the three months ended March 31,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236"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On October 25, 2023, we established a commercial paper program (the “Program”), as a replacement to our Asset Securitization Program which expired in November 2023, pursuant to which we may issue short-term, unsecured commercial</w:t>
      </w:r>
    </w:p>
    <w:p>
      <w:pPr>
        <w:sectPr>
          <w:pgSz w:w="11900" w:h="16838" w:orient="portrait"/>
          <w:cols w:equalWidth="0" w:num="1">
            <w:col w:w="11240"/>
          </w:cols>
          <w:pgMar w:left="320" w:top="925" w:right="3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type w:val="continuous"/>
        </w:sectPr>
      </w:pPr>
    </w:p>
    <w:bookmarkStart w:id="15" w:name="page16"/>
    <w:bookmarkEnd w:id="15"/>
    <w:p>
      <w:pPr>
        <w:jc w:val="both"/>
        <w:spacing w:after="0" w:line="238" w:lineRule="auto"/>
        <w:rPr>
          <w:sz w:val="20"/>
          <w:szCs w:val="20"/>
          <w:color w:val="auto"/>
        </w:rPr>
      </w:pPr>
      <w:r>
        <w:rPr>
          <w:rFonts w:ascii="Times New Roman" w:cs="Times New Roman" w:eastAsia="Times New Roman" w:hAnsi="Times New Roman"/>
          <w:sz w:val="18"/>
          <w:szCs w:val="18"/>
          <w:color w:val="auto"/>
        </w:rPr>
        <w:t>paper notes (the “CP Notes”) under the exemption from registration contained in Section 4(a)(2) of the Securities Act of 1933, as amended. Amounts available under the Program may be borrowed, repaid, and re-borrowed from time to time, with the aggregate face or principal amount of the CP Notes outstanding under the Program at any time not to exceed $500.0 million. The CP Notes have maturities of up to 397 days from the date of issue and rank pari passu with all of our other unsecured and unsubordinated indebtedness. The net proceeds from issuances of the CP Notes are typically used for general corporate purposes. Our revolving credit facility serves as a liquidity backstop for the repayment of CP Notes outstanding under the Program. CP Notes currently outstanding under the Program totaled $250.0 million as of March 31, 2024.</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weighted average borrowing rate on the Program was as follows as of:</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60" w:type="dxa"/>
            <w:vAlign w:val="bottom"/>
          </w:tcPr>
          <w:p>
            <w:pPr>
              <w:spacing w:after="0"/>
              <w:rPr>
                <w:sz w:val="18"/>
                <w:szCs w:val="18"/>
                <w:color w:val="auto"/>
              </w:rPr>
            </w:pPr>
          </w:p>
        </w:tc>
        <w:tc>
          <w:tcPr>
            <w:tcW w:w="220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8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borrowing rate</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5.56 %</w:t>
            </w:r>
          </w:p>
        </w:tc>
        <w:tc>
          <w:tcPr>
            <w:tcW w:w="14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5.66 %</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49" w:lineRule="exact"/>
        <w:rPr>
          <w:sz w:val="20"/>
          <w:szCs w:val="20"/>
          <w:color w:val="auto"/>
        </w:rPr>
      </w:pPr>
    </w:p>
    <w:p>
      <w:pPr>
        <w:jc w:val="both"/>
        <w:ind w:firstLine="241"/>
        <w:spacing w:after="0" w:line="244" w:lineRule="auto"/>
        <w:rPr>
          <w:sz w:val="20"/>
          <w:szCs w:val="20"/>
          <w:color w:val="auto"/>
        </w:rPr>
      </w:pPr>
      <w:r>
        <w:rPr>
          <w:rFonts w:ascii="Times New Roman" w:cs="Times New Roman" w:eastAsia="Times New Roman" w:hAnsi="Times New Roman"/>
          <w:sz w:val="18"/>
          <w:szCs w:val="18"/>
          <w:color w:val="auto"/>
        </w:rPr>
        <w:t>We have an existing $1.1 billion unsecured revolving credit facility dated as of July 14, 2021 (as amended, the "Credit Agreement"), with JPMorgan Chase Bank, N.A., as administrative agent, and the other lenders party thereto. We had outstanding borrowings of $12.0 million as well as $1.7 million committed to standby letters of credit as of March 31, 2024. Subject to covenant limitations, $836.3 million was available for future borrowings after taking into consideration outstanding borrowings under our Program. The Credit Agreement includes a subfacility for swingline loans up to $65.0 million. The Credit Agreement will expire and outstanding loans will be required to be repaid in July 2026, unless maturity is extended by the lenders pursuant to two one-year extension options that we may request under the Credit Agreement.</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weighted average borrowing rate on the facility was as follows as of:</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60" w:type="dxa"/>
            <w:vAlign w:val="bottom"/>
          </w:tcPr>
          <w:p>
            <w:pPr>
              <w:spacing w:after="0"/>
              <w:rPr>
                <w:sz w:val="18"/>
                <w:szCs w:val="18"/>
                <w:color w:val="auto"/>
              </w:rPr>
            </w:pPr>
          </w:p>
        </w:tc>
        <w:tc>
          <w:tcPr>
            <w:tcW w:w="220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8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borrowing rate</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14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6.67 %</w:t>
            </w:r>
          </w:p>
        </w:tc>
      </w:tr>
    </w:tbl>
    <w:p>
      <w:pPr>
        <w:spacing w:after="0" w:line="302" w:lineRule="exact"/>
        <w:rPr>
          <w:sz w:val="20"/>
          <w:szCs w:val="20"/>
          <w:color w:val="auto"/>
        </w:rPr>
      </w:pPr>
    </w:p>
    <w:p>
      <w:pPr>
        <w:jc w:val="both"/>
        <w:ind w:firstLine="241"/>
        <w:spacing w:after="0" w:line="242" w:lineRule="auto"/>
        <w:rPr>
          <w:sz w:val="20"/>
          <w:szCs w:val="20"/>
          <w:color w:val="auto"/>
        </w:rPr>
      </w:pPr>
      <w:r>
        <w:rPr>
          <w:rFonts w:ascii="Times New Roman" w:cs="Times New Roman" w:eastAsia="Times New Roman" w:hAnsi="Times New Roman"/>
          <w:sz w:val="18"/>
          <w:szCs w:val="18"/>
          <w:color w:val="auto"/>
        </w:rPr>
        <w:t>The Credit Agreement is guaranteed by certain of our subsidiaries and contains customary covenants applicable to us and our subsidiaries including limitations on indebtedness, liens, dividends, stock repurchases, mergers and sales of all or substantially all of our assets. In addition, the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w:t>
      </w:r>
    </w:p>
    <w:p>
      <w:pPr>
        <w:spacing w:after="0" w:line="194" w:lineRule="exact"/>
        <w:rPr>
          <w:sz w:val="20"/>
          <w:szCs w:val="20"/>
          <w:color w:val="auto"/>
        </w:rPr>
      </w:pPr>
    </w:p>
    <w:p>
      <w:pPr>
        <w:jc w:val="both"/>
        <w:ind w:firstLine="241"/>
        <w:spacing w:after="0" w:line="247" w:lineRule="auto"/>
        <w:rPr>
          <w:sz w:val="20"/>
          <w:szCs w:val="20"/>
          <w:color w:val="auto"/>
        </w:rPr>
      </w:pPr>
      <w:r>
        <w:rPr>
          <w:rFonts w:ascii="Times New Roman" w:cs="Times New Roman" w:eastAsia="Times New Roman" w:hAnsi="Times New Roman"/>
          <w:sz w:val="18"/>
          <w:szCs w:val="18"/>
          <w:color w:val="auto"/>
        </w:rPr>
        <w:t>Our Credit Agreement contains customary events of default. These events of default include nonpayment of principal or other amounts, material inaccuracy of representations and warranties, breach of covenants, default on certain other indebtedness or receivables securitizations (cross default), certain voluntary and involuntary bankruptcy events and the occurrence of a change in control. A cross default under our credit facility could occur if:</w:t>
      </w:r>
    </w:p>
    <w:p>
      <w:pPr>
        <w:spacing w:after="0" w:line="203" w:lineRule="exact"/>
        <w:rPr>
          <w:sz w:val="20"/>
          <w:szCs w:val="20"/>
          <w:color w:val="auto"/>
        </w:rPr>
      </w:pPr>
    </w:p>
    <w:p>
      <w:pPr>
        <w:ind w:left="360" w:hanging="113"/>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principal or interest when due on any other indebtedness or receivables securi</w:t>
      </w:r>
      <w:r>
        <w:rPr>
          <w:rFonts w:ascii="Times New Roman" w:cs="Times New Roman" w:eastAsia="Times New Roman" w:hAnsi="Times New Roman"/>
          <w:sz w:val="16"/>
          <w:szCs w:val="16"/>
          <w:color w:val="auto"/>
        </w:rPr>
        <w:t>tization</w:t>
      </w:r>
      <w:r>
        <w:rPr>
          <w:rFonts w:ascii="Times New Roman" w:cs="Times New Roman" w:eastAsia="Times New Roman" w:hAnsi="Times New Roman"/>
          <w:sz w:val="18"/>
          <w:szCs w:val="18"/>
          <w:color w:val="auto"/>
        </w:rPr>
        <w:t xml:space="preserve"> exceeding $75.0 million; or</w:t>
      </w:r>
    </w:p>
    <w:p>
      <w:pPr>
        <w:spacing w:after="0" w:line="233" w:lineRule="exact"/>
        <w:rPr>
          <w:rFonts w:ascii="Times New Roman" w:cs="Times New Roman" w:eastAsia="Times New Roman" w:hAnsi="Times New Roman"/>
          <w:sz w:val="18"/>
          <w:szCs w:val="18"/>
          <w:color w:val="auto"/>
        </w:rPr>
      </w:pPr>
    </w:p>
    <w:p>
      <w:pPr>
        <w:ind w:firstLine="247"/>
        <w:spacing w:after="0" w:line="246" w:lineRule="auto"/>
        <w:tabs>
          <w:tab w:leader="none" w:pos="3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default in the performance of, or compliance with any term of any other indebtedness in an aggregate principal amount exceeding $75.0 million, or any other condition exists which would give the holders the right to declare such indebtedness due and payable prior to its stated maturity.</w:t>
      </w:r>
    </w:p>
    <w:p>
      <w:pPr>
        <w:spacing w:after="0" w:line="190" w:lineRule="exact"/>
        <w:rPr>
          <w:sz w:val="20"/>
          <w:szCs w:val="20"/>
          <w:color w:val="auto"/>
        </w:rPr>
      </w:pPr>
    </w:p>
    <w:p>
      <w:pPr>
        <w:jc w:val="both"/>
        <w:ind w:firstLine="241"/>
        <w:spacing w:after="0" w:line="239" w:lineRule="auto"/>
        <w:rPr>
          <w:sz w:val="20"/>
          <w:szCs w:val="20"/>
          <w:color w:val="auto"/>
        </w:rPr>
      </w:pPr>
      <w:r>
        <w:rPr>
          <w:rFonts w:ascii="Times New Roman" w:cs="Times New Roman" w:eastAsia="Times New Roman" w:hAnsi="Times New Roman"/>
          <w:sz w:val="18"/>
          <w:szCs w:val="18"/>
          <w:color w:val="auto"/>
        </w:rPr>
        <w:t>Each of our major debt agreements contains provisions by which a default under one agreement causes a default in the others (a cross default). If a cross default under our Credit Agreement or our senior unsecured notes were to occur, it could have a wider impact on our liquidity than might otherwise occur from a default of a single debt instrument or lease commitment.</w:t>
      </w:r>
    </w:p>
    <w:p>
      <w:pPr>
        <w:spacing w:after="0" w:line="196" w:lineRule="exact"/>
        <w:rPr>
          <w:sz w:val="20"/>
          <w:szCs w:val="20"/>
          <w:color w:val="auto"/>
        </w:rPr>
      </w:pPr>
    </w:p>
    <w:p>
      <w:pPr>
        <w:jc w:val="both"/>
        <w:ind w:firstLine="241"/>
        <w:spacing w:after="0" w:line="242" w:lineRule="auto"/>
        <w:rPr>
          <w:sz w:val="20"/>
          <w:szCs w:val="20"/>
          <w:color w:val="auto"/>
        </w:rPr>
      </w:pPr>
      <w:r>
        <w:rPr>
          <w:rFonts w:ascii="Times New Roman" w:cs="Times New Roman" w:eastAsia="Times New Roman" w:hAnsi="Times New Roman"/>
          <w:sz w:val="18"/>
          <w:szCs w:val="18"/>
          <w:color w:val="auto"/>
        </w:rPr>
        <w:t>If any event of default occurs and is continuing, the administrative agent, or lenders with a majority of the aggregate commitments may require the administrative agent to, terminate our right to borrow under our Credit Agreement and accelerate amounts due under our Credit Agreement (except for a bankruptcy event of default, in which case such amounts will automatically become due and payable and the lenders’ commitments will automatically terminate).</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March 31, 2024, we believe we were in compliance with all covenant requirements.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49"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In September 2023, we issued $500.0 million of senior unsecured notes, which will mature in September 2028 (the "2028 Notes") with interest being paid semi-annually in March and September at 5.50%. We issued two series of senior unsecured notes on July 30, 2020 for $300.0 million each, which will mature on August 1, 2025 (the "2025 Notes") and August 1, 2027</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6" w:name="page17"/>
    <w:bookmarkEnd w:id="16"/>
    <w:p>
      <w:pPr>
        <w:jc w:val="both"/>
        <w:spacing w:after="0" w:line="277" w:lineRule="auto"/>
        <w:rPr>
          <w:sz w:val="20"/>
          <w:szCs w:val="20"/>
          <w:color w:val="auto"/>
        </w:rPr>
      </w:pPr>
      <w:r>
        <w:rPr>
          <w:rFonts w:ascii="Times New Roman" w:cs="Times New Roman" w:eastAsia="Times New Roman" w:hAnsi="Times New Roman"/>
          <w:sz w:val="18"/>
          <w:szCs w:val="18"/>
          <w:color w:val="auto"/>
        </w:rPr>
        <w:t>(the "2027 Notes," and collectively with the 2025 Notes and the 2028 Notes, the "Notes") with interest being paid semi-annually in February and August at 1.35% and 1.70% respectively, per annum.</w:t>
      </w:r>
    </w:p>
    <w:p>
      <w:pPr>
        <w:spacing w:after="0" w:line="190"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color w:val="auto"/>
        </w:rPr>
        <w:t>In the event of a credit rating downgrade below investment grade resulting from a change of control, holders of our senior unsecured notes will have the right to require us to repurchase all or a portion of the senior unsecured notes at a repurchase price equal to 101% of the principal amount of the notes, plus accrued and unpaid interest, if any. All the Notes are guaranteed, on a senior unsecured basis, by certain of our subsidiaries that guarantee indebtedness under our Credit Agreement (the "Guarantor Subsidiaries").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As of March 31, 2024, we believe we were in compliance with all covenant requirements.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Comprehensive Income (Loss):</w:t>
      </w:r>
    </w:p>
    <w:p>
      <w:pPr>
        <w:spacing w:after="0" w:line="251"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The following table provides information on items reclassified from AOCL to Net income in the accompanying Consolidated Statements of Operations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80" w:type="dxa"/>
            <w:vAlign w:val="bottom"/>
          </w:tcPr>
          <w:p>
            <w:pPr>
              <w:spacing w:after="0"/>
              <w:rPr>
                <w:sz w:val="18"/>
                <w:szCs w:val="18"/>
                <w:color w:val="auto"/>
              </w:rPr>
            </w:pPr>
          </w:p>
        </w:tc>
        <w:tc>
          <w:tcPr>
            <w:tcW w:w="27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 March 31,</w:t>
            </w:r>
          </w:p>
        </w:tc>
        <w:tc>
          <w:tcPr>
            <w:tcW w:w="120" w:type="dxa"/>
            <w:vAlign w:val="bottom"/>
          </w:tcPr>
          <w:p>
            <w:pPr>
              <w:spacing w:after="0"/>
              <w:rPr>
                <w:sz w:val="18"/>
                <w:szCs w:val="18"/>
                <w:color w:val="auto"/>
              </w:rPr>
            </w:pPr>
          </w:p>
        </w:tc>
        <w:tc>
          <w:tcPr>
            <w:tcW w:w="30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Affected Line Item(s) in the Consolidated</w:t>
            </w:r>
          </w:p>
        </w:tc>
        <w:tc>
          <w:tcPr>
            <w:tcW w:w="0" w:type="dxa"/>
            <w:vAlign w:val="bottom"/>
          </w:tcPr>
          <w:p>
            <w:pPr>
              <w:spacing w:after="0"/>
              <w:rPr>
                <w:sz w:val="1"/>
                <w:szCs w:val="1"/>
                <w:color w:val="auto"/>
              </w:rPr>
            </w:pPr>
          </w:p>
        </w:tc>
      </w:tr>
      <w:tr>
        <w:trPr>
          <w:trHeight w:val="23"/>
        </w:trPr>
        <w:tc>
          <w:tcPr>
            <w:tcW w:w="5280" w:type="dxa"/>
            <w:vAlign w:val="bottom"/>
          </w:tcPr>
          <w:p>
            <w:pPr>
              <w:spacing w:after="0" w:line="20" w:lineRule="exact"/>
              <w:rPr>
                <w:sz w:val="1"/>
                <w:szCs w:val="1"/>
                <w:color w:val="auto"/>
              </w:rPr>
            </w:pPr>
          </w:p>
        </w:tc>
        <w:tc>
          <w:tcPr>
            <w:tcW w:w="900" w:type="dxa"/>
            <w:vAlign w:val="bottom"/>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2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Statements of Operations</w:t>
            </w: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Gains (Losses) on Cash Flow Hedges:</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6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Cost of goods sold; Losses (gains) and</w:t>
            </w:r>
          </w:p>
        </w:tc>
        <w:tc>
          <w:tcPr>
            <w:tcW w:w="0" w:type="dxa"/>
            <w:vAlign w:val="bottom"/>
          </w:tcPr>
          <w:p>
            <w:pPr>
              <w:spacing w:after="0"/>
              <w:rPr>
                <w:sz w:val="1"/>
                <w:szCs w:val="1"/>
                <w:color w:val="auto"/>
              </w:rPr>
            </w:pPr>
          </w:p>
        </w:tc>
      </w:tr>
      <w:tr>
        <w:trPr>
          <w:trHeight w:val="24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contracts</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0"/>
                <w:szCs w:val="20"/>
                <w:color w:val="auto"/>
              </w:rPr>
            </w:pPr>
          </w:p>
        </w:tc>
        <w:tc>
          <w:tcPr>
            <w:tcW w:w="8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0" w:type="dxa"/>
            <w:vAlign w:val="bottom"/>
          </w:tcPr>
          <w:p>
            <w:pPr>
              <w:spacing w:after="0"/>
              <w:rPr>
                <w:sz w:val="1"/>
                <w:szCs w:val="1"/>
                <w:color w:val="auto"/>
              </w:rPr>
            </w:pPr>
          </w:p>
        </w:tc>
      </w:tr>
      <w:tr>
        <w:trPr>
          <w:trHeight w:val="22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8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(0.3)</w:t>
            </w:r>
          </w:p>
        </w:tc>
        <w:tc>
          <w:tcPr>
            <w:tcW w:w="1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 items:</w:t>
            </w: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costs</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c>
          <w:tcPr>
            <w:tcW w:w="120" w:type="dxa"/>
            <w:vAlign w:val="bottom"/>
            <w:shd w:val="clear" w:color="auto" w:fill="CCEEFF"/>
          </w:tcPr>
          <w:p>
            <w:pPr>
              <w:spacing w:after="0"/>
              <w:rPr>
                <w:sz w:val="19"/>
                <w:szCs w:val="19"/>
                <w:color w:val="auto"/>
              </w:rPr>
            </w:pPr>
          </w:p>
        </w:tc>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0" w:type="dxa"/>
            <w:vAlign w:val="bottom"/>
          </w:tcPr>
          <w:p>
            <w:pPr>
              <w:spacing w:after="0"/>
              <w:rPr>
                <w:sz w:val="1"/>
                <w:szCs w:val="1"/>
                <w:color w:val="auto"/>
              </w:rPr>
            </w:pPr>
          </w:p>
        </w:tc>
      </w:tr>
      <w:tr>
        <w:trPr>
          <w:trHeight w:val="227"/>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90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c>
          <w:tcPr>
            <w:tcW w:w="12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0" w:type="dxa"/>
            <w:vAlign w:val="bottom"/>
          </w:tcPr>
          <w:p>
            <w:pPr>
              <w:spacing w:after="0"/>
              <w:rPr>
                <w:sz w:val="1"/>
                <w:szCs w:val="1"/>
                <w:color w:val="auto"/>
              </w:rPr>
            </w:pPr>
          </w:p>
        </w:tc>
      </w:tr>
      <w:tr>
        <w:trPr>
          <w:trHeight w:val="22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0"/>
        </w:trPr>
        <w:tc>
          <w:tcPr>
            <w:tcW w:w="5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w:t>
            </w:r>
          </w:p>
        </w:tc>
        <w:tc>
          <w:tcPr>
            <w:tcW w:w="120" w:type="dxa"/>
            <w:vAlign w:val="bottom"/>
            <w:tcBorders>
              <w:bottom w:val="single" w:sz="8" w:color="CCEEFF"/>
            </w:tcBorders>
          </w:tcPr>
          <w:p>
            <w:pPr>
              <w:spacing w:after="0"/>
              <w:rPr>
                <w:sz w:val="19"/>
                <w:szCs w:val="19"/>
                <w:color w:val="auto"/>
              </w:rPr>
            </w:pPr>
          </w:p>
        </w:tc>
        <w:tc>
          <w:tcPr>
            <w:tcW w:w="3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 from AOCL</w:t>
            </w:r>
          </w:p>
        </w:tc>
        <w:tc>
          <w:tcPr>
            <w:tcW w:w="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(0.6)</w:t>
            </w:r>
          </w:p>
        </w:tc>
        <w:tc>
          <w:tcPr>
            <w:tcW w:w="120" w:type="dxa"/>
            <w:vAlign w:val="bottom"/>
            <w:tcBorders>
              <w:bottom w:val="single" w:sz="8" w:color="CCEEFF"/>
            </w:tcBorders>
            <w:shd w:val="clear" w:color="auto" w:fill="CCEEFF"/>
          </w:tcPr>
          <w:p>
            <w:pPr>
              <w:spacing w:after="0"/>
              <w:rPr>
                <w:sz w:val="20"/>
                <w:szCs w:val="20"/>
                <w:color w:val="auto"/>
              </w:rPr>
            </w:pPr>
          </w:p>
        </w:tc>
        <w:tc>
          <w:tcPr>
            <w:tcW w:w="3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information on changes in AOCL, by component (net of tax), for the three months ended March 31, 2024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Share of Equity</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tcPr>
          <w:p>
            <w:pPr>
              <w:jc w:val="center"/>
              <w:ind w:right="160"/>
              <w:spacing w:after="0" w:line="161" w:lineRule="exact"/>
              <w:rPr>
                <w:sz w:val="20"/>
                <w:szCs w:val="20"/>
                <w:color w:val="auto"/>
              </w:rPr>
            </w:pPr>
            <w:r>
              <w:rPr>
                <w:rFonts w:ascii="Times New Roman" w:cs="Times New Roman" w:eastAsia="Times New Roman" w:hAnsi="Times New Roman"/>
                <w:sz w:val="16"/>
                <w:szCs w:val="16"/>
                <w:b w:val="1"/>
                <w:bCs w:val="1"/>
                <w:color w:val="auto"/>
                <w:w w:val="99"/>
              </w:rPr>
              <w:t>Method Investments</w:t>
            </w:r>
          </w:p>
        </w:tc>
        <w:tc>
          <w:tcPr>
            <w:tcW w:w="10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c>
          <w:tcPr>
            <w:tcW w:w="14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980" w:type="dxa"/>
            <w:vAlign w:val="bottom"/>
          </w:tcPr>
          <w:p>
            <w:pPr>
              <w:spacing w:after="0"/>
              <w:rPr>
                <w:sz w:val="13"/>
                <w:szCs w:val="13"/>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Gains (Losses) on</w:t>
            </w:r>
          </w:p>
        </w:tc>
        <w:tc>
          <w:tcPr>
            <w:tcW w:w="140" w:type="dxa"/>
            <w:vAlign w:val="bottom"/>
          </w:tcPr>
          <w:p>
            <w:pPr>
              <w:spacing w:after="0"/>
              <w:rPr>
                <w:sz w:val="13"/>
                <w:szCs w:val="13"/>
                <w:color w:val="auto"/>
              </w:rPr>
            </w:pPr>
          </w:p>
        </w:tc>
        <w:tc>
          <w:tcPr>
            <w:tcW w:w="146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980" w:type="dxa"/>
            <w:vAlign w:val="bottom"/>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00" w:type="dxa"/>
            <w:vAlign w:val="bottom"/>
          </w:tcPr>
          <w:p>
            <w:pPr>
              <w:spacing w:after="0"/>
              <w:rPr>
                <w:sz w:val="13"/>
                <w:szCs w:val="13"/>
                <w:color w:val="auto"/>
              </w:rPr>
            </w:pPr>
          </w:p>
        </w:tc>
        <w:tc>
          <w:tcPr>
            <w:tcW w:w="134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6"/>
                <w:szCs w:val="16"/>
                <w:b w:val="1"/>
                <w:bCs w:val="1"/>
                <w:color w:val="auto"/>
              </w:rPr>
              <w:t>Pension Plan</w:t>
            </w:r>
          </w:p>
        </w:tc>
        <w:tc>
          <w:tcPr>
            <w:tcW w:w="160" w:type="dxa"/>
            <w:vAlign w:val="bottom"/>
          </w:tcPr>
          <w:p>
            <w:pPr>
              <w:spacing w:after="0"/>
              <w:rPr>
                <w:sz w:val="13"/>
                <w:szCs w:val="13"/>
                <w:color w:val="auto"/>
              </w:rPr>
            </w:pPr>
          </w:p>
        </w:tc>
        <w:tc>
          <w:tcPr>
            <w:tcW w:w="130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60" w:type="dxa"/>
            <w:vAlign w:val="bottom"/>
          </w:tcPr>
          <w:p>
            <w:pPr>
              <w:spacing w:after="0"/>
              <w:rPr>
                <w:sz w:val="13"/>
                <w:szCs w:val="13"/>
                <w:color w:val="auto"/>
              </w:rPr>
            </w:pP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Total AOCL</w:t>
            </w:r>
          </w:p>
        </w:tc>
        <w:tc>
          <w:tcPr>
            <w:tcW w:w="0" w:type="dxa"/>
            <w:vAlign w:val="bottom"/>
          </w:tcPr>
          <w:p>
            <w:pPr>
              <w:spacing w:after="0"/>
              <w:rPr>
                <w:sz w:val="1"/>
                <w:szCs w:val="1"/>
                <w:color w:val="auto"/>
              </w:rPr>
            </w:pPr>
          </w:p>
        </w:tc>
      </w:tr>
      <w:tr>
        <w:trPr>
          <w:trHeight w:val="212"/>
        </w:trPr>
        <w:tc>
          <w:tcPr>
            <w:tcW w:w="398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4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0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Items</w:t>
            </w:r>
          </w:p>
        </w:tc>
        <w:tc>
          <w:tcPr>
            <w:tcW w:w="16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center"/>
              <w:ind w:left="291"/>
              <w:spacing w:after="0"/>
              <w:rPr>
                <w:sz w:val="20"/>
                <w:szCs w:val="20"/>
                <w:color w:val="auto"/>
              </w:rPr>
            </w:pPr>
            <w:r>
              <w:rPr>
                <w:rFonts w:ascii="Times New Roman" w:cs="Times New Roman" w:eastAsia="Times New Roman" w:hAnsi="Times New Roman"/>
                <w:sz w:val="18"/>
                <w:szCs w:val="18"/>
                <w:b w:val="1"/>
                <w:bCs w:val="1"/>
                <w:color w:val="auto"/>
              </w:rPr>
              <w:t>(2.0)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w:t>
            </w:r>
          </w:p>
        </w:tc>
        <w:tc>
          <w:tcPr>
            <w:tcW w:w="0" w:type="dxa"/>
            <w:vAlign w:val="bottom"/>
          </w:tcPr>
          <w:p>
            <w:pPr>
              <w:spacing w:after="0"/>
              <w:rPr>
                <w:sz w:val="1"/>
                <w:szCs w:val="1"/>
                <w:color w:val="auto"/>
              </w:rPr>
            </w:pPr>
          </w:p>
        </w:tc>
      </w:tr>
      <w:tr>
        <w:trPr>
          <w:trHeight w:val="174"/>
        </w:trPr>
        <w:tc>
          <w:tcPr>
            <w:tcW w:w="398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w:t>
            </w:r>
          </w:p>
        </w:tc>
        <w:tc>
          <w:tcPr>
            <w:tcW w:w="540" w:type="dxa"/>
            <w:vAlign w:val="bottom"/>
          </w:tcPr>
          <w:p>
            <w:pPr>
              <w:spacing w:after="0"/>
              <w:rPr>
                <w:sz w:val="20"/>
                <w:szCs w:val="20"/>
                <w:color w:val="auto"/>
              </w:rPr>
            </w:pPr>
          </w:p>
        </w:tc>
        <w:tc>
          <w:tcPr>
            <w:tcW w:w="78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7"/>
              </w:rPr>
              <w:t>0.7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7"/>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color w:val="auto"/>
                <w:w w:val="97"/>
              </w:rPr>
              <w:t>1.5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0"/>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5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center"/>
              <w:ind w:left="311"/>
              <w:spacing w:after="0"/>
              <w:rPr>
                <w:sz w:val="20"/>
                <w:szCs w:val="20"/>
                <w:color w:val="auto"/>
              </w:rPr>
            </w:pPr>
            <w:r>
              <w:rPr>
                <w:rFonts w:ascii="Times New Roman" w:cs="Times New Roman" w:eastAsia="Times New Roman" w:hAnsi="Times New Roman"/>
                <w:sz w:val="18"/>
                <w:szCs w:val="18"/>
                <w:color w:val="auto"/>
                <w:w w:val="97"/>
              </w:rPr>
              <w:t>2.2</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5"/>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b w:val="1"/>
                <w:bCs w:val="1"/>
                <w:color w:val="auto"/>
                <w:w w:val="97"/>
              </w:rPr>
              <w:t>0.2</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251" w:lineRule="exact"/>
        <w:rPr>
          <w:sz w:val="20"/>
          <w:szCs w:val="20"/>
          <w:color w:val="auto"/>
        </w:rPr>
      </w:pPr>
    </w:p>
    <w:p>
      <w:pPr>
        <w:jc w:val="both"/>
        <w:ind w:firstLine="241"/>
        <w:spacing w:after="0" w:line="258" w:lineRule="auto"/>
        <w:rPr>
          <w:sz w:val="20"/>
          <w:szCs w:val="20"/>
          <w:color w:val="auto"/>
        </w:rPr>
      </w:pPr>
      <w:r>
        <w:rPr>
          <w:rFonts w:ascii="Times New Roman" w:cs="Times New Roman" w:eastAsia="Times New Roman" w:hAnsi="Times New Roman"/>
          <w:sz w:val="18"/>
          <w:szCs w:val="18"/>
          <w:color w:val="auto"/>
        </w:rPr>
        <w:t>The methodologies used to determine the fair value of our financial assets and liabilities as of March 31, 2024 were the same as those used as of December 31,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Carried at Fair Value on a Recurring Basis</w:t>
      </w:r>
    </w:p>
    <w:p>
      <w:pPr>
        <w:spacing w:after="0" w:line="228" w:lineRule="exact"/>
        <w:rPr>
          <w:sz w:val="20"/>
          <w:szCs w:val="20"/>
          <w:color w:val="auto"/>
        </w:rPr>
      </w:pPr>
    </w:p>
    <w:p>
      <w:pPr>
        <w:jc w:val="both"/>
        <w:ind w:firstLine="241"/>
        <w:spacing w:after="0" w:line="285" w:lineRule="auto"/>
        <w:rPr>
          <w:sz w:val="20"/>
          <w:szCs w:val="20"/>
          <w:color w:val="auto"/>
        </w:rPr>
      </w:pPr>
      <w:r>
        <w:rPr>
          <w:rFonts w:ascii="Times New Roman" w:cs="Times New Roman" w:eastAsia="Times New Roman" w:hAnsi="Times New Roman"/>
          <w:sz w:val="17"/>
          <w:szCs w:val="17"/>
          <w:color w:val="auto"/>
        </w:rPr>
        <w:t>Derivatives were classified as Level 2 and primarily valued using estimated future cash flows based on observed prices from exchange-traded derivatives. We also considered the counterparty's creditworthiness, or our own creditworthiness, as appropriate. Adjustments were recorded to reflect the risk of credit default, however, they were insignificant to the overall value of the derivatives. Refer to Note 7 for more information related to our derivative instruments.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The carrying amounts of Cash and cash equivalents, Short-term investments, Accounts and notes receivable, net, Accounts payable, and Short-term debt approximate fair value due to the short maturities of these instruments. The carrying amount of our Credit Agreement in Long-term debt also approximates fair value due to its variable-rate characteristics.</w:t>
      </w:r>
    </w:p>
    <w:p>
      <w:pPr>
        <w:spacing w:after="0" w:line="204" w:lineRule="exact"/>
        <w:rPr>
          <w:sz w:val="20"/>
          <w:szCs w:val="20"/>
          <w:color w:val="auto"/>
        </w:rPr>
      </w:pPr>
    </w:p>
    <w:p>
      <w:pPr>
        <w:jc w:val="both"/>
        <w:ind w:firstLine="241"/>
        <w:spacing w:after="0" w:line="272" w:lineRule="auto"/>
        <w:rPr>
          <w:sz w:val="20"/>
          <w:szCs w:val="20"/>
          <w:color w:val="auto"/>
        </w:rPr>
      </w:pPr>
      <w:r>
        <w:rPr>
          <w:rFonts w:ascii="Times New Roman" w:cs="Times New Roman" w:eastAsia="Times New Roman" w:hAnsi="Times New Roman"/>
          <w:sz w:val="18"/>
          <w:szCs w:val="18"/>
          <w:color w:val="auto"/>
        </w:rPr>
        <w:t>The fair value of our senior unsecured notes in Long-term debt, classified as Level 2, was based on the amount of future cash flows using current market rates for debt instruments of similar maturities and credit risk. The following table presents their fair value (in millions) as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176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1,079.3</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Prior Year Acquisition:</w:t>
      </w:r>
    </w:p>
    <w:p>
      <w:pPr>
        <w:spacing w:after="0" w:line="251"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In October 2023, we completed the acquisition of AES, a company dedicated to service and sustainability in the light commercial market. Under the terms of the purchase agreement, a final working capital adjustment was completed in the first quarter of 2024. This working capital adjustment resulted in a $1.8 million reduction in the purchase price. Additionally, during the first quarter of 2024 we made certain purchase price adjustments. The following table details the purchase price adjustments that were made during the first quarter of 2024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7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00" w:type="dxa"/>
            <w:vAlign w:val="bottom"/>
          </w:tcPr>
          <w:p>
            <w:pPr>
              <w:spacing w:after="0"/>
              <w:rPr>
                <w:sz w:val="18"/>
                <w:szCs w:val="18"/>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220" w:type="dxa"/>
            <w:vAlign w:val="bottom"/>
          </w:tcPr>
          <w:p>
            <w:pPr>
              <w:spacing w:after="0"/>
              <w:rPr>
                <w:sz w:val="18"/>
                <w:szCs w:val="18"/>
                <w:color w:val="auto"/>
              </w:rPr>
            </w:pPr>
          </w:p>
        </w:tc>
        <w:tc>
          <w:tcPr>
            <w:tcW w:w="154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23"/>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tangible assets acquired</w:t>
            </w:r>
          </w:p>
        </w:tc>
        <w:tc>
          <w:tcPr>
            <w:tcW w:w="19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center"/>
              <w:ind w:left="993"/>
              <w:spacing w:after="0"/>
              <w:rPr>
                <w:sz w:val="20"/>
                <w:szCs w:val="20"/>
                <w:color w:val="auto"/>
              </w:rPr>
            </w:pPr>
            <w:r>
              <w:rPr>
                <w:rFonts w:ascii="Times New Roman" w:cs="Times New Roman" w:eastAsia="Times New Roman" w:hAnsi="Times New Roman"/>
                <w:sz w:val="18"/>
                <w:szCs w:val="18"/>
                <w:color w:val="auto"/>
                <w:w w:val="98"/>
              </w:rPr>
              <w:t>(1.7)</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7"/>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center"/>
              <w:ind w:left="1033"/>
              <w:spacing w:after="0"/>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2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9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center"/>
              <w:ind w:left="993"/>
              <w:spacing w:after="0"/>
              <w:rPr>
                <w:sz w:val="20"/>
                <w:szCs w:val="20"/>
                <w:color w:val="auto"/>
              </w:rPr>
            </w:pPr>
            <w:r>
              <w:rPr>
                <w:rFonts w:ascii="Times New Roman" w:cs="Times New Roman" w:eastAsia="Times New Roman" w:hAnsi="Times New Roman"/>
                <w:sz w:val="18"/>
                <w:szCs w:val="18"/>
                <w:color w:val="auto"/>
                <w:w w:val="98"/>
              </w:rPr>
              <w:t>(2.2)</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2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w:t>
            </w:r>
          </w:p>
        </w:tc>
        <w:tc>
          <w:tcPr>
            <w:tcW w:w="19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center"/>
              <w:ind w:left="993"/>
              <w:spacing w:after="0"/>
              <w:rPr>
                <w:sz w:val="20"/>
                <w:szCs w:val="20"/>
                <w:color w:val="auto"/>
              </w:rPr>
            </w:pPr>
            <w:r>
              <w:rPr>
                <w:rFonts w:ascii="Times New Roman" w:cs="Times New Roman" w:eastAsia="Times New Roman" w:hAnsi="Times New Roman"/>
                <w:sz w:val="18"/>
                <w:szCs w:val="18"/>
                <w:color w:val="auto"/>
                <w:w w:val="98"/>
              </w:rPr>
              <w:t>(1.8)</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0"/>
        </w:trPr>
        <w:tc>
          <w:tcPr>
            <w:tcW w:w="3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835"/>
        </w:trPr>
        <w:tc>
          <w:tcPr>
            <w:tcW w:w="3780" w:type="dxa"/>
            <w:vAlign w:val="bottom"/>
          </w:tcPr>
          <w:p>
            <w:pPr>
              <w:spacing w:after="0"/>
              <w:rPr>
                <w:sz w:val="24"/>
                <w:szCs w:val="24"/>
                <w:color w:val="auto"/>
              </w:rPr>
            </w:pPr>
          </w:p>
        </w:tc>
        <w:tc>
          <w:tcPr>
            <w:tcW w:w="208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16</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13"/>
        </w:trPr>
        <w:tc>
          <w:tcPr>
            <w:tcW w:w="378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1"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that are based on information currently available to management as well as management’s assumptions and beliefs as of the date such statements were made. All statements, other than statements of historical fact, included in this Quarterly Report on Form 10-Q constitute forward-looking statements, including but not limited to statements identified by forward-looking terminology, such as the words “may,” “will,” “should,” “plan,” “anticipate,” “believe,” “intend,” “estimate” and “expect” and similar expressions. Such statements reflect our current views with respect to future events, based on what we believe are reasonable assumptions; however, such statements are subject to certain risks and uncertainties.</w:t>
      </w:r>
    </w:p>
    <w:p>
      <w:pPr>
        <w:spacing w:after="0" w:line="215"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In addition to the specific uncertainties discussed elsewhere in this Quarterly Report on Form 10-Q, the risk factors set forth in Part I, “Item 1A. Risk Factors” in our Annual Report on Form 10-K for the year ended December 31, 2023, and those set forth in Part II, “Item 1A. Risk Factors” of this report, if any,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except as required by law.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operate in two reportable business segments of the HVACR industry, Home Comfort Solutions and Building Climate Solutions. In addition to the two major business segments, Corporate and Other is also reported as a segment. For more detailed information regarding our reportable segments, see Note 2 in the Notes to the Consolidated Financial Statements.</w:t>
      </w:r>
    </w:p>
    <w:p>
      <w:pPr>
        <w:spacing w:after="0" w:line="204"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throughout this Management’s Discussion and Analysis of Financial Condition and Results of Operations, the 13-week periods comprising each fiscal quarter are denoted by the last day of the respective calendar quarter.</w:t>
      </w:r>
    </w:p>
    <w:p>
      <w:pPr>
        <w:spacing w:after="0" w:line="209"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color w:val="auto"/>
        </w:rPr>
        <w:t>We sell our products and services through a combination of direct sales, distributors and company-owned stores. The demand for our products and services is seasonal and can be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212"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The principal elements of cost of goods sold are components, raw materials, factory overhead, labor, estimated costs of warranty expense and freight and distribution costs. The principal raw materials used in our manufacturing processes are steel, aluminum and copper. In recent years, pricing volatility for these commodities and related components has impacted us and the HVACR industry in general. We seek to mitigate the impact of certain commodity price volatility through a combination of pricing actions, vendor contracts, improved production efficiency and cost reduction initiatives. We also partially mitigate volatility in the prices of these commodities by entering into futures contracts and fixed forward contracts.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51"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Results for the first quarter of 2024 were driven by overall year-over-year sales and profit increases primarily led by our Building Climate Solutions segment, with an increase in net sales of 21% and an increase in segment profit of $28 million. Net sales decreased 1% and segment profit increased $1 million for our Home Comfort Solutions segment. Net sales decreased $60 million and segment loss increased $4 million for our Corporate and Other segment. Our European businesses were sold in the fourth quarter of 2023 and generated $60 million in net sales in the first quarter of 2023 and had a segment loss of $0.4 million.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Financial Highlights</w:t>
      </w:r>
    </w:p>
    <w:p>
      <w:pPr>
        <w:spacing w:after="0" w:line="249" w:lineRule="exact"/>
        <w:rPr>
          <w:sz w:val="20"/>
          <w:szCs w:val="20"/>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$1,047 million in the first quarter of 2024 were relatively flat as compared to the first quarter of 2023.</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 the first quarter of 2024 increased $27 million to $167 million primarily driven by favorable price.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first quarter of 2024 was $124 million.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was $3.47 per share in the first quarter of 2024 compared to $2.75 per share in the first quarter of 2023.</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2024, we returned $39 million to shareholders through dividend payments.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 Compared to Three Months Ended March 31, 2023 - Consolidated Results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a summary of our financial results, including information presented as a percentage of net sales: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gridSpan w:val="7"/>
          </w:tcPr>
          <w:p>
            <w:pPr>
              <w:ind w:left="50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1940" w:type="dxa"/>
            <w:vAlign w:val="bottom"/>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w w:val="97"/>
              </w:rPr>
              <w:t>Percent of Sales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44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1"/>
                <w:szCs w:val="11"/>
                <w:color w:val="auto"/>
              </w:rPr>
            </w:pPr>
          </w:p>
        </w:tc>
        <w:tc>
          <w:tcPr>
            <w:tcW w:w="1460" w:type="dxa"/>
            <w:vAlign w:val="bottom"/>
            <w:gridSpan w:val="2"/>
          </w:tcPr>
          <w:p>
            <w:pPr>
              <w:jc w:val="center"/>
              <w:ind w:right="140"/>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12"/>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Fav/(Unfav)</w:t>
            </w:r>
          </w:p>
        </w:tc>
        <w:tc>
          <w:tcPr>
            <w:tcW w:w="13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1,047.1</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1,049.4</w:t>
            </w:r>
          </w:p>
        </w:tc>
        <w:tc>
          <w:tcPr>
            <w:tcW w:w="14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4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27"/>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67.5</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7"/>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40" w:type="dxa"/>
            <w:vAlign w:val="bottom"/>
          </w:tcPr>
          <w:p>
            <w:pPr>
              <w:spacing w:after="0"/>
              <w:rPr>
                <w:sz w:val="19"/>
                <w:szCs w:val="19"/>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7"/>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(1,133.3)</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71.4</w:t>
            </w: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5"/>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166.8</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139.5</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19.6 %</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15.9 %</w:t>
            </w: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49"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Net sales for the first quarter of 2024 as compared to the same period of 2023 were relatively flat. This was primarily due to a 6% reduction in sales from the fourth quarter 2023 sale of our European businesses and unfavorable mix of 1% which were partially offset by favorable price of 4%, a 2% increase in sales volumes from our AES acquisition, and 1% from higher sales volumes.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49"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Gross profit margins in the first quarter of 2024 increased 330 basis points ("bps") to 32.5% compared to 29.2% in the first quarter of 2023. Gross margins increased 300 bps from favorable price, 50 bps from lower product warranty costs, and 30 bps from miscellaneous other items. Partially offsetting these increases was 50 bps from higher freight and distribution costs.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9"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Selling, general and administrative expenses ("SG&amp;A") increased $3 million to $171 million in the first quarter of 2024 compared to $168 million in the first quarter of 2023 primarily due to higher employee-related costs including incentive compensation and wage inflation and higher discretionary spend, which were partially offset by a $16 million reduction in SG&amp;A expenses from our fourth quarter of 2023 divestiture of our European businesses. As a percentage of net sales, SG&amp;A increased 30 bps to 16.3%.</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Losses (gains) and Other Expenses, Net</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Losses (gains) and other expenses, net for the first quarter of 2024 and 2023 included the following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60" w:type="dxa"/>
            <w:vAlign w:val="bottom"/>
          </w:tcPr>
          <w:p>
            <w:pPr>
              <w:spacing w:after="0"/>
              <w:rPr>
                <w:sz w:val="18"/>
                <w:szCs w:val="18"/>
                <w:color w:val="auto"/>
              </w:rPr>
            </w:pPr>
          </w:p>
        </w:tc>
        <w:tc>
          <w:tcPr>
            <w:tcW w:w="356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520" w:type="dxa"/>
            <w:vAlign w:val="bottom"/>
            <w:tcBorders>
              <w:bottom w:val="single" w:sz="8" w:color="auto"/>
            </w:tcBorders>
          </w:tcPr>
          <w:p>
            <w:pPr>
              <w:spacing w:after="0"/>
              <w:rPr>
                <w:sz w:val="18"/>
                <w:szCs w:val="18"/>
                <w:color w:val="auto"/>
              </w:rPr>
            </w:pPr>
          </w:p>
        </w:tc>
      </w:tr>
      <w:tr>
        <w:trPr>
          <w:trHeight w:val="208"/>
        </w:trPr>
        <w:tc>
          <w:tcPr>
            <w:tcW w:w="716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r>
      <w:tr>
        <w:trPr>
          <w:trHeight w:val="222"/>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losses (gains)</w:t>
            </w:r>
          </w:p>
        </w:tc>
        <w:tc>
          <w:tcPr>
            <w:tcW w:w="1380" w:type="dxa"/>
            <w:vAlign w:val="bottom"/>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7"/>
              </w:rPr>
              <w:t>1.3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8"/>
              </w:rPr>
              <w:t>(0.8)</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disposal of fixed assets</w:t>
            </w:r>
          </w:p>
        </w:tc>
        <w:tc>
          <w:tcPr>
            <w:tcW w:w="1380" w:type="dxa"/>
            <w:vAlign w:val="bottom"/>
          </w:tcPr>
          <w:p>
            <w:pPr>
              <w:spacing w:after="0"/>
              <w:rPr>
                <w:sz w:val="19"/>
                <w:szCs w:val="19"/>
                <w:color w:val="auto"/>
              </w:rPr>
            </w:pPr>
          </w:p>
        </w:tc>
        <w:tc>
          <w:tcPr>
            <w:tcW w:w="6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8"/>
              </w:rPr>
              <w:t>(0.3)</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loss (income)</w:t>
            </w:r>
          </w:p>
        </w:tc>
        <w:tc>
          <w:tcPr>
            <w:tcW w:w="138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7"/>
              </w:rPr>
              <w:t>0.3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2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8"/>
              </w:rPr>
              <w:t>(0.8)</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unrealized losses (gains) on unsettled futures contracts</w:t>
            </w:r>
          </w:p>
        </w:tc>
        <w:tc>
          <w:tcPr>
            <w:tcW w:w="1380" w:type="dxa"/>
            <w:vAlign w:val="bottom"/>
          </w:tcPr>
          <w:p>
            <w:pPr>
              <w:spacing w:after="0"/>
              <w:rPr>
                <w:sz w:val="19"/>
                <w:szCs w:val="19"/>
                <w:color w:val="auto"/>
              </w:rPr>
            </w:pPr>
          </w:p>
        </w:tc>
        <w:tc>
          <w:tcPr>
            <w:tcW w:w="60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7"/>
              </w:rPr>
              <w:t>0.1</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8"/>
              </w:rPr>
              <w:t>(0.2)</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liabilities and special litigation charges</w:t>
            </w:r>
          </w:p>
        </w:tc>
        <w:tc>
          <w:tcPr>
            <w:tcW w:w="13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7"/>
              </w:rPr>
              <w:t>2.4</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rPr>
              <w:t>2.4</w:t>
            </w:r>
          </w:p>
        </w:tc>
      </w:tr>
      <w:tr>
        <w:trPr>
          <w:trHeight w:val="220"/>
        </w:trPr>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Losses (gains) and other expenses, net (pre-tax)</w:t>
            </w:r>
          </w:p>
        </w:tc>
        <w:tc>
          <w:tcPr>
            <w:tcW w:w="1380" w:type="dxa"/>
            <w:vAlign w:val="bottom"/>
            <w:tcBorders>
              <w:bottom w:val="single" w:sz="8" w:color="auto"/>
            </w:tcBorders>
          </w:tcPr>
          <w:p>
            <w:pPr>
              <w:jc w:val="right"/>
              <w:ind w:right="11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center"/>
              <w:ind w:left="131"/>
              <w:spacing w:after="0"/>
              <w:rPr>
                <w:sz w:val="20"/>
                <w:szCs w:val="20"/>
                <w:color w:val="auto"/>
              </w:rPr>
            </w:pPr>
            <w:r>
              <w:rPr>
                <w:rFonts w:ascii="Times New Roman" w:cs="Times New Roman" w:eastAsia="Times New Roman" w:hAnsi="Times New Roman"/>
                <w:sz w:val="18"/>
                <w:szCs w:val="18"/>
                <w:color w:val="auto"/>
                <w:w w:val="97"/>
              </w:rPr>
              <w:t>3.7</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ind w:right="12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center"/>
              <w:ind w:left="71"/>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7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49"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We participate in two joint ventures that are engaged in the manufacture and sale of compressors, unit coolers and condensing units. We exert significant influence over these affiliates based upon our ownership, but do not control them due to venture partner participation. Accordingly, these joint ventures are accounted for under the equity method and their financial position and results of operations are not consolidated. We recognized income from equity method investments of $1 million in the first quarter of 2024 and in the first quarter of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Interest expense, net decreased to $12 million in the first quarter of 2024 from $14 million in the first quarter of 2023 due to lower borrowings.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36" w:lineRule="exact"/>
        <w:rPr>
          <w:sz w:val="20"/>
          <w:szCs w:val="20"/>
          <w:color w:val="auto"/>
        </w:rPr>
      </w:pPr>
    </w:p>
    <w:p>
      <w:pPr>
        <w:jc w:val="both"/>
        <w:ind w:firstLine="241"/>
        <w:spacing w:after="0" w:line="234" w:lineRule="auto"/>
        <w:rPr>
          <w:sz w:val="20"/>
          <w:szCs w:val="20"/>
          <w:color w:val="auto"/>
        </w:rPr>
      </w:pPr>
      <w:r>
        <w:rPr>
          <w:rFonts w:ascii="Times New Roman" w:cs="Times New Roman" w:eastAsia="Times New Roman" w:hAnsi="Times New Roman"/>
          <w:sz w:val="18"/>
          <w:szCs w:val="18"/>
          <w:color w:val="auto"/>
        </w:rPr>
        <w:t>Our effective tax rate was 19.4% for the three months ended March 31, 2024 compared to 21.7% for the three months ended March 31, 2023. The decrease in rate is primarily due to a discrete favorable adjustment for excess tax benefits in 2024 and unfavorable adjustments in 2023 related to discrete return to provision adjustments.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of 2024 Compared to First Quarter of 2023 - Results by Segment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Comfort Solutions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Home Comfort Solutions segment's net sales and profit for the first quarter of 2024 and 2023 (dollars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80" w:type="dxa"/>
            <w:vAlign w:val="bottom"/>
          </w:tcPr>
          <w:p>
            <w:pPr>
              <w:spacing w:after="0"/>
              <w:rPr>
                <w:sz w:val="18"/>
                <w:szCs w:val="18"/>
                <w:color w:val="auto"/>
              </w:rPr>
            </w:pPr>
          </w:p>
        </w:tc>
        <w:tc>
          <w:tcPr>
            <w:tcW w:w="350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1"/>
        </w:trPr>
        <w:tc>
          <w:tcPr>
            <w:tcW w:w="448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62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80" w:type="dxa"/>
            <w:vAlign w:val="bottom"/>
            <w:tcBorders>
              <w:top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8"/>
              </w:rPr>
              <w:t>674.6</w:t>
            </w:r>
          </w:p>
        </w:tc>
        <w:tc>
          <w:tcPr>
            <w:tcW w:w="1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98"/>
              </w:rPr>
              <w:t>681.0</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8"/>
              </w:rPr>
              <w:t>112.1</w:t>
            </w:r>
          </w:p>
        </w:tc>
        <w:tc>
          <w:tcPr>
            <w:tcW w:w="140" w:type="dxa"/>
            <w:vAlign w:val="bottom"/>
          </w:tcPr>
          <w:p>
            <w:pPr>
              <w:spacing w:after="0"/>
              <w:rPr>
                <w:sz w:val="19"/>
                <w:szCs w:val="19"/>
                <w:color w:val="auto"/>
              </w:rPr>
            </w:pP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98"/>
              </w:rPr>
              <w:t>111.1</w:t>
            </w:r>
          </w:p>
        </w:tc>
        <w:tc>
          <w:tcPr>
            <w:tcW w:w="14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7"/>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bl>
    <w:p>
      <w:pPr>
        <w:spacing w:after="0" w:line="75"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Net sales decreased 1% in the first quarter of 2024 compared to 2023 primarily due to unfavorable product mix of 2% and lower sales volumes of 2% which were partially offset by favorable price of 3%.</w:t>
      </w:r>
    </w:p>
    <w:p>
      <w:pPr>
        <w:spacing w:after="0" w:line="190"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Segment profit in the first quarter of 2024 compared to 2023 increased by $1 million, primarily due to $23 million from higher price, and $1 million from miscellaneous other items. Partially offsetting these increases were $11 million from higher SG&amp;A costs, $6 million from higher freight and distribution costs, $4 million from lower sales volumes, and $2 million from unfavorable product mix.</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Building Climate Solutions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1" w:name="page22"/>
    <w:bookmarkEnd w:id="21"/>
    <w:p>
      <w:pPr>
        <w:ind w:left="240"/>
        <w:spacing w:after="0"/>
        <w:rPr>
          <w:sz w:val="20"/>
          <w:szCs w:val="20"/>
          <w:color w:val="auto"/>
        </w:rPr>
      </w:pPr>
      <w:r>
        <w:rPr>
          <w:rFonts w:ascii="Times New Roman" w:cs="Times New Roman" w:eastAsia="Times New Roman" w:hAnsi="Times New Roman"/>
          <w:sz w:val="18"/>
          <w:szCs w:val="18"/>
          <w:color w:val="auto"/>
        </w:rPr>
        <w:t>The following table presents our Building Climate Solutions segment's net sales and profit for the first quarter of 2024 and 2023 (dollars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80" w:type="dxa"/>
            <w:vAlign w:val="bottom"/>
          </w:tcPr>
          <w:p>
            <w:pPr>
              <w:spacing w:after="0"/>
              <w:rPr>
                <w:sz w:val="18"/>
                <w:szCs w:val="18"/>
                <w:color w:val="auto"/>
              </w:rPr>
            </w:pPr>
          </w:p>
        </w:tc>
        <w:tc>
          <w:tcPr>
            <w:tcW w:w="350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1"/>
        </w:trPr>
        <w:tc>
          <w:tcPr>
            <w:tcW w:w="448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62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80" w:type="dxa"/>
            <w:vAlign w:val="bottom"/>
            <w:tcBorders>
              <w:top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8"/>
              </w:rPr>
              <w:t>372.5</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308.7</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4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78.2</w:t>
            </w:r>
          </w:p>
        </w:tc>
        <w:tc>
          <w:tcPr>
            <w:tcW w:w="14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27"/>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bl>
    <w:p>
      <w:pPr>
        <w:spacing w:after="0" w:line="316" w:lineRule="exact"/>
        <w:rPr>
          <w:sz w:val="20"/>
          <w:szCs w:val="20"/>
          <w:color w:val="auto"/>
        </w:rPr>
      </w:pPr>
    </w:p>
    <w:p>
      <w:pPr>
        <w:jc w:val="both"/>
        <w:ind w:right="20" w:firstLine="241"/>
        <w:spacing w:after="0" w:line="277" w:lineRule="auto"/>
        <w:rPr>
          <w:sz w:val="20"/>
          <w:szCs w:val="20"/>
          <w:color w:val="auto"/>
        </w:rPr>
      </w:pPr>
      <w:r>
        <w:rPr>
          <w:rFonts w:ascii="Times New Roman" w:cs="Times New Roman" w:eastAsia="Times New Roman" w:hAnsi="Times New Roman"/>
          <w:sz w:val="18"/>
          <w:szCs w:val="18"/>
          <w:color w:val="auto"/>
        </w:rPr>
        <w:t>Net sales increased 21% in the first quarter of 2024 compared to 2023 as sales volumes increased 7%, price increased 6%, product mix increased 2%, and a 6% increase in sales volumes from our AES acquisition.</w:t>
      </w:r>
    </w:p>
    <w:p>
      <w:pPr>
        <w:spacing w:after="0" w:line="190"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Segment profit in the first quarter of 2024 compared to 2023 increased $28 million primarily due to $18 million from favorable price, $7 million from higher sales volumes, $5 million from our acquisition of AES, and $1 million from favorable product mix. Partially offsetting these increases was $3 million from higher SG&amp;A costs.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Corporate and Other segment's net sales and loss for the first quarter of 2024 and 2023 (dollars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40" w:type="dxa"/>
            <w:vAlign w:val="bottom"/>
          </w:tcPr>
          <w:p>
            <w:pPr>
              <w:spacing w:after="0"/>
              <w:rPr>
                <w:sz w:val="18"/>
                <w:szCs w:val="18"/>
                <w:color w:val="auto"/>
              </w:rPr>
            </w:pPr>
          </w:p>
        </w:tc>
        <w:tc>
          <w:tcPr>
            <w:tcW w:w="328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1"/>
        </w:trPr>
        <w:tc>
          <w:tcPr>
            <w:tcW w:w="464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6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80" w:type="dxa"/>
            <w:vAlign w:val="bottom"/>
            <w:tcBorders>
              <w:top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0"/>
                <w:szCs w:val="20"/>
                <w:color w:val="auto"/>
              </w:rPr>
            </w:pPr>
          </w:p>
        </w:tc>
        <w:tc>
          <w:tcPr>
            <w:tcW w:w="4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297"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Net sales decreased $60 million and segment loss increased $4 million in the first quarter of 2024 as compared to 2023. Our European businesses, which were sold in the fourth quarter of 2023, generated $60 million net sales in the first quarter of 2023. Excluding our European businesses, Corporate and Other costs increased $4 million in the first quarter of 2024 compared to 2023 due primarily to higher incentive compensation and wage inflation.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Our working capital and capital expenditure requirements are generally met through internally generated funds, bank lines of credit and a commercial paper program (as described below). Working capital needs are generally greater in the first and second quarters due to the seasonal nature of our business cycle.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 of Cash Flows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cash flow activity for the three months ended March 31, 2024 and 2023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160" w:type="dxa"/>
            <w:vAlign w:val="bottom"/>
            <w:tcBorders>
              <w:bottom w:val="single" w:sz="8" w:color="CCEEFF"/>
            </w:tcBorders>
          </w:tcPr>
          <w:p>
            <w:pPr>
              <w:spacing w:after="0"/>
              <w:rPr>
                <w:sz w:val="18"/>
                <w:szCs w:val="18"/>
                <w:color w:val="auto"/>
              </w:rPr>
            </w:pPr>
          </w:p>
        </w:tc>
        <w:tc>
          <w:tcPr>
            <w:tcW w:w="350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580" w:type="dxa"/>
            <w:vAlign w:val="bottom"/>
            <w:tcBorders>
              <w:bottom w:val="single" w:sz="8" w:color="auto"/>
            </w:tcBorders>
          </w:tcPr>
          <w:p>
            <w:pPr>
              <w:spacing w:after="0"/>
              <w:rPr>
                <w:sz w:val="18"/>
                <w:szCs w:val="18"/>
                <w:color w:val="auto"/>
              </w:rPr>
            </w:pPr>
          </w:p>
        </w:tc>
      </w:tr>
      <w:tr>
        <w:trPr>
          <w:trHeight w:val="210"/>
        </w:trPr>
        <w:tc>
          <w:tcPr>
            <w:tcW w:w="716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shd w:val="clear" w:color="auto" w:fill="CCEEFF"/>
          </w:tcPr>
          <w:p>
            <w:pPr>
              <w:spacing w:after="0"/>
              <w:rPr>
                <w:sz w:val="18"/>
                <w:szCs w:val="18"/>
                <w:color w:val="auto"/>
              </w:rPr>
            </w:pP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20" w:type="dxa"/>
            <w:vAlign w:val="bottom"/>
          </w:tcPr>
          <w:p>
            <w:pPr>
              <w:jc w:val="right"/>
              <w:ind w:right="113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6"/>
              </w:rPr>
              <w:t>(22.8)</w:t>
            </w:r>
          </w:p>
        </w:tc>
        <w:tc>
          <w:tcPr>
            <w:tcW w:w="120" w:type="dxa"/>
            <w:vAlign w:val="bottom"/>
          </w:tcPr>
          <w:p>
            <w:pPr>
              <w:spacing w:after="0"/>
              <w:rPr>
                <w:sz w:val="19"/>
                <w:szCs w:val="19"/>
                <w:color w:val="auto"/>
              </w:rPr>
            </w:pPr>
          </w:p>
        </w:tc>
        <w:tc>
          <w:tcPr>
            <w:tcW w:w="1400" w:type="dxa"/>
            <w:vAlign w:val="bottom"/>
          </w:tcPr>
          <w:p>
            <w:pPr>
              <w:jc w:val="right"/>
              <w:ind w:right="11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(78.8)</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96"/>
              </w:rPr>
              <w:t>(30.7)</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(33.7)</w:t>
            </w:r>
          </w:p>
        </w:tc>
      </w:tr>
      <w:tr>
        <w:trPr>
          <w:trHeight w:val="23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20" w:type="dxa"/>
            <w:vAlign w:val="bottom"/>
          </w:tcPr>
          <w:p>
            <w:pPr>
              <w:spacing w:after="0"/>
              <w:rPr>
                <w:sz w:val="20"/>
                <w:szCs w:val="20"/>
                <w:color w:val="auto"/>
              </w:rPr>
            </w:pPr>
          </w:p>
        </w:tc>
        <w:tc>
          <w:tcPr>
            <w:tcW w:w="66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w:t>
            </w:r>
          </w:p>
        </w:tc>
      </w:tr>
    </w:tbl>
    <w:p>
      <w:pPr>
        <w:spacing w:after="0" w:line="308" w:lineRule="exact"/>
        <w:rPr>
          <w:sz w:val="20"/>
          <w:szCs w:val="20"/>
          <w:color w:val="auto"/>
        </w:rPr>
      </w:pPr>
    </w:p>
    <w:p>
      <w:pPr>
        <w:jc w:val="both"/>
        <w:ind w:firstLine="241"/>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Net Cash Used In Operating Activities - </w:t>
      </w:r>
      <w:r>
        <w:rPr>
          <w:rFonts w:ascii="Times New Roman" w:cs="Times New Roman" w:eastAsia="Times New Roman" w:hAnsi="Times New Roman"/>
          <w:sz w:val="18"/>
          <w:szCs w:val="18"/>
          <w:color w:val="auto"/>
        </w:rPr>
        <w:t>The change in net cash used in operating activities for the three months ended March 31, 2024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used in operating activities for the same period in 2023 reflects changes in working capital and an increase in net income.</w:t>
      </w:r>
    </w:p>
    <w:p>
      <w:pPr>
        <w:spacing w:after="0" w:line="187" w:lineRule="exact"/>
        <w:rPr>
          <w:sz w:val="20"/>
          <w:szCs w:val="20"/>
          <w:color w:val="auto"/>
        </w:rPr>
      </w:pPr>
    </w:p>
    <w:p>
      <w:pPr>
        <w:jc w:val="both"/>
        <w:ind w:firstLine="241"/>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 </w:t>
      </w:r>
      <w:r>
        <w:rPr>
          <w:rFonts w:ascii="Times New Roman" w:cs="Times New Roman" w:eastAsia="Times New Roman" w:hAnsi="Times New Roman"/>
          <w:sz w:val="18"/>
          <w:szCs w:val="18"/>
          <w:color w:val="auto"/>
        </w:rPr>
        <w:t>Capital expenditures were $30 million for the three months ended March 31, 2024 compared to $35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of 2023. Capital expenditures in 2024 were related to our Commercial factory in Mexico, the general expansion of manufacturing capacity and equipment, and investments in systems and software to support the overall enterprise.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22" w:name="page23"/>
    <w:bookmarkEnd w:id="22"/>
    <w:p>
      <w:pPr>
        <w:jc w:val="both"/>
        <w:ind w:firstLine="24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Cash Provided By Financing Activities - </w:t>
      </w:r>
      <w:r>
        <w:rPr>
          <w:rFonts w:ascii="Times New Roman" w:cs="Times New Roman" w:eastAsia="Times New Roman" w:hAnsi="Times New Roman"/>
          <w:sz w:val="18"/>
          <w:szCs w:val="18"/>
          <w:color w:val="auto"/>
        </w:rPr>
        <w:t>Net cash provided by financing activities for the three months ended March 31, 2024 decreased to $42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compared to $101 million provided by financing activities in the same period of 2023. The change was primarily due to changes in net borrowings and repayments of long-term debt. We returned $39 million to shareholders through dividend payments for the three months ended March 31, 2024 and $38 million in the same period of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Position</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details our lines of credit and financing arrangements as of March 31, 2024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Outstanding Borrowings</w:t>
            </w:r>
          </w:p>
        </w:tc>
      </w:tr>
      <w:tr>
        <w:trPr>
          <w:trHeight w:val="237"/>
        </w:trPr>
        <w:tc>
          <w:tcPr>
            <w:tcW w:w="9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2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paper: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54"/>
        </w:trPr>
        <w:tc>
          <w:tcPr>
            <w:tcW w:w="9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2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maturities of long-term debt:</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7"/>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0"/>
        </w:trPr>
        <w:tc>
          <w:tcPr>
            <w:tcW w:w="9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54"/>
        </w:trPr>
        <w:tc>
          <w:tcPr>
            <w:tcW w:w="9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2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2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2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0"/>
        </w:trPr>
        <w:tc>
          <w:tcPr>
            <w:tcW w:w="9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long-term debt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1,153.7</w:t>
            </w:r>
          </w:p>
        </w:tc>
      </w:tr>
      <w:tr>
        <w:trPr>
          <w:trHeight w:val="245"/>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1,426.2</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236" w:lineRule="exact"/>
        <w:rPr>
          <w:sz w:val="20"/>
          <w:szCs w:val="20"/>
          <w:color w:val="auto"/>
        </w:rPr>
      </w:pPr>
    </w:p>
    <w:p>
      <w:pPr>
        <w:jc w:val="both"/>
        <w:ind w:firstLine="241"/>
        <w:spacing w:after="0" w:line="235" w:lineRule="auto"/>
        <w:rPr>
          <w:sz w:val="20"/>
          <w:szCs w:val="20"/>
          <w:color w:val="auto"/>
        </w:rPr>
      </w:pPr>
      <w:r>
        <w:rPr>
          <w:rFonts w:ascii="Times New Roman" w:cs="Times New Roman" w:eastAsia="Times New Roman" w:hAnsi="Times New Roman"/>
          <w:sz w:val="18"/>
          <w:szCs w:val="18"/>
          <w:color w:val="auto"/>
        </w:rPr>
        <w:t>On October 25, 2023, we established a commercial paper program, as a replacement to our Asset Securitization Program which expired in November 2023, pursuant to which we may issue short-term, unsecured commercial paper notes under the exemption from registration contained in Section 4(a)(2) of the Securities Act of 1933, as amended. Amounts available under the Program may be borrowed, repaid, and re-borrowed from time to time, with the aggregate face or principal amount of the CP Notes outstanding under the Program at any time not to exceed $500.0 million. The CP Notes have maturities of up to 397 days from the date of issue and rank pari passu with all of our other unsecured and unsubordinated indebtedness. The net proceeds from issuances of the CP Notes are typically used for general corporate purposes. Our revolving credit facility serves as a liquidity backstop for the repayment of CP Notes outstanding under the Program. CP Notes currently outstanding under the Program totaled $250.0 million as of March 31, 2024.</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49" w:lineRule="exact"/>
        <w:rPr>
          <w:sz w:val="20"/>
          <w:szCs w:val="20"/>
          <w:color w:val="auto"/>
        </w:rPr>
      </w:pPr>
    </w:p>
    <w:p>
      <w:pPr>
        <w:jc w:val="both"/>
        <w:ind w:firstLine="241"/>
        <w:spacing w:after="0" w:line="244" w:lineRule="auto"/>
        <w:rPr>
          <w:sz w:val="20"/>
          <w:szCs w:val="20"/>
          <w:color w:val="auto"/>
        </w:rPr>
      </w:pPr>
      <w:r>
        <w:rPr>
          <w:rFonts w:ascii="Times New Roman" w:cs="Times New Roman" w:eastAsia="Times New Roman" w:hAnsi="Times New Roman"/>
          <w:sz w:val="18"/>
          <w:szCs w:val="18"/>
          <w:color w:val="auto"/>
        </w:rPr>
        <w:t>We have an existing $1.1 billion unsecured revolving credit facility dated as of July 14, 2021 (as amended, the "Credit Agreement"), with JPMorgan Chase Bank, N.A., as administrative agent, and the other lenders party thereto. We had outstanding borrowings of $12.0 million as well as $1.7 million committed to standby letters of credit as of March 31, 2024. Subject to covenant limitations, $836.3 million was available for future borrowings after taking into consideration outstanding borrowings under our Program. The Credit Agreement includes a subfacility for swingline loans up to $65.0 million. The Credit Agreement will expire and outstanding loans will be required to be repaid in July 2026, unless maturity is extended by the lenders pursuant to two one-year extension options that we may request under the Credit Agreement.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49"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In September 2023, we issued $500.0 million of senior unsecured notes, which will mature in September 2028 (the "2028 Notes") with interest being paid semi-annually in March and September at 5.50%. We issued two series of senior unsecured notes on July 30, 2020 for $300.0 million each, which will mature on August 1, 2025 (the "2025 Notes") and August 1, 2027</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3" w:name="page24"/>
    <w:bookmarkEnd w:id="23"/>
    <w:p>
      <w:pPr>
        <w:jc w:val="both"/>
        <w:spacing w:after="0" w:line="277" w:lineRule="auto"/>
        <w:rPr>
          <w:sz w:val="20"/>
          <w:szCs w:val="20"/>
          <w:color w:val="auto"/>
        </w:rPr>
      </w:pPr>
      <w:r>
        <w:rPr>
          <w:rFonts w:ascii="Times New Roman" w:cs="Times New Roman" w:eastAsia="Times New Roman" w:hAnsi="Times New Roman"/>
          <w:sz w:val="18"/>
          <w:szCs w:val="18"/>
          <w:color w:val="auto"/>
        </w:rPr>
        <w:t>(the "2027 Notes," and collectively with the 2025 Notes and the 2028 Notes, the "Notes") with interest being paid semi-annually in February and August at 1.35% and 1.70% respectively, per annum.</w:t>
      </w:r>
    </w:p>
    <w:p>
      <w:pPr>
        <w:spacing w:after="0" w:line="190"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color w:val="auto"/>
        </w:rPr>
        <w:t>In the event of a credit rating downgrade below investment grade resulting from a change of control, holders of our senior unsecured notes will have the right to require us to repurchase all or a portion of the senior unsecured notes at a repurchase price equal to 101% of the principal amount of the notes, plus accrued and unpaid interest, if any. All the Notes are guaranteed, on a senior unsecured basis, by the Guarantor Subsidiaries. The indenture governing the Notes contains covenants that, among other things, limit our ability and the ability of the Guarantor Subsidiaries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As of March 31, 2024, we believe we were in compliance with all covenant requirements.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Leverage</w:t>
      </w:r>
    </w:p>
    <w:p>
      <w:pPr>
        <w:spacing w:after="0" w:line="249"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We periodically review our capital structure to ensure the appropriate levels of leverage and liquidity. We may access the capital markets, as necessary, based on business needs and to take advantage of favorable interest rate environments or other market conditions. We also evaluate our debt-to-capital and debt-to-EBITDA ratios to determine, among other considerations, the appropriate targets for capital expenditures and share repurchases under our share repurchase programs. Our debt-to-total-capital ratio decreased to 79% as of March 31, 2024 from 82% as of December 31, 2023.</w:t>
      </w:r>
    </w:p>
    <w:p>
      <w:pPr>
        <w:spacing w:after="0" w:line="209"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As of March 31, 2024, our senior credit ratings were Baa2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49"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We believe our cash and cash equivalents of $46 million, future cash generated from operations and available borrowing capacity are sufficient to fund operations, planned capital expenditures, future contractual obligations, potential share repurchases and dividends and other needs in the foreseeable future. Included in our cash and cash equivalents of $46 million as of March 31, 2024 was $21 million of cash held in foreign locations. Our cash held in foreign locations is used for investing and operating activities in those locations, and we generally do not have the need or intent to repatriate those funds to the United States. An actual repatriation in the future from our non-U.S. subsidiaries could be subject to foreign withholding taxes and U.S. state taxes.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 Related to Our Debt Obligations</w:t>
      </w:r>
    </w:p>
    <w:p>
      <w:pPr>
        <w:spacing w:after="0" w:line="249"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Our senior unsecured notes were issued by Lennox International Inc. ("Parent") and are unconditionally guaranteed by the Guarantor Subsidiaries. The Guarantor Subsidiaries are 100% owned and consolidated, all guarantees are full and unconditional, and all guarantees are joint and several.</w:t>
      </w:r>
    </w:p>
    <w:p>
      <w:pPr>
        <w:spacing w:after="0" w:line="190" w:lineRule="exact"/>
        <w:rPr>
          <w:sz w:val="20"/>
          <w:szCs w:val="20"/>
          <w:color w:val="auto"/>
        </w:rPr>
      </w:pPr>
    </w:p>
    <w:p>
      <w:pPr>
        <w:jc w:val="both"/>
        <w:ind w:right="20" w:firstLine="241"/>
        <w:spacing w:after="0" w:line="277" w:lineRule="auto"/>
        <w:rPr>
          <w:sz w:val="20"/>
          <w:szCs w:val="20"/>
          <w:color w:val="auto"/>
        </w:rPr>
      </w:pPr>
      <w:r>
        <w:rPr>
          <w:rFonts w:ascii="Times New Roman" w:cs="Times New Roman" w:eastAsia="Times New Roman" w:hAnsi="Times New Roman"/>
          <w:sz w:val="18"/>
          <w:szCs w:val="18"/>
          <w:color w:val="auto"/>
        </w:rPr>
        <w:t>The following combined Parent and Guarantor Subsidiaries financial information is presented as of March 31, 2024 and December 31, 2023 and for the three months ended March 31, 2024 (in millions):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4"/>
        </w:trPr>
        <w:tc>
          <w:tcPr>
            <w:tcW w:w="7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200" w:type="dxa"/>
            <w:vAlign w:val="bottom"/>
          </w:tcPr>
          <w:p>
            <w:pPr>
              <w:spacing w:after="0"/>
              <w:rPr>
                <w:sz w:val="18"/>
                <w:szCs w:val="18"/>
                <w:color w:val="auto"/>
              </w:rPr>
            </w:pPr>
          </w:p>
        </w:tc>
        <w:tc>
          <w:tcPr>
            <w:tcW w:w="178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1,291.0</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5,737.1</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843.3</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1,477.3</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due to non-guarantor subsidiaries</w:t>
            </w: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r>
      <w:tr>
        <w:trPr>
          <w:trHeight w:val="254"/>
        </w:trPr>
        <w:tc>
          <w:tcPr>
            <w:tcW w:w="7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160"/>
        </w:trPr>
        <w:tc>
          <w:tcPr>
            <w:tcW w:w="7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jc w:val="center"/>
              <w:ind w:right="300"/>
              <w:spacing w:after="0" w:line="161" w:lineRule="exact"/>
              <w:rPr>
                <w:sz w:val="20"/>
                <w:szCs w:val="20"/>
                <w:color w:val="auto"/>
              </w:rPr>
            </w:pPr>
            <w:r>
              <w:rPr>
                <w:rFonts w:ascii="Times New Roman" w:cs="Times New Roman" w:eastAsia="Times New Roman" w:hAnsi="Times New Roman"/>
                <w:sz w:val="16"/>
                <w:szCs w:val="16"/>
                <w:b w:val="1"/>
                <w:bCs w:val="1"/>
                <w:color w:val="auto"/>
              </w:rPr>
              <w:t>For the Three Months</w:t>
            </w:r>
          </w:p>
        </w:tc>
        <w:tc>
          <w:tcPr>
            <w:tcW w:w="200" w:type="dxa"/>
            <w:vAlign w:val="bottom"/>
            <w:shd w:val="clear" w:color="auto" w:fill="CCEEFF"/>
          </w:tcPr>
          <w:p>
            <w:pPr>
              <w:spacing w:after="0"/>
              <w:rPr>
                <w:sz w:val="13"/>
                <w:szCs w:val="13"/>
                <w:color w:val="auto"/>
              </w:rPr>
            </w:pPr>
          </w:p>
        </w:tc>
        <w:tc>
          <w:tcPr>
            <w:tcW w:w="1780" w:type="dxa"/>
            <w:vAlign w:val="bottom"/>
            <w:shd w:val="clear" w:color="auto" w:fill="CCEEFF"/>
          </w:tcPr>
          <w:p>
            <w:pPr>
              <w:jc w:val="center"/>
              <w:ind w:right="113"/>
              <w:spacing w:after="0" w:line="161" w:lineRule="exact"/>
              <w:rPr>
                <w:sz w:val="20"/>
                <w:szCs w:val="20"/>
                <w:color w:val="auto"/>
              </w:rPr>
            </w:pPr>
            <w:r>
              <w:rPr>
                <w:rFonts w:ascii="Times New Roman" w:cs="Times New Roman" w:eastAsia="Times New Roman" w:hAnsi="Times New Roman"/>
                <w:sz w:val="16"/>
                <w:szCs w:val="16"/>
                <w:b w:val="1"/>
                <w:bCs w:val="1"/>
                <w:color w:val="auto"/>
                <w:w w:val="98"/>
              </w:rPr>
              <w:t>For the Year Ended,</w:t>
            </w:r>
          </w:p>
        </w:tc>
      </w:tr>
      <w:tr>
        <w:trPr>
          <w:trHeight w:val="214"/>
        </w:trPr>
        <w:tc>
          <w:tcPr>
            <w:tcW w:w="7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Ended March 31, 2024</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1,035.7</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4,626.8</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1,157.8</w:t>
            </w:r>
          </w:p>
        </w:tc>
      </w:tr>
      <w:tr>
        <w:trPr>
          <w:trHeight w:val="23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51"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We have no off-balance sheet arrangements that we believe may have a material current or future effect on our financial condition, liquidity or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Contingencies and Guarantees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information regarding our commitments, contingencies and guarantees, see Note 4 in the Notes to the Consolidated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There were no recent accounting pronouncements that are expected to have a material impact on our financial statements and disclosures.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30" w:lineRule="exact"/>
        <w:rPr>
          <w:sz w:val="20"/>
          <w:szCs w:val="20"/>
          <w:color w:val="auto"/>
        </w:rPr>
      </w:pPr>
    </w:p>
    <w:p>
      <w:pPr>
        <w:jc w:val="both"/>
        <w:ind w:firstLine="241"/>
        <w:spacing w:after="0" w:line="251"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affecting LII, see "Quantitative and Qualitative Disclosures About Market Risk" in Item 7A of Part II of our Annual Report on Form 10-K for the fiscal year ended December 31, 2023. Our exposure to market risk has not changed materially since December 31, 2023.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1" w:lineRule="exact"/>
        <w:rPr>
          <w:sz w:val="20"/>
          <w:szCs w:val="20"/>
          <w:color w:val="auto"/>
        </w:rPr>
      </w:pPr>
    </w:p>
    <w:p>
      <w:pPr>
        <w:jc w:val="both"/>
        <w:ind w:firstLine="241"/>
        <w:spacing w:after="0" w:line="251" w:lineRule="auto"/>
        <w:rPr>
          <w:sz w:val="20"/>
          <w:szCs w:val="20"/>
          <w:color w:val="auto"/>
        </w:rPr>
      </w:pPr>
      <w:r>
        <w:rPr>
          <w:rFonts w:ascii="Times New Roman" w:cs="Times New Roman" w:eastAsia="Times New Roman" w:hAnsi="Times New Roman"/>
          <w:sz w:val="18"/>
          <w:szCs w:val="18"/>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the Chief Executive Officer and Chief Financial Officer have concluded that, as of March 31, 2024,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1" w:lineRule="exact"/>
        <w:rPr>
          <w:sz w:val="20"/>
          <w:szCs w:val="20"/>
          <w:color w:val="auto"/>
        </w:rPr>
      </w:pPr>
    </w:p>
    <w:p>
      <w:pPr>
        <w:jc w:val="both"/>
        <w:ind w:right="20" w:firstLine="241"/>
        <w:spacing w:after="0" w:line="277"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1"/>
          <w:szCs w:val="21"/>
          <w:b w:val="1"/>
          <w:bCs w:val="1"/>
          <w:color w:val="auto"/>
        </w:rPr>
        <w:t>Part II - Other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are involved in a number of claims and lawsuits incidental to the operation of our businesses. Where appropriate, insurance coverages are maintained and estimated costs are recorded for such claims and lawsuits. It is management's opinion that none of these claims or lawsuits will have a material adverse effect, individually or in the aggregate, on our financial position, results of operations or cash flows.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4"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 factors discussed in Part I, “Item 1A. Risk Factors” in our Annual Report on Form 10-K for the year ended December 31, 2023, which could materially affect our business, financial condition or results of operations. There have been no material changes to our risk factors from those disclosed in our Annual Report on Form 10-K for the year ended December 31, 2023.</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7" w:lineRule="exact"/>
        <w:rPr>
          <w:sz w:val="20"/>
          <w:szCs w:val="20"/>
          <w:color w:val="auto"/>
        </w:rPr>
      </w:pPr>
    </w:p>
    <w:p>
      <w:pPr>
        <w:jc w:val="both"/>
        <w:ind w:firstLine="241"/>
        <w:spacing w:after="0" w:line="239" w:lineRule="auto"/>
        <w:rPr>
          <w:sz w:val="20"/>
          <w:szCs w:val="20"/>
          <w:color w:val="auto"/>
        </w:rPr>
      </w:pPr>
      <w:r>
        <w:rPr>
          <w:rFonts w:ascii="Times New Roman" w:cs="Times New Roman" w:eastAsia="Times New Roman" w:hAnsi="Times New Roman"/>
          <w:sz w:val="18"/>
          <w:szCs w:val="18"/>
          <w:color w:val="auto"/>
        </w:rPr>
        <w:t>We did not repurchase any shares of our common stock in the first quarter of 2024. For additional information on our share repurchase program, refer to Note 5 in the Notes to the Consolidated Financial Statements.</w:t>
      </w: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Rule 10b5-1 Plan Elections</w:t>
      </w:r>
    </w:p>
    <w:p>
      <w:pPr>
        <w:spacing w:after="0" w:line="305"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Director John W. Norris III was previously enrolled in dividend reinvestment for certain Company securities held through a trust where he serves as a trustee. In February 2024, he stopped participation in dividend reinvestment on this account. It is possible that the dividend reinvestment plan might be deemed to be a non-Rule 10b5-1 trading arrangement.</w:t>
      </w:r>
    </w:p>
    <w:p>
      <w:pPr>
        <w:spacing w:after="0" w:line="204"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During the quarter ended March 31, 2024, none of our other directors or officers adopted, modified, or terminated any Rule 10b5-1 trading arrangement or non-Rule 10b5-1 trading arrangement, as such terms are defined in Item 408(a) of Regulation S-K.</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6"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260" w:type="dxa"/>
            <w:vAlign w:val="bottom"/>
            <w:gridSpan w:val="21"/>
            <w:shd w:val="clear" w:color="auto" w:fill="CCEEFF"/>
          </w:tcPr>
          <w:p>
            <w:pPr>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Restated Certificate of Incorporation of Lennox International Inc. (“LII”) (filed as Exhibit 3.1 to LII's Annual Report on Form 10-K filed on</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4080" w:type="dxa"/>
            <w:vAlign w:val="bottom"/>
            <w:tcBorders>
              <w:top w:val="single" w:sz="8" w:color="0000FF"/>
              <w:bottom w:val="single" w:sz="8" w:color="0000FF"/>
            </w:tcBorders>
            <w:gridSpan w:val="5"/>
            <w:shd w:val="clear" w:color="auto" w:fill="CCEEFF"/>
          </w:tcPr>
          <w:p>
            <w:pPr>
              <w:spacing w:after="0" w:line="154" w:lineRule="exact"/>
              <w:rPr>
                <w:rFonts w:ascii="Times New Roman" w:cs="Times New Roman" w:eastAsia="Times New Roman" w:hAnsi="Times New Roman"/>
                <w:sz w:val="17"/>
                <w:szCs w:val="17"/>
                <w:color w:val="0000FF"/>
              </w:rPr>
            </w:pPr>
            <w:hyperlink r:id="rId43">
              <w:r>
                <w:rPr>
                  <w:rFonts w:ascii="Times New Roman" w:cs="Times New Roman" w:eastAsia="Times New Roman" w:hAnsi="Times New Roman"/>
                  <w:sz w:val="17"/>
                  <w:szCs w:val="17"/>
                  <w:color w:val="0000FF"/>
                </w:rPr>
                <w:t>February 15, 2022 and incorporated herein by reference).</w:t>
              </w:r>
            </w:hyperlink>
          </w:p>
        </w:tc>
        <w:tc>
          <w:tcPr>
            <w:tcW w:w="5900" w:type="dxa"/>
            <w:vAlign w:val="bottom"/>
            <w:tcBorders>
              <w:top w:val="single" w:sz="8" w:color="0000FF"/>
              <w:bottom w:val="single" w:sz="8" w:color="CCEEFF"/>
            </w:tcBorders>
            <w:gridSpan w:val="7"/>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3.2</w:t>
            </w:r>
          </w:p>
        </w:tc>
        <w:tc>
          <w:tcPr>
            <w:tcW w:w="10260" w:type="dxa"/>
            <w:vAlign w:val="bottom"/>
            <w:gridSpan w:val="21"/>
          </w:tcPr>
          <w:p>
            <w:pPr>
              <w:spacing w:after="0" w:line="187"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Amended and Restated Bylaws of LII (filed as Exhibit 3.2 to LII's Annual Report on Form 10-K filed on February 15, 2022 and incorporated</w:t>
              </w:r>
            </w:hyperlink>
          </w:p>
        </w:tc>
      </w:tr>
      <w:tr>
        <w:trPr>
          <w:trHeight w:val="154"/>
        </w:trPr>
        <w:tc>
          <w:tcPr>
            <w:tcW w:w="920" w:type="dxa"/>
            <w:vAlign w:val="bottom"/>
          </w:tcPr>
          <w:p>
            <w:pPr>
              <w:spacing w:after="0"/>
              <w:rPr>
                <w:sz w:val="13"/>
                <w:szCs w:val="13"/>
                <w:color w:val="auto"/>
              </w:rPr>
            </w:pPr>
          </w:p>
        </w:tc>
        <w:tc>
          <w:tcPr>
            <w:tcW w:w="10060" w:type="dxa"/>
            <w:vAlign w:val="bottom"/>
            <w:tcBorders>
              <w:top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44">
              <w:r>
                <w:rPr>
                  <w:rFonts w:ascii="Times New Roman" w:cs="Times New Roman" w:eastAsia="Times New Roman" w:hAnsi="Times New Roman"/>
                  <w:sz w:val="17"/>
                  <w:szCs w:val="17"/>
                  <w:color w:val="0000FF"/>
                </w:rPr>
                <w:t>herein by reference).</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4.1</w:t>
            </w:r>
          </w:p>
        </w:tc>
        <w:tc>
          <w:tcPr>
            <w:tcW w:w="10260" w:type="dxa"/>
            <w:vAlign w:val="bottom"/>
            <w:gridSpan w:val="21"/>
            <w:shd w:val="clear" w:color="auto" w:fill="CCEEFF"/>
          </w:tcPr>
          <w:p>
            <w:pPr>
              <w:spacing w:after="0" w:line="187"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Indenture, dated as of May 3, 2010, between LII and U.S. Bank National Association, as trustee (filed as Exhibit 4.3 to LII’s Post-Effective</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8000" w:type="dxa"/>
            <w:vAlign w:val="bottom"/>
            <w:tcBorders>
              <w:top w:val="single" w:sz="8" w:color="0000FF"/>
              <w:bottom w:val="single" w:sz="8" w:color="0000FF"/>
            </w:tcBorders>
            <w:gridSpan w:val="8"/>
            <w:shd w:val="clear" w:color="auto" w:fill="CCEEFF"/>
          </w:tcPr>
          <w:p>
            <w:pPr>
              <w:spacing w:after="0" w:line="154" w:lineRule="exact"/>
              <w:rPr>
                <w:rFonts w:ascii="Times New Roman" w:cs="Times New Roman" w:eastAsia="Times New Roman" w:hAnsi="Times New Roman"/>
                <w:sz w:val="17"/>
                <w:szCs w:val="17"/>
                <w:color w:val="0000FF"/>
              </w:rPr>
            </w:pPr>
            <w:hyperlink r:id="rId45">
              <w:r>
                <w:rPr>
                  <w:rFonts w:ascii="Times New Roman" w:cs="Times New Roman" w:eastAsia="Times New Roman" w:hAnsi="Times New Roman"/>
                  <w:sz w:val="17"/>
                  <w:szCs w:val="17"/>
                  <w:color w:val="0000FF"/>
                </w:rPr>
                <w:t>Amendment No. 1 to Registration Statement on S-3 filed on May 3, 2010 and incorporated herein by reference).</w:t>
              </w:r>
            </w:hyperlink>
          </w:p>
        </w:tc>
        <w:tc>
          <w:tcPr>
            <w:tcW w:w="192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18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4.2</w:t>
            </w:r>
          </w:p>
        </w:tc>
        <w:tc>
          <w:tcPr>
            <w:tcW w:w="10260" w:type="dxa"/>
            <w:vAlign w:val="bottom"/>
            <w:gridSpan w:val="21"/>
          </w:tcPr>
          <w:p>
            <w:pPr>
              <w:spacing w:after="0" w:line="187" w:lineRule="exact"/>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Ninth Supplemental Indenture, dated as of July 30, 2020, among LII, each existing Guarantor under the Indenture, dated as of May 3, 2010, as</w:t>
              </w:r>
            </w:hyperlink>
          </w:p>
        </w:tc>
      </w:tr>
      <w:tr>
        <w:trPr>
          <w:trHeight w:val="154"/>
        </w:trPr>
        <w:tc>
          <w:tcPr>
            <w:tcW w:w="920" w:type="dxa"/>
            <w:vAlign w:val="bottom"/>
          </w:tcPr>
          <w:p>
            <w:pPr>
              <w:spacing w:after="0"/>
              <w:rPr>
                <w:sz w:val="13"/>
                <w:szCs w:val="13"/>
                <w:color w:val="auto"/>
              </w:rPr>
            </w:pPr>
          </w:p>
        </w:tc>
        <w:tc>
          <w:tcPr>
            <w:tcW w:w="10180" w:type="dxa"/>
            <w:vAlign w:val="bottom"/>
            <w:tcBorders>
              <w:top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46">
              <w:r>
                <w:rPr>
                  <w:rFonts w:ascii="Times New Roman" w:cs="Times New Roman" w:eastAsia="Times New Roman" w:hAnsi="Times New Roman"/>
                  <w:sz w:val="17"/>
                  <w:szCs w:val="17"/>
                  <w:color w:val="0000FF"/>
                </w:rPr>
                <w:t>subsequently supplemented, and U.S. Bank National Association, as trustee (filed as Exhibit 4.2 to LII’s Current Report on Form 8-K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920" w:type="dxa"/>
            <w:vAlign w:val="bottom"/>
          </w:tcPr>
          <w:p>
            <w:pPr>
              <w:spacing w:after="0"/>
              <w:rPr>
                <w:sz w:val="14"/>
                <w:szCs w:val="14"/>
                <w:color w:val="auto"/>
              </w:rPr>
            </w:pPr>
          </w:p>
        </w:tc>
        <w:tc>
          <w:tcPr>
            <w:tcW w:w="10100" w:type="dxa"/>
            <w:vAlign w:val="bottom"/>
            <w:tcBorders>
              <w:top w:val="single" w:sz="8" w:color="0000FF"/>
            </w:tcBorders>
            <w:gridSpan w:val="14"/>
          </w:tcPr>
          <w:p>
            <w:pPr>
              <w:spacing w:after="0" w:line="167"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July 30, 2020 and incorporated herein by reference).</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4.3</w:t>
            </w:r>
          </w:p>
        </w:tc>
        <w:tc>
          <w:tcPr>
            <w:tcW w:w="10260" w:type="dxa"/>
            <w:vAlign w:val="bottom"/>
            <w:gridSpan w:val="21"/>
            <w:shd w:val="clear" w:color="auto" w:fill="CCEEFF"/>
          </w:tcPr>
          <w:p>
            <w:pPr>
              <w:spacing w:after="0" w:line="187" w:lineRule="exact"/>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Form of 1.350% Notes due 2025 (filed as Exhibit A in Exhibit 4.2 to LII’s Current Report on Form 8-K filed on July 30, 2020 and incorporate</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0000FF"/>
              <w:bottom w:val="single" w:sz="8" w:color="0000FF"/>
            </w:tcBorders>
            <w:gridSpan w:val="2"/>
            <w:shd w:val="clear" w:color="auto" w:fill="CCEEFF"/>
          </w:tcPr>
          <w:p>
            <w:pPr>
              <w:spacing w:after="0" w:line="154" w:lineRule="exact"/>
              <w:rPr>
                <w:rFonts w:ascii="Times New Roman" w:cs="Times New Roman" w:eastAsia="Times New Roman" w:hAnsi="Times New Roman"/>
                <w:sz w:val="17"/>
                <w:szCs w:val="17"/>
                <w:color w:val="0000FF"/>
              </w:rPr>
            </w:pPr>
            <w:hyperlink r:id="rId46">
              <w:r>
                <w:rPr>
                  <w:rFonts w:ascii="Times New Roman" w:cs="Times New Roman" w:eastAsia="Times New Roman" w:hAnsi="Times New Roman"/>
                  <w:sz w:val="17"/>
                  <w:szCs w:val="17"/>
                  <w:color w:val="0000FF"/>
                </w:rPr>
                <w:t>herein by reference).</w:t>
              </w:r>
            </w:hyperlink>
          </w:p>
        </w:tc>
        <w:tc>
          <w:tcPr>
            <w:tcW w:w="8760" w:type="dxa"/>
            <w:vAlign w:val="bottom"/>
            <w:tcBorders>
              <w:top w:val="single" w:sz="8" w:color="0000FF"/>
              <w:bottom w:val="single" w:sz="8" w:color="CCEEFF"/>
            </w:tcBorders>
            <w:gridSpan w:val="18"/>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4.5</w:t>
            </w:r>
          </w:p>
        </w:tc>
        <w:tc>
          <w:tcPr>
            <w:tcW w:w="10260" w:type="dxa"/>
            <w:vAlign w:val="bottom"/>
            <w:gridSpan w:val="21"/>
          </w:tcPr>
          <w:p>
            <w:pPr>
              <w:spacing w:after="0" w:line="187" w:lineRule="exact"/>
              <w:rPr>
                <w:rFonts w:ascii="Times New Roman" w:cs="Times New Roman" w:eastAsia="Times New Roman" w:hAnsi="Times New Roman"/>
                <w:sz w:val="18"/>
                <w:szCs w:val="18"/>
                <w:color w:val="0000FF"/>
                <w:w w:val="98"/>
              </w:rPr>
            </w:pPr>
            <w:hyperlink r:id="rId46">
              <w:r>
                <w:rPr>
                  <w:rFonts w:ascii="Times New Roman" w:cs="Times New Roman" w:eastAsia="Times New Roman" w:hAnsi="Times New Roman"/>
                  <w:sz w:val="18"/>
                  <w:szCs w:val="18"/>
                  <w:color w:val="0000FF"/>
                  <w:w w:val="98"/>
                </w:rPr>
                <w:t>Form of 1.700% Notes due 2027 (filed as Exhibit B in Exhibit 4.2 to LII’s Current Report on Form 8-K filed on July 30, 2020 and incorporated</w:t>
              </w:r>
            </w:hyperlink>
          </w:p>
        </w:tc>
      </w:tr>
      <w:tr>
        <w:trPr>
          <w:trHeight w:val="154"/>
        </w:trPr>
        <w:tc>
          <w:tcPr>
            <w:tcW w:w="920" w:type="dxa"/>
            <w:vAlign w:val="bottom"/>
          </w:tcPr>
          <w:p>
            <w:pPr>
              <w:spacing w:after="0"/>
              <w:rPr>
                <w:sz w:val="13"/>
                <w:szCs w:val="13"/>
                <w:color w:val="auto"/>
              </w:rPr>
            </w:pPr>
          </w:p>
        </w:tc>
        <w:tc>
          <w:tcPr>
            <w:tcW w:w="1024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46">
              <w:r>
                <w:rPr>
                  <w:rFonts w:ascii="Times New Roman" w:cs="Times New Roman" w:eastAsia="Times New Roman" w:hAnsi="Times New Roman"/>
                  <w:sz w:val="17"/>
                  <w:szCs w:val="17"/>
                  <w:color w:val="0000FF"/>
                </w:rPr>
                <w:t>herein by reference).</w:t>
              </w:r>
            </w:hyperlink>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4.6</w:t>
            </w:r>
          </w:p>
        </w:tc>
        <w:tc>
          <w:tcPr>
            <w:tcW w:w="10260" w:type="dxa"/>
            <w:vAlign w:val="bottom"/>
            <w:gridSpan w:val="21"/>
            <w:shd w:val="clear" w:color="auto" w:fill="CCEEFF"/>
          </w:tcPr>
          <w:p>
            <w:pPr>
              <w:spacing w:after="0" w:line="187" w:lineRule="exact"/>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Tenth Supplemental Indenture, dated as of July 14, 2021, among LII, each existing Guarantor under the Indenture, dated as of May 3, 2010, as</w:t>
              </w:r>
            </w:hyperlink>
          </w:p>
        </w:tc>
      </w:tr>
      <w:tr>
        <w:trPr>
          <w:trHeight w:val="154"/>
        </w:trPr>
        <w:tc>
          <w:tcPr>
            <w:tcW w:w="920" w:type="dxa"/>
            <w:vAlign w:val="bottom"/>
            <w:tcBorders>
              <w:top w:val="single" w:sz="8" w:color="CCEEFF"/>
              <w:bottom w:val="single" w:sz="8" w:color="CCEEFF"/>
            </w:tcBorders>
            <w:shd w:val="clear" w:color="auto" w:fill="CCEEFF"/>
          </w:tcPr>
          <w:p>
            <w:pPr>
              <w:spacing w:after="0"/>
              <w:rPr>
                <w:sz w:val="13"/>
                <w:szCs w:val="13"/>
                <w:color w:val="auto"/>
              </w:rPr>
            </w:pPr>
          </w:p>
        </w:tc>
        <w:tc>
          <w:tcPr>
            <w:tcW w:w="10140" w:type="dxa"/>
            <w:vAlign w:val="bottom"/>
            <w:tcBorders>
              <w:top w:val="single" w:sz="8" w:color="0000FF"/>
              <w:bottom w:val="single" w:sz="8" w:color="0000FF"/>
            </w:tcBorders>
            <w:gridSpan w:val="15"/>
            <w:shd w:val="clear" w:color="auto" w:fill="CCEEFF"/>
          </w:tcPr>
          <w:p>
            <w:pPr>
              <w:spacing w:after="0" w:line="154" w:lineRule="exact"/>
              <w:rPr>
                <w:rFonts w:ascii="Times New Roman" w:cs="Times New Roman" w:eastAsia="Times New Roman" w:hAnsi="Times New Roman"/>
                <w:sz w:val="17"/>
                <w:szCs w:val="17"/>
                <w:color w:val="0000FF"/>
              </w:rPr>
            </w:pPr>
            <w:hyperlink r:id="rId47">
              <w:r>
                <w:rPr>
                  <w:rFonts w:ascii="Times New Roman" w:cs="Times New Roman" w:eastAsia="Times New Roman" w:hAnsi="Times New Roman"/>
                  <w:sz w:val="17"/>
                  <w:szCs w:val="17"/>
                  <w:color w:val="0000FF"/>
                </w:rPr>
                <w:t>subsequently supplemented, and U.S. Bank National Association, as trustee (filed as Exhibit 4.7 to LII's Annual Report on Form 10-K filed on</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r>
      <w:tr>
        <w:trPr>
          <w:trHeight w:val="187"/>
        </w:trPr>
        <w:tc>
          <w:tcPr>
            <w:tcW w:w="920" w:type="dxa"/>
            <w:vAlign w:val="bottom"/>
            <w:tcBorders>
              <w:bottom w:val="single" w:sz="8" w:color="CCEEFF"/>
            </w:tcBorders>
            <w:shd w:val="clear" w:color="auto" w:fill="CCEEFF"/>
          </w:tcPr>
          <w:p>
            <w:pPr>
              <w:spacing w:after="0"/>
              <w:rPr>
                <w:sz w:val="16"/>
                <w:szCs w:val="16"/>
                <w:color w:val="auto"/>
              </w:rPr>
            </w:pPr>
          </w:p>
        </w:tc>
        <w:tc>
          <w:tcPr>
            <w:tcW w:w="4080" w:type="dxa"/>
            <w:vAlign w:val="bottom"/>
            <w:tcBorders>
              <w:bottom w:val="single" w:sz="8" w:color="0000FF"/>
            </w:tcBorders>
            <w:gridSpan w:val="5"/>
            <w:shd w:val="clear" w:color="auto" w:fill="CCEEFF"/>
          </w:tcPr>
          <w:p>
            <w:pPr>
              <w:spacing w:after="0" w:line="167" w:lineRule="exact"/>
              <w:rPr>
                <w:rFonts w:ascii="Times New Roman" w:cs="Times New Roman" w:eastAsia="Times New Roman" w:hAnsi="Times New Roman"/>
                <w:sz w:val="18"/>
                <w:szCs w:val="18"/>
                <w:color w:val="0000FF"/>
                <w:w w:val="98"/>
              </w:rPr>
            </w:pPr>
            <w:hyperlink r:id="rId47">
              <w:r>
                <w:rPr>
                  <w:rFonts w:ascii="Times New Roman" w:cs="Times New Roman" w:eastAsia="Times New Roman" w:hAnsi="Times New Roman"/>
                  <w:sz w:val="18"/>
                  <w:szCs w:val="18"/>
                  <w:color w:val="0000FF"/>
                  <w:w w:val="98"/>
                </w:rPr>
                <w:t>February 15, 2022 and incorporated herein by reference).</w:t>
              </w:r>
            </w:hyperlink>
          </w:p>
        </w:tc>
        <w:tc>
          <w:tcPr>
            <w:tcW w:w="6120" w:type="dxa"/>
            <w:vAlign w:val="bottom"/>
            <w:tcBorders>
              <w:bottom w:val="single" w:sz="8" w:color="CCEEFF"/>
            </w:tcBorders>
            <w:gridSpan w:val="13"/>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4.7</w:t>
            </w:r>
          </w:p>
        </w:tc>
        <w:tc>
          <w:tcPr>
            <w:tcW w:w="10260" w:type="dxa"/>
            <w:vAlign w:val="bottom"/>
            <w:gridSpan w:val="21"/>
          </w:tcPr>
          <w:p>
            <w:pPr>
              <w:spacing w:after="0" w:line="187"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Eleventh Supplemental Indenture, dated as of September 15, 2023, among LII, the guarantors party thereto and U.S. Bank Trust Company,</w:t>
              </w:r>
            </w:hyperlink>
          </w:p>
        </w:tc>
      </w:tr>
      <w:tr>
        <w:trPr>
          <w:trHeight w:val="20"/>
        </w:trPr>
        <w:tc>
          <w:tcPr>
            <w:tcW w:w="9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4"/>
        </w:trPr>
        <w:tc>
          <w:tcPr>
            <w:tcW w:w="920" w:type="dxa"/>
            <w:vAlign w:val="bottom"/>
          </w:tcPr>
          <w:p>
            <w:pPr>
              <w:spacing w:after="0"/>
              <w:rPr>
                <w:sz w:val="13"/>
                <w:szCs w:val="13"/>
                <w:color w:val="auto"/>
              </w:rPr>
            </w:pPr>
          </w:p>
        </w:tc>
        <w:tc>
          <w:tcPr>
            <w:tcW w:w="10260" w:type="dxa"/>
            <w:vAlign w:val="bottom"/>
            <w:gridSpan w:val="21"/>
          </w:tcPr>
          <w:p>
            <w:pPr>
              <w:spacing w:after="0" w:line="154" w:lineRule="exact"/>
              <w:rPr>
                <w:rFonts w:ascii="Times New Roman" w:cs="Times New Roman" w:eastAsia="Times New Roman" w:hAnsi="Times New Roman"/>
                <w:sz w:val="17"/>
                <w:szCs w:val="17"/>
                <w:color w:val="0000FF"/>
              </w:rPr>
            </w:pPr>
            <w:hyperlink r:id="rId48">
              <w:r>
                <w:rPr>
                  <w:rFonts w:ascii="Times New Roman" w:cs="Times New Roman" w:eastAsia="Times New Roman" w:hAnsi="Times New Roman"/>
                  <w:sz w:val="17"/>
                  <w:szCs w:val="17"/>
                  <w:color w:val="0000FF"/>
                </w:rPr>
                <w:t>National Association, as trustee (filed as Exhibit 4.2 to LII's Current Report on Form 8-K filed on September 15, 2023 and incorporated herein</w:t>
              </w:r>
            </w:hyperlink>
          </w:p>
        </w:tc>
      </w:tr>
      <w:tr>
        <w:trPr>
          <w:trHeight w:val="167"/>
        </w:trPr>
        <w:tc>
          <w:tcPr>
            <w:tcW w:w="920" w:type="dxa"/>
            <w:vAlign w:val="bottom"/>
          </w:tcPr>
          <w:p>
            <w:pPr>
              <w:spacing w:after="0"/>
              <w:rPr>
                <w:sz w:val="14"/>
                <w:szCs w:val="14"/>
                <w:color w:val="auto"/>
              </w:rPr>
            </w:pPr>
          </w:p>
        </w:tc>
        <w:tc>
          <w:tcPr>
            <w:tcW w:w="10220" w:type="dxa"/>
            <w:vAlign w:val="bottom"/>
            <w:tcBorders>
              <w:top w:val="single" w:sz="8" w:color="0000FF"/>
            </w:tcBorders>
            <w:gridSpan w:val="19"/>
          </w:tcPr>
          <w:p>
            <w:pPr>
              <w:spacing w:after="0" w:line="167"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by reference).</w:t>
              </w:r>
            </w:hyperlink>
          </w:p>
        </w:tc>
        <w:tc>
          <w:tcPr>
            <w:tcW w:w="40" w:type="dxa"/>
            <w:vAlign w:val="bottom"/>
            <w:gridSpan w:val="2"/>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4.8</w:t>
            </w:r>
          </w:p>
        </w:tc>
        <w:tc>
          <w:tcPr>
            <w:tcW w:w="10260" w:type="dxa"/>
            <w:vAlign w:val="bottom"/>
            <w:gridSpan w:val="21"/>
            <w:shd w:val="clear" w:color="auto" w:fill="CCEEFF"/>
          </w:tcPr>
          <w:p>
            <w:pPr>
              <w:spacing w:after="0" w:line="187"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Form of 5.500% Notes due 2028 (filed as Exhibit A in Exhibit 4.2 to LII's Current Report on Form 8-K filed on September 15, 2023 and</w:t>
              </w:r>
            </w:hyperlink>
          </w:p>
        </w:tc>
      </w:tr>
      <w:tr>
        <w:trPr>
          <w:trHeight w:val="154"/>
        </w:trPr>
        <w:tc>
          <w:tcPr>
            <w:tcW w:w="920" w:type="dxa"/>
            <w:vAlign w:val="bottom"/>
            <w:tcBorders>
              <w:top w:val="single" w:sz="8" w:color="CCEEFF"/>
            </w:tcBorders>
            <w:shd w:val="clear" w:color="auto" w:fill="CCEEFF"/>
          </w:tcPr>
          <w:p>
            <w:pPr>
              <w:spacing w:after="0"/>
              <w:rPr>
                <w:sz w:val="13"/>
                <w:szCs w:val="13"/>
                <w:color w:val="auto"/>
              </w:rPr>
            </w:pPr>
          </w:p>
        </w:tc>
        <w:tc>
          <w:tcPr>
            <w:tcW w:w="9740" w:type="dxa"/>
            <w:vAlign w:val="bottom"/>
            <w:tcBorders>
              <w:top w:val="single" w:sz="8" w:color="0000FF"/>
            </w:tcBorders>
            <w:gridSpan w:val="9"/>
            <w:shd w:val="clear" w:color="auto" w:fill="CCEEFF"/>
          </w:tcPr>
          <w:p>
            <w:pPr>
              <w:spacing w:after="0" w:line="154" w:lineRule="exact"/>
              <w:rPr>
                <w:rFonts w:ascii="Times New Roman" w:cs="Times New Roman" w:eastAsia="Times New Roman" w:hAnsi="Times New Roman"/>
                <w:sz w:val="17"/>
                <w:szCs w:val="17"/>
                <w:color w:val="0000FF"/>
              </w:rPr>
            </w:pPr>
            <w:hyperlink r:id="rId48">
              <w:r>
                <w:rPr>
                  <w:rFonts w:ascii="Times New Roman" w:cs="Times New Roman" w:eastAsia="Times New Roman" w:hAnsi="Times New Roman"/>
                  <w:sz w:val="17"/>
                  <w:szCs w:val="17"/>
                  <w:color w:val="0000FF"/>
                </w:rPr>
                <w:t>incorporated herein by reference).</w:t>
              </w:r>
            </w:hyperlink>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280" w:type="dxa"/>
            <w:vAlign w:val="bottom"/>
            <w:tcBorders>
              <w:top w:val="single" w:sz="8" w:color="CCEEFF"/>
            </w:tcBorders>
            <w:gridSpan w:val="6"/>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r>
      <w:tr>
        <w:trPr>
          <w:trHeight w:val="33"/>
        </w:trPr>
        <w:tc>
          <w:tcPr>
            <w:tcW w:w="9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52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22.1</w:t>
            </w:r>
          </w:p>
        </w:tc>
        <w:tc>
          <w:tcPr>
            <w:tcW w:w="10260" w:type="dxa"/>
            <w:vAlign w:val="bottom"/>
            <w:gridSpan w:val="21"/>
          </w:tcPr>
          <w:p>
            <w:pPr>
              <w:spacing w:after="0" w:line="187"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List of Guarantor Subsidiaries (filed as Exhibit 22.1 to LII's Annual Report on Form 10-K filed on February 13, 2024, and incorporated herein</w:t>
              </w:r>
            </w:hyperlink>
          </w:p>
        </w:tc>
      </w:tr>
      <w:tr>
        <w:trPr>
          <w:trHeight w:val="154"/>
        </w:trPr>
        <w:tc>
          <w:tcPr>
            <w:tcW w:w="920" w:type="dxa"/>
            <w:vAlign w:val="bottom"/>
          </w:tcPr>
          <w:p>
            <w:pPr>
              <w:spacing w:after="0"/>
              <w:rPr>
                <w:sz w:val="13"/>
                <w:szCs w:val="13"/>
                <w:color w:val="auto"/>
              </w:rPr>
            </w:pPr>
          </w:p>
        </w:tc>
        <w:tc>
          <w:tcPr>
            <w:tcW w:w="10160" w:type="dxa"/>
            <w:vAlign w:val="bottom"/>
            <w:tcBorders>
              <w:top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49">
              <w:r>
                <w:rPr>
                  <w:rFonts w:ascii="Times New Roman" w:cs="Times New Roman" w:eastAsia="Times New Roman" w:hAnsi="Times New Roman"/>
                  <w:sz w:val="17"/>
                  <w:szCs w:val="17"/>
                  <w:color w:val="0000FF"/>
                </w:rPr>
                <w:t>by reference).</w:t>
              </w:r>
            </w:hyperlink>
          </w:p>
        </w:tc>
        <w:tc>
          <w:tcPr>
            <w:tcW w:w="100" w:type="dxa"/>
            <w:vAlign w:val="bottom"/>
            <w:gridSpan w:val="5"/>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7"/>
        </w:trPr>
        <w:tc>
          <w:tcPr>
            <w:tcW w:w="920" w:type="dxa"/>
            <w:vAlign w:val="bottom"/>
            <w:tcBorders>
              <w:bottom w:val="single" w:sz="8" w:color="CCEEFF"/>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31.1</w:t>
            </w:r>
          </w:p>
        </w:tc>
        <w:tc>
          <w:tcPr>
            <w:tcW w:w="4480" w:type="dxa"/>
            <w:vAlign w:val="bottom"/>
            <w:tcBorders>
              <w:bottom w:val="single" w:sz="8" w:color="0000FF"/>
            </w:tcBorders>
            <w:gridSpan w:val="7"/>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w w:val="98"/>
              </w:rPr>
              <w:t>Certification of the principal executive officer (filed herewith).</w:t>
            </w:r>
          </w:p>
        </w:tc>
        <w:tc>
          <w:tcPr>
            <w:tcW w:w="5780" w:type="dxa"/>
            <w:vAlign w:val="bottom"/>
            <w:tcBorders>
              <w:bottom w:val="single" w:sz="8" w:color="CCEEFF"/>
            </w:tcBorders>
            <w:gridSpan w:val="14"/>
            <w:shd w:val="clear" w:color="auto" w:fill="CCEEFF"/>
          </w:tcPr>
          <w:p>
            <w:pPr>
              <w:spacing w:after="0"/>
              <w:rPr>
                <w:sz w:val="18"/>
                <w:szCs w:val="18"/>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31.2</w:t>
            </w:r>
          </w:p>
        </w:tc>
        <w:tc>
          <w:tcPr>
            <w:tcW w:w="10260" w:type="dxa"/>
            <w:vAlign w:val="bottom"/>
            <w:gridSpan w:val="21"/>
          </w:tcPr>
          <w:p>
            <w:pPr>
              <w:spacing w:after="0" w:line="187" w:lineRule="exact"/>
              <w:rPr>
                <w:sz w:val="20"/>
                <w:szCs w:val="20"/>
                <w:color w:val="auto"/>
              </w:rPr>
            </w:pPr>
            <w:r>
              <w:rPr>
                <w:rFonts w:ascii="Times New Roman" w:cs="Times New Roman" w:eastAsia="Times New Roman" w:hAnsi="Times New Roman"/>
                <w:sz w:val="18"/>
                <w:szCs w:val="18"/>
                <w:color w:val="0000FF"/>
              </w:rPr>
              <w:t>Certification of the principal financial officer (filed herewith).</w:t>
            </w: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920" w:type="dxa"/>
            <w:vAlign w:val="bottom"/>
            <w:tcBorders>
              <w:bottom w:val="single" w:sz="8" w:color="CCEEFF"/>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32.1</w:t>
            </w:r>
          </w:p>
        </w:tc>
        <w:tc>
          <w:tcPr>
            <w:tcW w:w="9880" w:type="dxa"/>
            <w:vAlign w:val="bottom"/>
            <w:tcBorders>
              <w:bottom w:val="single" w:sz="8" w:color="0000FF"/>
              <w:right w:val="single" w:sz="8" w:color="CCEEFF"/>
            </w:tcBorders>
            <w:gridSpan w:val="10"/>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w w:val="99"/>
              </w:rPr>
              <w:t>Certification of the principal executive officer and the principal financial officer pursuant to 18 U.S.C. Section 1350 (furnished herewith).</w:t>
            </w:r>
          </w:p>
        </w:tc>
        <w:tc>
          <w:tcPr>
            <w:tcW w:w="380" w:type="dxa"/>
            <w:vAlign w:val="bottom"/>
            <w:tcBorders>
              <w:bottom w:val="single" w:sz="8" w:color="CCEEFF"/>
            </w:tcBorders>
            <w:gridSpan w:val="11"/>
            <w:shd w:val="clear" w:color="auto" w:fill="CCEEFF"/>
          </w:tcPr>
          <w:p>
            <w:pPr>
              <w:spacing w:after="0"/>
              <w:rPr>
                <w:sz w:val="18"/>
                <w:szCs w:val="18"/>
                <w:color w:val="auto"/>
              </w:rPr>
            </w:pPr>
          </w:p>
        </w:tc>
      </w:tr>
      <w:tr>
        <w:trPr>
          <w:trHeight w:val="2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INS Inline XBRL Instance Document</w:t>
            </w: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6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SCH Inline XBRL Taxonomy Extension Schema Document</w:t>
            </w:r>
          </w:p>
        </w:tc>
      </w:tr>
      <w:tr>
        <w:trPr>
          <w:trHeight w:val="2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CAL Inline XBRL Taxonomy Extension Calculation Linkbase Document</w:t>
            </w: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6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Inline XBRL Taxonomy Extension Label Linkbase Document</w:t>
            </w:r>
          </w:p>
        </w:tc>
      </w:tr>
      <w:tr>
        <w:trPr>
          <w:trHeight w:val="2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PRE Inline XBRL Taxonomy Extension Presentation Linkbase Document</w:t>
            </w: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6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DEF Inline XBRL Taxonomy Extension Definition Linkbase Document</w:t>
            </w:r>
          </w:p>
        </w:tc>
      </w:tr>
    </w:tbl>
    <w:p>
      <w:pPr>
        <w:ind w:left="1160" w:hanging="895"/>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879" w:right="239" w:bottom="1440" w:gutter="0" w:footer="0" w:header="0"/>
        </w:sectPr>
      </w:pPr>
    </w:p>
    <w:bookmarkStart w:id="27" w:name="page28"/>
    <w:bookmarkEnd w:id="27"/>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1" w:lineRule="exact"/>
        <w:rPr>
          <w:sz w:val="20"/>
          <w:szCs w:val="20"/>
          <w:color w:val="auto"/>
        </w:rPr>
      </w:pPr>
    </w:p>
    <w:p>
      <w:pPr>
        <w:ind w:firstLine="24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LENNOX INTERNATIONAL INC.</w:t>
      </w:r>
    </w:p>
    <w:p>
      <w:pPr>
        <w:spacing w:after="0" w:line="24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Michael P. Quenzer</w:t>
      </w:r>
    </w:p>
    <w:p>
      <w:pPr>
        <w:spacing w:after="0" w:line="2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Michael P. Quenzer</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(on behalf of registrant and as principal financial officer)</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420"/>
          </w:cols>
          <w:pgMar w:left="320" w:top="1119" w:right="115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Alok Maskara, certify that:</w:t>
      </w:r>
    </w:p>
    <w:p>
      <w:pPr>
        <w:spacing w:after="0" w:line="114" w:lineRule="exact"/>
        <w:rPr>
          <w:sz w:val="20"/>
          <w:szCs w:val="20"/>
          <w:color w:val="auto"/>
        </w:rPr>
      </w:pPr>
    </w:p>
    <w:p>
      <w:pPr>
        <w:ind w:left="640" w:hanging="63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Lennox International Inc.;</w:t>
      </w:r>
    </w:p>
    <w:p>
      <w:pPr>
        <w:spacing w:after="0" w:line="113"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Times New Roman" w:cs="Times New Roman" w:eastAsia="Times New Roman" w:hAnsi="Times New Roman"/>
          <w:sz w:val="18"/>
          <w:szCs w:val="18"/>
          <w:color w:val="auto"/>
        </w:rPr>
      </w:pPr>
    </w:p>
    <w:p>
      <w:pPr>
        <w:ind w:left="640" w:right="200" w:hanging="633"/>
        <w:spacing w:after="0" w:line="277"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18"/>
          <w:szCs w:val="18"/>
          <w:color w:val="auto"/>
        </w:rPr>
      </w:pPr>
    </w:p>
    <w:p>
      <w:pPr>
        <w:jc w:val="both"/>
        <w:ind w:left="640" w:right="220" w:hanging="633"/>
        <w:spacing w:after="0" w:line="262"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rFonts w:ascii="Times New Roman" w:cs="Times New Roman" w:eastAsia="Times New Roman" w:hAnsi="Times New Roman"/>
          <w:sz w:val="18"/>
          <w:szCs w:val="18"/>
          <w:color w:val="auto"/>
        </w:rPr>
      </w:pPr>
    </w:p>
    <w:p>
      <w:pPr>
        <w:ind w:left="960" w:right="180" w:hanging="312"/>
        <w:spacing w:after="0" w:line="262" w:lineRule="auto"/>
        <w:tabs>
          <w:tab w:leader="none" w:pos="9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8"/>
          <w:szCs w:val="18"/>
          <w:color w:val="auto"/>
        </w:rPr>
      </w:pPr>
    </w:p>
    <w:p>
      <w:pPr>
        <w:ind w:left="960" w:right="480" w:hanging="312"/>
        <w:spacing w:after="0" w:line="262" w:lineRule="auto"/>
        <w:tabs>
          <w:tab w:leader="none" w:pos="9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8"/>
          <w:szCs w:val="18"/>
          <w:color w:val="auto"/>
        </w:rPr>
      </w:pPr>
    </w:p>
    <w:p>
      <w:pPr>
        <w:jc w:val="both"/>
        <w:ind w:left="960" w:right="640" w:hanging="312"/>
        <w:spacing w:after="0" w:line="308" w:lineRule="auto"/>
        <w:tabs>
          <w:tab w:leader="none" w:pos="957"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Times New Roman" w:cs="Times New Roman" w:eastAsia="Times New Roman" w:hAnsi="Times New Roman"/>
          <w:sz w:val="17"/>
          <w:szCs w:val="17"/>
          <w:color w:val="auto"/>
        </w:rPr>
      </w:pPr>
    </w:p>
    <w:p>
      <w:pPr>
        <w:ind w:left="960" w:right="180" w:hanging="312"/>
        <w:spacing w:after="0" w:line="262" w:lineRule="auto"/>
        <w:tabs>
          <w:tab w:leader="none" w:pos="9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Times New Roman" w:cs="Times New Roman" w:eastAsia="Times New Roman" w:hAnsi="Times New Roman"/>
          <w:sz w:val="18"/>
          <w:szCs w:val="18"/>
          <w:color w:val="auto"/>
        </w:rPr>
      </w:pPr>
    </w:p>
    <w:p>
      <w:pPr>
        <w:ind w:left="640" w:right="200" w:hanging="633"/>
        <w:spacing w:after="0" w:line="277"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Times New Roman" w:cs="Times New Roman" w:eastAsia="Times New Roman" w:hAnsi="Times New Roman"/>
          <w:sz w:val="18"/>
          <w:szCs w:val="18"/>
          <w:color w:val="auto"/>
        </w:rPr>
      </w:pPr>
    </w:p>
    <w:p>
      <w:pPr>
        <w:ind w:left="960" w:right="80" w:hanging="312"/>
        <w:spacing w:after="0" w:line="277" w:lineRule="auto"/>
        <w:tabs>
          <w:tab w:leader="none" w:pos="9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8"/>
          <w:szCs w:val="18"/>
          <w:color w:val="auto"/>
        </w:rPr>
      </w:pPr>
    </w:p>
    <w:p>
      <w:pPr>
        <w:ind w:left="960" w:right="40" w:hanging="312"/>
        <w:spacing w:after="0" w:line="277" w:lineRule="auto"/>
        <w:tabs>
          <w:tab w:leader="none" w:pos="9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2024</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4338955</wp:posOffset>
            </wp:positionH>
            <wp:positionV relativeFrom="paragraph">
              <wp:posOffset>15875</wp:posOffset>
            </wp:positionV>
            <wp:extent cx="27819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Alok Maskara</w:t>
      </w:r>
    </w:p>
    <w:p>
      <w:pPr>
        <w:spacing w:after="0" w:line="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3"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P. Quenzer, certify that:</w:t>
      </w:r>
    </w:p>
    <w:p>
      <w:pPr>
        <w:spacing w:after="0" w:line="114" w:lineRule="exact"/>
        <w:rPr>
          <w:sz w:val="20"/>
          <w:szCs w:val="20"/>
          <w:color w:val="auto"/>
        </w:rPr>
      </w:pPr>
    </w:p>
    <w:p>
      <w:pPr>
        <w:ind w:left="640" w:hanging="63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Lennox International Inc.;</w:t>
      </w:r>
    </w:p>
    <w:p>
      <w:pPr>
        <w:spacing w:after="0" w:line="113"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Times New Roman" w:cs="Times New Roman" w:eastAsia="Times New Roman" w:hAnsi="Times New Roman"/>
          <w:sz w:val="18"/>
          <w:szCs w:val="18"/>
          <w:color w:val="auto"/>
        </w:rPr>
      </w:pPr>
    </w:p>
    <w:p>
      <w:pPr>
        <w:ind w:left="640" w:right="200" w:hanging="633"/>
        <w:spacing w:after="0" w:line="277"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18"/>
          <w:szCs w:val="18"/>
          <w:color w:val="auto"/>
        </w:rPr>
      </w:pPr>
    </w:p>
    <w:p>
      <w:pPr>
        <w:jc w:val="both"/>
        <w:ind w:left="640" w:right="220" w:hanging="633"/>
        <w:spacing w:after="0" w:line="26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rFonts w:ascii="Times New Roman" w:cs="Times New Roman" w:eastAsia="Times New Roman" w:hAnsi="Times New Roman"/>
          <w:sz w:val="18"/>
          <w:szCs w:val="18"/>
          <w:color w:val="auto"/>
        </w:rPr>
      </w:pPr>
    </w:p>
    <w:p>
      <w:pPr>
        <w:ind w:left="1280" w:right="40" w:hanging="632"/>
        <w:spacing w:after="0" w:line="262" w:lineRule="auto"/>
        <w:tabs>
          <w:tab w:leader="none" w:pos="127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8"/>
          <w:szCs w:val="18"/>
          <w:color w:val="auto"/>
        </w:rPr>
      </w:pPr>
    </w:p>
    <w:p>
      <w:pPr>
        <w:ind w:left="1280" w:right="160" w:hanging="632"/>
        <w:spacing w:after="0" w:line="262" w:lineRule="auto"/>
        <w:tabs>
          <w:tab w:leader="none" w:pos="12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8"/>
          <w:szCs w:val="18"/>
          <w:color w:val="auto"/>
        </w:rPr>
      </w:pPr>
    </w:p>
    <w:p>
      <w:pPr>
        <w:jc w:val="both"/>
        <w:ind w:left="1280" w:right="320" w:hanging="632"/>
        <w:spacing w:after="0" w:line="308" w:lineRule="auto"/>
        <w:tabs>
          <w:tab w:leader="none" w:pos="127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Times New Roman" w:cs="Times New Roman" w:eastAsia="Times New Roman" w:hAnsi="Times New Roman"/>
          <w:sz w:val="17"/>
          <w:szCs w:val="17"/>
          <w:color w:val="auto"/>
        </w:rPr>
      </w:pPr>
    </w:p>
    <w:p>
      <w:pPr>
        <w:ind w:left="1280" w:right="40" w:hanging="632"/>
        <w:spacing w:after="0" w:line="262" w:lineRule="auto"/>
        <w:tabs>
          <w:tab w:leader="none" w:pos="12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Times New Roman" w:cs="Times New Roman" w:eastAsia="Times New Roman" w:hAnsi="Times New Roman"/>
          <w:sz w:val="18"/>
          <w:szCs w:val="18"/>
          <w:color w:val="auto"/>
        </w:rPr>
      </w:pPr>
    </w:p>
    <w:p>
      <w:pPr>
        <w:ind w:left="640" w:right="200" w:hanging="633"/>
        <w:spacing w:after="0" w:line="277"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Times New Roman" w:cs="Times New Roman" w:eastAsia="Times New Roman" w:hAnsi="Times New Roman"/>
          <w:sz w:val="18"/>
          <w:szCs w:val="18"/>
          <w:color w:val="auto"/>
        </w:rPr>
      </w:pPr>
    </w:p>
    <w:p>
      <w:pPr>
        <w:ind w:left="1280" w:right="580" w:hanging="632"/>
        <w:spacing w:after="0" w:line="308" w:lineRule="auto"/>
        <w:tabs>
          <w:tab w:leader="none" w:pos="127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2" w:lineRule="exact"/>
        <w:rPr>
          <w:rFonts w:ascii="Times New Roman" w:cs="Times New Roman" w:eastAsia="Times New Roman" w:hAnsi="Times New Roman"/>
          <w:sz w:val="17"/>
          <w:szCs w:val="17"/>
          <w:color w:val="auto"/>
        </w:rPr>
      </w:pPr>
    </w:p>
    <w:p>
      <w:pPr>
        <w:ind w:left="1280" w:right="260" w:hanging="632"/>
        <w:spacing w:after="0" w:line="277" w:lineRule="auto"/>
        <w:tabs>
          <w:tab w:leader="none" w:pos="12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2024</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Michael P. Quenzer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4338955</wp:posOffset>
            </wp:positionH>
            <wp:positionV relativeFrom="paragraph">
              <wp:posOffset>15875</wp:posOffset>
            </wp:positionV>
            <wp:extent cx="27819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Michael P. Quenzer</w:t>
      </w:r>
    </w:p>
    <w:p>
      <w:pPr>
        <w:spacing w:after="0" w:line="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3"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8" w:lineRule="exact"/>
        <w:rPr>
          <w:sz w:val="20"/>
          <w:szCs w:val="20"/>
          <w:color w:val="auto"/>
        </w:rPr>
      </w:pPr>
    </w:p>
    <w:p>
      <w:pPr>
        <w:ind w:right="20" w:firstLine="441"/>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Lennox International Inc. (the “Company”) on Form 10-Q for the quarter ended March 31, 2024 as filed with the Securities and Exchange Commission on the date hereof (the “Report”), each of the undersigned, Alok Maskara, Chief Executive Officer of the Company, and Michael P. Quenzer, Chief Financial Officer of the Company, certifies, pursuant to 18 U.S.C. Section 1350, as adopted pursuant to section 906 of the Sarbanes-Oxley Act of 2002, that to his or her knowledge:</w:t>
      </w:r>
    </w:p>
    <w:p>
      <w:pPr>
        <w:spacing w:after="0" w:line="129" w:lineRule="exact"/>
        <w:rPr>
          <w:sz w:val="20"/>
          <w:szCs w:val="20"/>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819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Alok Maskara</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2024</w:t>
      </w: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P. Quenzer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819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P. Quenzer</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2024</w:t>
      </w:r>
    </w:p>
    <w:p>
      <w:pPr>
        <w:spacing w:after="0" w:line="167" w:lineRule="exact"/>
        <w:rPr>
          <w:sz w:val="20"/>
          <w:szCs w:val="20"/>
          <w:color w:val="auto"/>
        </w:rPr>
      </w:pPr>
    </w:p>
    <w:p>
      <w:pPr>
        <w:ind w:right="80" w:firstLine="441"/>
        <w:spacing w:after="0" w:line="26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240"/>
      </w:cols>
      <w:pgMar w:left="320" w:top="8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972"/>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lvl w:ilvl="1">
      <w:lvlJc w:val="left"/>
      <w:lvlText w:val="(%2)"/>
      <w:numFmt w:val="decimal"/>
      <w:start w:val="2"/>
    </w:lvl>
    <w:lvl w:ilvl="2">
      <w:lvlJc w:val="left"/>
      <w:lvlText w:val="◦"/>
      <w:numFmt w:val="bullet"/>
      <w:start w:val="1"/>
    </w:lvl>
    <w:lvl w:ilvl="3">
      <w:lvlJc w:val="left"/>
      <w:lvlText w:val="▪"/>
      <w:numFmt w:val="bullet"/>
      <w:start w:val="1"/>
    </w:lvl>
  </w:abstractNum>
  <w:abstractNum w:abstractNumId="5">
    <w:nsid w:val="216231B"/>
    <w:multiLevelType w:val="hybridMultilevel"/>
    <w:lvl w:ilvl="0">
      <w:lvlJc w:val="left"/>
      <w:lvlText w:val="%1."/>
      <w:numFmt w:val="decimal"/>
      <w:start w:val="3"/>
    </w:lvl>
    <w:lvl w:ilvl="1">
      <w:lvlJc w:val="left"/>
      <w:lvlText w:val="%2"/>
      <w:numFmt w:val="decimal"/>
      <w:start w:val="1"/>
    </w:lvl>
    <w:lvl w:ilvl="2">
      <w:lvlJc w:val="left"/>
      <w:lvlText w:val="◦"/>
      <w:numFmt w:val="bullet"/>
      <w:start w:val="1"/>
    </w:lvl>
    <w:lvl w:ilvl="3">
      <w:lvlJc w:val="left"/>
      <w:lvlText w:val="▪"/>
      <w:numFmt w:val="bullet"/>
      <w:start w:val="1"/>
    </w:lvl>
  </w:abstractNum>
  <w:abstractNum w:abstractNumId="6">
    <w:nsid w:val="1F16E9E8"/>
    <w:multiLevelType w:val="hybridMultilevel"/>
    <w:lvl w:ilvl="0">
      <w:lvlJc w:val="left"/>
      <w:lvlText w:val="%1."/>
      <w:numFmt w:val="decimal"/>
      <w:start w:val="7"/>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04"/>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43" Type="http://schemas.openxmlformats.org/officeDocument/2006/relationships/hyperlink" Target="https://www.sec.gov/Archives/edgar/data/1069202/000162828023004257/lii-ex31_20221231x10k.htm" TargetMode="External"/><Relationship Id="rId44" Type="http://schemas.openxmlformats.org/officeDocument/2006/relationships/hyperlink" Target="https://www.sec.gov/Archives/edgar/data/1069202/000162828023004257/lii-ex32_20221231x10k.htm" TargetMode="External"/><Relationship Id="rId45" Type="http://schemas.openxmlformats.org/officeDocument/2006/relationships/hyperlink" Target="https://www.sec.gov/Archives/edgar/data/1017609/000095012310042399/d72548exv4w3.htm" TargetMode="External"/><Relationship Id="rId46" Type="http://schemas.openxmlformats.org/officeDocument/2006/relationships/hyperlink" Target="https://www.sec.gov/Archives/edgar/data/1069202/000119312520203588/d22651dex42.htm" TargetMode="External"/><Relationship Id="rId47" Type="http://schemas.openxmlformats.org/officeDocument/2006/relationships/hyperlink" Target="https://www.sec.gov/Archives/edgar/data/1069202/000162828022002664/lii-ex47_20211231x10k.htm" TargetMode="External"/><Relationship Id="rId48" Type="http://schemas.openxmlformats.org/officeDocument/2006/relationships/hyperlink" Target="https://www.sec.gov/Archives/edgar/data/1069202/000162828023032385/exhibit42eleventhsupplemen.htm" TargetMode="External"/><Relationship Id="rId49" Type="http://schemas.openxmlformats.org/officeDocument/2006/relationships/hyperlink" Target="https://www.sec.gov/Archives/edgar/data/1069202/000162828024004446/lii-ex221_2023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2024-04-24T14:52:39Z</dcterms:created>
  <dcterms:modified xsi:type="dcterms:W3CDTF">2024-04-24T14:52:39Z</dcterms:modified>
</cp:coreProperties>
</file>