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834390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860425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464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ind w:left="314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ind w:left="4300"/>
        <w:spacing w:after="0"/>
        <w:rPr>
          <w:sz w:val="20"/>
          <w:szCs w:val="20"/>
          <w:color w:val="auto"/>
        </w:rPr>
      </w:pPr>
      <w:r>
        <w:rPr>
          <w:rFonts w:ascii="Arial" w:cs="Arial" w:eastAsia="Arial" w:hAnsi="Arial"/>
          <w:sz w:val="25"/>
          <w:szCs w:val="25"/>
          <w:b w:val="1"/>
          <w:bCs w:val="1"/>
          <w:color w:val="auto"/>
        </w:rPr>
        <w:t>Washington, D. C. 20549</w:t>
      </w:r>
    </w:p>
    <w:p>
      <w:pPr>
        <w:ind w:left="3860"/>
        <w:spacing w:after="0"/>
        <w:rPr>
          <w:sz w:val="20"/>
          <w:szCs w:val="20"/>
          <w:color w:val="auto"/>
        </w:rPr>
      </w:pPr>
      <w:r>
        <w:rPr>
          <w:rFonts w:ascii="Arial" w:cs="Arial" w:eastAsia="Arial" w:hAnsi="Arial"/>
          <w:sz w:val="14"/>
          <w:szCs w:val="14"/>
          <w:color w:val="auto"/>
        </w:rPr>
        <w:t>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_________________________________________________</w:t>
      </w:r>
    </w:p>
    <w:p>
      <w:pPr>
        <w:spacing w:after="0" w:line="37" w:lineRule="exact"/>
        <w:rPr>
          <w:sz w:val="24"/>
          <w:szCs w:val="24"/>
          <w:color w:val="auto"/>
        </w:rPr>
      </w:pPr>
    </w:p>
    <w:p>
      <w:pPr>
        <w:ind w:left="72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w:t>
      </w:r>
    </w:p>
    <w:p>
      <w:pPr>
        <w:ind w:left="720" w:hanging="422"/>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OF 1934</w:t>
      </w:r>
    </w:p>
    <w:p>
      <w:pPr>
        <w:spacing w:after="0" w:line="109" w:lineRule="exact"/>
        <w:rPr>
          <w:sz w:val="24"/>
          <w:szCs w:val="24"/>
          <w:color w:val="auto"/>
        </w:rPr>
      </w:pPr>
    </w:p>
    <w:p>
      <w:pPr>
        <w:ind w:left="3780"/>
        <w:spacing w:after="0"/>
        <w:rPr>
          <w:sz w:val="20"/>
          <w:szCs w:val="20"/>
          <w:color w:val="auto"/>
        </w:rPr>
      </w:pPr>
      <w:r>
        <w:rPr>
          <w:rFonts w:ascii="Arial" w:cs="Arial" w:eastAsia="Arial" w:hAnsi="Arial"/>
          <w:sz w:val="22"/>
          <w:szCs w:val="22"/>
          <w:b w:val="1"/>
          <w:bCs w:val="1"/>
          <w:color w:val="auto"/>
        </w:rPr>
        <w:t>For the quarterly period ended June 30, 2020</w:t>
      </w:r>
    </w:p>
    <w:p>
      <w:pPr>
        <w:spacing w:after="0" w:line="27" w:lineRule="exact"/>
        <w:rPr>
          <w:sz w:val="24"/>
          <w:szCs w:val="24"/>
          <w:color w:val="auto"/>
        </w:rPr>
      </w:pPr>
    </w:p>
    <w:p>
      <w:pPr>
        <w:ind w:left="5460"/>
        <w:spacing w:after="0"/>
        <w:rPr>
          <w:sz w:val="20"/>
          <w:szCs w:val="20"/>
          <w:color w:val="auto"/>
        </w:rPr>
      </w:pPr>
      <w:r>
        <w:rPr>
          <w:rFonts w:ascii="Arial" w:cs="Arial" w:eastAsia="Arial" w:hAnsi="Arial"/>
          <w:sz w:val="22"/>
          <w:szCs w:val="22"/>
          <w:b w:val="1"/>
          <w:bCs w:val="1"/>
          <w:color w:val="auto"/>
        </w:rPr>
        <w:t>OR</w:t>
      </w:r>
    </w:p>
    <w:p>
      <w:pPr>
        <w:spacing w:after="0" w:line="38" w:lineRule="exact"/>
        <w:rPr>
          <w:sz w:val="24"/>
          <w:szCs w:val="24"/>
          <w:color w:val="auto"/>
        </w:rPr>
      </w:pPr>
    </w:p>
    <w:p>
      <w:pPr>
        <w:ind w:left="72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w:t>
      </w:r>
    </w:p>
    <w:p>
      <w:pPr>
        <w:ind w:left="720" w:hanging="422"/>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OF 1934</w:t>
      </w:r>
    </w:p>
    <w:p>
      <w:pPr>
        <w:spacing w:after="0" w:line="109" w:lineRule="exact"/>
        <w:rPr>
          <w:sz w:val="24"/>
          <w:szCs w:val="24"/>
          <w:color w:val="auto"/>
        </w:rPr>
      </w:pPr>
    </w:p>
    <w:p>
      <w:pPr>
        <w:ind w:left="3740"/>
        <w:spacing w:after="0"/>
        <w:rPr>
          <w:sz w:val="20"/>
          <w:szCs w:val="20"/>
          <w:color w:val="auto"/>
        </w:rPr>
      </w:pPr>
      <w:r>
        <w:rPr>
          <w:rFonts w:ascii="Arial" w:cs="Arial" w:eastAsia="Arial" w:hAnsi="Arial"/>
          <w:sz w:val="22"/>
          <w:szCs w:val="22"/>
          <w:b w:val="1"/>
          <w:bCs w:val="1"/>
          <w:color w:val="auto"/>
        </w:rPr>
        <w:t>For the transition period from _____to ______</w:t>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001-15149</w:t>
      </w:r>
    </w:p>
    <w:p>
      <w:pPr>
        <w:spacing w:after="0" w:line="27"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_________________________________________________</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LENNOX INTERNATIONAL INC</w:t>
      </w:r>
      <w:r>
        <w:rPr>
          <w:rFonts w:ascii="Arial" w:cs="Arial" w:eastAsia="Arial" w:hAnsi="Arial"/>
          <w:sz w:val="35"/>
          <w:szCs w:val="35"/>
          <w:b w:val="1"/>
          <w:bCs w:val="1"/>
          <w:color w:val="auto"/>
        </w:rPr>
        <w:t>.</w:t>
      </w:r>
    </w:p>
    <w:p>
      <w:pPr>
        <w:spacing w:after="0" w:line="48"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Incorporated pursuant to the laws of the State of Delaware</w:t>
      </w:r>
    </w:p>
    <w:p>
      <w:pPr>
        <w:spacing w:after="0" w:line="7"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_________________________________________________</w:t>
      </w:r>
    </w:p>
    <w:p>
      <w:pPr>
        <w:spacing w:after="0" w:line="72"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Internal Revenue Service Employer Identification No. 42-0991521</w:t>
      </w:r>
    </w:p>
    <w:p>
      <w:pPr>
        <w:spacing w:after="0" w:line="171"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2140 LAKE PARK BLVD., RICHARDSON, Texas, 75080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(972-497-5000)</w:t>
      </w:r>
    </w:p>
    <w:p>
      <w:pPr>
        <w:spacing w:after="0" w:line="9"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_________________________________________________</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45" w:lineRule="exact"/>
        <w:rPr>
          <w:sz w:val="24"/>
          <w:szCs w:val="24"/>
          <w:color w:val="auto"/>
        </w:rPr>
      </w:pPr>
    </w:p>
    <w:p>
      <w:pPr>
        <w:jc w:val="center"/>
        <w:ind w:left="70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6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97" w:lineRule="exact"/>
        <w:rPr>
          <w:sz w:val="24"/>
          <w:szCs w:val="24"/>
          <w:color w:val="auto"/>
        </w:rPr>
      </w:pPr>
    </w:p>
    <w:p>
      <w:pPr>
        <w:sectPr>
          <w:pgSz w:w="11900" w:h="16838" w:orient="portrait"/>
          <w:cols w:equalWidth="0" w:num="3">
            <w:col w:w="4380" w:space="720"/>
            <w:col w:w="1420" w:space="700"/>
            <w:col w:w="4020"/>
          </w:cols>
          <w:pgMar w:left="320" w:top="1440" w:right="339" w:bottom="1440" w:gutter="0" w:footer="0" w:header="0"/>
          <w:type w:val="continuous"/>
        </w:sectPr>
      </w:pPr>
    </w:p>
    <w:p>
      <w:pPr>
        <w:ind w:left="940"/>
        <w:spacing w:after="0"/>
        <w:rPr>
          <w:sz w:val="20"/>
          <w:szCs w:val="20"/>
          <w:color w:val="auto"/>
        </w:rPr>
      </w:pPr>
      <w:r>
        <w:rPr>
          <w:rFonts w:ascii="Arial" w:cs="Arial" w:eastAsia="Arial" w:hAnsi="Arial"/>
          <w:sz w:val="16"/>
          <w:szCs w:val="16"/>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LII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New York Stock Exchange</w:t>
      </w:r>
    </w:p>
    <w:p>
      <w:pPr>
        <w:spacing w:after="0" w:line="170" w:lineRule="exact"/>
        <w:rPr>
          <w:sz w:val="24"/>
          <w:szCs w:val="24"/>
          <w:color w:val="auto"/>
        </w:rPr>
      </w:pPr>
    </w:p>
    <w:p>
      <w:pPr>
        <w:sectPr>
          <w:pgSz w:w="11900" w:h="16838" w:orient="portrait"/>
          <w:cols w:equalWidth="0" w:num="3">
            <w:col w:w="4960" w:space="720"/>
            <w:col w:w="1480" w:space="720"/>
            <w:col w:w="3360"/>
          </w:cols>
          <w:pgMar w:left="320" w:top="1440" w:right="339" w:bottom="1440" w:gutter="0" w:footer="0" w:header="0"/>
          <w:type w:val="continuous"/>
        </w:sectPr>
      </w:pPr>
    </w:p>
    <w:p>
      <w:pPr>
        <w:jc w:val="both"/>
        <w:ind w:firstLine="243"/>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8" w:lineRule="exact"/>
        <w:rPr>
          <w:sz w:val="24"/>
          <w:szCs w:val="24"/>
          <w:color w:val="auto"/>
        </w:rPr>
      </w:pPr>
    </w:p>
    <w:p>
      <w:pPr>
        <w:jc w:val="both"/>
        <w:ind w:firstLine="243"/>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8" w:lineRule="exact"/>
        <w:rPr>
          <w:sz w:val="24"/>
          <w:szCs w:val="24"/>
          <w:color w:val="auto"/>
        </w:rPr>
      </w:pPr>
    </w:p>
    <w:p>
      <w:pPr>
        <w:jc w:val="both"/>
        <w:ind w:firstLine="243"/>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2" w:lineRule="exact"/>
        <w:rPr>
          <w:sz w:val="24"/>
          <w:szCs w:val="24"/>
          <w:color w:val="auto"/>
        </w:rPr>
      </w:pPr>
    </w:p>
    <w:tbl>
      <w:tblPr>
        <w:tblLayout w:type="fixed"/>
        <w:tblInd w:w="720" w:type="dxa"/>
        <w:tblCellMar>
          <w:top w:w="0" w:type="dxa"/>
          <w:left w:w="0" w:type="dxa"/>
          <w:bottom w:w="0" w:type="dxa"/>
          <w:right w:w="0" w:type="dxa"/>
        </w:tblCellMar>
      </w:tblPr>
      <w:tr>
        <w:trPr>
          <w:trHeight w:val="311"/>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80" w:type="dxa"/>
            <w:vAlign w:val="bottom"/>
          </w:tcPr>
          <w:p>
            <w:pPr>
              <w:ind w:left="520"/>
              <w:spacing w:after="0" w:line="221" w:lineRule="exact"/>
              <w:rPr>
                <w:sz w:val="20"/>
                <w:szCs w:val="20"/>
                <w:color w:val="auto"/>
              </w:rPr>
            </w:pPr>
            <w:r>
              <w:rPr>
                <w:rFonts w:ascii="MS PGothic" w:cs="MS PGothic" w:eastAsia="MS PGothic" w:hAnsi="MS PGothic"/>
                <w:sz w:val="22"/>
                <w:szCs w:val="22"/>
                <w:color w:val="auto"/>
              </w:rPr>
              <w:t>☒</w:t>
            </w:r>
          </w:p>
        </w:tc>
        <w:tc>
          <w:tcPr>
            <w:tcW w:w="4340" w:type="dxa"/>
            <w:vAlign w:val="bottom"/>
          </w:tcPr>
          <w:p>
            <w:pPr>
              <w:ind w:left="198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0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10"/>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680" w:type="dxa"/>
            <w:vAlign w:val="bottom"/>
          </w:tcPr>
          <w:p>
            <w:pPr>
              <w:ind w:left="520"/>
              <w:spacing w:after="0" w:line="221" w:lineRule="exact"/>
              <w:rPr>
                <w:sz w:val="20"/>
                <w:szCs w:val="20"/>
                <w:color w:val="auto"/>
              </w:rPr>
            </w:pPr>
            <w:r>
              <w:rPr>
                <w:rFonts w:ascii="MS PGothic" w:cs="MS PGothic" w:eastAsia="MS PGothic" w:hAnsi="MS PGothic"/>
                <w:sz w:val="22"/>
                <w:szCs w:val="22"/>
                <w:color w:val="auto"/>
              </w:rPr>
              <w:t>☐</w:t>
            </w:r>
          </w:p>
        </w:tc>
        <w:tc>
          <w:tcPr>
            <w:tcW w:w="4340" w:type="dxa"/>
            <w:vAlign w:val="bottom"/>
          </w:tcPr>
          <w:p>
            <w:pPr>
              <w:ind w:left="198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0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340" w:type="dxa"/>
            <w:vAlign w:val="bottom"/>
          </w:tcPr>
          <w:p>
            <w:pPr>
              <w:ind w:left="198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0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91" w:lineRule="exact"/>
        <w:rPr>
          <w:sz w:val="24"/>
          <w:szCs w:val="24"/>
          <w:color w:val="auto"/>
        </w:rPr>
      </w:pPr>
    </w:p>
    <w:p>
      <w:pPr>
        <w:ind w:firstLine="243"/>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jc w:val="both"/>
        <w:ind w:left="260" w:right="2460"/>
        <w:spacing w:after="0" w:line="26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July 10, 2020, the number of shares outstanding of the registrant’s common stock, par value $0.01 per share, was 38,253,953.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20" w:lineRule="exact"/>
        <w:rPr>
          <w:sz w:val="20"/>
          <w:szCs w:val="20"/>
          <w:color w:val="auto"/>
        </w:rPr>
      </w:pPr>
      <w:r>
        <w:rPr>
          <w:sz w:val="20"/>
          <w:szCs w:val="20"/>
          <w:color w:val="auto"/>
        </w:rPr>
        <w:br w:type="column"/>
      </w:r>
    </w:p>
    <w:p>
      <w:pPr>
        <w:jc w:val="center"/>
        <w:ind w:right="820"/>
        <w:spacing w:after="0"/>
        <w:rPr>
          <w:sz w:val="20"/>
          <w:szCs w:val="20"/>
          <w:color w:val="auto"/>
        </w:rPr>
      </w:pPr>
      <w:r>
        <w:rPr>
          <w:rFonts w:ascii="Arial" w:cs="Arial" w:eastAsia="Arial" w:hAnsi="Arial"/>
          <w:sz w:val="18"/>
          <w:szCs w:val="18"/>
          <w:b w:val="1"/>
          <w:bCs w:val="1"/>
          <w:color w:val="auto"/>
        </w:rPr>
        <w:t>LENNOX INTERNATIONAL INC.</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For the three and six months ended June 30, 2020</w:t>
      </w:r>
    </w:p>
    <w:p>
      <w:pPr>
        <w:spacing w:after="0" w:line="23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INDEX</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ind w:left="14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31"/>
        </w:trPr>
        <w:tc>
          <w:tcPr>
            <w:tcW w:w="9740" w:type="dxa"/>
            <w:vAlign w:val="bottom"/>
            <w:gridSpan w:val="8"/>
            <w:vMerge w:val="restart"/>
          </w:tcPr>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Financial Information</w:t>
              </w:r>
            </w:hyperlink>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740" w:type="dxa"/>
            <w:vAlign w:val="bottom"/>
            <w:gridSpan w:val="8"/>
            <w:vMerge w:val="continue"/>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740" w:type="dxa"/>
            <w:vAlign w:val="bottom"/>
            <w:gridSpan w:val="8"/>
          </w:tcPr>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Item 1. Financial Statements</w:t>
              </w:r>
            </w:hyperlink>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9520" w:type="dxa"/>
            <w:vAlign w:val="bottom"/>
            <w:gridSpan w:val="7"/>
          </w:tcPr>
          <w:p>
            <w:pPr>
              <w:spacing w:after="0"/>
              <w:rPr>
                <w:sz w:val="20"/>
                <w:szCs w:val="20"/>
                <w:color w:val="auto"/>
              </w:rPr>
            </w:pPr>
            <w:r>
              <w:rPr>
                <w:rFonts w:ascii="Arial" w:cs="Arial" w:eastAsia="Arial" w:hAnsi="Arial"/>
                <w:sz w:val="16"/>
                <w:szCs w:val="16"/>
                <w:color w:val="0000FF"/>
              </w:rPr>
              <w:t>Consolidated Balance Sheets - June 30, 2020 (Unaudited) and December 31, 2019</w:t>
            </w:r>
          </w:p>
        </w:tc>
        <w:tc>
          <w:tcPr>
            <w:tcW w:w="640" w:type="dxa"/>
            <w:vAlign w:val="bottom"/>
          </w:tcPr>
          <w:p>
            <w:pPr>
              <w:jc w:val="center"/>
              <w:spacing w:after="0" w:line="195" w:lineRule="exact"/>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1</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32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vMerge w:val="restart"/>
          </w:tcPr>
          <w:p>
            <w:pPr>
              <w:jc w:val="center"/>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2</w:t>
              </w:r>
            </w:hyperlink>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80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1"/>
              </w:rPr>
              <w:t>Consolidated Statements of Operations (Unaudited) - Three Months and Six Months Months Ended June 30, 2020 and 2019</w:t>
            </w:r>
          </w:p>
        </w:tc>
        <w:tc>
          <w:tcPr>
            <w:tcW w:w="1480" w:type="dxa"/>
            <w:vAlign w:val="bottom"/>
            <w:gridSpan w:val="3"/>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9520" w:type="dxa"/>
            <w:vAlign w:val="bottom"/>
            <w:gridSpan w:val="7"/>
          </w:tcPr>
          <w:p>
            <w:pPr>
              <w:spacing w:after="0"/>
              <w:rPr>
                <w:sz w:val="20"/>
                <w:szCs w:val="20"/>
                <w:color w:val="auto"/>
              </w:rPr>
            </w:pPr>
            <w:r>
              <w:rPr>
                <w:rFonts w:ascii="Arial" w:cs="Arial" w:eastAsia="Arial" w:hAnsi="Arial"/>
                <w:sz w:val="16"/>
                <w:szCs w:val="16"/>
                <w:color w:val="0000FF"/>
                <w:w w:val="97"/>
              </w:rPr>
              <w:t>Consolidated Statements of Comprehensive Income (Unaudited) - Three Months and Six Months Months Ended June 30, 2020 and 2019</w:t>
            </w:r>
          </w:p>
        </w:tc>
        <w:tc>
          <w:tcPr>
            <w:tcW w:w="640" w:type="dxa"/>
            <w:vAlign w:val="bottom"/>
          </w:tcPr>
          <w:p>
            <w:pPr>
              <w:jc w:val="center"/>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3</w:t>
              </w:r>
            </w:hyperlink>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87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color w:val="0000FF"/>
                <w:w w:val="91"/>
              </w:rPr>
              <w:t>Consolidated Statements of Stockholders' Deficit (Unaudited) - Three Months and Six Months Months Ended June 30, 2020 and 2019</w:t>
            </w:r>
          </w:p>
        </w:tc>
        <w:tc>
          <w:tcPr>
            <w:tcW w:w="160" w:type="dxa"/>
            <w:vAlign w:val="bottom"/>
            <w:tcBorders>
              <w:top w:val="single" w:sz="8" w:color="0000FF"/>
            </w:tcBorders>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jc w:val="center"/>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4</w:t>
              </w:r>
            </w:hyperlink>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9520" w:type="dxa"/>
            <w:vAlign w:val="bottom"/>
            <w:gridSpan w:val="7"/>
          </w:tcPr>
          <w:p>
            <w:pPr>
              <w:spacing w:after="0"/>
              <w:rPr>
                <w:sz w:val="20"/>
                <w:szCs w:val="20"/>
                <w:color w:val="auto"/>
              </w:rPr>
            </w:pPr>
            <w:r>
              <w:rPr>
                <w:rFonts w:ascii="Arial" w:cs="Arial" w:eastAsia="Arial" w:hAnsi="Arial"/>
                <w:sz w:val="16"/>
                <w:szCs w:val="16"/>
                <w:color w:val="0000FF"/>
              </w:rPr>
              <w:t>Consolidated Statements of Cash Flows (Unaudited) - Six Months Ended June 30, 2020 and 2019</w:t>
            </w:r>
          </w:p>
        </w:tc>
        <w:tc>
          <w:tcPr>
            <w:tcW w:w="640" w:type="dxa"/>
            <w:vAlign w:val="bottom"/>
          </w:tcPr>
          <w:p>
            <w:pPr>
              <w:jc w:val="center"/>
              <w:spacing w:after="0"/>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6</w:t>
              </w:r>
            </w:hyperlink>
          </w:p>
        </w:tc>
        <w:tc>
          <w:tcPr>
            <w:tcW w:w="0" w:type="dxa"/>
            <w:vAlign w:val="bottom"/>
          </w:tcPr>
          <w:p>
            <w:pPr>
              <w:spacing w:after="0"/>
              <w:rPr>
                <w:sz w:val="1"/>
                <w:szCs w:val="1"/>
                <w:color w:val="auto"/>
              </w:rPr>
            </w:pPr>
          </w:p>
        </w:tc>
      </w:tr>
      <w:tr>
        <w:trPr>
          <w:trHeight w:val="249"/>
        </w:trPr>
        <w:tc>
          <w:tcPr>
            <w:tcW w:w="220" w:type="dxa"/>
            <w:vAlign w:val="bottom"/>
          </w:tcPr>
          <w:p>
            <w:pPr>
              <w:spacing w:after="0"/>
              <w:rPr>
                <w:sz w:val="21"/>
                <w:szCs w:val="21"/>
                <w:color w:val="auto"/>
              </w:rPr>
            </w:pPr>
          </w:p>
        </w:tc>
        <w:tc>
          <w:tcPr>
            <w:tcW w:w="6320" w:type="dxa"/>
            <w:vAlign w:val="bottom"/>
            <w:tcBorders>
              <w:top w:val="single" w:sz="8" w:color="0000FF"/>
            </w:tcBorders>
            <w:gridSpan w:val="3"/>
          </w:tcPr>
          <w:p>
            <w:pPr>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Notes to Consolidated Financial Statements (Unaudited)</w:t>
              </w:r>
            </w:hyperlink>
          </w:p>
        </w:tc>
        <w:tc>
          <w:tcPr>
            <w:tcW w:w="3200" w:type="dxa"/>
            <w:vAlign w:val="bottom"/>
            <w:gridSpan w:val="4"/>
          </w:tcPr>
          <w:p>
            <w:pPr>
              <w:spacing w:after="0"/>
              <w:rPr>
                <w:sz w:val="21"/>
                <w:szCs w:val="21"/>
                <w:color w:val="auto"/>
              </w:rPr>
            </w:pPr>
          </w:p>
        </w:tc>
        <w:tc>
          <w:tcPr>
            <w:tcW w:w="640" w:type="dxa"/>
            <w:vAlign w:val="bottom"/>
          </w:tcPr>
          <w:p>
            <w:pPr>
              <w:jc w:val="center"/>
              <w:spacing w:after="0"/>
              <w:rPr>
                <w:rFonts w:ascii="Arial" w:cs="Arial" w:eastAsia="Arial" w:hAnsi="Arial"/>
                <w:sz w:val="18"/>
                <w:szCs w:val="18"/>
                <w:u w:val="single" w:color="auto"/>
                <w:color w:val="0000FF"/>
                <w:w w:val="79"/>
              </w:rPr>
            </w:pPr>
            <w:hyperlink w:anchor="page8">
              <w:r>
                <w:rPr>
                  <w:rFonts w:ascii="Arial" w:cs="Arial" w:eastAsia="Arial" w:hAnsi="Arial"/>
                  <w:sz w:val="18"/>
                  <w:szCs w:val="18"/>
                  <w:u w:val="single" w:color="auto"/>
                  <w:color w:val="0000FF"/>
                  <w:w w:val="79"/>
                </w:rPr>
                <w:t>7</w:t>
              </w:r>
            </w:hyperlink>
          </w:p>
        </w:tc>
        <w:tc>
          <w:tcPr>
            <w:tcW w:w="0" w:type="dxa"/>
            <w:vAlign w:val="bottom"/>
          </w:tcPr>
          <w:p>
            <w:pPr>
              <w:spacing w:after="0"/>
              <w:rPr>
                <w:sz w:val="1"/>
                <w:szCs w:val="1"/>
                <w:color w:val="auto"/>
              </w:rPr>
            </w:pPr>
          </w:p>
        </w:tc>
      </w:tr>
      <w:tr>
        <w:trPr>
          <w:trHeight w:val="230"/>
        </w:trPr>
        <w:tc>
          <w:tcPr>
            <w:tcW w:w="9740" w:type="dxa"/>
            <w:vAlign w:val="bottom"/>
            <w:gridSpan w:val="8"/>
          </w:tcPr>
          <w:p>
            <w:pPr>
              <w:spacing w:after="0"/>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Item 2. Management's Discussion and Analysis of Financial Condition and Results of Operations</w:t>
              </w:r>
            </w:hyperlink>
          </w:p>
        </w:tc>
        <w:tc>
          <w:tcPr>
            <w:tcW w:w="640" w:type="dxa"/>
            <w:vAlign w:val="bottom"/>
          </w:tcPr>
          <w:p>
            <w:pPr>
              <w:jc w:val="center"/>
              <w:spacing w:after="0"/>
              <w:rPr>
                <w:rFonts w:ascii="Arial" w:cs="Arial" w:eastAsia="Arial" w:hAnsi="Arial"/>
                <w:sz w:val="18"/>
                <w:szCs w:val="18"/>
                <w:u w:val="single" w:color="auto"/>
                <w:color w:val="0000FF"/>
                <w:w w:val="89"/>
              </w:rPr>
            </w:pPr>
            <w:hyperlink w:anchor="page24">
              <w:r>
                <w:rPr>
                  <w:rFonts w:ascii="Arial" w:cs="Arial" w:eastAsia="Arial" w:hAnsi="Arial"/>
                  <w:sz w:val="18"/>
                  <w:szCs w:val="18"/>
                  <w:u w:val="single" w:color="auto"/>
                  <w:color w:val="0000FF"/>
                  <w:w w:val="89"/>
                </w:rPr>
                <w:t>23</w:t>
              </w:r>
            </w:hyperlink>
          </w:p>
        </w:tc>
        <w:tc>
          <w:tcPr>
            <w:tcW w:w="0" w:type="dxa"/>
            <w:vAlign w:val="bottom"/>
          </w:tcPr>
          <w:p>
            <w:pPr>
              <w:spacing w:after="0"/>
              <w:rPr>
                <w:sz w:val="1"/>
                <w:szCs w:val="1"/>
                <w:color w:val="auto"/>
              </w:rPr>
            </w:pPr>
          </w:p>
        </w:tc>
      </w:tr>
      <w:tr>
        <w:trPr>
          <w:trHeight w:val="229"/>
        </w:trPr>
        <w:tc>
          <w:tcPr>
            <w:tcW w:w="9740" w:type="dxa"/>
            <w:vAlign w:val="bottom"/>
            <w:gridSpan w:val="8"/>
          </w:tcPr>
          <w:p>
            <w:pPr>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Item 3. Quantitative and Qualitative Disclosures About Market Risk</w:t>
              </w:r>
            </w:hyperlink>
          </w:p>
        </w:tc>
        <w:tc>
          <w:tcPr>
            <w:tcW w:w="640" w:type="dxa"/>
            <w:vAlign w:val="bottom"/>
          </w:tcPr>
          <w:p>
            <w:pPr>
              <w:jc w:val="center"/>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34</w:t>
              </w:r>
            </w:hyperlink>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rFonts w:ascii="Arial" w:cs="Arial" w:eastAsia="Arial" w:hAnsi="Arial"/>
                <w:sz w:val="16"/>
                <w:szCs w:val="16"/>
                <w:u w:val="single" w:color="auto"/>
                <w:color w:val="0000FF"/>
                <w:w w:val="93"/>
              </w:rPr>
            </w:pPr>
            <w:hyperlink w:anchor="page36">
              <w:r>
                <w:rPr>
                  <w:rFonts w:ascii="Arial" w:cs="Arial" w:eastAsia="Arial" w:hAnsi="Arial"/>
                  <w:sz w:val="16"/>
                  <w:szCs w:val="16"/>
                  <w:u w:val="single" w:color="auto"/>
                  <w:color w:val="0000FF"/>
                  <w:w w:val="93"/>
                </w:rPr>
                <w:t>Item 4.</w:t>
              </w:r>
            </w:hyperlink>
          </w:p>
        </w:tc>
        <w:tc>
          <w:tcPr>
            <w:tcW w:w="9260" w:type="dxa"/>
            <w:vAlign w:val="bottom"/>
            <w:gridSpan w:val="6"/>
          </w:tcPr>
          <w:p>
            <w:pPr>
              <w:ind w:left="20"/>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Controls and Procedures</w:t>
              </w:r>
            </w:hyperlink>
          </w:p>
        </w:tc>
        <w:tc>
          <w:tcPr>
            <w:tcW w:w="640" w:type="dxa"/>
            <w:vAlign w:val="bottom"/>
          </w:tcPr>
          <w:p>
            <w:pPr>
              <w:jc w:val="center"/>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34</w:t>
              </w:r>
            </w:hyperlink>
          </w:p>
        </w:tc>
        <w:tc>
          <w:tcPr>
            <w:tcW w:w="0" w:type="dxa"/>
            <w:vAlign w:val="bottom"/>
          </w:tcPr>
          <w:p>
            <w:pPr>
              <w:spacing w:after="0"/>
              <w:rPr>
                <w:sz w:val="1"/>
                <w:szCs w:val="1"/>
                <w:color w:val="auto"/>
              </w:rPr>
            </w:pPr>
          </w:p>
        </w:tc>
      </w:tr>
      <w:tr>
        <w:trPr>
          <w:trHeight w:val="251"/>
        </w:trPr>
        <w:tc>
          <w:tcPr>
            <w:tcW w:w="9740" w:type="dxa"/>
            <w:vAlign w:val="bottom"/>
            <w:gridSpan w:val="8"/>
          </w:tcPr>
          <w:p>
            <w:pPr>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Other Information</w:t>
              </w:r>
            </w:hyperlink>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80" w:type="dxa"/>
            <w:vAlign w:val="bottom"/>
            <w:gridSpan w:val="2"/>
          </w:tcPr>
          <w:p>
            <w:pPr>
              <w:spacing w:after="0"/>
              <w:rPr>
                <w:rFonts w:ascii="Arial" w:cs="Arial" w:eastAsia="Arial" w:hAnsi="Arial"/>
                <w:sz w:val="16"/>
                <w:szCs w:val="16"/>
                <w:u w:val="single" w:color="auto"/>
                <w:color w:val="0000FF"/>
                <w:w w:val="93"/>
              </w:rPr>
            </w:pPr>
            <w:hyperlink w:anchor="page36">
              <w:r>
                <w:rPr>
                  <w:rFonts w:ascii="Arial" w:cs="Arial" w:eastAsia="Arial" w:hAnsi="Arial"/>
                  <w:sz w:val="16"/>
                  <w:szCs w:val="16"/>
                  <w:u w:val="single" w:color="auto"/>
                  <w:color w:val="0000FF"/>
                  <w:w w:val="93"/>
                </w:rPr>
                <w:t>Item 1.</w:t>
              </w:r>
            </w:hyperlink>
          </w:p>
        </w:tc>
        <w:tc>
          <w:tcPr>
            <w:tcW w:w="9260" w:type="dxa"/>
            <w:vAlign w:val="bottom"/>
            <w:gridSpan w:val="6"/>
          </w:tcPr>
          <w:p>
            <w:pPr>
              <w:ind w:left="20"/>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Legal Proceedings</w:t>
              </w:r>
            </w:hyperlink>
          </w:p>
        </w:tc>
        <w:tc>
          <w:tcPr>
            <w:tcW w:w="640" w:type="dxa"/>
            <w:vAlign w:val="bottom"/>
          </w:tcPr>
          <w:p>
            <w:pPr>
              <w:jc w:val="center"/>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34</w:t>
              </w:r>
            </w:hyperlink>
          </w:p>
        </w:tc>
        <w:tc>
          <w:tcPr>
            <w:tcW w:w="0" w:type="dxa"/>
            <w:vAlign w:val="bottom"/>
          </w:tcPr>
          <w:p>
            <w:pPr>
              <w:spacing w:after="0"/>
              <w:rPr>
                <w:sz w:val="1"/>
                <w:szCs w:val="1"/>
                <w:color w:val="auto"/>
              </w:rPr>
            </w:pPr>
          </w:p>
        </w:tc>
      </w:tr>
      <w:tr>
        <w:trPr>
          <w:trHeight w:val="230"/>
        </w:trPr>
        <w:tc>
          <w:tcPr>
            <w:tcW w:w="9740" w:type="dxa"/>
            <w:vAlign w:val="bottom"/>
            <w:gridSpan w:val="8"/>
          </w:tcPr>
          <w:p>
            <w:pPr>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Item 1A. Risk Factors</w:t>
              </w:r>
            </w:hyperlink>
          </w:p>
        </w:tc>
        <w:tc>
          <w:tcPr>
            <w:tcW w:w="640" w:type="dxa"/>
            <w:vAlign w:val="bottom"/>
          </w:tcPr>
          <w:p>
            <w:pPr>
              <w:jc w:val="center"/>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35</w:t>
              </w:r>
            </w:hyperlink>
          </w:p>
        </w:tc>
        <w:tc>
          <w:tcPr>
            <w:tcW w:w="0" w:type="dxa"/>
            <w:vAlign w:val="bottom"/>
          </w:tcPr>
          <w:p>
            <w:pPr>
              <w:spacing w:after="0"/>
              <w:rPr>
                <w:sz w:val="1"/>
                <w:szCs w:val="1"/>
                <w:color w:val="auto"/>
              </w:rPr>
            </w:pPr>
          </w:p>
        </w:tc>
      </w:tr>
      <w:tr>
        <w:trPr>
          <w:trHeight w:val="229"/>
        </w:trPr>
        <w:tc>
          <w:tcPr>
            <w:tcW w:w="480" w:type="dxa"/>
            <w:vAlign w:val="bottom"/>
            <w:gridSpan w:val="2"/>
          </w:tcPr>
          <w:p>
            <w:pPr>
              <w:spacing w:after="0"/>
              <w:rPr>
                <w:rFonts w:ascii="Arial" w:cs="Arial" w:eastAsia="Arial" w:hAnsi="Arial"/>
                <w:sz w:val="16"/>
                <w:szCs w:val="16"/>
                <w:u w:val="single" w:color="auto"/>
                <w:color w:val="0000FF"/>
                <w:w w:val="93"/>
              </w:rPr>
            </w:pPr>
            <w:hyperlink w:anchor="page37">
              <w:r>
                <w:rPr>
                  <w:rFonts w:ascii="Arial" w:cs="Arial" w:eastAsia="Arial" w:hAnsi="Arial"/>
                  <w:sz w:val="16"/>
                  <w:szCs w:val="16"/>
                  <w:u w:val="single" w:color="auto"/>
                  <w:color w:val="0000FF"/>
                  <w:w w:val="93"/>
                </w:rPr>
                <w:t>Item 2.</w:t>
              </w:r>
            </w:hyperlink>
          </w:p>
        </w:tc>
        <w:tc>
          <w:tcPr>
            <w:tcW w:w="9260" w:type="dxa"/>
            <w:vAlign w:val="bottom"/>
            <w:gridSpan w:val="6"/>
          </w:tcPr>
          <w:p>
            <w:pPr>
              <w:ind w:left="20"/>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Unregistered Sales of Equity Securities and Use of Proceeds</w:t>
              </w:r>
            </w:hyperlink>
          </w:p>
        </w:tc>
        <w:tc>
          <w:tcPr>
            <w:tcW w:w="640" w:type="dxa"/>
            <w:vAlign w:val="bottom"/>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35</w:t>
              </w:r>
            </w:hyperlink>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rFonts w:ascii="Arial" w:cs="Arial" w:eastAsia="Arial" w:hAnsi="Arial"/>
                <w:sz w:val="16"/>
                <w:szCs w:val="16"/>
                <w:u w:val="single" w:color="auto"/>
                <w:color w:val="0000FF"/>
                <w:w w:val="93"/>
              </w:rPr>
            </w:pPr>
            <w:hyperlink w:anchor="page38">
              <w:r>
                <w:rPr>
                  <w:rFonts w:ascii="Arial" w:cs="Arial" w:eastAsia="Arial" w:hAnsi="Arial"/>
                  <w:sz w:val="16"/>
                  <w:szCs w:val="16"/>
                  <w:u w:val="single" w:color="auto"/>
                  <w:color w:val="0000FF"/>
                  <w:w w:val="93"/>
                </w:rPr>
                <w:t>Item 6.</w:t>
              </w:r>
            </w:hyperlink>
          </w:p>
        </w:tc>
        <w:tc>
          <w:tcPr>
            <w:tcW w:w="9260" w:type="dxa"/>
            <w:vAlign w:val="bottom"/>
            <w:gridSpan w:val="6"/>
          </w:tcPr>
          <w:p>
            <w:pPr>
              <w:ind w:left="20"/>
              <w:spacing w:after="0"/>
              <w:rPr>
                <w:rFonts w:ascii="Arial" w:cs="Arial" w:eastAsia="Arial" w:hAnsi="Arial"/>
                <w:sz w:val="16"/>
                <w:szCs w:val="16"/>
                <w:u w:val="single" w:color="auto"/>
                <w:color w:val="0000FF"/>
              </w:rPr>
            </w:pPr>
            <w:hyperlink w:anchor="page38">
              <w:r>
                <w:rPr>
                  <w:rFonts w:ascii="Arial" w:cs="Arial" w:eastAsia="Arial" w:hAnsi="Arial"/>
                  <w:sz w:val="16"/>
                  <w:szCs w:val="16"/>
                  <w:u w:val="single" w:color="auto"/>
                  <w:color w:val="0000FF"/>
                </w:rPr>
                <w:t>Exhibits</w:t>
              </w:r>
            </w:hyperlink>
          </w:p>
        </w:tc>
        <w:tc>
          <w:tcPr>
            <w:tcW w:w="640" w:type="dxa"/>
            <w:vAlign w:val="bottom"/>
          </w:tcPr>
          <w:p>
            <w:pPr>
              <w:jc w:val="center"/>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37</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-2357120</wp:posOffset>
            </wp:positionV>
            <wp:extent cx="7115175"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-2056765</wp:posOffset>
            </wp:positionV>
            <wp:extent cx="7115175"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-1765300</wp:posOffset>
            </wp:positionV>
            <wp:extent cx="711517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-1473835</wp:posOffset>
            </wp:positionV>
            <wp:extent cx="711517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-1182370</wp:posOffset>
            </wp:positionV>
            <wp:extent cx="711517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-890905</wp:posOffset>
            </wp:positionV>
            <wp:extent cx="711517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-582295</wp:posOffset>
            </wp:positionV>
            <wp:extent cx="711517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-290830</wp:posOffset>
            </wp:positionV>
            <wp:extent cx="711517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60" w:space="180"/>
            <w:col w:w="10380"/>
          </w:cols>
          <w:pgMar w:left="520" w:top="113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(Amounts in millions, except shares and par values)</w:t>
            </w:r>
          </w:p>
        </w:tc>
        <w:tc>
          <w:tcPr>
            <w:tcW w:w="14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As of June 30, 2020</w:t>
            </w: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2019</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(Unaudited)</w:t>
            </w: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75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Current Assets:</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44.8</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37.3</w:t>
            </w:r>
          </w:p>
        </w:tc>
        <w:tc>
          <w:tcPr>
            <w:tcW w:w="0" w:type="dxa"/>
            <w:vAlign w:val="bottom"/>
          </w:tcPr>
          <w:p>
            <w:pPr>
              <w:spacing w:after="0"/>
              <w:rPr>
                <w:sz w:val="1"/>
                <w:szCs w:val="1"/>
                <w:color w:val="auto"/>
              </w:rPr>
            </w:pPr>
          </w:p>
        </w:tc>
      </w:tr>
      <w:tr>
        <w:trPr>
          <w:trHeight w:val="225"/>
        </w:trPr>
        <w:tc>
          <w:tcPr>
            <w:tcW w:w="7560" w:type="dxa"/>
            <w:vAlign w:val="bottom"/>
          </w:tcPr>
          <w:p>
            <w:pPr>
              <w:ind w:left="120"/>
              <w:spacing w:after="0"/>
              <w:rPr>
                <w:sz w:val="20"/>
                <w:szCs w:val="20"/>
                <w:color w:val="auto"/>
              </w:rPr>
            </w:pPr>
            <w:r>
              <w:rPr>
                <w:rFonts w:ascii="Arial" w:cs="Arial" w:eastAsia="Arial" w:hAnsi="Arial"/>
                <w:sz w:val="17"/>
                <w:szCs w:val="17"/>
                <w:color w:val="auto"/>
              </w:rPr>
              <w:t>Short-term investments</w:t>
            </w:r>
          </w:p>
        </w:tc>
        <w:tc>
          <w:tcPr>
            <w:tcW w:w="140" w:type="dxa"/>
            <w:vAlign w:val="bottom"/>
          </w:tcPr>
          <w:p>
            <w:pPr>
              <w:spacing w:after="0"/>
              <w:rPr>
                <w:sz w:val="19"/>
                <w:szCs w:val="19"/>
                <w:color w:val="auto"/>
              </w:rPr>
            </w:pPr>
          </w:p>
        </w:tc>
        <w:tc>
          <w:tcPr>
            <w:tcW w:w="1520" w:type="dxa"/>
            <w:vAlign w:val="bottom"/>
          </w:tcPr>
          <w:p>
            <w:pPr>
              <w:jc w:val="right"/>
              <w:ind w:right="55"/>
              <w:spacing w:after="0"/>
              <w:rPr>
                <w:sz w:val="20"/>
                <w:szCs w:val="20"/>
                <w:color w:val="auto"/>
              </w:rPr>
            </w:pPr>
            <w:r>
              <w:rPr>
                <w:rFonts w:ascii="Arial" w:cs="Arial" w:eastAsia="Arial" w:hAnsi="Arial"/>
                <w:sz w:val="17"/>
                <w:szCs w:val="17"/>
                <w:color w:val="auto"/>
              </w:rPr>
              <w:t>3.8</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1"/>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and notes receivable, net of allowances of $7.2 and $6.1 in 2020 and 2019, respectively</w:t>
            </w:r>
          </w:p>
        </w:tc>
        <w:tc>
          <w:tcPr>
            <w:tcW w:w="14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624.2</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477.8</w:t>
            </w:r>
          </w:p>
        </w:tc>
        <w:tc>
          <w:tcPr>
            <w:tcW w:w="0" w:type="dxa"/>
            <w:vAlign w:val="bottom"/>
          </w:tcPr>
          <w:p>
            <w:pPr>
              <w:spacing w:after="0"/>
              <w:rPr>
                <w:sz w:val="1"/>
                <w:szCs w:val="1"/>
                <w:color w:val="auto"/>
              </w:rPr>
            </w:pPr>
          </w:p>
        </w:tc>
      </w:tr>
      <w:tr>
        <w:trPr>
          <w:trHeight w:val="226"/>
        </w:trPr>
        <w:tc>
          <w:tcPr>
            <w:tcW w:w="7560" w:type="dxa"/>
            <w:vAlign w:val="bottom"/>
          </w:tcPr>
          <w:p>
            <w:pPr>
              <w:ind w:left="120"/>
              <w:spacing w:after="0"/>
              <w:rPr>
                <w:sz w:val="20"/>
                <w:szCs w:val="20"/>
                <w:color w:val="auto"/>
              </w:rPr>
            </w:pPr>
            <w:r>
              <w:rPr>
                <w:rFonts w:ascii="Arial" w:cs="Arial" w:eastAsia="Arial" w:hAnsi="Arial"/>
                <w:sz w:val="17"/>
                <w:szCs w:val="17"/>
                <w:color w:val="auto"/>
              </w:rPr>
              <w:t>Inventories, net</w:t>
            </w:r>
          </w:p>
        </w:tc>
        <w:tc>
          <w:tcPr>
            <w:tcW w:w="140" w:type="dxa"/>
            <w:vAlign w:val="bottom"/>
          </w:tcPr>
          <w:p>
            <w:pPr>
              <w:spacing w:after="0"/>
              <w:rPr>
                <w:sz w:val="19"/>
                <w:szCs w:val="19"/>
                <w:color w:val="auto"/>
              </w:rPr>
            </w:pPr>
          </w:p>
        </w:tc>
        <w:tc>
          <w:tcPr>
            <w:tcW w:w="1520" w:type="dxa"/>
            <w:vAlign w:val="bottom"/>
          </w:tcPr>
          <w:p>
            <w:pPr>
              <w:jc w:val="right"/>
              <w:ind w:right="55"/>
              <w:spacing w:after="0"/>
              <w:rPr>
                <w:sz w:val="20"/>
                <w:szCs w:val="20"/>
                <w:color w:val="auto"/>
              </w:rPr>
            </w:pPr>
            <w:r>
              <w:rPr>
                <w:rFonts w:ascii="Arial" w:cs="Arial" w:eastAsia="Arial" w:hAnsi="Arial"/>
                <w:sz w:val="17"/>
                <w:szCs w:val="17"/>
                <w:color w:val="auto"/>
              </w:rPr>
              <w:t>499.7</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544.1</w:t>
            </w:r>
          </w:p>
        </w:tc>
        <w:tc>
          <w:tcPr>
            <w:tcW w:w="0" w:type="dxa"/>
            <w:vAlign w:val="bottom"/>
          </w:tcPr>
          <w:p>
            <w:pPr>
              <w:spacing w:after="0"/>
              <w:rPr>
                <w:sz w:val="1"/>
                <w:szCs w:val="1"/>
                <w:color w:val="auto"/>
              </w:rPr>
            </w:pPr>
          </w:p>
        </w:tc>
      </w:tr>
      <w:tr>
        <w:trPr>
          <w:trHeight w:val="31"/>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Other assets</w:t>
            </w:r>
          </w:p>
        </w:tc>
        <w:tc>
          <w:tcPr>
            <w:tcW w:w="1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54.4</w:t>
            </w: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58.8</w:t>
            </w:r>
          </w:p>
        </w:tc>
        <w:tc>
          <w:tcPr>
            <w:tcW w:w="0" w:type="dxa"/>
            <w:vAlign w:val="bottom"/>
          </w:tcPr>
          <w:p>
            <w:pPr>
              <w:spacing w:after="0"/>
              <w:rPr>
                <w:sz w:val="1"/>
                <w:szCs w:val="1"/>
                <w:color w:val="auto"/>
              </w:rPr>
            </w:pPr>
          </w:p>
        </w:tc>
      </w:tr>
      <w:tr>
        <w:trPr>
          <w:trHeight w:val="219"/>
        </w:trPr>
        <w:tc>
          <w:tcPr>
            <w:tcW w:w="7560" w:type="dxa"/>
            <w:vAlign w:val="bottom"/>
          </w:tcPr>
          <w:p>
            <w:pPr>
              <w:ind w:left="340"/>
              <w:spacing w:after="0"/>
              <w:rPr>
                <w:sz w:val="20"/>
                <w:szCs w:val="20"/>
                <w:color w:val="auto"/>
              </w:rPr>
            </w:pPr>
            <w:r>
              <w:rPr>
                <w:rFonts w:ascii="Arial" w:cs="Arial" w:eastAsia="Arial" w:hAnsi="Arial"/>
                <w:sz w:val="17"/>
                <w:szCs w:val="17"/>
                <w:color w:val="auto"/>
              </w:rPr>
              <w:t>Total current assets</w:t>
            </w: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1,226.9</w:t>
            </w:r>
          </w:p>
        </w:tc>
        <w:tc>
          <w:tcPr>
            <w:tcW w:w="1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1,120.9</w:t>
            </w:r>
          </w:p>
        </w:tc>
        <w:tc>
          <w:tcPr>
            <w:tcW w:w="0" w:type="dxa"/>
            <w:vAlign w:val="bottom"/>
          </w:tcPr>
          <w:p>
            <w:pPr>
              <w:spacing w:after="0"/>
              <w:rPr>
                <w:sz w:val="1"/>
                <w:szCs w:val="1"/>
                <w:color w:val="auto"/>
              </w:rPr>
            </w:pPr>
          </w:p>
        </w:tc>
      </w:tr>
      <w:tr>
        <w:trPr>
          <w:trHeight w:val="31"/>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5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w w:val="95"/>
              </w:rPr>
              <w:t>Property, plant and equipment, net of accumulated depreciation of $848.5 and $824.3 in 2020 and 2019,</w:t>
            </w:r>
          </w:p>
        </w:tc>
        <w:tc>
          <w:tcPr>
            <w:tcW w:w="14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color w:val="auto"/>
              </w:rPr>
              <w:t>441.2</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rPr>
              <w:t>445.4</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respectively</w:t>
            </w:r>
          </w:p>
        </w:tc>
        <w:tc>
          <w:tcPr>
            <w:tcW w:w="14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560" w:type="dxa"/>
            <w:vAlign w:val="bottom"/>
          </w:tcPr>
          <w:p>
            <w:pPr>
              <w:ind w:left="20"/>
              <w:spacing w:after="0"/>
              <w:rPr>
                <w:sz w:val="20"/>
                <w:szCs w:val="20"/>
                <w:color w:val="auto"/>
              </w:rPr>
            </w:pPr>
            <w:r>
              <w:rPr>
                <w:rFonts w:ascii="Arial" w:cs="Arial" w:eastAsia="Arial" w:hAnsi="Arial"/>
                <w:sz w:val="17"/>
                <w:szCs w:val="17"/>
                <w:color w:val="auto"/>
              </w:rPr>
              <w:t>Right-of-use assets from operating leases</w:t>
            </w:r>
          </w:p>
        </w:tc>
        <w:tc>
          <w:tcPr>
            <w:tcW w:w="140" w:type="dxa"/>
            <w:vAlign w:val="bottom"/>
          </w:tcPr>
          <w:p>
            <w:pPr>
              <w:spacing w:after="0"/>
              <w:rPr>
                <w:sz w:val="19"/>
                <w:szCs w:val="19"/>
                <w:color w:val="auto"/>
              </w:rPr>
            </w:pPr>
          </w:p>
        </w:tc>
        <w:tc>
          <w:tcPr>
            <w:tcW w:w="1520" w:type="dxa"/>
            <w:vAlign w:val="bottom"/>
          </w:tcPr>
          <w:p>
            <w:pPr>
              <w:jc w:val="right"/>
              <w:ind w:right="55"/>
              <w:spacing w:after="0"/>
              <w:rPr>
                <w:sz w:val="20"/>
                <w:szCs w:val="20"/>
                <w:color w:val="auto"/>
              </w:rPr>
            </w:pPr>
            <w:r>
              <w:rPr>
                <w:rFonts w:ascii="Arial" w:cs="Arial" w:eastAsia="Arial" w:hAnsi="Arial"/>
                <w:sz w:val="17"/>
                <w:szCs w:val="17"/>
                <w:color w:val="auto"/>
              </w:rPr>
              <w:t>177.1</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181.6</w:t>
            </w:r>
          </w:p>
        </w:tc>
        <w:tc>
          <w:tcPr>
            <w:tcW w:w="0" w:type="dxa"/>
            <w:vAlign w:val="bottom"/>
          </w:tcPr>
          <w:p>
            <w:pPr>
              <w:spacing w:after="0"/>
              <w:rPr>
                <w:sz w:val="1"/>
                <w:szCs w:val="1"/>
                <w:color w:val="auto"/>
              </w:rPr>
            </w:pPr>
          </w:p>
        </w:tc>
      </w:tr>
      <w:tr>
        <w:trPr>
          <w:trHeight w:val="31"/>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186.5</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186.5</w:t>
            </w:r>
          </w:p>
        </w:tc>
        <w:tc>
          <w:tcPr>
            <w:tcW w:w="0" w:type="dxa"/>
            <w:vAlign w:val="bottom"/>
          </w:tcPr>
          <w:p>
            <w:pPr>
              <w:spacing w:after="0"/>
              <w:rPr>
                <w:sz w:val="1"/>
                <w:szCs w:val="1"/>
                <w:color w:val="auto"/>
              </w:rPr>
            </w:pPr>
          </w:p>
        </w:tc>
      </w:tr>
      <w:tr>
        <w:trPr>
          <w:trHeight w:val="226"/>
        </w:trPr>
        <w:tc>
          <w:tcPr>
            <w:tcW w:w="756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9"/>
                <w:szCs w:val="19"/>
                <w:color w:val="auto"/>
              </w:rPr>
            </w:pPr>
          </w:p>
        </w:tc>
        <w:tc>
          <w:tcPr>
            <w:tcW w:w="1520" w:type="dxa"/>
            <w:vAlign w:val="bottom"/>
          </w:tcPr>
          <w:p>
            <w:pPr>
              <w:jc w:val="right"/>
              <w:ind w:right="55"/>
              <w:spacing w:after="0"/>
              <w:rPr>
                <w:sz w:val="20"/>
                <w:szCs w:val="20"/>
                <w:color w:val="auto"/>
              </w:rPr>
            </w:pPr>
            <w:r>
              <w:rPr>
                <w:rFonts w:ascii="Arial" w:cs="Arial" w:eastAsia="Arial" w:hAnsi="Arial"/>
                <w:sz w:val="17"/>
                <w:szCs w:val="17"/>
                <w:color w:val="auto"/>
              </w:rPr>
              <w:t>15.5</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31"/>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 net</w:t>
            </w:r>
          </w:p>
        </w:tc>
        <w:tc>
          <w:tcPr>
            <w:tcW w:w="1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77.1</w:t>
            </w: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79.0</w:t>
            </w:r>
          </w:p>
        </w:tc>
        <w:tc>
          <w:tcPr>
            <w:tcW w:w="0" w:type="dxa"/>
            <w:vAlign w:val="bottom"/>
          </w:tcPr>
          <w:p>
            <w:pPr>
              <w:spacing w:after="0"/>
              <w:rPr>
                <w:sz w:val="1"/>
                <w:szCs w:val="1"/>
                <w:color w:val="auto"/>
              </w:rPr>
            </w:pPr>
          </w:p>
        </w:tc>
      </w:tr>
      <w:tr>
        <w:trPr>
          <w:trHeight w:val="248"/>
        </w:trPr>
        <w:tc>
          <w:tcPr>
            <w:tcW w:w="7560" w:type="dxa"/>
            <w:vAlign w:val="bottom"/>
          </w:tcPr>
          <w:p>
            <w:pPr>
              <w:ind w:left="20"/>
              <w:spacing w:after="0"/>
              <w:rPr>
                <w:sz w:val="20"/>
                <w:szCs w:val="20"/>
                <w:color w:val="auto"/>
              </w:rPr>
            </w:pPr>
            <w:r>
              <w:rPr>
                <w:rFonts w:ascii="Arial" w:cs="Arial" w:eastAsia="Arial" w:hAnsi="Arial"/>
                <w:sz w:val="17"/>
                <w:szCs w:val="17"/>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5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2,124.3</w:t>
            </w:r>
          </w:p>
        </w:tc>
        <w:tc>
          <w:tcPr>
            <w:tcW w:w="18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2,034.9</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60" w:type="dxa"/>
            <w:vAlign w:val="bottom"/>
          </w:tcPr>
          <w:p>
            <w:pPr>
              <w:ind w:left="20"/>
              <w:spacing w:after="0"/>
              <w:rPr>
                <w:sz w:val="20"/>
                <w:szCs w:val="20"/>
                <w:color w:val="auto"/>
              </w:rPr>
            </w:pPr>
            <w:r>
              <w:rPr>
                <w:rFonts w:ascii="Arial" w:cs="Arial" w:eastAsia="Arial" w:hAnsi="Arial"/>
                <w:sz w:val="17"/>
                <w:szCs w:val="17"/>
                <w:b w:val="1"/>
                <w:bCs w:val="1"/>
                <w:color w:val="auto"/>
              </w:rPr>
              <w:t>LIABILITIES AND STOCKHOLDERS’ DEFICIT</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560" w:type="dxa"/>
            <w:vAlign w:val="bottom"/>
          </w:tcPr>
          <w:p>
            <w:pPr>
              <w:ind w:left="120"/>
              <w:spacing w:after="0"/>
              <w:rPr>
                <w:sz w:val="20"/>
                <w:szCs w:val="20"/>
                <w:color w:val="auto"/>
              </w:rPr>
            </w:pPr>
            <w:r>
              <w:rPr>
                <w:rFonts w:ascii="Arial" w:cs="Arial" w:eastAsia="Arial" w:hAnsi="Arial"/>
                <w:sz w:val="17"/>
                <w:szCs w:val="17"/>
                <w:color w:val="auto"/>
              </w:rPr>
              <w:t>Current maturities of long-term debt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55"/>
              <w:spacing w:after="0"/>
              <w:rPr>
                <w:sz w:val="20"/>
                <w:szCs w:val="20"/>
                <w:color w:val="auto"/>
              </w:rPr>
            </w:pPr>
            <w:r>
              <w:rPr>
                <w:rFonts w:ascii="Arial" w:cs="Arial" w:eastAsia="Arial" w:hAnsi="Arial"/>
                <w:sz w:val="17"/>
                <w:szCs w:val="17"/>
                <w:color w:val="auto"/>
              </w:rPr>
              <w:t>343.6</w:t>
            </w:r>
          </w:p>
        </w:tc>
        <w:tc>
          <w:tcPr>
            <w:tcW w:w="180" w:type="dxa"/>
            <w:vAlign w:val="bottom"/>
          </w:tcPr>
          <w:p>
            <w:pPr>
              <w:spacing w:after="0"/>
              <w:rPr>
                <w:sz w:val="19"/>
                <w:szCs w:val="19"/>
                <w:color w:val="auto"/>
              </w:rPr>
            </w:pPr>
          </w:p>
        </w:tc>
        <w:tc>
          <w:tcPr>
            <w:tcW w:w="640" w:type="dxa"/>
            <w:vAlign w:val="bottom"/>
          </w:tcPr>
          <w:p>
            <w:pPr>
              <w:jc w:val="right"/>
              <w:ind w:right="45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321.9</w:t>
            </w:r>
          </w:p>
        </w:tc>
        <w:tc>
          <w:tcPr>
            <w:tcW w:w="0" w:type="dxa"/>
            <w:vAlign w:val="bottom"/>
          </w:tcPr>
          <w:p>
            <w:pPr>
              <w:spacing w:after="0"/>
              <w:rPr>
                <w:sz w:val="1"/>
                <w:szCs w:val="1"/>
                <w:color w:val="auto"/>
              </w:rPr>
            </w:pPr>
          </w:p>
        </w:tc>
      </w:tr>
      <w:tr>
        <w:trPr>
          <w:trHeight w:val="31"/>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Current operating lease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52.0</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52.7</w:t>
            </w:r>
          </w:p>
        </w:tc>
        <w:tc>
          <w:tcPr>
            <w:tcW w:w="0" w:type="dxa"/>
            <w:vAlign w:val="bottom"/>
          </w:tcPr>
          <w:p>
            <w:pPr>
              <w:spacing w:after="0"/>
              <w:rPr>
                <w:sz w:val="1"/>
                <w:szCs w:val="1"/>
                <w:color w:val="auto"/>
              </w:rPr>
            </w:pPr>
          </w:p>
        </w:tc>
      </w:tr>
      <w:tr>
        <w:trPr>
          <w:trHeight w:val="225"/>
        </w:trPr>
        <w:tc>
          <w:tcPr>
            <w:tcW w:w="7560" w:type="dxa"/>
            <w:vAlign w:val="bottom"/>
          </w:tcPr>
          <w:p>
            <w:pPr>
              <w:ind w:left="120"/>
              <w:spacing w:after="0"/>
              <w:rPr>
                <w:sz w:val="20"/>
                <w:szCs w:val="20"/>
                <w:color w:val="auto"/>
              </w:rPr>
            </w:pPr>
            <w:r>
              <w:rPr>
                <w:rFonts w:ascii="Arial" w:cs="Arial" w:eastAsia="Arial" w:hAnsi="Arial"/>
                <w:sz w:val="17"/>
                <w:szCs w:val="17"/>
                <w:color w:val="auto"/>
              </w:rPr>
              <w:t>Accounts payable</w:t>
            </w:r>
          </w:p>
        </w:tc>
        <w:tc>
          <w:tcPr>
            <w:tcW w:w="140" w:type="dxa"/>
            <w:vAlign w:val="bottom"/>
          </w:tcPr>
          <w:p>
            <w:pPr>
              <w:spacing w:after="0"/>
              <w:rPr>
                <w:sz w:val="19"/>
                <w:szCs w:val="19"/>
                <w:color w:val="auto"/>
              </w:rPr>
            </w:pPr>
          </w:p>
        </w:tc>
        <w:tc>
          <w:tcPr>
            <w:tcW w:w="1520" w:type="dxa"/>
            <w:vAlign w:val="bottom"/>
          </w:tcPr>
          <w:p>
            <w:pPr>
              <w:jc w:val="right"/>
              <w:ind w:right="55"/>
              <w:spacing w:after="0"/>
              <w:rPr>
                <w:sz w:val="20"/>
                <w:szCs w:val="20"/>
                <w:color w:val="auto"/>
              </w:rPr>
            </w:pPr>
            <w:r>
              <w:rPr>
                <w:rFonts w:ascii="Arial" w:cs="Arial" w:eastAsia="Arial" w:hAnsi="Arial"/>
                <w:sz w:val="17"/>
                <w:szCs w:val="17"/>
                <w:color w:val="auto"/>
              </w:rPr>
              <w:t>295.0</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372.4</w:t>
            </w:r>
          </w:p>
        </w:tc>
        <w:tc>
          <w:tcPr>
            <w:tcW w:w="0" w:type="dxa"/>
            <w:vAlign w:val="bottom"/>
          </w:tcPr>
          <w:p>
            <w:pPr>
              <w:spacing w:after="0"/>
              <w:rPr>
                <w:sz w:val="1"/>
                <w:szCs w:val="1"/>
                <w:color w:val="auto"/>
              </w:rPr>
            </w:pPr>
          </w:p>
        </w:tc>
      </w:tr>
      <w:tr>
        <w:trPr>
          <w:trHeight w:val="31"/>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Accrued expenses</w:t>
            </w: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251.0</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255.7</w:t>
            </w:r>
          </w:p>
        </w:tc>
        <w:tc>
          <w:tcPr>
            <w:tcW w:w="0" w:type="dxa"/>
            <w:vAlign w:val="bottom"/>
          </w:tcPr>
          <w:p>
            <w:pPr>
              <w:spacing w:after="0"/>
              <w:rPr>
                <w:sz w:val="1"/>
                <w:szCs w:val="1"/>
                <w:color w:val="auto"/>
              </w:rPr>
            </w:pPr>
          </w:p>
        </w:tc>
      </w:tr>
      <w:tr>
        <w:trPr>
          <w:trHeight w:val="226"/>
        </w:trPr>
        <w:tc>
          <w:tcPr>
            <w:tcW w:w="7560" w:type="dxa"/>
            <w:vAlign w:val="bottom"/>
          </w:tcPr>
          <w:p>
            <w:pPr>
              <w:ind w:left="120"/>
              <w:spacing w:after="0"/>
              <w:rPr>
                <w:sz w:val="20"/>
                <w:szCs w:val="20"/>
                <w:color w:val="auto"/>
              </w:rPr>
            </w:pPr>
            <w:r>
              <w:rPr>
                <w:rFonts w:ascii="Arial" w:cs="Arial" w:eastAsia="Arial" w:hAnsi="Arial"/>
                <w:sz w:val="17"/>
                <w:szCs w:val="17"/>
                <w:color w:val="auto"/>
              </w:rPr>
              <w:t>Income taxes payable</w:t>
            </w:r>
          </w:p>
        </w:tc>
        <w:tc>
          <w:tcPr>
            <w:tcW w:w="140" w:type="dxa"/>
            <w:vAlign w:val="bottom"/>
          </w:tcPr>
          <w:p>
            <w:pPr>
              <w:spacing w:after="0"/>
              <w:rPr>
                <w:sz w:val="19"/>
                <w:szCs w:val="19"/>
                <w:color w:val="auto"/>
              </w:rPr>
            </w:pPr>
          </w:p>
        </w:tc>
        <w:tc>
          <w:tcPr>
            <w:tcW w:w="1520" w:type="dxa"/>
            <w:vAlign w:val="bottom"/>
          </w:tcPr>
          <w:p>
            <w:pPr>
              <w:jc w:val="right"/>
              <w:ind w:right="55"/>
              <w:spacing w:after="0"/>
              <w:rPr>
                <w:sz w:val="20"/>
                <w:szCs w:val="20"/>
                <w:color w:val="auto"/>
              </w:rPr>
            </w:pPr>
            <w:r>
              <w:rPr>
                <w:rFonts w:ascii="Arial" w:cs="Arial" w:eastAsia="Arial" w:hAnsi="Arial"/>
                <w:sz w:val="17"/>
                <w:szCs w:val="17"/>
                <w:color w:val="auto"/>
              </w:rPr>
              <w:t>4.6</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7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946.2</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1,002.7</w:t>
            </w:r>
          </w:p>
        </w:tc>
        <w:tc>
          <w:tcPr>
            <w:tcW w:w="0" w:type="dxa"/>
            <w:vAlign w:val="bottom"/>
          </w:tcPr>
          <w:p>
            <w:pPr>
              <w:spacing w:after="0"/>
              <w:rPr>
                <w:sz w:val="1"/>
                <w:szCs w:val="1"/>
                <w:color w:val="auto"/>
              </w:rPr>
            </w:pPr>
          </w:p>
        </w:tc>
      </w:tr>
      <w:tr>
        <w:trPr>
          <w:trHeight w:val="225"/>
        </w:trPr>
        <w:tc>
          <w:tcPr>
            <w:tcW w:w="756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140" w:type="dxa"/>
            <w:vAlign w:val="bottom"/>
          </w:tcPr>
          <w:p>
            <w:pPr>
              <w:spacing w:after="0"/>
              <w:rPr>
                <w:sz w:val="19"/>
                <w:szCs w:val="19"/>
                <w:color w:val="auto"/>
              </w:rPr>
            </w:pPr>
          </w:p>
        </w:tc>
        <w:tc>
          <w:tcPr>
            <w:tcW w:w="1520" w:type="dxa"/>
            <w:vAlign w:val="bottom"/>
          </w:tcPr>
          <w:p>
            <w:pPr>
              <w:jc w:val="right"/>
              <w:ind w:right="55"/>
              <w:spacing w:after="0"/>
              <w:rPr>
                <w:sz w:val="20"/>
                <w:szCs w:val="20"/>
                <w:color w:val="auto"/>
              </w:rPr>
            </w:pPr>
            <w:r>
              <w:rPr>
                <w:rFonts w:ascii="Arial" w:cs="Arial" w:eastAsia="Arial" w:hAnsi="Arial"/>
                <w:sz w:val="17"/>
                <w:szCs w:val="17"/>
                <w:color w:val="auto"/>
              </w:rPr>
              <w:t>1,047.2</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849.3</w:t>
            </w:r>
          </w:p>
        </w:tc>
        <w:tc>
          <w:tcPr>
            <w:tcW w:w="0" w:type="dxa"/>
            <w:vAlign w:val="bottom"/>
          </w:tcPr>
          <w:p>
            <w:pPr>
              <w:spacing w:after="0"/>
              <w:rPr>
                <w:sz w:val="1"/>
                <w:szCs w:val="1"/>
                <w:color w:val="auto"/>
              </w:rPr>
            </w:pPr>
          </w:p>
        </w:tc>
      </w:tr>
      <w:tr>
        <w:trPr>
          <w:trHeight w:val="31"/>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127.9</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131.0</w:t>
            </w:r>
          </w:p>
        </w:tc>
        <w:tc>
          <w:tcPr>
            <w:tcW w:w="0" w:type="dxa"/>
            <w:vAlign w:val="bottom"/>
          </w:tcPr>
          <w:p>
            <w:pPr>
              <w:spacing w:after="0"/>
              <w:rPr>
                <w:sz w:val="1"/>
                <w:szCs w:val="1"/>
                <w:color w:val="auto"/>
              </w:rPr>
            </w:pPr>
          </w:p>
        </w:tc>
      </w:tr>
      <w:tr>
        <w:trPr>
          <w:trHeight w:val="225"/>
        </w:trPr>
        <w:tc>
          <w:tcPr>
            <w:tcW w:w="7560" w:type="dxa"/>
            <w:vAlign w:val="bottom"/>
          </w:tcPr>
          <w:p>
            <w:pPr>
              <w:ind w:left="20"/>
              <w:spacing w:after="0"/>
              <w:rPr>
                <w:sz w:val="20"/>
                <w:szCs w:val="20"/>
                <w:color w:val="auto"/>
              </w:rPr>
            </w:pPr>
            <w:r>
              <w:rPr>
                <w:rFonts w:ascii="Arial" w:cs="Arial" w:eastAsia="Arial" w:hAnsi="Arial"/>
                <w:sz w:val="17"/>
                <w:szCs w:val="17"/>
                <w:color w:val="auto"/>
              </w:rPr>
              <w:t>Pensions</w:t>
            </w:r>
          </w:p>
        </w:tc>
        <w:tc>
          <w:tcPr>
            <w:tcW w:w="140" w:type="dxa"/>
            <w:vAlign w:val="bottom"/>
          </w:tcPr>
          <w:p>
            <w:pPr>
              <w:spacing w:after="0"/>
              <w:rPr>
                <w:sz w:val="19"/>
                <w:szCs w:val="19"/>
                <w:color w:val="auto"/>
              </w:rPr>
            </w:pPr>
          </w:p>
        </w:tc>
        <w:tc>
          <w:tcPr>
            <w:tcW w:w="1520" w:type="dxa"/>
            <w:vAlign w:val="bottom"/>
          </w:tcPr>
          <w:p>
            <w:pPr>
              <w:jc w:val="right"/>
              <w:ind w:right="55"/>
              <w:spacing w:after="0"/>
              <w:rPr>
                <w:sz w:val="20"/>
                <w:szCs w:val="20"/>
                <w:color w:val="auto"/>
              </w:rPr>
            </w:pPr>
            <w:r>
              <w:rPr>
                <w:rFonts w:ascii="Arial" w:cs="Arial" w:eastAsia="Arial" w:hAnsi="Arial"/>
                <w:sz w:val="17"/>
                <w:szCs w:val="17"/>
                <w:color w:val="auto"/>
              </w:rPr>
              <w:t>91.8</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87.4</w:t>
            </w:r>
          </w:p>
        </w:tc>
        <w:tc>
          <w:tcPr>
            <w:tcW w:w="0" w:type="dxa"/>
            <w:vAlign w:val="bottom"/>
          </w:tcPr>
          <w:p>
            <w:pPr>
              <w:spacing w:after="0"/>
              <w:rPr>
                <w:sz w:val="1"/>
                <w:szCs w:val="1"/>
                <w:color w:val="auto"/>
              </w:rPr>
            </w:pPr>
          </w:p>
        </w:tc>
      </w:tr>
      <w:tr>
        <w:trPr>
          <w:trHeight w:val="31"/>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140.1</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134.7</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ectPr>
          <w:pgSz w:w="11900" w:h="16838" w:orient="portrait"/>
          <w:cols w:equalWidth="0" w:num="1">
            <w:col w:w="11240"/>
          </w:cols>
          <w:pgMar w:left="320" w:top="891" w:right="339" w:bottom="1440" w:gutter="0" w:footer="0" w:header="0"/>
        </w:sectPr>
      </w:pPr>
    </w:p>
    <w:p>
      <w:pPr>
        <w:ind w:left="20"/>
        <w:spacing w:after="0"/>
        <w:rPr>
          <w:sz w:val="20"/>
          <w:szCs w:val="20"/>
          <w:color w:val="auto"/>
        </w:rPr>
      </w:pPr>
      <w:r>
        <w:rPr>
          <w:rFonts w:ascii="Arial" w:cs="Arial" w:eastAsia="Arial" w:hAnsi="Arial"/>
          <w:sz w:val="17"/>
          <w:szCs w:val="17"/>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Commitments and contingencies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Preferred stock, $0.01 par value, 25,000,000 shares authorized, no shares issued or outstanding</w:t>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Common stock, $0.01 par value, 200,000,000 shares authorized, 87,170,197 shares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Additional paid-in capital</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Accumulated other comprehensive loss</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Treasury stock, at cost, 48,919,279 shares and 48,575,901 shares for 2020 and 2019, respectively</w:t>
      </w:r>
    </w:p>
    <w:p>
      <w:pPr>
        <w:spacing w:after="0" w:line="20" w:lineRule="exact"/>
        <w:rPr>
          <w:sz w:val="20"/>
          <w:szCs w:val="20"/>
          <w:color w:val="auto"/>
        </w:rPr>
      </w:pPr>
      <w:r>
        <w:rPr>
          <w:sz w:val="20"/>
          <w:szCs w:val="20"/>
          <w:color w:val="auto"/>
        </w:rPr>
        <w:br w:type="column"/>
      </w:r>
    </w:p>
    <w:p>
      <w:pPr>
        <w:ind w:left="60"/>
        <w:spacing w:after="0"/>
        <w:tabs>
          <w:tab w:leader="none" w:pos="2060" w:val="left"/>
        </w:tabs>
        <w:rPr>
          <w:sz w:val="20"/>
          <w:szCs w:val="20"/>
          <w:color w:val="auto"/>
        </w:rPr>
      </w:pPr>
      <w:r>
        <w:rPr>
          <w:rFonts w:ascii="Arial" w:cs="Arial" w:eastAsia="Arial" w:hAnsi="Arial"/>
          <w:sz w:val="17"/>
          <w:szCs w:val="17"/>
          <w:b w:val="1"/>
          <w:bCs w:val="1"/>
          <w:color w:val="auto"/>
        </w:rPr>
        <w:t>2,353.2</w:t>
      </w:r>
      <w:r>
        <w:rPr>
          <w:sz w:val="20"/>
          <w:szCs w:val="20"/>
          <w:color w:val="auto"/>
        </w:rPr>
        <w:tab/>
      </w:r>
      <w:r>
        <w:rPr>
          <w:rFonts w:ascii="Arial" w:cs="Arial" w:eastAsia="Arial" w:hAnsi="Arial"/>
          <w:sz w:val="14"/>
          <w:szCs w:val="14"/>
          <w:b w:val="1"/>
          <w:bCs w:val="1"/>
          <w:color w:val="auto"/>
        </w:rPr>
        <w:t>2,205.1</w:t>
      </w:r>
    </w:p>
    <w:p>
      <w:pPr>
        <w:spacing w:after="0" w:line="200" w:lineRule="exact"/>
        <w:rPr>
          <w:sz w:val="20"/>
          <w:szCs w:val="20"/>
          <w:color w:val="auto"/>
        </w:rPr>
      </w:pPr>
    </w:p>
    <w:p>
      <w:pPr>
        <w:spacing w:after="0" w:line="378" w:lineRule="exact"/>
        <w:rPr>
          <w:sz w:val="20"/>
          <w:szCs w:val="20"/>
          <w:color w:val="auto"/>
        </w:rPr>
      </w:pPr>
    </w:p>
    <w:p>
      <w:pPr>
        <w:ind w:left="400"/>
        <w:spacing w:after="0"/>
        <w:tabs>
          <w:tab w:leader="none" w:pos="24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61" w:lineRule="exact"/>
        <w:rPr>
          <w:sz w:val="20"/>
          <w:szCs w:val="20"/>
          <w:color w:val="auto"/>
        </w:rPr>
      </w:pPr>
    </w:p>
    <w:p>
      <w:pPr>
        <w:ind w:left="360"/>
        <w:spacing w:after="0"/>
        <w:tabs>
          <w:tab w:leader="none" w:pos="2360" w:val="left"/>
        </w:tabs>
        <w:rPr>
          <w:sz w:val="20"/>
          <w:szCs w:val="20"/>
          <w:color w:val="auto"/>
        </w:rPr>
      </w:pPr>
      <w:r>
        <w:rPr>
          <w:rFonts w:ascii="Arial" w:cs="Arial" w:eastAsia="Arial" w:hAnsi="Arial"/>
          <w:sz w:val="17"/>
          <w:szCs w:val="17"/>
          <w:color w:val="auto"/>
        </w:rPr>
        <w:t>0.9</w:t>
      </w:r>
      <w:r>
        <w:rPr>
          <w:sz w:val="20"/>
          <w:szCs w:val="20"/>
          <w:color w:val="auto"/>
        </w:rPr>
        <w:tab/>
      </w:r>
      <w:r>
        <w:rPr>
          <w:rFonts w:ascii="Arial" w:cs="Arial" w:eastAsia="Arial" w:hAnsi="Arial"/>
          <w:sz w:val="14"/>
          <w:szCs w:val="14"/>
          <w:color w:val="auto"/>
        </w:rPr>
        <w:t>0.9</w:t>
      </w:r>
    </w:p>
    <w:p>
      <w:pPr>
        <w:spacing w:after="0" w:line="61" w:lineRule="exact"/>
        <w:rPr>
          <w:sz w:val="20"/>
          <w:szCs w:val="20"/>
          <w:color w:val="auto"/>
        </w:rPr>
      </w:pPr>
    </w:p>
    <w:p>
      <w:pPr>
        <w:ind w:left="60"/>
        <w:spacing w:after="0"/>
        <w:tabs>
          <w:tab w:leader="none" w:pos="2060" w:val="left"/>
        </w:tabs>
        <w:rPr>
          <w:sz w:val="20"/>
          <w:szCs w:val="20"/>
          <w:color w:val="auto"/>
        </w:rPr>
      </w:pPr>
      <w:r>
        <w:rPr>
          <w:rFonts w:ascii="Arial" w:cs="Arial" w:eastAsia="Arial" w:hAnsi="Arial"/>
          <w:sz w:val="17"/>
          <w:szCs w:val="17"/>
          <w:color w:val="auto"/>
        </w:rPr>
        <w:t>1,102.4</w:t>
      </w:r>
      <w:r>
        <w:rPr>
          <w:sz w:val="20"/>
          <w:szCs w:val="20"/>
          <w:color w:val="auto"/>
        </w:rPr>
        <w:tab/>
      </w:r>
      <w:r>
        <w:rPr>
          <w:rFonts w:ascii="Arial" w:cs="Arial" w:eastAsia="Arial" w:hAnsi="Arial"/>
          <w:sz w:val="14"/>
          <w:szCs w:val="14"/>
          <w:color w:val="auto"/>
        </w:rPr>
        <w:t>1,093.5</w:t>
      </w:r>
    </w:p>
    <w:p>
      <w:pPr>
        <w:spacing w:after="0" w:line="61" w:lineRule="exact"/>
        <w:rPr>
          <w:sz w:val="20"/>
          <w:szCs w:val="20"/>
          <w:color w:val="auto"/>
        </w:rPr>
      </w:pPr>
    </w:p>
    <w:p>
      <w:pPr>
        <w:ind w:left="60"/>
        <w:spacing w:after="0"/>
        <w:tabs>
          <w:tab w:leader="none" w:pos="2060" w:val="left"/>
        </w:tabs>
        <w:rPr>
          <w:sz w:val="20"/>
          <w:szCs w:val="20"/>
          <w:color w:val="auto"/>
        </w:rPr>
      </w:pPr>
      <w:r>
        <w:rPr>
          <w:rFonts w:ascii="Arial" w:cs="Arial" w:eastAsia="Arial" w:hAnsi="Arial"/>
          <w:sz w:val="17"/>
          <w:szCs w:val="17"/>
          <w:color w:val="auto"/>
        </w:rPr>
        <w:t>2,201.5</w:t>
      </w:r>
      <w:r>
        <w:rPr>
          <w:sz w:val="20"/>
          <w:szCs w:val="20"/>
          <w:color w:val="auto"/>
        </w:rPr>
        <w:tab/>
      </w:r>
      <w:r>
        <w:rPr>
          <w:rFonts w:ascii="Arial" w:cs="Arial" w:eastAsia="Arial" w:hAnsi="Arial"/>
          <w:sz w:val="14"/>
          <w:szCs w:val="14"/>
          <w:color w:val="auto"/>
        </w:rPr>
        <w:t>2,148.7</w:t>
      </w:r>
    </w:p>
    <w:p>
      <w:pPr>
        <w:spacing w:after="0" w:line="61" w:lineRule="exact"/>
        <w:rPr>
          <w:sz w:val="20"/>
          <w:szCs w:val="20"/>
          <w:color w:val="auto"/>
        </w:rPr>
      </w:pPr>
    </w:p>
    <w:p>
      <w:pPr>
        <w:ind w:left="120"/>
        <w:spacing w:after="0"/>
        <w:tabs>
          <w:tab w:leader="none" w:pos="2120" w:val="left"/>
        </w:tabs>
        <w:rPr>
          <w:sz w:val="20"/>
          <w:szCs w:val="20"/>
          <w:color w:val="auto"/>
        </w:rPr>
      </w:pPr>
      <w:r>
        <w:rPr>
          <w:rFonts w:ascii="Arial" w:cs="Arial" w:eastAsia="Arial" w:hAnsi="Arial"/>
          <w:sz w:val="17"/>
          <w:szCs w:val="17"/>
          <w:color w:val="auto"/>
        </w:rPr>
        <w:t>(121.7)</w:t>
      </w:r>
      <w:r>
        <w:rPr>
          <w:sz w:val="20"/>
          <w:szCs w:val="20"/>
          <w:color w:val="auto"/>
        </w:rPr>
        <w:tab/>
      </w:r>
      <w:r>
        <w:rPr>
          <w:rFonts w:ascii="Arial" w:cs="Arial" w:eastAsia="Arial" w:hAnsi="Arial"/>
          <w:sz w:val="15"/>
          <w:szCs w:val="15"/>
          <w:color w:val="auto"/>
        </w:rPr>
        <w:t>(103.8)</w:t>
      </w:r>
    </w:p>
    <w:p>
      <w:pPr>
        <w:spacing w:after="0" w:line="61" w:lineRule="exact"/>
        <w:rPr>
          <w:sz w:val="20"/>
          <w:szCs w:val="20"/>
          <w:color w:val="auto"/>
        </w:rPr>
      </w:pPr>
    </w:p>
    <w:p>
      <w:pPr>
        <w:spacing w:after="0"/>
        <w:tabs>
          <w:tab w:leader="none" w:pos="1980" w:val="left"/>
        </w:tabs>
        <w:rPr>
          <w:sz w:val="20"/>
          <w:szCs w:val="20"/>
          <w:color w:val="auto"/>
        </w:rPr>
      </w:pPr>
      <w:r>
        <w:rPr>
          <w:rFonts w:ascii="Arial" w:cs="Arial" w:eastAsia="Arial" w:hAnsi="Arial"/>
          <w:sz w:val="17"/>
          <w:szCs w:val="17"/>
          <w:color w:val="auto"/>
        </w:rPr>
        <w:t>(3,412.0)</w:t>
      </w:r>
      <w:r>
        <w:rPr>
          <w:sz w:val="20"/>
          <w:szCs w:val="20"/>
          <w:color w:val="auto"/>
        </w:rPr>
        <w:tab/>
      </w:r>
      <w:r>
        <w:rPr>
          <w:rFonts w:ascii="Arial" w:cs="Arial" w:eastAsia="Arial" w:hAnsi="Arial"/>
          <w:sz w:val="15"/>
          <w:szCs w:val="15"/>
          <w:color w:val="auto"/>
        </w:rPr>
        <w:t>(3,309.5)</w:t>
      </w:r>
    </w:p>
    <w:p>
      <w:pPr>
        <w:spacing w:after="0" w:line="48" w:lineRule="exact"/>
        <w:rPr>
          <w:sz w:val="20"/>
          <w:szCs w:val="20"/>
          <w:color w:val="auto"/>
        </w:rPr>
      </w:pPr>
    </w:p>
    <w:p>
      <w:pPr>
        <w:sectPr>
          <w:pgSz w:w="11900" w:h="16838" w:orient="portrait"/>
          <w:cols w:equalWidth="0" w:num="2">
            <w:col w:w="7780" w:space="720"/>
            <w:col w:w="2740"/>
          </w:cols>
          <w:pgMar w:left="320" w:top="891" w:right="339" w:bottom="1440" w:gutter="0" w:footer="0" w:header="0"/>
          <w:type w:val="continuous"/>
        </w:sectPr>
      </w:pPr>
    </w:p>
    <w:tbl>
      <w:tblPr>
        <w:tblLayout w:type="fixed"/>
        <w:tblInd w:w="0" w:type="dxa"/>
        <w:tblCellMar>
          <w:top w:w="0" w:type="dxa"/>
          <w:left w:w="0" w:type="dxa"/>
          <w:bottom w:w="0" w:type="dxa"/>
          <w:right w:w="0" w:type="dxa"/>
        </w:tblCellMar>
      </w:tblPr>
      <w:tr>
        <w:trPr>
          <w:trHeight w:val="254"/>
        </w:trPr>
        <w:tc>
          <w:tcPr>
            <w:tcW w:w="7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stockholders' deficit</w:t>
            </w:r>
          </w:p>
        </w:tc>
        <w:tc>
          <w:tcPr>
            <w:tcW w:w="560" w:type="dxa"/>
            <w:vAlign w:val="bottom"/>
            <w:tcBorders>
              <w:top w:val="single" w:sz="8" w:color="auto"/>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(228.9)</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(170.2)</w:t>
            </w:r>
          </w:p>
        </w:tc>
      </w:tr>
      <w:tr>
        <w:trPr>
          <w:trHeight w:val="248"/>
        </w:trPr>
        <w:tc>
          <w:tcPr>
            <w:tcW w:w="7560" w:type="dxa"/>
            <w:vAlign w:val="bottom"/>
          </w:tcPr>
          <w:p>
            <w:pPr>
              <w:ind w:left="20"/>
              <w:spacing w:after="0"/>
              <w:rPr>
                <w:sz w:val="20"/>
                <w:szCs w:val="20"/>
                <w:color w:val="auto"/>
              </w:rPr>
            </w:pPr>
            <w:r>
              <w:rPr>
                <w:rFonts w:ascii="Arial" w:cs="Arial" w:eastAsia="Arial" w:hAnsi="Arial"/>
                <w:sz w:val="17"/>
                <w:szCs w:val="17"/>
                <w:b w:val="1"/>
                <w:bCs w:val="1"/>
                <w:color w:val="auto"/>
              </w:rPr>
              <w:t>Total liabilities and stockholders' deficit</w:t>
            </w:r>
          </w:p>
        </w:tc>
        <w:tc>
          <w:tcPr>
            <w:tcW w:w="5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2,124.3</w:t>
            </w:r>
          </w:p>
        </w:tc>
        <w:tc>
          <w:tcPr>
            <w:tcW w:w="18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2,034.9</w:t>
            </w:r>
          </w:p>
        </w:tc>
      </w:tr>
      <w:tr>
        <w:trPr>
          <w:trHeight w:val="22"/>
        </w:trPr>
        <w:tc>
          <w:tcPr>
            <w:tcW w:w="7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891"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60" w:type="dxa"/>
            <w:vAlign w:val="bottom"/>
            <w:gridSpan w:val="6"/>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June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3"/>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(Amounts in millions, except per share data)</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6"/>
                <w:szCs w:val="16"/>
                <w:b w:val="1"/>
                <w:bCs w:val="1"/>
                <w:color w:val="auto"/>
                <w:w w:val="98"/>
              </w:rPr>
              <w:t>30,</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217"/>
        </w:trPr>
        <w:tc>
          <w:tcPr>
            <w:tcW w:w="5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2019</w:t>
            </w:r>
          </w:p>
        </w:tc>
      </w:tr>
      <w:tr>
        <w:trPr>
          <w:trHeight w:val="33"/>
        </w:trPr>
        <w:tc>
          <w:tcPr>
            <w:tcW w:w="5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941.3</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1,099.1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1,665.1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1,889.4</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665.6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767.0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1,223.7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1,355.8</w:t>
            </w:r>
          </w:p>
        </w:tc>
      </w:tr>
      <w:tr>
        <w:trPr>
          <w:trHeight w:val="27"/>
        </w:trPr>
        <w:tc>
          <w:tcPr>
            <w:tcW w:w="5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533.6</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298.2</w:t>
            </w:r>
          </w:p>
        </w:tc>
      </w:tr>
      <w:tr>
        <w:trPr>
          <w:trHeight w:val="243"/>
        </w:trPr>
        <w:tc>
          <w:tcPr>
            <w:tcW w:w="5860" w:type="dxa"/>
            <w:vAlign w:val="bottom"/>
          </w:tcPr>
          <w:p>
            <w:pPr>
              <w:ind w:left="120"/>
              <w:spacing w:after="0"/>
              <w:rPr>
                <w:sz w:val="20"/>
                <w:szCs w:val="20"/>
                <w:color w:val="auto"/>
              </w:rPr>
            </w:pPr>
            <w:r>
              <w:rPr>
                <w:rFonts w:ascii="Arial" w:cs="Arial" w:eastAsia="Arial" w:hAnsi="Arial"/>
                <w:sz w:val="18"/>
                <w:szCs w:val="18"/>
                <w:color w:val="auto"/>
              </w:rPr>
              <w:t>Losses (gains) and other expenses, net</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3.2</w:t>
            </w: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Restructuring charges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r>
      <w:tr>
        <w:trPr>
          <w:trHeight w:val="243"/>
        </w:trPr>
        <w:tc>
          <w:tcPr>
            <w:tcW w:w="5860" w:type="dxa"/>
            <w:vAlign w:val="bottom"/>
          </w:tcPr>
          <w:p>
            <w:pPr>
              <w:ind w:left="120"/>
              <w:spacing w:after="0"/>
              <w:rPr>
                <w:sz w:val="20"/>
                <w:szCs w:val="20"/>
                <w:color w:val="auto"/>
              </w:rPr>
            </w:pPr>
            <w:r>
              <w:rPr>
                <w:rFonts w:ascii="Arial" w:cs="Arial" w:eastAsia="Arial" w:hAnsi="Arial"/>
                <w:sz w:val="18"/>
                <w:szCs w:val="18"/>
                <w:color w:val="auto"/>
              </w:rPr>
              <w:t>Loss on sale of business</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8.8</w:t>
            </w: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Insurance proceeds for lost profits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r>
      <w:tr>
        <w:trPr>
          <w:trHeight w:val="243"/>
        </w:trPr>
        <w:tc>
          <w:tcPr>
            <w:tcW w:w="5860" w:type="dxa"/>
            <w:vAlign w:val="bottom"/>
          </w:tcPr>
          <w:p>
            <w:pPr>
              <w:ind w:left="120"/>
              <w:spacing w:after="0"/>
              <w:rPr>
                <w:sz w:val="20"/>
                <w:szCs w:val="20"/>
                <w:color w:val="auto"/>
              </w:rPr>
            </w:pPr>
            <w:r>
              <w:rPr>
                <w:rFonts w:ascii="Arial" w:cs="Arial" w:eastAsia="Arial" w:hAnsi="Arial"/>
                <w:sz w:val="18"/>
                <w:szCs w:val="18"/>
                <w:color w:val="auto"/>
              </w:rPr>
              <w:t>Loss (gain) from natural disaster, net of insurance recoveries</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from equity method investments</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136.0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213.8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172.3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308.5</w:t>
            </w: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settlement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60.6</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23.9</w:t>
            </w: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r>
      <w:tr>
        <w:trPr>
          <w:trHeight w:val="236"/>
        </w:trPr>
        <w:tc>
          <w:tcPr>
            <w:tcW w:w="5860" w:type="dxa"/>
            <w:vAlign w:val="bottom"/>
          </w:tcPr>
          <w:p>
            <w:pPr>
              <w:ind w:left="460"/>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139.8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222.8</w:t>
            </w: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42.4</w:t>
            </w: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111.0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113.1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180.4</w:t>
            </w: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Discontinued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120"/>
              <w:spacing w:after="0"/>
              <w:rPr>
                <w:sz w:val="20"/>
                <w:szCs w:val="20"/>
                <w:color w:val="auto"/>
              </w:rPr>
            </w:pPr>
            <w:r>
              <w:rPr>
                <w:rFonts w:ascii="Arial" w:cs="Arial" w:eastAsia="Arial" w:hAnsi="Arial"/>
                <w:sz w:val="18"/>
                <w:szCs w:val="18"/>
                <w:color w:val="auto"/>
              </w:rPr>
              <w:t>Loss from discontinued operations before income taxes</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5860" w:type="dxa"/>
            <w:vAlign w:val="bottom"/>
          </w:tcPr>
          <w:p>
            <w:pPr>
              <w:ind w:left="12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5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4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110.7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112.9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180.0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Earnings per share – Basic:</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12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4.58</w:t>
            </w: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64"/>
        </w:trPr>
        <w:tc>
          <w:tcPr>
            <w:tcW w:w="58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4.57</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43"/>
        </w:trPr>
        <w:tc>
          <w:tcPr>
            <w:tcW w:w="5860" w:type="dxa"/>
            <w:vAlign w:val="bottom"/>
          </w:tcPr>
          <w:p>
            <w:pPr>
              <w:ind w:left="12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2.62</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4.53</w:t>
            </w: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64"/>
        </w:trPr>
        <w:tc>
          <w:tcPr>
            <w:tcW w:w="58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4.52</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5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Shares Outstanding - Basic</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39.1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38.3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39.4</w:t>
            </w: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Shares Outstanding - Diluted</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39.5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38.6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39.8</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 June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59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89"/>
              </w:rPr>
              <w:t>30,</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For the Six Months Ended June 30,</w:t>
            </w:r>
          </w:p>
        </w:tc>
      </w:tr>
      <w:tr>
        <w:trPr>
          <w:trHeight w:val="33"/>
        </w:trPr>
        <w:tc>
          <w:tcPr>
            <w:tcW w:w="5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r>
      <w:tr>
        <w:trPr>
          <w:trHeight w:val="33"/>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112.9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180.0</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comprehensive income (loss):</w:t>
            </w: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w:t>
            </w:r>
          </w:p>
        </w:tc>
      </w:tr>
      <w:tr>
        <w:trPr>
          <w:trHeight w:val="243"/>
        </w:trPr>
        <w:tc>
          <w:tcPr>
            <w:tcW w:w="5940" w:type="dxa"/>
            <w:vAlign w:val="bottom"/>
          </w:tcPr>
          <w:p>
            <w:pPr>
              <w:ind w:left="220"/>
              <w:spacing w:after="0"/>
              <w:rPr>
                <w:sz w:val="20"/>
                <w:szCs w:val="20"/>
                <w:color w:val="auto"/>
              </w:rPr>
            </w:pPr>
            <w:r>
              <w:rPr>
                <w:rFonts w:ascii="Arial" w:cs="Arial" w:eastAsia="Arial" w:hAnsi="Arial"/>
                <w:sz w:val="18"/>
                <w:szCs w:val="18"/>
                <w:color w:val="auto"/>
              </w:rPr>
              <w:t>Reclassification of foreign currency translation gains into earnings</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2.1</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change in pension and post-retirement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w:t>
            </w:r>
          </w:p>
        </w:tc>
      </w:tr>
      <w:tr>
        <w:trPr>
          <w:trHeight w:val="243"/>
        </w:trPr>
        <w:tc>
          <w:tcPr>
            <w:tcW w:w="5940" w:type="dxa"/>
            <w:vAlign w:val="bottom"/>
          </w:tcPr>
          <w:p>
            <w:pPr>
              <w:ind w:left="220"/>
              <w:spacing w:after="0"/>
              <w:rPr>
                <w:sz w:val="20"/>
                <w:szCs w:val="20"/>
                <w:color w:val="auto"/>
              </w:rPr>
            </w:pPr>
            <w:r>
              <w:rPr>
                <w:rFonts w:ascii="Arial" w:cs="Arial" w:eastAsia="Arial" w:hAnsi="Arial"/>
                <w:sz w:val="18"/>
                <w:szCs w:val="18"/>
                <w:color w:val="auto"/>
                <w:w w:val="95"/>
              </w:rPr>
              <w:t>Reclassification of pension and post-retirement benefit losses into earnings</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3.0</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Pension settlement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60.6</w:t>
            </w:r>
          </w:p>
        </w:tc>
      </w:tr>
      <w:tr>
        <w:trPr>
          <w:trHeight w:val="243"/>
        </w:trPr>
        <w:tc>
          <w:tcPr>
            <w:tcW w:w="5940" w:type="dxa"/>
            <w:vAlign w:val="bottom"/>
          </w:tcPr>
          <w:p>
            <w:pPr>
              <w:ind w:left="220"/>
              <w:spacing w:after="0"/>
              <w:rPr>
                <w:sz w:val="20"/>
                <w:szCs w:val="20"/>
                <w:color w:val="auto"/>
              </w:rPr>
            </w:pPr>
            <w:r>
              <w:rPr>
                <w:rFonts w:ascii="Arial" w:cs="Arial" w:eastAsia="Arial" w:hAnsi="Arial"/>
                <w:sz w:val="18"/>
                <w:szCs w:val="18"/>
                <w:color w:val="auto"/>
              </w:rPr>
              <w:t>Net change in fair value of cash flow hedges</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0.8</w:t>
            </w:r>
          </w:p>
        </w:tc>
      </w:tr>
      <w:tr>
        <w:trPr>
          <w:trHeight w:val="27"/>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Reclassification of cash flow hedge losses into earnings</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w:t>
            </w:r>
          </w:p>
        </w:tc>
      </w:tr>
      <w:tr>
        <w:trPr>
          <w:trHeight w:val="237"/>
        </w:trPr>
        <w:tc>
          <w:tcPr>
            <w:tcW w:w="5940" w:type="dxa"/>
            <w:vAlign w:val="bottom"/>
          </w:tcPr>
          <w:p>
            <w:pPr>
              <w:ind w:left="220"/>
              <w:spacing w:after="0"/>
              <w:rPr>
                <w:sz w:val="20"/>
                <w:szCs w:val="20"/>
                <w:color w:val="auto"/>
              </w:rPr>
            </w:pPr>
            <w:r>
              <w:rPr>
                <w:rFonts w:ascii="Arial" w:cs="Arial" w:eastAsia="Arial" w:hAnsi="Arial"/>
                <w:sz w:val="18"/>
                <w:szCs w:val="18"/>
                <w:color w:val="auto"/>
              </w:rPr>
              <w:t>Other comprehensive income (loss) before taxes</w:t>
            </w: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77.1</w:t>
            </w:r>
          </w:p>
        </w:tc>
      </w:tr>
      <w:tr>
        <w:trPr>
          <w:trHeight w:val="27"/>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benefit</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50.6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59.2</w:t>
            </w:r>
          </w:p>
        </w:tc>
      </w:tr>
      <w:tr>
        <w:trPr>
          <w:trHeight w:val="27"/>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111.4</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161.3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95.0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239.2</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STOCKHOLDERS' DEFICIT</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three and six months ended June 30, 2020 and 2019 (Unaudited)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jc w:val="center"/>
              <w:ind w:right="80"/>
              <w:spacing w:after="0"/>
              <w:rPr>
                <w:sz w:val="20"/>
                <w:szCs w:val="20"/>
                <w:color w:val="auto"/>
              </w:rPr>
            </w:pPr>
            <w:r>
              <w:rPr>
                <w:rFonts w:ascii="Arial" w:cs="Arial" w:eastAsia="Arial" w:hAnsi="Arial"/>
                <w:sz w:val="15"/>
                <w:szCs w:val="15"/>
                <w:b w:val="1"/>
                <w:bCs w:val="1"/>
                <w:color w:val="auto"/>
                <w:w w:val="93"/>
              </w:rPr>
              <w:t>Accumulated</w:t>
            </w:r>
          </w:p>
        </w:tc>
        <w:tc>
          <w:tcPr>
            <w:tcW w:w="1500" w:type="dxa"/>
            <w:vAlign w:val="bottom"/>
            <w:gridSpan w:val="8"/>
            <w:vMerge w:val="restart"/>
          </w:tcPr>
          <w:p>
            <w:pPr>
              <w:jc w:val="center"/>
              <w:ind w:right="100"/>
              <w:spacing w:after="0"/>
              <w:rPr>
                <w:sz w:val="20"/>
                <w:szCs w:val="20"/>
                <w:color w:val="auto"/>
              </w:rPr>
            </w:pPr>
            <w:r>
              <w:rPr>
                <w:rFonts w:ascii="Arial" w:cs="Arial" w:eastAsia="Arial" w:hAnsi="Arial"/>
                <w:sz w:val="15"/>
                <w:szCs w:val="15"/>
                <w:b w:val="1"/>
                <w:bCs w:val="1"/>
                <w:color w:val="auto"/>
                <w:w w:val="92"/>
              </w:rPr>
              <w:t>Treasury Stock at</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3"/>
            <w:vMerge w:val="restart"/>
          </w:tcPr>
          <w:p>
            <w:pPr>
              <w:ind w:left="20"/>
              <w:spacing w:after="0" w:line="162" w:lineRule="exact"/>
              <w:rPr>
                <w:sz w:val="20"/>
                <w:szCs w:val="20"/>
                <w:color w:val="auto"/>
              </w:rPr>
            </w:pPr>
            <w:r>
              <w:rPr>
                <w:rFonts w:ascii="Arial" w:cs="Arial" w:eastAsia="Arial" w:hAnsi="Arial"/>
                <w:sz w:val="15"/>
                <w:szCs w:val="15"/>
                <w:b w:val="1"/>
                <w:bCs w:val="1"/>
                <w:color w:val="auto"/>
                <w:w w:val="95"/>
              </w:rPr>
              <w:t>Common</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restart"/>
          </w:tcPr>
          <w:p>
            <w:pPr>
              <w:jc w:val="center"/>
              <w:spacing w:after="0" w:line="162" w:lineRule="exact"/>
              <w:rPr>
                <w:sz w:val="20"/>
                <w:szCs w:val="20"/>
                <w:color w:val="auto"/>
              </w:rPr>
            </w:pPr>
            <w:r>
              <w:rPr>
                <w:rFonts w:ascii="Arial" w:cs="Arial" w:eastAsia="Arial" w:hAnsi="Arial"/>
                <w:sz w:val="15"/>
                <w:szCs w:val="15"/>
                <w:b w:val="1"/>
                <w:bCs w:val="1"/>
                <w:color w:val="auto"/>
                <w:w w:val="95"/>
              </w:rPr>
              <w:t>Additional</w:t>
            </w: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gridSpan w:val="3"/>
            <w:vMerge w:val="restart"/>
          </w:tcPr>
          <w:p>
            <w:pPr>
              <w:jc w:val="center"/>
              <w:ind w:right="280"/>
              <w:spacing w:after="0" w:line="162" w:lineRule="exact"/>
              <w:rPr>
                <w:sz w:val="20"/>
                <w:szCs w:val="20"/>
                <w:color w:val="auto"/>
              </w:rPr>
            </w:pPr>
            <w:r>
              <w:rPr>
                <w:rFonts w:ascii="Arial" w:cs="Arial" w:eastAsia="Arial" w:hAnsi="Arial"/>
                <w:sz w:val="15"/>
                <w:szCs w:val="15"/>
                <w:b w:val="1"/>
                <w:bCs w:val="1"/>
                <w:color w:val="auto"/>
                <w:w w:val="99"/>
              </w:rPr>
              <w:t>Other</w:t>
            </w:r>
          </w:p>
        </w:tc>
        <w:tc>
          <w:tcPr>
            <w:tcW w:w="1500" w:type="dxa"/>
            <w:vAlign w:val="bottom"/>
            <w:gridSpan w:val="8"/>
            <w:vMerge w:val="continue"/>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gridSpan w:val="2"/>
            <w:vMerge w:val="restart"/>
          </w:tcPr>
          <w:p>
            <w:pPr>
              <w:jc w:val="center"/>
              <w:ind w:right="180"/>
              <w:spacing w:after="0" w:line="162" w:lineRule="exact"/>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6"/>
            <w:vMerge w:val="restart"/>
          </w:tcPr>
          <w:p>
            <w:pPr>
              <w:jc w:val="center"/>
              <w:ind w:right="660"/>
              <w:spacing w:after="0"/>
              <w:rPr>
                <w:sz w:val="20"/>
                <w:szCs w:val="20"/>
                <w:color w:val="auto"/>
              </w:rPr>
            </w:pPr>
            <w:r>
              <w:rPr>
                <w:rFonts w:ascii="Arial" w:cs="Arial" w:eastAsia="Arial" w:hAnsi="Arial"/>
                <w:sz w:val="15"/>
                <w:szCs w:val="15"/>
                <w:b w:val="1"/>
                <w:bCs w:val="1"/>
                <w:color w:val="auto"/>
                <w:w w:val="89"/>
              </w:rPr>
              <w:t>Cost</w:t>
            </w:r>
          </w:p>
        </w:tc>
        <w:tc>
          <w:tcPr>
            <w:tcW w:w="1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vMerge w:val="restart"/>
          </w:tcPr>
          <w:p>
            <w:pPr>
              <w:jc w:val="center"/>
              <w:ind w:right="120"/>
              <w:spacing w:after="0" w:line="162" w:lineRule="exact"/>
              <w:rPr>
                <w:sz w:val="20"/>
                <w:szCs w:val="20"/>
                <w:color w:val="auto"/>
              </w:rPr>
            </w:pPr>
            <w:r>
              <w:rPr>
                <w:rFonts w:ascii="Arial" w:cs="Arial" w:eastAsia="Arial" w:hAnsi="Arial"/>
                <w:sz w:val="15"/>
                <w:szCs w:val="15"/>
                <w:b w:val="1"/>
                <w:bCs w:val="1"/>
                <w:color w:val="auto"/>
                <w:w w:val="88"/>
              </w:rPr>
              <w:t>Stock</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restart"/>
          </w:tcPr>
          <w:p>
            <w:pPr>
              <w:jc w:val="center"/>
              <w:ind w:right="20"/>
              <w:spacing w:after="0" w:line="162" w:lineRule="exact"/>
              <w:rPr>
                <w:sz w:val="20"/>
                <w:szCs w:val="20"/>
                <w:color w:val="auto"/>
              </w:rPr>
            </w:pPr>
            <w:r>
              <w:rPr>
                <w:rFonts w:ascii="Arial" w:cs="Arial" w:eastAsia="Arial" w:hAnsi="Arial"/>
                <w:sz w:val="15"/>
                <w:szCs w:val="15"/>
                <w:b w:val="1"/>
                <w:bCs w:val="1"/>
                <w:color w:val="auto"/>
                <w:w w:val="95"/>
              </w:rPr>
              <w:t>Paid-In</w:t>
            </w:r>
          </w:p>
        </w:tc>
        <w:tc>
          <w:tcPr>
            <w:tcW w:w="80" w:type="dxa"/>
            <w:vAlign w:val="bottom"/>
          </w:tcPr>
          <w:p>
            <w:pPr>
              <w:spacing w:after="0"/>
              <w:rPr>
                <w:sz w:val="8"/>
                <w:szCs w:val="8"/>
                <w:color w:val="auto"/>
              </w:rPr>
            </w:pPr>
          </w:p>
        </w:tc>
        <w:tc>
          <w:tcPr>
            <w:tcW w:w="700" w:type="dxa"/>
            <w:vAlign w:val="bottom"/>
            <w:gridSpan w:val="2"/>
            <w:vMerge w:val="restart"/>
          </w:tcPr>
          <w:p>
            <w:pPr>
              <w:jc w:val="center"/>
              <w:spacing w:after="0" w:line="162" w:lineRule="exact"/>
              <w:rPr>
                <w:sz w:val="20"/>
                <w:szCs w:val="20"/>
                <w:color w:val="auto"/>
              </w:rPr>
            </w:pPr>
            <w:r>
              <w:rPr>
                <w:rFonts w:ascii="Arial" w:cs="Arial" w:eastAsia="Arial" w:hAnsi="Arial"/>
                <w:sz w:val="15"/>
                <w:szCs w:val="15"/>
                <w:b w:val="1"/>
                <w:bCs w:val="1"/>
                <w:color w:val="auto"/>
                <w:w w:val="91"/>
              </w:rPr>
              <w:t>Retained</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4"/>
            <w:vMerge w:val="restart"/>
          </w:tcPr>
          <w:p>
            <w:pPr>
              <w:ind w:left="20"/>
              <w:spacing w:after="0" w:line="162" w:lineRule="exact"/>
              <w:rPr>
                <w:sz w:val="20"/>
                <w:szCs w:val="20"/>
                <w:color w:val="auto"/>
              </w:rPr>
            </w:pPr>
            <w:r>
              <w:rPr>
                <w:rFonts w:ascii="Arial" w:cs="Arial" w:eastAsia="Arial" w:hAnsi="Arial"/>
                <w:sz w:val="15"/>
                <w:szCs w:val="15"/>
                <w:b w:val="1"/>
                <w:bCs w:val="1"/>
                <w:color w:val="auto"/>
                <w:w w:val="95"/>
              </w:rPr>
              <w:t>Comprehensive</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6"/>
            <w:vMerge w:val="continue"/>
          </w:tcPr>
          <w:p>
            <w:pPr>
              <w:spacing w:after="0"/>
              <w:rPr>
                <w:sz w:val="8"/>
                <w:szCs w:val="8"/>
                <w:color w:val="auto"/>
              </w:rPr>
            </w:pPr>
          </w:p>
        </w:tc>
        <w:tc>
          <w:tcPr>
            <w:tcW w:w="920" w:type="dxa"/>
            <w:vAlign w:val="bottom"/>
            <w:gridSpan w:val="3"/>
            <w:vMerge w:val="restart"/>
          </w:tcPr>
          <w:p>
            <w:pPr>
              <w:spacing w:after="0" w:line="162" w:lineRule="exact"/>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48"/>
        </w:trPr>
        <w:tc>
          <w:tcPr>
            <w:tcW w:w="4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i w:val="1"/>
                <w:iCs w:val="1"/>
                <w:color w:val="auto"/>
              </w:rPr>
              <w:t>(For the three months ended June 30, 2020)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5"/>
                <w:szCs w:val="15"/>
                <w:b w:val="1"/>
                <w:bCs w:val="1"/>
                <w:color w:val="auto"/>
                <w:w w:val="88"/>
              </w:rPr>
              <w:t>Issued</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5"/>
                <w:szCs w:val="15"/>
                <w:b w:val="1"/>
                <w:bCs w:val="1"/>
                <w:color w:val="auto"/>
                <w:w w:val="95"/>
              </w:rPr>
              <w:t>Capital</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5"/>
                <w:szCs w:val="15"/>
                <w:b w:val="1"/>
                <w:bCs w:val="1"/>
                <w:color w:val="auto"/>
                <w:w w:val="93"/>
              </w:rPr>
              <w:t>Earnings</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5"/>
                <w:szCs w:val="15"/>
                <w:b w:val="1"/>
                <w:bCs w:val="1"/>
                <w:color w:val="auto"/>
                <w:w w:val="85"/>
              </w:rPr>
              <w:t>Loss</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1"/>
              </w:rPr>
              <w:t>Shares</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Amount</w:t>
            </w:r>
          </w:p>
        </w:tc>
        <w:tc>
          <w:tcPr>
            <w:tcW w:w="120" w:type="dxa"/>
            <w:vAlign w:val="bottom"/>
            <w:tcBorders>
              <w:bottom w:val="single" w:sz="8" w:color="CCEEFF"/>
            </w:tcBorders>
            <w:gridSpan w:val="3"/>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5"/>
                <w:szCs w:val="15"/>
                <w:b w:val="1"/>
                <w:bCs w:val="1"/>
                <w:color w:val="auto"/>
                <w:w w:val="91"/>
              </w:rPr>
              <w:t>Deficit</w:t>
            </w: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March 31, 2020</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$ 1,095.2</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99"/>
              </w:rPr>
              <w:t>$ 2,130.9</w:t>
            </w: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(133.1)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48.9</w:t>
            </w:r>
          </w:p>
        </w:tc>
        <w:tc>
          <w:tcPr>
            <w:tcW w:w="860" w:type="dxa"/>
            <w:vAlign w:val="bottom"/>
            <w:gridSpan w:val="4"/>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 (3,412.2)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(318.3)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20" w:type="dxa"/>
            <w:vAlign w:val="bottom"/>
          </w:tcPr>
          <w:p>
            <w:pPr>
              <w:ind w:left="20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4"/>
              <w:spacing w:after="0"/>
              <w:rPr>
                <w:sz w:val="20"/>
                <w:szCs w:val="20"/>
                <w:color w:val="auto"/>
              </w:rPr>
            </w:pPr>
            <w:r>
              <w:rPr>
                <w:rFonts w:ascii="Arial" w:cs="Arial" w:eastAsia="Arial" w:hAnsi="Arial"/>
                <w:sz w:val="15"/>
                <w:szCs w:val="15"/>
                <w:color w:val="auto"/>
              </w:rPr>
              <w:t>100.0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Dividends, $0.77 per share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20" w:type="dxa"/>
            <w:vAlign w:val="bottom"/>
          </w:tcPr>
          <w:p>
            <w:pPr>
              <w:ind w:left="200"/>
              <w:spacing w:after="0"/>
              <w:rPr>
                <w:sz w:val="20"/>
                <w:szCs w:val="20"/>
                <w:color w:val="auto"/>
              </w:rPr>
            </w:pPr>
            <w:r>
              <w:rPr>
                <w:rFonts w:ascii="Arial" w:cs="Arial" w:eastAsia="Arial" w:hAnsi="Arial"/>
                <w:sz w:val="15"/>
                <w:szCs w:val="15"/>
                <w:color w:val="auto"/>
              </w:rPr>
              <w:t>Foreign currency translation adjustments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12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w w:val="92"/>
              </w:rPr>
              <w:t>Pension and post-retirement liability changes, net of tax benefit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(0.1)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gridSpan w:val="4"/>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(0.1)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of $0.1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4"/>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20" w:type="dxa"/>
            <w:vAlign w:val="bottom"/>
          </w:tcPr>
          <w:p>
            <w:pPr>
              <w:ind w:left="200"/>
              <w:spacing w:after="0"/>
              <w:rPr>
                <w:sz w:val="20"/>
                <w:szCs w:val="20"/>
                <w:color w:val="auto"/>
              </w:rPr>
            </w:pPr>
            <w:r>
              <w:rPr>
                <w:rFonts w:ascii="Arial" w:cs="Arial" w:eastAsia="Arial" w:hAnsi="Arial"/>
                <w:sz w:val="15"/>
                <w:szCs w:val="15"/>
                <w:color w:val="auto"/>
              </w:rPr>
              <w:t>Stock-based compensation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 in cash flow hedges, net of tax expense of $3.1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20" w:type="dxa"/>
            <w:vAlign w:val="bottom"/>
          </w:tcPr>
          <w:p>
            <w:pPr>
              <w:ind w:left="200"/>
              <w:spacing w:after="0"/>
              <w:rPr>
                <w:sz w:val="20"/>
                <w:szCs w:val="20"/>
                <w:color w:val="auto"/>
              </w:rPr>
            </w:pPr>
            <w:r>
              <w:rPr>
                <w:rFonts w:ascii="Arial" w:cs="Arial" w:eastAsia="Arial" w:hAnsi="Arial"/>
                <w:sz w:val="15"/>
                <w:szCs w:val="15"/>
                <w:color w:val="auto"/>
              </w:rPr>
              <w:t>Treasury shares reissued for common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860" w:type="dxa"/>
            <w:vAlign w:val="bottom"/>
            <w:gridSpan w:val="4"/>
          </w:tcPr>
          <w:p>
            <w:pPr>
              <w:jc w:val="right"/>
              <w:ind w:right="64"/>
              <w:spacing w:after="0"/>
              <w:rPr>
                <w:sz w:val="20"/>
                <w:szCs w:val="20"/>
                <w:color w:val="auto"/>
              </w:rPr>
            </w:pPr>
            <w:r>
              <w:rPr>
                <w:rFonts w:ascii="Arial" w:cs="Arial" w:eastAsia="Arial" w:hAnsi="Arial"/>
                <w:sz w:val="15"/>
                <w:szCs w:val="15"/>
                <w:color w:val="auto"/>
              </w:rPr>
              <w:t>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Treasury stock purchases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80" w:type="dxa"/>
            <w:vAlign w:val="bottom"/>
            <w:gridSpan w:val="2"/>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5"/>
                <w:szCs w:val="15"/>
                <w:color w:val="auto"/>
              </w:rPr>
              <w:t>(0.1)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(0.1)</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5"/>
                <w:szCs w:val="15"/>
                <w:b w:val="1"/>
                <w:bCs w:val="1"/>
                <w:color w:val="auto"/>
              </w:rPr>
              <w:t>Balance as of June 30, 2020</w:t>
            </w:r>
          </w:p>
        </w:tc>
        <w:tc>
          <w:tcPr>
            <w:tcW w:w="10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0.9</w:t>
            </w:r>
          </w:p>
        </w:tc>
        <w:tc>
          <w:tcPr>
            <w:tcW w:w="100" w:type="dxa"/>
            <w:vAlign w:val="bottom"/>
            <w:tcBorders>
              <w:bottom w:val="single" w:sz="8" w:color="auto"/>
            </w:tcBorders>
          </w:tcPr>
          <w:p>
            <w:pPr>
              <w:spacing w:after="0"/>
              <w:rPr>
                <w:sz w:val="18"/>
                <w:szCs w:val="18"/>
                <w:color w:val="auto"/>
              </w:rPr>
            </w:pPr>
          </w:p>
        </w:tc>
        <w:tc>
          <w:tcPr>
            <w:tcW w:w="80" w:type="dxa"/>
            <w:vAlign w:val="bottom"/>
            <w:gridSpan w:val="2"/>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2"/>
              </w:rPr>
              <w:t>$ 1,102.4</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86"/>
              </w:rPr>
              <w:t>$ 2,201.5</w:t>
            </w:r>
          </w:p>
        </w:tc>
        <w:tc>
          <w:tcPr>
            <w:tcW w:w="60" w:type="dxa"/>
            <w:vAlign w:val="bottom"/>
            <w:tcBorders>
              <w:bottom w:val="single" w:sz="8" w:color="auto"/>
            </w:tcBorders>
          </w:tcPr>
          <w:p>
            <w:pPr>
              <w:spacing w:after="0"/>
              <w:rPr>
                <w:sz w:val="18"/>
                <w:szCs w:val="18"/>
                <w:color w:val="auto"/>
              </w:rPr>
            </w:pPr>
          </w:p>
        </w:tc>
        <w:tc>
          <w:tcPr>
            <w:tcW w:w="80" w:type="dxa"/>
            <w:vAlign w:val="bottom"/>
            <w:gridSpan w:val="2"/>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(121.7)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48.9</w:t>
            </w:r>
          </w:p>
        </w:tc>
        <w:tc>
          <w:tcPr>
            <w:tcW w:w="80" w:type="dxa"/>
            <w:vAlign w:val="bottom"/>
            <w:gridSpan w:val="2"/>
          </w:tcPr>
          <w:p>
            <w:pPr>
              <w:spacing w:after="0"/>
              <w:rPr>
                <w:sz w:val="18"/>
                <w:szCs w:val="18"/>
                <w:color w:val="auto"/>
              </w:rPr>
            </w:pPr>
          </w:p>
        </w:tc>
        <w:tc>
          <w:tcPr>
            <w:tcW w:w="78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5"/>
                <w:szCs w:val="15"/>
                <w:b w:val="1"/>
                <w:bCs w:val="1"/>
                <w:color w:val="auto"/>
                <w:w w:val="90"/>
              </w:rPr>
              <w:t>$ (3,412.0)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(228.9)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7"/>
        </w:trPr>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jc w:val="center"/>
              <w:ind w:right="120"/>
              <w:spacing w:after="0"/>
              <w:rPr>
                <w:sz w:val="20"/>
                <w:szCs w:val="20"/>
                <w:color w:val="auto"/>
              </w:rPr>
            </w:pPr>
            <w:r>
              <w:rPr>
                <w:rFonts w:ascii="Arial" w:cs="Arial" w:eastAsia="Arial" w:hAnsi="Arial"/>
                <w:sz w:val="15"/>
                <w:szCs w:val="15"/>
                <w:b w:val="1"/>
                <w:bCs w:val="1"/>
                <w:color w:val="auto"/>
                <w:w w:val="93"/>
              </w:rPr>
              <w:t>Accumulated</w:t>
            </w:r>
          </w:p>
        </w:tc>
        <w:tc>
          <w:tcPr>
            <w:tcW w:w="1500" w:type="dxa"/>
            <w:vAlign w:val="bottom"/>
            <w:gridSpan w:val="8"/>
            <w:vMerge w:val="restart"/>
          </w:tcPr>
          <w:p>
            <w:pPr>
              <w:jc w:val="center"/>
              <w:ind w:right="100"/>
              <w:spacing w:after="0"/>
              <w:rPr>
                <w:sz w:val="20"/>
                <w:szCs w:val="20"/>
                <w:color w:val="auto"/>
              </w:rPr>
            </w:pPr>
            <w:r>
              <w:rPr>
                <w:rFonts w:ascii="Arial" w:cs="Arial" w:eastAsia="Arial" w:hAnsi="Arial"/>
                <w:sz w:val="15"/>
                <w:szCs w:val="15"/>
                <w:b w:val="1"/>
                <w:bCs w:val="1"/>
                <w:color w:val="auto"/>
                <w:w w:val="92"/>
              </w:rPr>
              <w:t>Treasury Stock at</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760" w:type="dxa"/>
            <w:vAlign w:val="bottom"/>
            <w:gridSpan w:val="4"/>
            <w:vMerge w:val="restart"/>
          </w:tcPr>
          <w:p>
            <w:pPr>
              <w:ind w:left="40"/>
              <w:spacing w:after="0" w:line="162" w:lineRule="exact"/>
              <w:rPr>
                <w:sz w:val="20"/>
                <w:szCs w:val="20"/>
                <w:color w:val="auto"/>
              </w:rPr>
            </w:pPr>
            <w:r>
              <w:rPr>
                <w:rFonts w:ascii="Arial" w:cs="Arial" w:eastAsia="Arial" w:hAnsi="Arial"/>
                <w:sz w:val="15"/>
                <w:szCs w:val="15"/>
                <w:b w:val="1"/>
                <w:bCs w:val="1"/>
                <w:color w:val="auto"/>
              </w:rPr>
              <w:t>Common</w:t>
            </w:r>
          </w:p>
        </w:tc>
        <w:tc>
          <w:tcPr>
            <w:tcW w:w="20" w:type="dxa"/>
            <w:vAlign w:val="bottom"/>
          </w:tcPr>
          <w:p>
            <w:pPr>
              <w:spacing w:after="0"/>
              <w:rPr>
                <w:sz w:val="4"/>
                <w:szCs w:val="4"/>
                <w:color w:val="auto"/>
              </w:rPr>
            </w:pPr>
          </w:p>
        </w:tc>
        <w:tc>
          <w:tcPr>
            <w:tcW w:w="800" w:type="dxa"/>
            <w:vAlign w:val="bottom"/>
            <w:gridSpan w:val="3"/>
            <w:vMerge w:val="restart"/>
          </w:tcPr>
          <w:p>
            <w:pPr>
              <w:jc w:val="center"/>
              <w:ind w:right="60"/>
              <w:spacing w:after="0" w:line="162" w:lineRule="exact"/>
              <w:rPr>
                <w:sz w:val="20"/>
                <w:szCs w:val="20"/>
                <w:color w:val="auto"/>
              </w:rPr>
            </w:pPr>
            <w:r>
              <w:rPr>
                <w:rFonts w:ascii="Arial" w:cs="Arial" w:eastAsia="Arial" w:hAnsi="Arial"/>
                <w:sz w:val="15"/>
                <w:szCs w:val="15"/>
                <w:b w:val="1"/>
                <w:bCs w:val="1"/>
                <w:color w:val="auto"/>
                <w:w w:val="95"/>
              </w:rPr>
              <w:t>Additional</w:t>
            </w: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gridSpan w:val="3"/>
            <w:vMerge w:val="restart"/>
          </w:tcPr>
          <w:p>
            <w:pPr>
              <w:jc w:val="center"/>
              <w:ind w:right="320"/>
              <w:spacing w:after="0" w:line="162" w:lineRule="exact"/>
              <w:rPr>
                <w:sz w:val="20"/>
                <w:szCs w:val="20"/>
                <w:color w:val="auto"/>
              </w:rPr>
            </w:pPr>
            <w:r>
              <w:rPr>
                <w:rFonts w:ascii="Arial" w:cs="Arial" w:eastAsia="Arial" w:hAnsi="Arial"/>
                <w:sz w:val="15"/>
                <w:szCs w:val="15"/>
                <w:b w:val="1"/>
                <w:bCs w:val="1"/>
                <w:color w:val="auto"/>
                <w:w w:val="99"/>
              </w:rPr>
              <w:t>Other</w:t>
            </w:r>
          </w:p>
        </w:tc>
        <w:tc>
          <w:tcPr>
            <w:tcW w:w="1500" w:type="dxa"/>
            <w:vAlign w:val="bottom"/>
            <w:gridSpan w:val="8"/>
            <w:vMerge w:val="continue"/>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gridSpan w:val="2"/>
            <w:vMerge w:val="restart"/>
          </w:tcPr>
          <w:p>
            <w:pPr>
              <w:jc w:val="center"/>
              <w:ind w:right="200"/>
              <w:spacing w:after="0" w:line="162" w:lineRule="exact"/>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6"/>
            <w:vMerge w:val="restart"/>
          </w:tcPr>
          <w:p>
            <w:pPr>
              <w:jc w:val="center"/>
              <w:ind w:right="620"/>
              <w:spacing w:after="0"/>
              <w:rPr>
                <w:sz w:val="20"/>
                <w:szCs w:val="20"/>
                <w:color w:val="auto"/>
              </w:rPr>
            </w:pPr>
            <w:r>
              <w:rPr>
                <w:rFonts w:ascii="Arial" w:cs="Arial" w:eastAsia="Arial" w:hAnsi="Arial"/>
                <w:sz w:val="15"/>
                <w:szCs w:val="15"/>
                <w:b w:val="1"/>
                <w:bCs w:val="1"/>
                <w:color w:val="auto"/>
                <w:w w:val="89"/>
              </w:rPr>
              <w:t>Cost</w:t>
            </w:r>
          </w:p>
        </w:tc>
        <w:tc>
          <w:tcPr>
            <w:tcW w:w="1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3"/>
            <w:vMerge w:val="restart"/>
          </w:tcPr>
          <w:p>
            <w:pPr>
              <w:ind w:left="60"/>
              <w:spacing w:after="0" w:line="162" w:lineRule="exact"/>
              <w:rPr>
                <w:sz w:val="20"/>
                <w:szCs w:val="20"/>
                <w:color w:val="auto"/>
              </w:rPr>
            </w:pPr>
            <w:r>
              <w:rPr>
                <w:rFonts w:ascii="Arial" w:cs="Arial" w:eastAsia="Arial" w:hAnsi="Arial"/>
                <w:sz w:val="15"/>
                <w:szCs w:val="15"/>
                <w:b w:val="1"/>
                <w:bCs w:val="1"/>
                <w:color w:val="auto"/>
              </w:rPr>
              <w:t>Stock</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restart"/>
          </w:tcPr>
          <w:p>
            <w:pPr>
              <w:jc w:val="center"/>
              <w:ind w:right="140"/>
              <w:spacing w:after="0" w:line="162" w:lineRule="exact"/>
              <w:rPr>
                <w:sz w:val="20"/>
                <w:szCs w:val="20"/>
                <w:color w:val="auto"/>
              </w:rPr>
            </w:pPr>
            <w:r>
              <w:rPr>
                <w:rFonts w:ascii="Arial" w:cs="Arial" w:eastAsia="Arial" w:hAnsi="Arial"/>
                <w:sz w:val="15"/>
                <w:szCs w:val="15"/>
                <w:b w:val="1"/>
                <w:bCs w:val="1"/>
                <w:color w:val="auto"/>
                <w:w w:val="95"/>
              </w:rPr>
              <w:t>Paid-In</w:t>
            </w:r>
          </w:p>
        </w:tc>
        <w:tc>
          <w:tcPr>
            <w:tcW w:w="780" w:type="dxa"/>
            <w:vAlign w:val="bottom"/>
            <w:gridSpan w:val="3"/>
            <w:vMerge w:val="restart"/>
          </w:tcPr>
          <w:p>
            <w:pPr>
              <w:ind w:left="80"/>
              <w:spacing w:after="0" w:line="162" w:lineRule="exact"/>
              <w:rPr>
                <w:sz w:val="20"/>
                <w:szCs w:val="20"/>
                <w:color w:val="auto"/>
              </w:rPr>
            </w:pPr>
            <w:r>
              <w:rPr>
                <w:rFonts w:ascii="Arial" w:cs="Arial" w:eastAsia="Arial" w:hAnsi="Arial"/>
                <w:sz w:val="15"/>
                <w:szCs w:val="15"/>
                <w:b w:val="1"/>
                <w:bCs w:val="1"/>
                <w:color w:val="auto"/>
              </w:rPr>
              <w:t>Retained</w:t>
            </w:r>
          </w:p>
        </w:tc>
        <w:tc>
          <w:tcPr>
            <w:tcW w:w="60" w:type="dxa"/>
            <w:vAlign w:val="bottom"/>
          </w:tcPr>
          <w:p>
            <w:pPr>
              <w:spacing w:after="0"/>
              <w:rPr>
                <w:sz w:val="8"/>
                <w:szCs w:val="8"/>
                <w:color w:val="auto"/>
              </w:rPr>
            </w:pPr>
          </w:p>
        </w:tc>
        <w:tc>
          <w:tcPr>
            <w:tcW w:w="1140" w:type="dxa"/>
            <w:vAlign w:val="bottom"/>
            <w:gridSpan w:val="5"/>
            <w:vMerge w:val="restart"/>
          </w:tcPr>
          <w:p>
            <w:pPr>
              <w:jc w:val="center"/>
              <w:ind w:right="80"/>
              <w:spacing w:after="0" w:line="162" w:lineRule="exact"/>
              <w:rPr>
                <w:sz w:val="20"/>
                <w:szCs w:val="20"/>
                <w:color w:val="auto"/>
              </w:rPr>
            </w:pPr>
            <w:r>
              <w:rPr>
                <w:rFonts w:ascii="Arial" w:cs="Arial" w:eastAsia="Arial" w:hAnsi="Arial"/>
                <w:sz w:val="15"/>
                <w:szCs w:val="15"/>
                <w:b w:val="1"/>
                <w:bCs w:val="1"/>
                <w:color w:val="auto"/>
                <w:w w:val="90"/>
              </w:rPr>
              <w:t>Comprehensive</w:t>
            </w: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6"/>
            <w:vMerge w:val="continue"/>
          </w:tcPr>
          <w:p>
            <w:pPr>
              <w:spacing w:after="0"/>
              <w:rPr>
                <w:sz w:val="8"/>
                <w:szCs w:val="8"/>
                <w:color w:val="auto"/>
              </w:rPr>
            </w:pPr>
          </w:p>
        </w:tc>
        <w:tc>
          <w:tcPr>
            <w:tcW w:w="920" w:type="dxa"/>
            <w:vAlign w:val="bottom"/>
            <w:gridSpan w:val="3"/>
            <w:vMerge w:val="restart"/>
          </w:tcPr>
          <w:p>
            <w:pPr>
              <w:spacing w:after="0" w:line="162" w:lineRule="exact"/>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48"/>
        </w:trPr>
        <w:tc>
          <w:tcPr>
            <w:tcW w:w="4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gridSpan w:val="5"/>
            <w:vMerge w:val="continue"/>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i w:val="1"/>
                <w:iCs w:val="1"/>
                <w:color w:val="auto"/>
              </w:rPr>
              <w:t>(For the three months ended June 30, 2019)</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Issued</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Capital</w:t>
            </w: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w w:val="99"/>
              </w:rPr>
              <w:t>Earnings</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85"/>
              </w:rPr>
              <w:t>Loss</w:t>
            </w:r>
          </w:p>
        </w:tc>
        <w:tc>
          <w:tcPr>
            <w:tcW w:w="100" w:type="dxa"/>
            <w:vAlign w:val="bottom"/>
            <w:tcBorders>
              <w:bottom w:val="single" w:sz="8" w:color="CCEEFF"/>
            </w:tcBorders>
            <w:gridSpan w:val="2"/>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Shares</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5"/>
              </w:rPr>
              <w:t>Deficit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March 31, 2019</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0.9</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2"/>
              </w:rPr>
              <w:t>$ 1,079.4</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89"/>
              </w:rPr>
              <w:t>$ 1,898.7</w:t>
            </w: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(180.2)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47.6</w:t>
            </w:r>
          </w:p>
        </w:tc>
        <w:tc>
          <w:tcPr>
            <w:tcW w:w="860" w:type="dxa"/>
            <w:vAlign w:val="bottom"/>
            <w:gridSpan w:val="4"/>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 (3,003.6)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(204.8)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2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64"/>
              <w:spacing w:after="0"/>
              <w:rPr>
                <w:sz w:val="20"/>
                <w:szCs w:val="20"/>
                <w:color w:val="auto"/>
              </w:rPr>
            </w:pPr>
            <w:r>
              <w:rPr>
                <w:rFonts w:ascii="Arial" w:cs="Arial" w:eastAsia="Arial" w:hAnsi="Arial"/>
                <w:sz w:val="15"/>
                <w:szCs w:val="15"/>
                <w:color w:val="auto"/>
              </w:rPr>
              <w:t>110.7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110.7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Dividends, $0.77 per share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center"/>
              <w:ind w:left="84"/>
              <w:spacing w:after="0"/>
              <w:rPr>
                <w:sz w:val="20"/>
                <w:szCs w:val="20"/>
                <w:color w:val="auto"/>
              </w:rPr>
            </w:pPr>
            <w:r>
              <w:rPr>
                <w:rFonts w:ascii="Arial" w:cs="Arial" w:eastAsia="Arial" w:hAnsi="Arial"/>
                <w:sz w:val="15"/>
                <w:szCs w:val="15"/>
                <w:color w:val="auto"/>
                <w:w w:val="91"/>
              </w:rPr>
              <w:t>(30.0)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20" w:type="dxa"/>
            <w:vAlign w:val="bottom"/>
          </w:tcPr>
          <w:p>
            <w:pPr>
              <w:ind w:left="220"/>
              <w:spacing w:after="0"/>
              <w:rPr>
                <w:sz w:val="20"/>
                <w:szCs w:val="20"/>
                <w:color w:val="auto"/>
              </w:rPr>
            </w:pPr>
            <w:r>
              <w:rPr>
                <w:rFonts w:ascii="Arial" w:cs="Arial" w:eastAsia="Arial" w:hAnsi="Arial"/>
                <w:sz w:val="15"/>
                <w:szCs w:val="15"/>
                <w:color w:val="auto"/>
              </w:rPr>
              <w:t>Foreign currency translation adjustments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12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rPr>
              <w:t>Pension and post-retirement liability changes, net of tax</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49.8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gridSpan w:val="4"/>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49.8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expense of $16.4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4"/>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20" w:type="dxa"/>
            <w:vAlign w:val="bottom"/>
          </w:tcPr>
          <w:p>
            <w:pPr>
              <w:ind w:left="220"/>
              <w:spacing w:after="0"/>
              <w:rPr>
                <w:sz w:val="20"/>
                <w:szCs w:val="20"/>
                <w:color w:val="auto"/>
              </w:rPr>
            </w:pPr>
            <w:r>
              <w:rPr>
                <w:rFonts w:ascii="Arial" w:cs="Arial" w:eastAsia="Arial" w:hAnsi="Arial"/>
                <w:sz w:val="15"/>
                <w:szCs w:val="15"/>
                <w:color w:val="auto"/>
              </w:rPr>
              <w:t>Stock-based compensation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gridSpan w:val="3"/>
          </w:tcPr>
          <w:p>
            <w:pPr>
              <w:jc w:val="right"/>
              <w:ind w:right="64"/>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 in cash flow hedges, net of tax benefit of $0.8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20" w:type="dxa"/>
            <w:vAlign w:val="bottom"/>
          </w:tcPr>
          <w:p>
            <w:pPr>
              <w:ind w:left="220"/>
              <w:spacing w:after="0"/>
              <w:rPr>
                <w:sz w:val="20"/>
                <w:szCs w:val="20"/>
                <w:color w:val="auto"/>
              </w:rPr>
            </w:pPr>
            <w:r>
              <w:rPr>
                <w:rFonts w:ascii="Arial" w:cs="Arial" w:eastAsia="Arial" w:hAnsi="Arial"/>
                <w:sz w:val="15"/>
                <w:szCs w:val="15"/>
                <w:color w:val="auto"/>
              </w:rPr>
              <w:t>Treasury shares reissued for common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40" w:type="dxa"/>
            <w:vAlign w:val="bottom"/>
            <w:gridSpan w:val="3"/>
          </w:tcPr>
          <w:p>
            <w:pPr>
              <w:jc w:val="right"/>
              <w:ind w:right="64"/>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5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gridSpan w:val="4"/>
          </w:tcPr>
          <w:p>
            <w:pPr>
              <w:jc w:val="right"/>
              <w:ind w:right="44"/>
              <w:spacing w:after="0"/>
              <w:rPr>
                <w:sz w:val="20"/>
                <w:szCs w:val="20"/>
                <w:color w:val="auto"/>
              </w:rPr>
            </w:pPr>
            <w:r>
              <w:rPr>
                <w:rFonts w:ascii="Arial" w:cs="Arial" w:eastAsia="Arial" w:hAnsi="Arial"/>
                <w:sz w:val="15"/>
                <w:szCs w:val="15"/>
                <w:color w:val="auto"/>
              </w:rPr>
              <w:t>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Treasury stock purchases</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0.5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(151.0)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5"/>
                <w:szCs w:val="15"/>
                <w:b w:val="1"/>
                <w:bCs w:val="1"/>
                <w:color w:val="auto"/>
              </w:rPr>
              <w:t>Balance as of June 30, 2019</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bottom w:val="single" w:sz="8" w:color="auto"/>
            </w:tcBorders>
            <w:gridSpan w:val="2"/>
          </w:tcPr>
          <w:p>
            <w:pPr>
              <w:jc w:val="right"/>
              <w:ind w:right="64"/>
              <w:spacing w:after="0"/>
              <w:rPr>
                <w:sz w:val="20"/>
                <w:szCs w:val="20"/>
                <w:color w:val="auto"/>
              </w:rPr>
            </w:pPr>
            <w:r>
              <w:rPr>
                <w:rFonts w:ascii="Arial" w:cs="Arial" w:eastAsia="Arial" w:hAnsi="Arial"/>
                <w:sz w:val="15"/>
                <w:szCs w:val="15"/>
                <w:b w:val="1"/>
                <w:bCs w:val="1"/>
                <w:color w:val="auto"/>
                <w:w w:val="89"/>
              </w:rPr>
              <w:t>$ 1,085.8</w:t>
            </w:r>
          </w:p>
        </w:tc>
        <w:tc>
          <w:tcPr>
            <w:tcW w:w="80" w:type="dxa"/>
            <w:vAlign w:val="bottom"/>
          </w:tcPr>
          <w:p>
            <w:pPr>
              <w:spacing w:after="0"/>
              <w:rPr>
                <w:sz w:val="18"/>
                <w:szCs w:val="18"/>
                <w:color w:val="auto"/>
              </w:rPr>
            </w:pPr>
          </w:p>
        </w:tc>
        <w:tc>
          <w:tcPr>
            <w:tcW w:w="720" w:type="dxa"/>
            <w:vAlign w:val="bottom"/>
            <w:tcBorders>
              <w:bottom w:val="single" w:sz="8" w:color="auto"/>
            </w:tcBorders>
            <w:gridSpan w:val="2"/>
          </w:tcPr>
          <w:p>
            <w:pPr>
              <w:jc w:val="right"/>
              <w:ind w:right="64"/>
              <w:spacing w:after="0"/>
              <w:rPr>
                <w:sz w:val="20"/>
                <w:szCs w:val="20"/>
                <w:color w:val="auto"/>
              </w:rPr>
            </w:pPr>
            <w:r>
              <w:rPr>
                <w:rFonts w:ascii="Arial" w:cs="Arial" w:eastAsia="Arial" w:hAnsi="Arial"/>
                <w:sz w:val="15"/>
                <w:szCs w:val="15"/>
                <w:b w:val="1"/>
                <w:bCs w:val="1"/>
                <w:color w:val="auto"/>
                <w:w w:val="89"/>
              </w:rPr>
              <w:t>$ 1,979.4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(129.6)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48.1</w:t>
            </w:r>
          </w:p>
        </w:tc>
        <w:tc>
          <w:tcPr>
            <w:tcW w:w="20" w:type="dxa"/>
            <w:vAlign w:val="bottom"/>
            <w:tcBorders>
              <w:bottom w:val="single" w:sz="8" w:color="auto"/>
            </w:tcBorders>
          </w:tcPr>
          <w:p>
            <w:pPr>
              <w:spacing w:after="0"/>
              <w:rPr>
                <w:sz w:val="18"/>
                <w:szCs w:val="18"/>
                <w:color w:val="auto"/>
              </w:rPr>
            </w:pPr>
          </w:p>
        </w:tc>
        <w:tc>
          <w:tcPr>
            <w:tcW w:w="80" w:type="dxa"/>
            <w:vAlign w:val="bottom"/>
            <w:gridSpan w:val="2"/>
          </w:tcPr>
          <w:p>
            <w:pPr>
              <w:spacing w:after="0"/>
              <w:rPr>
                <w:sz w:val="18"/>
                <w:szCs w:val="18"/>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90"/>
              </w:rPr>
              <w:t>$ (3,154.0)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900" w:top="895" w:right="8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STOCKHOLDERS' DEFICIT</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three and six months ended June 30, 2020 and 2019 (Unaudited)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4"/>
          </w:tcPr>
          <w:p>
            <w:pPr>
              <w:ind w:left="20"/>
              <w:spacing w:after="0"/>
              <w:rPr>
                <w:sz w:val="20"/>
                <w:szCs w:val="20"/>
                <w:color w:val="auto"/>
              </w:rPr>
            </w:pPr>
            <w:r>
              <w:rPr>
                <w:rFonts w:ascii="Arial" w:cs="Arial" w:eastAsia="Arial" w:hAnsi="Arial"/>
                <w:sz w:val="15"/>
                <w:szCs w:val="15"/>
                <w:b w:val="1"/>
                <w:bCs w:val="1"/>
                <w:color w:val="auto"/>
              </w:rPr>
              <w:t>Accumulated</w:t>
            </w:r>
          </w:p>
        </w:tc>
        <w:tc>
          <w:tcPr>
            <w:tcW w:w="60" w:type="dxa"/>
            <w:vAlign w:val="bottom"/>
          </w:tcPr>
          <w:p>
            <w:pPr>
              <w:spacing w:after="0"/>
              <w:rPr>
                <w:sz w:val="14"/>
                <w:szCs w:val="14"/>
                <w:color w:val="auto"/>
              </w:rPr>
            </w:pPr>
          </w:p>
        </w:tc>
        <w:tc>
          <w:tcPr>
            <w:tcW w:w="1380" w:type="dxa"/>
            <w:vAlign w:val="bottom"/>
            <w:gridSpan w:val="6"/>
            <w:vMerge w:val="restart"/>
          </w:tcPr>
          <w:p>
            <w:pPr>
              <w:jc w:val="center"/>
              <w:ind w:right="60"/>
              <w:spacing w:after="0"/>
              <w:rPr>
                <w:sz w:val="20"/>
                <w:szCs w:val="20"/>
                <w:color w:val="auto"/>
              </w:rPr>
            </w:pPr>
            <w:r>
              <w:rPr>
                <w:rFonts w:ascii="Arial" w:cs="Arial" w:eastAsia="Arial" w:hAnsi="Arial"/>
                <w:sz w:val="15"/>
                <w:szCs w:val="15"/>
                <w:b w:val="1"/>
                <w:bCs w:val="1"/>
                <w:color w:val="auto"/>
                <w:w w:val="92"/>
              </w:rPr>
              <w:t>Treasury Stock at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gridSpan w:val="3"/>
            <w:vMerge w:val="restart"/>
          </w:tcPr>
          <w:p>
            <w:pPr>
              <w:jc w:val="center"/>
              <w:ind w:right="20"/>
              <w:spacing w:after="0" w:line="162" w:lineRule="exact"/>
              <w:rPr>
                <w:sz w:val="20"/>
                <w:szCs w:val="20"/>
                <w:color w:val="auto"/>
              </w:rPr>
            </w:pPr>
            <w:r>
              <w:rPr>
                <w:rFonts w:ascii="Arial" w:cs="Arial" w:eastAsia="Arial" w:hAnsi="Arial"/>
                <w:sz w:val="15"/>
                <w:szCs w:val="15"/>
                <w:b w:val="1"/>
                <w:bCs w:val="1"/>
                <w:color w:val="auto"/>
                <w:w w:val="92"/>
              </w:rPr>
              <w:t>Common</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gridSpan w:val="4"/>
            <w:vMerge w:val="restart"/>
          </w:tcPr>
          <w:p>
            <w:pPr>
              <w:jc w:val="center"/>
              <w:ind w:right="100"/>
              <w:spacing w:after="0" w:line="162" w:lineRule="exact"/>
              <w:rPr>
                <w:sz w:val="20"/>
                <w:szCs w:val="20"/>
                <w:color w:val="auto"/>
              </w:rPr>
            </w:pPr>
            <w:r>
              <w:rPr>
                <w:rFonts w:ascii="Arial" w:cs="Arial" w:eastAsia="Arial" w:hAnsi="Arial"/>
                <w:sz w:val="15"/>
                <w:szCs w:val="15"/>
                <w:b w:val="1"/>
                <w:bCs w:val="1"/>
                <w:color w:val="auto"/>
                <w:w w:val="95"/>
              </w:rPr>
              <w:t>Additional</w:t>
            </w: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3"/>
            <w:vMerge w:val="restart"/>
          </w:tcPr>
          <w:p>
            <w:pPr>
              <w:ind w:left="80"/>
              <w:spacing w:after="0" w:line="162" w:lineRule="exact"/>
              <w:rPr>
                <w:sz w:val="20"/>
                <w:szCs w:val="20"/>
                <w:color w:val="auto"/>
              </w:rPr>
            </w:pPr>
            <w:r>
              <w:rPr>
                <w:rFonts w:ascii="Arial" w:cs="Arial" w:eastAsia="Arial" w:hAnsi="Arial"/>
                <w:sz w:val="15"/>
                <w:szCs w:val="15"/>
                <w:b w:val="1"/>
                <w:bCs w:val="1"/>
                <w:color w:val="auto"/>
              </w:rPr>
              <w:t>Other</w:t>
            </w:r>
          </w:p>
        </w:tc>
        <w:tc>
          <w:tcPr>
            <w:tcW w:w="60" w:type="dxa"/>
            <w:vAlign w:val="bottom"/>
          </w:tcPr>
          <w:p>
            <w:pPr>
              <w:spacing w:after="0"/>
              <w:rPr>
                <w:sz w:val="4"/>
                <w:szCs w:val="4"/>
                <w:color w:val="auto"/>
              </w:rPr>
            </w:pPr>
          </w:p>
        </w:tc>
        <w:tc>
          <w:tcPr>
            <w:tcW w:w="138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vMerge w:val="restart"/>
          </w:tcPr>
          <w:p>
            <w:pPr>
              <w:ind w:left="160"/>
              <w:spacing w:after="0" w:line="162"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gridSpan w:val="5"/>
            <w:vMerge w:val="restart"/>
          </w:tcPr>
          <w:p>
            <w:pPr>
              <w:jc w:val="center"/>
              <w:ind w:right="520"/>
              <w:spacing w:after="0"/>
              <w:rPr>
                <w:sz w:val="20"/>
                <w:szCs w:val="20"/>
                <w:color w:val="auto"/>
              </w:rPr>
            </w:pPr>
            <w:r>
              <w:rPr>
                <w:rFonts w:ascii="Arial" w:cs="Arial" w:eastAsia="Arial" w:hAnsi="Arial"/>
                <w:sz w:val="15"/>
                <w:szCs w:val="15"/>
                <w:b w:val="1"/>
                <w:bCs w:val="1"/>
                <w:color w:val="auto"/>
                <w:w w:val="83"/>
              </w:rPr>
              <w:t>Cost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vMerge w:val="restart"/>
          </w:tcPr>
          <w:p>
            <w:pPr>
              <w:jc w:val="center"/>
              <w:ind w:right="140"/>
              <w:spacing w:after="0" w:line="162" w:lineRule="exact"/>
              <w:rPr>
                <w:sz w:val="20"/>
                <w:szCs w:val="20"/>
                <w:color w:val="auto"/>
              </w:rPr>
            </w:pPr>
            <w:r>
              <w:rPr>
                <w:rFonts w:ascii="Arial" w:cs="Arial" w:eastAsia="Arial" w:hAnsi="Arial"/>
                <w:sz w:val="15"/>
                <w:szCs w:val="15"/>
                <w:b w:val="1"/>
                <w:bCs w:val="1"/>
                <w:color w:val="auto"/>
                <w:w w:val="88"/>
              </w:rPr>
              <w:t>Stock</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gridSpan w:val="4"/>
            <w:vMerge w:val="restart"/>
          </w:tcPr>
          <w:p>
            <w:pPr>
              <w:jc w:val="center"/>
              <w:ind w:right="120"/>
              <w:spacing w:after="0" w:line="162" w:lineRule="exact"/>
              <w:rPr>
                <w:sz w:val="20"/>
                <w:szCs w:val="20"/>
                <w:color w:val="auto"/>
              </w:rPr>
            </w:pPr>
            <w:r>
              <w:rPr>
                <w:rFonts w:ascii="Arial" w:cs="Arial" w:eastAsia="Arial" w:hAnsi="Arial"/>
                <w:sz w:val="15"/>
                <w:szCs w:val="15"/>
                <w:b w:val="1"/>
                <w:bCs w:val="1"/>
                <w:color w:val="auto"/>
                <w:w w:val="95"/>
              </w:rPr>
              <w:t>Paid-In</w:t>
            </w:r>
          </w:p>
        </w:tc>
        <w:tc>
          <w:tcPr>
            <w:tcW w:w="820" w:type="dxa"/>
            <w:vAlign w:val="bottom"/>
            <w:gridSpan w:val="4"/>
            <w:vMerge w:val="restart"/>
          </w:tcPr>
          <w:p>
            <w:pPr>
              <w:ind w:left="80"/>
              <w:spacing w:after="0" w:line="162" w:lineRule="exact"/>
              <w:rPr>
                <w:sz w:val="20"/>
                <w:szCs w:val="20"/>
                <w:color w:val="auto"/>
              </w:rPr>
            </w:pPr>
            <w:r>
              <w:rPr>
                <w:rFonts w:ascii="Arial" w:cs="Arial" w:eastAsia="Arial" w:hAnsi="Arial"/>
                <w:sz w:val="15"/>
                <w:szCs w:val="15"/>
                <w:b w:val="1"/>
                <w:bCs w:val="1"/>
                <w:color w:val="auto"/>
              </w:rPr>
              <w:t>Retained</w:t>
            </w:r>
          </w:p>
        </w:tc>
        <w:tc>
          <w:tcPr>
            <w:tcW w:w="1120" w:type="dxa"/>
            <w:vAlign w:val="bottom"/>
            <w:gridSpan w:val="5"/>
            <w:vMerge w:val="restart"/>
          </w:tcPr>
          <w:p>
            <w:pPr>
              <w:ind w:left="20"/>
              <w:spacing w:after="0" w:line="162" w:lineRule="exact"/>
              <w:rPr>
                <w:sz w:val="20"/>
                <w:szCs w:val="20"/>
                <w:color w:val="auto"/>
              </w:rPr>
            </w:pPr>
            <w:r>
              <w:rPr>
                <w:rFonts w:ascii="Arial" w:cs="Arial" w:eastAsia="Arial" w:hAnsi="Arial"/>
                <w:sz w:val="15"/>
                <w:szCs w:val="15"/>
                <w:b w:val="1"/>
                <w:bCs w:val="1"/>
                <w:color w:val="auto"/>
                <w:w w:val="95"/>
              </w:rPr>
              <w:t>Comprehensive</w:t>
            </w: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gridSpan w:val="3"/>
            <w:vMerge w:val="restart"/>
          </w:tcPr>
          <w:p>
            <w:pPr>
              <w:ind w:left="20"/>
              <w:spacing w:after="0" w:line="162" w:lineRule="exact"/>
              <w:rPr>
                <w:sz w:val="20"/>
                <w:szCs w:val="20"/>
                <w:color w:val="auto"/>
              </w:rPr>
            </w:pPr>
            <w:r>
              <w:rPr>
                <w:rFonts w:ascii="Arial" w:cs="Arial" w:eastAsia="Arial" w:hAnsi="Arial"/>
                <w:sz w:val="15"/>
                <w:szCs w:val="15"/>
                <w:b w:val="1"/>
                <w:bCs w:val="1"/>
                <w:color w:val="auto"/>
                <w:w w:val="89"/>
              </w:rPr>
              <w:t>Stockholders'</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1120" w:type="dxa"/>
            <w:vAlign w:val="bottom"/>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16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b w:val="1"/>
                <w:bCs w:val="1"/>
                <w:i w:val="1"/>
                <w:iCs w:val="1"/>
                <w:color w:val="auto"/>
              </w:rPr>
              <w:t>(For the six months ended June 30, 2020)</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5"/>
                <w:szCs w:val="15"/>
                <w:b w:val="1"/>
                <w:bCs w:val="1"/>
                <w:color w:val="auto"/>
                <w:w w:val="88"/>
              </w:rPr>
              <w:t>Issued</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5"/>
                <w:szCs w:val="15"/>
                <w:b w:val="1"/>
                <w:bCs w:val="1"/>
                <w:color w:val="auto"/>
                <w:w w:val="95"/>
              </w:rPr>
              <w:t>Capital</w:t>
            </w:r>
          </w:p>
        </w:tc>
        <w:tc>
          <w:tcPr>
            <w:tcW w:w="80" w:type="dxa"/>
            <w:vAlign w:val="bottom"/>
            <w:tcBorders>
              <w:bottom w:val="single" w:sz="8" w:color="CCEEFF"/>
            </w:tcBorders>
            <w:gridSpan w:val="2"/>
          </w:tcPr>
          <w:p>
            <w:pPr>
              <w:spacing w:after="0"/>
              <w:rPr>
                <w:sz w:val="17"/>
                <w:szCs w:val="17"/>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Earnings</w:t>
            </w:r>
          </w:p>
        </w:tc>
        <w:tc>
          <w:tcPr>
            <w:tcW w:w="80" w:type="dxa"/>
            <w:vAlign w:val="bottom"/>
            <w:tcBorders>
              <w:bottom w:val="single" w:sz="8" w:color="CCEEFF"/>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Loss</w:t>
            </w:r>
          </w:p>
        </w:tc>
        <w:tc>
          <w:tcPr>
            <w:tcW w:w="80" w:type="dxa"/>
            <w:vAlign w:val="bottom"/>
            <w:tcBorders>
              <w:bottom w:val="single" w:sz="8" w:color="CCEEFF"/>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Shares</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Amount</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Deficit</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Balance as of December 31, 2019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$ 1,093.5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2,148.7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(103.8)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48.6</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 (3,309.5)</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120" w:type="dxa"/>
            <w:vAlign w:val="bottom"/>
          </w:tcPr>
          <w:p>
            <w:pPr>
              <w:ind w:left="140"/>
              <w:spacing w:after="0"/>
              <w:rPr>
                <w:sz w:val="20"/>
                <w:szCs w:val="20"/>
                <w:color w:val="auto"/>
              </w:rPr>
            </w:pPr>
            <w:r>
              <w:rPr>
                <w:rFonts w:ascii="Arial" w:cs="Arial" w:eastAsia="Arial" w:hAnsi="Arial"/>
                <w:sz w:val="15"/>
                <w:szCs w:val="15"/>
                <w:color w:val="auto"/>
                <w:w w:val="94"/>
              </w:rPr>
              <w:t>Cumulative effect adjustment upon adoption of new accounting</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4120" w:type="dxa"/>
            <w:vAlign w:val="bottom"/>
          </w:tcPr>
          <w:p>
            <w:pPr>
              <w:ind w:left="140"/>
              <w:spacing w:after="0"/>
              <w:rPr>
                <w:sz w:val="20"/>
                <w:szCs w:val="20"/>
                <w:color w:val="auto"/>
              </w:rPr>
            </w:pPr>
            <w:r>
              <w:rPr>
                <w:rFonts w:ascii="Arial" w:cs="Arial" w:eastAsia="Arial" w:hAnsi="Arial"/>
                <w:sz w:val="15"/>
                <w:szCs w:val="15"/>
                <w:color w:val="auto"/>
              </w:rPr>
              <w:t>standard (ASU 2016-13)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(1.3)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112.9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112.9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5"/>
                <w:szCs w:val="15"/>
                <w:color w:val="auto"/>
              </w:rPr>
              <w:t>Dividends, $1.54 per share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(58.8)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Foreign currency translation adjustments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(17.8)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120" w:type="dxa"/>
            <w:vAlign w:val="bottom"/>
          </w:tcPr>
          <w:p>
            <w:pPr>
              <w:ind w:left="160"/>
              <w:spacing w:after="0" w:line="149" w:lineRule="exact"/>
              <w:rPr>
                <w:sz w:val="20"/>
                <w:szCs w:val="20"/>
                <w:color w:val="auto"/>
              </w:rPr>
            </w:pPr>
            <w:r>
              <w:rPr>
                <w:rFonts w:ascii="Arial" w:cs="Arial" w:eastAsia="Arial" w:hAnsi="Arial"/>
                <w:sz w:val="15"/>
                <w:szCs w:val="15"/>
                <w:color w:val="auto"/>
                <w:w w:val="91"/>
              </w:rPr>
              <w:t>Pension and post-retirement liability changes, net of tax expense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vMerge w:val="restart"/>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72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64"/>
              <w:spacing w:after="0"/>
              <w:rPr>
                <w:sz w:val="20"/>
                <w:szCs w:val="20"/>
                <w:color w:val="auto"/>
              </w:rPr>
            </w:pPr>
            <w:r>
              <w:rPr>
                <w:rFonts w:ascii="Arial" w:cs="Arial" w:eastAsia="Arial" w:hAnsi="Arial"/>
                <w:sz w:val="15"/>
                <w:szCs w:val="15"/>
                <w:color w:val="auto"/>
              </w:rPr>
              <w:t>0.5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4"/>
              <w:spacing w:after="0"/>
              <w:rPr>
                <w:sz w:val="20"/>
                <w:szCs w:val="20"/>
                <w:color w:val="auto"/>
              </w:rPr>
            </w:pPr>
            <w:r>
              <w:rPr>
                <w:rFonts w:ascii="Arial" w:cs="Arial" w:eastAsia="Arial" w:hAnsi="Arial"/>
                <w:sz w:val="15"/>
                <w:szCs w:val="15"/>
                <w:color w:val="auto"/>
              </w:rPr>
              <w:t>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4120" w:type="dxa"/>
            <w:vAlign w:val="bottom"/>
          </w:tcPr>
          <w:p>
            <w:pPr>
              <w:ind w:left="160"/>
              <w:spacing w:after="0"/>
              <w:rPr>
                <w:sz w:val="20"/>
                <w:szCs w:val="20"/>
                <w:color w:val="auto"/>
              </w:rPr>
            </w:pPr>
            <w:r>
              <w:rPr>
                <w:rFonts w:ascii="Arial" w:cs="Arial" w:eastAsia="Arial" w:hAnsi="Arial"/>
                <w:sz w:val="15"/>
                <w:szCs w:val="15"/>
                <w:color w:val="auto"/>
              </w:rPr>
              <w:t>of $0.1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Stock-based compensation expense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5"/>
                <w:szCs w:val="15"/>
                <w:color w:val="auto"/>
              </w:rPr>
              <w:t>Change in cash flow hedges, net of tax benefit of $0.8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(0.6)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Treasury shares reissued for common stock</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860" w:type="dxa"/>
            <w:vAlign w:val="bottom"/>
            <w:gridSpan w:val="4"/>
            <w:shd w:val="clear" w:color="auto" w:fill="CCEEFF"/>
          </w:tcPr>
          <w:p>
            <w:pPr>
              <w:jc w:val="right"/>
              <w:ind w:right="4"/>
              <w:spacing w:after="0"/>
              <w:rPr>
                <w:sz w:val="20"/>
                <w:szCs w:val="20"/>
                <w:color w:val="auto"/>
              </w:rPr>
            </w:pPr>
            <w:r>
              <w:rPr>
                <w:rFonts w:ascii="Arial" w:cs="Arial" w:eastAsia="Arial" w:hAnsi="Arial"/>
                <w:sz w:val="15"/>
                <w:szCs w:val="15"/>
                <w:color w:val="auto"/>
              </w:rPr>
              <w:t>3.1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Borders>
              <w:bottom w:val="single" w:sz="8" w:color="CCEEFF"/>
            </w:tcBorders>
          </w:tcPr>
          <w:p>
            <w:pPr>
              <w:spacing w:after="0"/>
              <w:rPr>
                <w:sz w:val="18"/>
                <w:szCs w:val="18"/>
                <w:color w:val="auto"/>
              </w:rPr>
            </w:pPr>
          </w:p>
        </w:tc>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Treasury stock purchases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gridSpan w:val="2"/>
          </w:tcPr>
          <w:p>
            <w:pPr>
              <w:spacing w:after="0"/>
              <w:rPr>
                <w:sz w:val="18"/>
                <w:szCs w:val="18"/>
                <w:color w:val="auto"/>
              </w:rPr>
            </w:pPr>
          </w:p>
        </w:tc>
        <w:tc>
          <w:tcPr>
            <w:tcW w:w="52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5"/>
                <w:szCs w:val="15"/>
                <w:color w:val="auto"/>
              </w:rPr>
              <w:t>0.4</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gridSpan w:val="2"/>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(105.6)</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(105.6)</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Balance as of June 30, 2020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92"/>
              </w:rPr>
              <w:t>$ 1,102.4</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2,201.5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(121.7)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48.9</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0"/>
              </w:rPr>
              <w:t>$ (3,412.0)</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(228.9)</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90"/>
        </w:trPr>
        <w:tc>
          <w:tcPr>
            <w:tcW w:w="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4"/>
          </w:tcPr>
          <w:p>
            <w:pPr>
              <w:jc w:val="center"/>
              <w:ind w:right="20"/>
              <w:spacing w:after="0"/>
              <w:rPr>
                <w:sz w:val="20"/>
                <w:szCs w:val="20"/>
                <w:color w:val="auto"/>
              </w:rPr>
            </w:pPr>
            <w:r>
              <w:rPr>
                <w:rFonts w:ascii="Arial" w:cs="Arial" w:eastAsia="Arial" w:hAnsi="Arial"/>
                <w:sz w:val="15"/>
                <w:szCs w:val="15"/>
                <w:b w:val="1"/>
                <w:bCs w:val="1"/>
                <w:color w:val="auto"/>
                <w:w w:val="93"/>
              </w:rPr>
              <w:t>Accumulated</w:t>
            </w:r>
          </w:p>
        </w:tc>
        <w:tc>
          <w:tcPr>
            <w:tcW w:w="60" w:type="dxa"/>
            <w:vAlign w:val="bottom"/>
          </w:tcPr>
          <w:p>
            <w:pPr>
              <w:spacing w:after="0"/>
              <w:rPr>
                <w:sz w:val="24"/>
                <w:szCs w:val="24"/>
                <w:color w:val="auto"/>
              </w:rPr>
            </w:pPr>
          </w:p>
        </w:tc>
        <w:tc>
          <w:tcPr>
            <w:tcW w:w="1380" w:type="dxa"/>
            <w:vAlign w:val="bottom"/>
            <w:gridSpan w:val="6"/>
            <w:vMerge w:val="restart"/>
          </w:tcPr>
          <w:p>
            <w:pPr>
              <w:jc w:val="center"/>
              <w:ind w:right="60"/>
              <w:spacing w:after="0"/>
              <w:rPr>
                <w:sz w:val="20"/>
                <w:szCs w:val="20"/>
                <w:color w:val="auto"/>
              </w:rPr>
            </w:pPr>
            <w:r>
              <w:rPr>
                <w:rFonts w:ascii="Arial" w:cs="Arial" w:eastAsia="Arial" w:hAnsi="Arial"/>
                <w:sz w:val="15"/>
                <w:szCs w:val="15"/>
                <w:b w:val="1"/>
                <w:bCs w:val="1"/>
                <w:color w:val="auto"/>
                <w:w w:val="92"/>
              </w:rPr>
              <w:t>Treasury Stock at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120" w:type="dxa"/>
            <w:vAlign w:val="bottom"/>
          </w:tcPr>
          <w:p>
            <w:pPr>
              <w:spacing w:after="0"/>
              <w:rPr>
                <w:sz w:val="4"/>
                <w:szCs w:val="4"/>
                <w:color w:val="auto"/>
              </w:rPr>
            </w:pPr>
          </w:p>
        </w:tc>
        <w:tc>
          <w:tcPr>
            <w:tcW w:w="900" w:type="dxa"/>
            <w:vAlign w:val="bottom"/>
            <w:gridSpan w:val="4"/>
            <w:vMerge w:val="restart"/>
          </w:tcPr>
          <w:p>
            <w:pPr>
              <w:jc w:val="center"/>
              <w:ind w:right="120"/>
              <w:spacing w:after="0" w:line="162" w:lineRule="exact"/>
              <w:rPr>
                <w:sz w:val="20"/>
                <w:szCs w:val="20"/>
                <w:color w:val="auto"/>
              </w:rPr>
            </w:pPr>
            <w:r>
              <w:rPr>
                <w:rFonts w:ascii="Arial" w:cs="Arial" w:eastAsia="Arial" w:hAnsi="Arial"/>
                <w:sz w:val="15"/>
                <w:szCs w:val="15"/>
                <w:b w:val="1"/>
                <w:bCs w:val="1"/>
                <w:color w:val="auto"/>
                <w:w w:val="95"/>
              </w:rPr>
              <w:t>Common</w:t>
            </w:r>
          </w:p>
        </w:tc>
        <w:tc>
          <w:tcPr>
            <w:tcW w:w="900" w:type="dxa"/>
            <w:vAlign w:val="bottom"/>
            <w:gridSpan w:val="6"/>
            <w:vMerge w:val="restart"/>
          </w:tcPr>
          <w:p>
            <w:pPr>
              <w:jc w:val="center"/>
              <w:ind w:right="100"/>
              <w:spacing w:after="0" w:line="162" w:lineRule="exact"/>
              <w:rPr>
                <w:sz w:val="20"/>
                <w:szCs w:val="20"/>
                <w:color w:val="auto"/>
              </w:rPr>
            </w:pPr>
            <w:r>
              <w:rPr>
                <w:rFonts w:ascii="Arial" w:cs="Arial" w:eastAsia="Arial" w:hAnsi="Arial"/>
                <w:sz w:val="15"/>
                <w:szCs w:val="15"/>
                <w:b w:val="1"/>
                <w:bCs w:val="1"/>
                <w:color w:val="auto"/>
                <w:w w:val="92"/>
              </w:rPr>
              <w:t>Additional</w:t>
            </w: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3"/>
            <w:vMerge w:val="restart"/>
          </w:tcPr>
          <w:p>
            <w:pPr>
              <w:jc w:val="center"/>
              <w:ind w:right="200"/>
              <w:spacing w:after="0" w:line="162" w:lineRule="exact"/>
              <w:rPr>
                <w:sz w:val="20"/>
                <w:szCs w:val="20"/>
                <w:color w:val="auto"/>
              </w:rPr>
            </w:pPr>
            <w:r>
              <w:rPr>
                <w:rFonts w:ascii="Arial" w:cs="Arial" w:eastAsia="Arial" w:hAnsi="Arial"/>
                <w:sz w:val="15"/>
                <w:szCs w:val="15"/>
                <w:b w:val="1"/>
                <w:bCs w:val="1"/>
                <w:color w:val="auto"/>
                <w:w w:val="99"/>
              </w:rPr>
              <w:t>Other</w:t>
            </w:r>
          </w:p>
        </w:tc>
        <w:tc>
          <w:tcPr>
            <w:tcW w:w="60" w:type="dxa"/>
            <w:vAlign w:val="bottom"/>
          </w:tcPr>
          <w:p>
            <w:pPr>
              <w:spacing w:after="0"/>
              <w:rPr>
                <w:sz w:val="4"/>
                <w:szCs w:val="4"/>
                <w:color w:val="auto"/>
              </w:rPr>
            </w:pPr>
          </w:p>
        </w:tc>
        <w:tc>
          <w:tcPr>
            <w:tcW w:w="138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vMerge w:val="restart"/>
          </w:tcPr>
          <w:p>
            <w:pPr>
              <w:ind w:left="100"/>
              <w:spacing w:after="0" w:line="162"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4120" w:type="dxa"/>
            <w:vAlign w:val="bottom"/>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900" w:type="dxa"/>
            <w:vAlign w:val="bottom"/>
            <w:gridSpan w:val="6"/>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gridSpan w:val="5"/>
            <w:vMerge w:val="restart"/>
          </w:tcPr>
          <w:p>
            <w:pPr>
              <w:jc w:val="center"/>
              <w:ind w:right="520"/>
              <w:spacing w:after="0"/>
              <w:rPr>
                <w:sz w:val="20"/>
                <w:szCs w:val="20"/>
                <w:color w:val="auto"/>
              </w:rPr>
            </w:pPr>
            <w:r>
              <w:rPr>
                <w:rFonts w:ascii="Arial" w:cs="Arial" w:eastAsia="Arial" w:hAnsi="Arial"/>
                <w:sz w:val="15"/>
                <w:szCs w:val="15"/>
                <w:b w:val="1"/>
                <w:bCs w:val="1"/>
                <w:color w:val="auto"/>
                <w:w w:val="83"/>
              </w:rPr>
              <w:t>Cost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3"/>
            <w:vMerge w:val="restart"/>
          </w:tcPr>
          <w:p>
            <w:pPr>
              <w:jc w:val="center"/>
              <w:ind w:right="280"/>
              <w:spacing w:after="0" w:line="162" w:lineRule="exact"/>
              <w:rPr>
                <w:sz w:val="20"/>
                <w:szCs w:val="20"/>
                <w:color w:val="auto"/>
              </w:rPr>
            </w:pPr>
            <w:r>
              <w:rPr>
                <w:rFonts w:ascii="Arial" w:cs="Arial" w:eastAsia="Arial" w:hAnsi="Arial"/>
                <w:sz w:val="15"/>
                <w:szCs w:val="15"/>
                <w:b w:val="1"/>
                <w:bCs w:val="1"/>
                <w:color w:val="auto"/>
                <w:w w:val="92"/>
              </w:rPr>
              <w:t>Stock</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gridSpan w:val="4"/>
            <w:vMerge w:val="restart"/>
          </w:tcPr>
          <w:p>
            <w:pPr>
              <w:jc w:val="center"/>
              <w:ind w:right="200"/>
              <w:spacing w:after="0" w:line="162" w:lineRule="exact"/>
              <w:rPr>
                <w:sz w:val="20"/>
                <w:szCs w:val="20"/>
                <w:color w:val="auto"/>
              </w:rPr>
            </w:pPr>
            <w:r>
              <w:rPr>
                <w:rFonts w:ascii="Arial" w:cs="Arial" w:eastAsia="Arial" w:hAnsi="Arial"/>
                <w:sz w:val="15"/>
                <w:szCs w:val="15"/>
                <w:b w:val="1"/>
                <w:bCs w:val="1"/>
                <w:color w:val="auto"/>
                <w:w w:val="95"/>
              </w:rPr>
              <w:t>Paid-In</w:t>
            </w:r>
          </w:p>
        </w:tc>
        <w:tc>
          <w:tcPr>
            <w:tcW w:w="100" w:type="dxa"/>
            <w:vAlign w:val="bottom"/>
          </w:tcPr>
          <w:p>
            <w:pPr>
              <w:spacing w:after="0"/>
              <w:rPr>
                <w:sz w:val="8"/>
                <w:szCs w:val="8"/>
                <w:color w:val="auto"/>
              </w:rPr>
            </w:pPr>
          </w:p>
        </w:tc>
        <w:tc>
          <w:tcPr>
            <w:tcW w:w="720" w:type="dxa"/>
            <w:vAlign w:val="bottom"/>
            <w:gridSpan w:val="3"/>
            <w:vMerge w:val="restart"/>
          </w:tcPr>
          <w:p>
            <w:pPr>
              <w:spacing w:after="0" w:line="162" w:lineRule="exact"/>
              <w:rPr>
                <w:sz w:val="20"/>
                <w:szCs w:val="20"/>
                <w:color w:val="auto"/>
              </w:rPr>
            </w:pPr>
            <w:r>
              <w:rPr>
                <w:rFonts w:ascii="Arial" w:cs="Arial" w:eastAsia="Arial" w:hAnsi="Arial"/>
                <w:sz w:val="15"/>
                <w:szCs w:val="15"/>
                <w:b w:val="1"/>
                <w:bCs w:val="1"/>
                <w:color w:val="auto"/>
              </w:rPr>
              <w:t>Retained</w:t>
            </w:r>
          </w:p>
        </w:tc>
        <w:tc>
          <w:tcPr>
            <w:tcW w:w="60" w:type="dxa"/>
            <w:vAlign w:val="bottom"/>
          </w:tcPr>
          <w:p>
            <w:pPr>
              <w:spacing w:after="0"/>
              <w:rPr>
                <w:sz w:val="8"/>
                <w:szCs w:val="8"/>
                <w:color w:val="auto"/>
              </w:rPr>
            </w:pPr>
          </w:p>
        </w:tc>
        <w:tc>
          <w:tcPr>
            <w:tcW w:w="1060" w:type="dxa"/>
            <w:vAlign w:val="bottom"/>
            <w:gridSpan w:val="4"/>
            <w:vMerge w:val="restart"/>
          </w:tcPr>
          <w:p>
            <w:pPr>
              <w:ind w:left="20"/>
              <w:spacing w:after="0" w:line="162" w:lineRule="exact"/>
              <w:rPr>
                <w:sz w:val="20"/>
                <w:szCs w:val="20"/>
                <w:color w:val="auto"/>
              </w:rPr>
            </w:pPr>
            <w:r>
              <w:rPr>
                <w:rFonts w:ascii="Arial" w:cs="Arial" w:eastAsia="Arial" w:hAnsi="Arial"/>
                <w:sz w:val="15"/>
                <w:szCs w:val="15"/>
                <w:b w:val="1"/>
                <w:bCs w:val="1"/>
                <w:color w:val="auto"/>
                <w:w w:val="90"/>
              </w:rPr>
              <w:t>Comprehensive</w:t>
            </w: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gridSpan w:val="4"/>
            <w:vMerge w:val="restart"/>
          </w:tcPr>
          <w:p>
            <w:pPr>
              <w:ind w:left="20"/>
              <w:spacing w:after="0" w:line="162" w:lineRule="exact"/>
              <w:rPr>
                <w:sz w:val="20"/>
                <w:szCs w:val="20"/>
                <w:color w:val="auto"/>
              </w:rPr>
            </w:pPr>
            <w:r>
              <w:rPr>
                <w:rFonts w:ascii="Arial" w:cs="Arial" w:eastAsia="Arial" w:hAnsi="Arial"/>
                <w:sz w:val="15"/>
                <w:szCs w:val="15"/>
                <w:b w:val="1"/>
                <w:bCs w:val="1"/>
                <w:color w:val="auto"/>
                <w:w w:val="95"/>
              </w:rPr>
              <w:t>Stockholders'</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i w:val="1"/>
                <w:iCs w:val="1"/>
                <w:color w:val="auto"/>
              </w:rPr>
              <w:t>(For the six months ended June 30, 2019)</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Issued</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95"/>
              </w:rPr>
              <w:t>Capital</w:t>
            </w:r>
          </w:p>
        </w:tc>
        <w:tc>
          <w:tcPr>
            <w:tcW w:w="8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Earnings</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5"/>
                <w:szCs w:val="15"/>
                <w:b w:val="1"/>
                <w:bCs w:val="1"/>
                <w:color w:val="auto"/>
                <w:w w:val="85"/>
              </w:rPr>
              <w:t>Loss</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Shares</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Amount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Deficit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2018</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0.9</w:t>
            </w: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1,078.8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1,855.0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(188.8)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47.3</w:t>
            </w:r>
          </w:p>
        </w:tc>
        <w:tc>
          <w:tcPr>
            <w:tcW w:w="860" w:type="dxa"/>
            <w:vAlign w:val="bottom"/>
            <w:gridSpan w:val="4"/>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 (2,895.5)</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5"/>
                <w:szCs w:val="15"/>
                <w:b w:val="1"/>
                <w:bCs w:val="1"/>
                <w:color w:val="auto"/>
              </w:rPr>
              <w:t>$</w:t>
            </w: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(149.6)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120" w:type="dxa"/>
            <w:vAlign w:val="bottom"/>
          </w:tcPr>
          <w:p>
            <w:pPr>
              <w:ind w:left="220"/>
              <w:spacing w:after="0"/>
              <w:rPr>
                <w:sz w:val="20"/>
                <w:szCs w:val="20"/>
                <w:color w:val="auto"/>
              </w:rPr>
            </w:pPr>
            <w:r>
              <w:rPr>
                <w:rFonts w:ascii="Arial" w:cs="Arial" w:eastAsia="Arial" w:hAnsi="Arial"/>
                <w:sz w:val="15"/>
                <w:szCs w:val="15"/>
                <w:color w:val="auto"/>
              </w:rPr>
              <w:t>Cumulative effect adjustment upon adoption of new</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4120" w:type="dxa"/>
            <w:vAlign w:val="bottom"/>
          </w:tcPr>
          <w:p>
            <w:pPr>
              <w:ind w:left="220"/>
              <w:spacing w:after="0"/>
              <w:rPr>
                <w:sz w:val="20"/>
                <w:szCs w:val="20"/>
                <w:color w:val="auto"/>
              </w:rPr>
            </w:pPr>
            <w:r>
              <w:rPr>
                <w:rFonts w:ascii="Arial" w:cs="Arial" w:eastAsia="Arial" w:hAnsi="Arial"/>
                <w:sz w:val="15"/>
                <w:szCs w:val="15"/>
                <w:color w:val="auto"/>
              </w:rPr>
              <w:t>accounting standard (ASC 842)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(0.3)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4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1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income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180.0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120" w:type="dxa"/>
            <w:vAlign w:val="bottom"/>
          </w:tcPr>
          <w:p>
            <w:pPr>
              <w:ind w:left="220"/>
              <w:spacing w:after="0"/>
              <w:rPr>
                <w:sz w:val="20"/>
                <w:szCs w:val="20"/>
                <w:color w:val="auto"/>
              </w:rPr>
            </w:pPr>
            <w:r>
              <w:rPr>
                <w:rFonts w:ascii="Arial" w:cs="Arial" w:eastAsia="Arial" w:hAnsi="Arial"/>
                <w:sz w:val="15"/>
                <w:szCs w:val="15"/>
                <w:color w:val="auto"/>
              </w:rPr>
              <w:t>Dividends, $1.41 per share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(55.3)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4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1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Foreign currency translation adjustments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120" w:type="dxa"/>
            <w:vAlign w:val="bottom"/>
          </w:tcPr>
          <w:p>
            <w:pPr>
              <w:ind w:left="220"/>
              <w:spacing w:after="0" w:line="149" w:lineRule="exact"/>
              <w:rPr>
                <w:sz w:val="20"/>
                <w:szCs w:val="20"/>
                <w:color w:val="auto"/>
              </w:rPr>
            </w:pPr>
            <w:r>
              <w:rPr>
                <w:rFonts w:ascii="Arial" w:cs="Arial" w:eastAsia="Arial" w:hAnsi="Arial"/>
                <w:sz w:val="15"/>
                <w:szCs w:val="15"/>
                <w:color w:val="auto"/>
              </w:rPr>
              <w:t>Pension and post-retirement liability changes, net of tax</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vMerge w:val="restart"/>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4"/>
              <w:spacing w:after="0"/>
              <w:rPr>
                <w:sz w:val="20"/>
                <w:szCs w:val="20"/>
                <w:color w:val="auto"/>
              </w:rPr>
            </w:pPr>
            <w:r>
              <w:rPr>
                <w:rFonts w:ascii="Arial" w:cs="Arial" w:eastAsia="Arial" w:hAnsi="Arial"/>
                <w:sz w:val="15"/>
                <w:szCs w:val="15"/>
                <w:color w:val="auto"/>
              </w:rPr>
              <w:t>49.6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restart"/>
          </w:tcPr>
          <w:p>
            <w:pPr>
              <w:jc w:val="right"/>
              <w:ind w:right="6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64"/>
              <w:spacing w:after="0"/>
              <w:rPr>
                <w:sz w:val="20"/>
                <w:szCs w:val="20"/>
                <w:color w:val="auto"/>
              </w:rPr>
            </w:pPr>
            <w:r>
              <w:rPr>
                <w:rFonts w:ascii="Arial" w:cs="Arial" w:eastAsia="Arial" w:hAnsi="Arial"/>
                <w:sz w:val="15"/>
                <w:szCs w:val="15"/>
                <w:color w:val="auto"/>
              </w:rPr>
              <w:t>49.6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4120" w:type="dxa"/>
            <w:vAlign w:val="bottom"/>
          </w:tcPr>
          <w:p>
            <w:pPr>
              <w:ind w:left="220"/>
              <w:spacing w:after="0"/>
              <w:rPr>
                <w:sz w:val="20"/>
                <w:szCs w:val="20"/>
                <w:color w:val="auto"/>
              </w:rPr>
            </w:pPr>
            <w:r>
              <w:rPr>
                <w:rFonts w:ascii="Arial" w:cs="Arial" w:eastAsia="Arial" w:hAnsi="Arial"/>
                <w:sz w:val="15"/>
                <w:szCs w:val="15"/>
                <w:color w:val="auto"/>
              </w:rPr>
              <w:t>expense of $16.4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1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Stock-based compensation expense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120" w:type="dxa"/>
            <w:vAlign w:val="bottom"/>
          </w:tcPr>
          <w:p>
            <w:pPr>
              <w:ind w:left="220"/>
              <w:spacing w:after="0"/>
              <w:rPr>
                <w:sz w:val="20"/>
                <w:szCs w:val="20"/>
                <w:color w:val="auto"/>
              </w:rPr>
            </w:pPr>
            <w:r>
              <w:rPr>
                <w:rFonts w:ascii="Arial" w:cs="Arial" w:eastAsia="Arial" w:hAnsi="Arial"/>
                <w:sz w:val="15"/>
                <w:szCs w:val="15"/>
                <w:color w:val="auto"/>
              </w:rPr>
              <w:t>Change in cash flow hedges, net of tax expense of $1.5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4"/>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3.6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64"/>
              <w:spacing w:after="0"/>
              <w:rPr>
                <w:sz w:val="20"/>
                <w:szCs w:val="20"/>
                <w:color w:val="auto"/>
              </w:rPr>
            </w:pPr>
            <w:r>
              <w:rPr>
                <w:rFonts w:ascii="Arial" w:cs="Arial" w:eastAsia="Arial" w:hAnsi="Arial"/>
                <w:sz w:val="15"/>
                <w:szCs w:val="15"/>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1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Treasury shares reissued for common stock</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w w:val="90"/>
              </w:rPr>
              <w:t>(0.2)</w:t>
            </w:r>
          </w:p>
        </w:tc>
        <w:tc>
          <w:tcPr>
            <w:tcW w:w="860" w:type="dxa"/>
            <w:vAlign w:val="bottom"/>
            <w:gridSpan w:val="4"/>
            <w:shd w:val="clear" w:color="auto" w:fill="CCEEFF"/>
          </w:tcPr>
          <w:p>
            <w:pPr>
              <w:jc w:val="right"/>
              <w:ind w:right="64"/>
              <w:spacing w:after="0"/>
              <w:rPr>
                <w:sz w:val="20"/>
                <w:szCs w:val="20"/>
                <w:color w:val="auto"/>
              </w:rPr>
            </w:pPr>
            <w:r>
              <w:rPr>
                <w:rFonts w:ascii="Arial" w:cs="Arial" w:eastAsia="Arial" w:hAnsi="Arial"/>
                <w:sz w:val="15"/>
                <w:szCs w:val="15"/>
                <w:color w:val="auto"/>
              </w:rPr>
              <w:t>6.0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Treasury stock purchases</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1.0</w:t>
            </w:r>
          </w:p>
        </w:tc>
        <w:tc>
          <w:tcPr>
            <w:tcW w:w="80" w:type="dxa"/>
            <w:vAlign w:val="bottom"/>
            <w:tcBorders>
              <w:bottom w:val="single" w:sz="8" w:color="CCEEFF"/>
            </w:tcBorders>
            <w:gridSpan w:val="2"/>
          </w:tcPr>
          <w:p>
            <w:pPr>
              <w:spacing w:after="0"/>
              <w:rPr>
                <w:sz w:val="18"/>
                <w:szCs w:val="18"/>
                <w:color w:val="auto"/>
              </w:rPr>
            </w:pPr>
          </w:p>
        </w:tc>
        <w:tc>
          <w:tcPr>
            <w:tcW w:w="78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5"/>
                <w:szCs w:val="15"/>
                <w:color w:val="auto"/>
              </w:rPr>
              <w:t>(264.5)</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(264.5)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June 30, 2019</w:t>
            </w: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0.9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1,085.8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1,979.4</w:t>
            </w: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(129.6)</w:t>
            </w: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48.1</w:t>
            </w:r>
          </w:p>
        </w:tc>
        <w:tc>
          <w:tcPr>
            <w:tcW w:w="80" w:type="dxa"/>
            <w:vAlign w:val="bottom"/>
            <w:gridSpan w:val="2"/>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90"/>
              </w:rPr>
              <w:t>$ (3,154.0)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(217.5)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780" w:top="1138" w:right="7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xLENNOX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(Amounts in millions)</w:t>
            </w:r>
          </w:p>
        </w:tc>
        <w:tc>
          <w:tcPr>
            <w:tcW w:w="340" w:type="dxa"/>
            <w:vAlign w:val="bottom"/>
            <w:tcBorders>
              <w:bottom w:val="single" w:sz="8" w:color="auto"/>
            </w:tcBorders>
            <w:shd w:val="clear" w:color="auto" w:fill="CCEEFF"/>
          </w:tcPr>
          <w:p>
            <w:pPr>
              <w:spacing w:after="0"/>
              <w:rPr>
                <w:sz w:val="17"/>
                <w:szCs w:val="17"/>
                <w:color w:val="auto"/>
              </w:rPr>
            </w:pPr>
          </w:p>
        </w:tc>
        <w:tc>
          <w:tcPr>
            <w:tcW w:w="3020" w:type="dxa"/>
            <w:vAlign w:val="bottom"/>
            <w:tcBorders>
              <w:bottom w:val="single" w:sz="8" w:color="auto"/>
            </w:tcBorders>
            <w:gridSpan w:val="4"/>
            <w:shd w:val="clear" w:color="auto" w:fill="CCEEFF"/>
          </w:tcPr>
          <w:p>
            <w:pPr>
              <w:jc w:val="right"/>
              <w:ind w:right="528"/>
              <w:spacing w:after="0"/>
              <w:rPr>
                <w:sz w:val="20"/>
                <w:szCs w:val="20"/>
                <w:color w:val="auto"/>
              </w:rPr>
            </w:pPr>
            <w:r>
              <w:rPr>
                <w:rFonts w:ascii="Arial" w:cs="Arial" w:eastAsia="Arial" w:hAnsi="Arial"/>
                <w:sz w:val="14"/>
                <w:szCs w:val="14"/>
                <w:b w:val="1"/>
                <w:bCs w:val="1"/>
                <w:color w:val="auto"/>
              </w:rPr>
              <w:t>For the Six Months Ended June 30,</w:t>
            </w:r>
          </w:p>
        </w:tc>
      </w:tr>
      <w:tr>
        <w:trPr>
          <w:trHeight w:val="190"/>
        </w:trPr>
        <w:tc>
          <w:tcPr>
            <w:tcW w:w="78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r>
      <w:tr>
        <w:trPr>
          <w:trHeight w:val="188"/>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Cash flows from operating activities:</w:t>
            </w:r>
          </w:p>
        </w:tc>
        <w:tc>
          <w:tcPr>
            <w:tcW w:w="3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7"/>
        </w:trPr>
        <w:tc>
          <w:tcPr>
            <w:tcW w:w="788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112.9</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180.0</w:t>
            </w:r>
          </w:p>
        </w:tc>
      </w:tr>
      <w:tr>
        <w:trPr>
          <w:trHeight w:val="208"/>
        </w:trPr>
        <w:tc>
          <w:tcPr>
            <w:tcW w:w="7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7"/>
        </w:trPr>
        <w:tc>
          <w:tcPr>
            <w:tcW w:w="7880" w:type="dxa"/>
            <w:vAlign w:val="bottom"/>
          </w:tcPr>
          <w:p>
            <w:pPr>
              <w:ind w:left="460"/>
              <w:spacing w:after="0"/>
              <w:rPr>
                <w:sz w:val="20"/>
                <w:szCs w:val="20"/>
                <w:color w:val="auto"/>
              </w:rPr>
            </w:pPr>
            <w:r>
              <w:rPr>
                <w:rFonts w:ascii="Arial" w:cs="Arial" w:eastAsia="Arial" w:hAnsi="Arial"/>
                <w:sz w:val="14"/>
                <w:szCs w:val="14"/>
                <w:color w:val="auto"/>
              </w:rPr>
              <w:t>Loss on sale of business</w:t>
            </w:r>
          </w:p>
        </w:tc>
        <w:tc>
          <w:tcPr>
            <w:tcW w:w="3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8.8</w:t>
            </w:r>
          </w:p>
        </w:tc>
      </w:tr>
      <w:tr>
        <w:trPr>
          <w:trHeight w:val="208"/>
        </w:trPr>
        <w:tc>
          <w:tcPr>
            <w:tcW w:w="7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Insurance recoveries received for property damage incurred from natural disaster</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r>
      <w:tr>
        <w:trPr>
          <w:trHeight w:val="197"/>
        </w:trPr>
        <w:tc>
          <w:tcPr>
            <w:tcW w:w="7880" w:type="dxa"/>
            <w:vAlign w:val="bottom"/>
          </w:tcPr>
          <w:p>
            <w:pPr>
              <w:ind w:left="460"/>
              <w:spacing w:after="0"/>
              <w:rPr>
                <w:sz w:val="20"/>
                <w:szCs w:val="20"/>
                <w:color w:val="auto"/>
              </w:rPr>
            </w:pPr>
            <w:r>
              <w:rPr>
                <w:rFonts w:ascii="Arial" w:cs="Arial" w:eastAsia="Arial" w:hAnsi="Arial"/>
                <w:sz w:val="14"/>
                <w:szCs w:val="14"/>
                <w:color w:val="auto"/>
              </w:rPr>
              <w:t>Income from equity method investments</w:t>
            </w:r>
          </w:p>
        </w:tc>
        <w:tc>
          <w:tcPr>
            <w:tcW w:w="34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(7.2)</w:t>
            </w:r>
          </w:p>
        </w:tc>
      </w:tr>
      <w:tr>
        <w:trPr>
          <w:trHeight w:val="208"/>
        </w:trPr>
        <w:tc>
          <w:tcPr>
            <w:tcW w:w="7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Dividends from affiliates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r>
      <w:tr>
        <w:trPr>
          <w:trHeight w:val="197"/>
        </w:trPr>
        <w:tc>
          <w:tcPr>
            <w:tcW w:w="7880" w:type="dxa"/>
            <w:vAlign w:val="bottom"/>
          </w:tcPr>
          <w:p>
            <w:pPr>
              <w:ind w:left="460"/>
              <w:spacing w:after="0"/>
              <w:rPr>
                <w:sz w:val="20"/>
                <w:szCs w:val="20"/>
                <w:color w:val="auto"/>
              </w:rPr>
            </w:pPr>
            <w:r>
              <w:rPr>
                <w:rFonts w:ascii="Arial" w:cs="Arial" w:eastAsia="Arial" w:hAnsi="Arial"/>
                <w:sz w:val="14"/>
                <w:szCs w:val="14"/>
                <w:color w:val="auto"/>
              </w:rPr>
              <w:t>Restructuring charges, net of cash paid</w:t>
            </w:r>
          </w:p>
        </w:tc>
        <w:tc>
          <w:tcPr>
            <w:tcW w:w="34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08"/>
        </w:trPr>
        <w:tc>
          <w:tcPr>
            <w:tcW w:w="7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Provision for bad debts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r>
      <w:tr>
        <w:trPr>
          <w:trHeight w:val="197"/>
        </w:trPr>
        <w:tc>
          <w:tcPr>
            <w:tcW w:w="7880" w:type="dxa"/>
            <w:vAlign w:val="bottom"/>
          </w:tcPr>
          <w:p>
            <w:pPr>
              <w:ind w:left="460"/>
              <w:spacing w:after="0"/>
              <w:rPr>
                <w:sz w:val="20"/>
                <w:szCs w:val="20"/>
                <w:color w:val="auto"/>
              </w:rPr>
            </w:pPr>
            <w:r>
              <w:rPr>
                <w:rFonts w:ascii="Arial" w:cs="Arial" w:eastAsia="Arial" w:hAnsi="Arial"/>
                <w:sz w:val="14"/>
                <w:szCs w:val="14"/>
                <w:color w:val="auto"/>
              </w:rPr>
              <w:t>Unrealized losses (gains), net on derivative contracts</w:t>
            </w:r>
          </w:p>
        </w:tc>
        <w:tc>
          <w:tcPr>
            <w:tcW w:w="34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08"/>
        </w:trPr>
        <w:tc>
          <w:tcPr>
            <w:tcW w:w="7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Stock-based compensation expense</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w:t>
            </w:r>
          </w:p>
        </w:tc>
      </w:tr>
      <w:tr>
        <w:trPr>
          <w:trHeight w:val="197"/>
        </w:trPr>
        <w:tc>
          <w:tcPr>
            <w:tcW w:w="788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34.9</w:t>
            </w:r>
          </w:p>
        </w:tc>
      </w:tr>
      <w:tr>
        <w:trPr>
          <w:trHeight w:val="208"/>
        </w:trPr>
        <w:tc>
          <w:tcPr>
            <w:tcW w:w="7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Deferred income taxes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15.7</w:t>
            </w:r>
          </w:p>
        </w:tc>
      </w:tr>
      <w:tr>
        <w:trPr>
          <w:trHeight w:val="197"/>
        </w:trPr>
        <w:tc>
          <w:tcPr>
            <w:tcW w:w="7880" w:type="dxa"/>
            <w:vAlign w:val="bottom"/>
          </w:tcPr>
          <w:p>
            <w:pPr>
              <w:ind w:left="460"/>
              <w:spacing w:after="0"/>
              <w:rPr>
                <w:sz w:val="20"/>
                <w:szCs w:val="20"/>
                <w:color w:val="auto"/>
              </w:rPr>
            </w:pPr>
            <w:r>
              <w:rPr>
                <w:rFonts w:ascii="Arial" w:cs="Arial" w:eastAsia="Arial" w:hAnsi="Arial"/>
                <w:sz w:val="14"/>
                <w:szCs w:val="14"/>
                <w:color w:val="auto"/>
              </w:rPr>
              <w:t>Pension expense</w:t>
            </w:r>
          </w:p>
        </w:tc>
        <w:tc>
          <w:tcPr>
            <w:tcW w:w="34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64.2</w:t>
            </w:r>
          </w:p>
        </w:tc>
      </w:tr>
      <w:tr>
        <w:trPr>
          <w:trHeight w:val="208"/>
        </w:trPr>
        <w:tc>
          <w:tcPr>
            <w:tcW w:w="7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Pension contributions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197"/>
        </w:trPr>
        <w:tc>
          <w:tcPr>
            <w:tcW w:w="7880" w:type="dxa"/>
            <w:vAlign w:val="bottom"/>
          </w:tcPr>
          <w:p>
            <w:pPr>
              <w:ind w:left="460"/>
              <w:spacing w:after="0"/>
              <w:rPr>
                <w:sz w:val="20"/>
                <w:szCs w:val="20"/>
                <w:color w:val="auto"/>
              </w:rPr>
            </w:pPr>
            <w:r>
              <w:rPr>
                <w:rFonts w:ascii="Arial" w:cs="Arial" w:eastAsia="Arial" w:hAnsi="Arial"/>
                <w:sz w:val="14"/>
                <w:szCs w:val="14"/>
                <w:color w:val="auto"/>
              </w:rPr>
              <w:t>Other items, net</w:t>
            </w:r>
          </w:p>
        </w:tc>
        <w:tc>
          <w:tcPr>
            <w:tcW w:w="34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(0.1)</w:t>
            </w:r>
          </w:p>
        </w:tc>
      </w:tr>
      <w:tr>
        <w:trPr>
          <w:trHeight w:val="208"/>
        </w:trPr>
        <w:tc>
          <w:tcPr>
            <w:tcW w:w="7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Changes in assets and liabilities, net of effects of divestitures: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7"/>
        </w:trPr>
        <w:tc>
          <w:tcPr>
            <w:tcW w:w="7880" w:type="dxa"/>
            <w:vAlign w:val="bottom"/>
          </w:tcPr>
          <w:p>
            <w:pPr>
              <w:ind w:left="460"/>
              <w:spacing w:after="0"/>
              <w:rPr>
                <w:sz w:val="20"/>
                <w:szCs w:val="20"/>
                <w:color w:val="auto"/>
              </w:rPr>
            </w:pPr>
            <w:r>
              <w:rPr>
                <w:rFonts w:ascii="Arial" w:cs="Arial" w:eastAsia="Arial" w:hAnsi="Arial"/>
                <w:sz w:val="14"/>
                <w:szCs w:val="14"/>
                <w:color w:val="auto"/>
              </w:rPr>
              <w:t>Accounts and notes receivable</w:t>
            </w:r>
          </w:p>
        </w:tc>
        <w:tc>
          <w:tcPr>
            <w:tcW w:w="34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(151.5)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(270.0)</w:t>
            </w:r>
          </w:p>
        </w:tc>
      </w:tr>
      <w:tr>
        <w:trPr>
          <w:trHeight w:val="208"/>
        </w:trPr>
        <w:tc>
          <w:tcPr>
            <w:tcW w:w="7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Inventories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(149.9)</w:t>
            </w:r>
          </w:p>
        </w:tc>
      </w:tr>
      <w:tr>
        <w:trPr>
          <w:trHeight w:val="197"/>
        </w:trPr>
        <w:tc>
          <w:tcPr>
            <w:tcW w:w="7880" w:type="dxa"/>
            <w:vAlign w:val="bottom"/>
          </w:tcPr>
          <w:p>
            <w:pPr>
              <w:ind w:left="460"/>
              <w:spacing w:after="0"/>
              <w:rPr>
                <w:sz w:val="20"/>
                <w:szCs w:val="20"/>
                <w:color w:val="auto"/>
              </w:rPr>
            </w:pPr>
            <w:r>
              <w:rPr>
                <w:rFonts w:ascii="Arial" w:cs="Arial" w:eastAsia="Arial" w:hAnsi="Arial"/>
                <w:sz w:val="14"/>
                <w:szCs w:val="14"/>
                <w:color w:val="auto"/>
              </w:rPr>
              <w:t>Other current assets</w:t>
            </w:r>
          </w:p>
        </w:tc>
        <w:tc>
          <w:tcPr>
            <w:tcW w:w="34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10.2</w:t>
            </w:r>
          </w:p>
        </w:tc>
      </w:tr>
      <w:tr>
        <w:trPr>
          <w:trHeight w:val="208"/>
        </w:trPr>
        <w:tc>
          <w:tcPr>
            <w:tcW w:w="7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52.6</w:t>
            </w:r>
          </w:p>
        </w:tc>
      </w:tr>
      <w:tr>
        <w:trPr>
          <w:trHeight w:val="197"/>
        </w:trPr>
        <w:tc>
          <w:tcPr>
            <w:tcW w:w="7880" w:type="dxa"/>
            <w:vAlign w:val="bottom"/>
          </w:tcPr>
          <w:p>
            <w:pPr>
              <w:ind w:left="460"/>
              <w:spacing w:after="0"/>
              <w:rPr>
                <w:sz w:val="20"/>
                <w:szCs w:val="20"/>
                <w:color w:val="auto"/>
              </w:rPr>
            </w:pPr>
            <w:r>
              <w:rPr>
                <w:rFonts w:ascii="Arial" w:cs="Arial" w:eastAsia="Arial" w:hAnsi="Arial"/>
                <w:sz w:val="14"/>
                <w:szCs w:val="14"/>
                <w:color w:val="auto"/>
              </w:rPr>
              <w:t>Accrued expenses</w:t>
            </w:r>
          </w:p>
        </w:tc>
        <w:tc>
          <w:tcPr>
            <w:tcW w:w="34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(21.0)</w:t>
            </w:r>
          </w:p>
        </w:tc>
      </w:tr>
      <w:tr>
        <w:trPr>
          <w:trHeight w:val="208"/>
        </w:trPr>
        <w:tc>
          <w:tcPr>
            <w:tcW w:w="78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Income taxes payable / receivable</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r>
      <w:tr>
        <w:trPr>
          <w:trHeight w:val="197"/>
        </w:trPr>
        <w:tc>
          <w:tcPr>
            <w:tcW w:w="788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 net</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w:t>
            </w:r>
          </w:p>
        </w:tc>
      </w:tr>
      <w:tr>
        <w:trPr>
          <w:trHeight w:val="202"/>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(111.0)</w:t>
            </w:r>
          </w:p>
        </w:tc>
      </w:tr>
      <w:tr>
        <w:trPr>
          <w:trHeight w:val="197"/>
        </w:trPr>
        <w:tc>
          <w:tcPr>
            <w:tcW w:w="7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Cash flows from investing activities:</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8"/>
        </w:trPr>
        <w:tc>
          <w:tcPr>
            <w:tcW w:w="7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the disposal of property, plant and equipment</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0.8</w:t>
            </w:r>
          </w:p>
        </w:tc>
      </w:tr>
      <w:tr>
        <w:trPr>
          <w:trHeight w:val="197"/>
        </w:trPr>
        <w:tc>
          <w:tcPr>
            <w:tcW w:w="7880" w:type="dxa"/>
            <w:vAlign w:val="bottom"/>
          </w:tcPr>
          <w:p>
            <w:pPr>
              <w:ind w:left="220"/>
              <w:spacing w:after="0"/>
              <w:rPr>
                <w:sz w:val="20"/>
                <w:szCs w:val="20"/>
                <w:color w:val="auto"/>
              </w:rPr>
            </w:pPr>
            <w:r>
              <w:rPr>
                <w:rFonts w:ascii="Arial" w:cs="Arial" w:eastAsia="Arial" w:hAnsi="Arial"/>
                <w:sz w:val="14"/>
                <w:szCs w:val="14"/>
                <w:color w:val="auto"/>
              </w:rPr>
              <w:t>Purchases of property, plant and equipment</w:t>
            </w:r>
          </w:p>
        </w:tc>
        <w:tc>
          <w:tcPr>
            <w:tcW w:w="34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(53.5)</w:t>
            </w:r>
          </w:p>
        </w:tc>
      </w:tr>
      <w:tr>
        <w:trPr>
          <w:trHeight w:val="208"/>
        </w:trPr>
        <w:tc>
          <w:tcPr>
            <w:tcW w:w="7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proceeds from sale of business</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43.6</w:t>
            </w:r>
          </w:p>
        </w:tc>
      </w:tr>
      <w:tr>
        <w:trPr>
          <w:trHeight w:val="197"/>
        </w:trPr>
        <w:tc>
          <w:tcPr>
            <w:tcW w:w="7880" w:type="dxa"/>
            <w:vAlign w:val="bottom"/>
          </w:tcPr>
          <w:p>
            <w:pPr>
              <w:ind w:left="220"/>
              <w:spacing w:after="0"/>
              <w:rPr>
                <w:sz w:val="20"/>
                <w:szCs w:val="20"/>
                <w:color w:val="auto"/>
              </w:rPr>
            </w:pPr>
            <w:r>
              <w:rPr>
                <w:rFonts w:ascii="Arial" w:cs="Arial" w:eastAsia="Arial" w:hAnsi="Arial"/>
                <w:sz w:val="14"/>
                <w:szCs w:val="14"/>
                <w:color w:val="auto"/>
              </w:rPr>
              <w:t>Purchases of short-term investments</w:t>
            </w:r>
          </w:p>
        </w:tc>
        <w:tc>
          <w:tcPr>
            <w:tcW w:w="34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08"/>
        </w:trPr>
        <w:tc>
          <w:tcPr>
            <w:tcW w:w="7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Insurance recoveries received for property damage incurred from natural disaster</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12.8</w:t>
            </w:r>
          </w:p>
        </w:tc>
      </w:tr>
      <w:tr>
        <w:trPr>
          <w:trHeight w:val="190"/>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3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(44.3)</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1.9</w:t>
            </w:r>
          </w:p>
        </w:tc>
      </w:tr>
      <w:tr>
        <w:trPr>
          <w:trHeight w:val="208"/>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Cash flows from financing activities: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7"/>
        </w:trPr>
        <w:tc>
          <w:tcPr>
            <w:tcW w:w="7880" w:type="dxa"/>
            <w:vAlign w:val="bottom"/>
          </w:tcPr>
          <w:p>
            <w:pPr>
              <w:ind w:left="220"/>
              <w:spacing w:after="0"/>
              <w:rPr>
                <w:sz w:val="20"/>
                <w:szCs w:val="20"/>
                <w:color w:val="auto"/>
              </w:rPr>
            </w:pPr>
            <w:r>
              <w:rPr>
                <w:rFonts w:ascii="Arial" w:cs="Arial" w:eastAsia="Arial" w:hAnsi="Arial"/>
                <w:sz w:val="14"/>
                <w:szCs w:val="14"/>
                <w:color w:val="auto"/>
              </w:rPr>
              <w:t>Short-term debt payments</w:t>
            </w:r>
          </w:p>
        </w:tc>
        <w:tc>
          <w:tcPr>
            <w:tcW w:w="34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(2.1)</w:t>
            </w:r>
          </w:p>
        </w:tc>
      </w:tr>
      <w:tr>
        <w:trPr>
          <w:trHeight w:val="208"/>
        </w:trPr>
        <w:tc>
          <w:tcPr>
            <w:tcW w:w="7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Short-term debt proceeds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r>
      <w:tr>
        <w:trPr>
          <w:trHeight w:val="197"/>
        </w:trPr>
        <w:tc>
          <w:tcPr>
            <w:tcW w:w="7880" w:type="dxa"/>
            <w:vAlign w:val="bottom"/>
          </w:tcPr>
          <w:p>
            <w:pPr>
              <w:ind w:left="220"/>
              <w:spacing w:after="0"/>
              <w:rPr>
                <w:sz w:val="20"/>
                <w:szCs w:val="20"/>
                <w:color w:val="auto"/>
              </w:rPr>
            </w:pPr>
            <w:r>
              <w:rPr>
                <w:rFonts w:ascii="Arial" w:cs="Arial" w:eastAsia="Arial" w:hAnsi="Arial"/>
                <w:sz w:val="14"/>
                <w:szCs w:val="14"/>
                <w:color w:val="auto"/>
              </w:rPr>
              <w:t>Asset securitization borrowings</w:t>
            </w:r>
          </w:p>
        </w:tc>
        <w:tc>
          <w:tcPr>
            <w:tcW w:w="34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91.0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65.5</w:t>
            </w:r>
          </w:p>
        </w:tc>
      </w:tr>
      <w:tr>
        <w:trPr>
          <w:trHeight w:val="208"/>
        </w:trPr>
        <w:tc>
          <w:tcPr>
            <w:tcW w:w="7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Asset securitization payments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(43.5)</w:t>
            </w:r>
          </w:p>
        </w:tc>
      </w:tr>
      <w:tr>
        <w:trPr>
          <w:trHeight w:val="197"/>
        </w:trPr>
        <w:tc>
          <w:tcPr>
            <w:tcW w:w="7880" w:type="dxa"/>
            <w:vAlign w:val="bottom"/>
          </w:tcPr>
          <w:p>
            <w:pPr>
              <w:ind w:left="220"/>
              <w:spacing w:after="0"/>
              <w:rPr>
                <w:sz w:val="20"/>
                <w:szCs w:val="20"/>
                <w:color w:val="auto"/>
              </w:rPr>
            </w:pPr>
            <w:r>
              <w:rPr>
                <w:rFonts w:ascii="Arial" w:cs="Arial" w:eastAsia="Arial" w:hAnsi="Arial"/>
                <w:sz w:val="14"/>
                <w:szCs w:val="14"/>
                <w:color w:val="auto"/>
              </w:rPr>
              <w:t>Long-term debt borrowings</w:t>
            </w:r>
          </w:p>
        </w:tc>
        <w:tc>
          <w:tcPr>
            <w:tcW w:w="34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7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Long-term debt payments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w:t>
            </w:r>
          </w:p>
        </w:tc>
      </w:tr>
      <w:tr>
        <w:trPr>
          <w:trHeight w:val="197"/>
        </w:trPr>
        <w:tc>
          <w:tcPr>
            <w:tcW w:w="7880" w:type="dxa"/>
            <w:vAlign w:val="bottom"/>
          </w:tcPr>
          <w:p>
            <w:pPr>
              <w:ind w:left="220"/>
              <w:spacing w:after="0"/>
              <w:rPr>
                <w:sz w:val="20"/>
                <w:szCs w:val="20"/>
                <w:color w:val="auto"/>
              </w:rPr>
            </w:pPr>
            <w:r>
              <w:rPr>
                <w:rFonts w:ascii="Arial" w:cs="Arial" w:eastAsia="Arial" w:hAnsi="Arial"/>
                <w:sz w:val="14"/>
                <w:szCs w:val="14"/>
                <w:color w:val="auto"/>
              </w:rPr>
              <w:t>Borrowings from credit facility</w:t>
            </w:r>
          </w:p>
        </w:tc>
        <w:tc>
          <w:tcPr>
            <w:tcW w:w="34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1,060.5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1,459.5</w:t>
            </w:r>
          </w:p>
        </w:tc>
      </w:tr>
      <w:tr>
        <w:trPr>
          <w:trHeight w:val="208"/>
        </w:trPr>
        <w:tc>
          <w:tcPr>
            <w:tcW w:w="7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on credit facility</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(1,037.5)</w:t>
            </w:r>
          </w:p>
        </w:tc>
      </w:tr>
      <w:tr>
        <w:trPr>
          <w:trHeight w:val="197"/>
        </w:trPr>
        <w:tc>
          <w:tcPr>
            <w:tcW w:w="7880" w:type="dxa"/>
            <w:vAlign w:val="bottom"/>
          </w:tcPr>
          <w:p>
            <w:pPr>
              <w:ind w:left="220"/>
              <w:spacing w:after="0"/>
              <w:rPr>
                <w:sz w:val="20"/>
                <w:szCs w:val="20"/>
                <w:color w:val="auto"/>
              </w:rPr>
            </w:pPr>
            <w:r>
              <w:rPr>
                <w:rFonts w:ascii="Arial" w:cs="Arial" w:eastAsia="Arial" w:hAnsi="Arial"/>
                <w:sz w:val="14"/>
                <w:szCs w:val="14"/>
                <w:color w:val="auto"/>
              </w:rPr>
              <w:t>Proceeds from employee stock purchases</w:t>
            </w:r>
          </w:p>
        </w:tc>
        <w:tc>
          <w:tcPr>
            <w:tcW w:w="340" w:type="dxa"/>
            <w:vAlign w:val="bottom"/>
          </w:tcPr>
          <w:p>
            <w:pPr>
              <w:spacing w:after="0"/>
              <w:rPr>
                <w:sz w:val="17"/>
                <w:szCs w:val="17"/>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1.6</w:t>
            </w:r>
          </w:p>
        </w:tc>
      </w:tr>
      <w:tr>
        <w:trPr>
          <w:trHeight w:val="208"/>
        </w:trPr>
        <w:tc>
          <w:tcPr>
            <w:tcW w:w="7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Repurchases of common stock</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w:t>
            </w:r>
          </w:p>
        </w:tc>
      </w:tr>
      <w:tr>
        <w:trPr>
          <w:trHeight w:val="197"/>
        </w:trPr>
        <w:tc>
          <w:tcPr>
            <w:tcW w:w="7880" w:type="dxa"/>
            <w:vAlign w:val="bottom"/>
          </w:tcPr>
          <w:p>
            <w:pPr>
              <w:ind w:left="220"/>
              <w:spacing w:after="0"/>
              <w:rPr>
                <w:sz w:val="20"/>
                <w:szCs w:val="20"/>
                <w:color w:val="auto"/>
              </w:rPr>
            </w:pPr>
            <w:r>
              <w:rPr>
                <w:rFonts w:ascii="Arial" w:cs="Arial" w:eastAsia="Arial" w:hAnsi="Arial"/>
                <w:sz w:val="14"/>
                <w:szCs w:val="14"/>
                <w:color w:val="auto"/>
              </w:rPr>
              <w:t>Repurchases of common stock to satisfy employee withholding tax obligations</w:t>
            </w:r>
          </w:p>
        </w:tc>
        <w:tc>
          <w:tcPr>
            <w:tcW w:w="34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(14.5)</w:t>
            </w:r>
          </w:p>
        </w:tc>
      </w:tr>
      <w:tr>
        <w:trPr>
          <w:trHeight w:val="208"/>
        </w:trPr>
        <w:tc>
          <w:tcPr>
            <w:tcW w:w="7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dividends paid</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(50.8)</w:t>
            </w:r>
          </w:p>
        </w:tc>
      </w:tr>
      <w:tr>
        <w:trPr>
          <w:trHeight w:val="190"/>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97.0</w:t>
            </w:r>
          </w:p>
        </w:tc>
      </w:tr>
      <w:tr>
        <w:trPr>
          <w:trHeight w:val="202"/>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 (decrease) in cash and cash equivalents</w:t>
            </w: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r>
      <w:tr>
        <w:trPr>
          <w:trHeight w:val="196"/>
        </w:trPr>
        <w:tc>
          <w:tcPr>
            <w:tcW w:w="7880" w:type="dxa"/>
            <w:vAlign w:val="bottom"/>
          </w:tcPr>
          <w:p>
            <w:pPr>
              <w:ind w:left="20"/>
              <w:spacing w:after="0"/>
              <w:rPr>
                <w:sz w:val="20"/>
                <w:szCs w:val="20"/>
                <w:color w:val="auto"/>
              </w:rPr>
            </w:pPr>
            <w:r>
              <w:rPr>
                <w:rFonts w:ascii="Arial" w:cs="Arial" w:eastAsia="Arial" w:hAnsi="Arial"/>
                <w:sz w:val="14"/>
                <w:szCs w:val="14"/>
                <w:color w:val="auto"/>
              </w:rPr>
              <w:t>Effect of exchange rates on cash and cash equivalents</w:t>
            </w:r>
          </w:p>
        </w:tc>
        <w:tc>
          <w:tcPr>
            <w:tcW w:w="34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2.2</w:t>
            </w:r>
          </w:p>
        </w:tc>
      </w:tr>
      <w:tr>
        <w:trPr>
          <w:trHeight w:val="203"/>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46.3</w:t>
            </w:r>
          </w:p>
        </w:tc>
      </w:tr>
      <w:tr>
        <w:trPr>
          <w:trHeight w:val="202"/>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end of period</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44.8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36.4</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1"/>
        </w:trPr>
        <w:tc>
          <w:tcPr>
            <w:tcW w:w="78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196"/>
        </w:trPr>
        <w:tc>
          <w:tcPr>
            <w:tcW w:w="7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Supplemental disclosures of cash flow information:</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7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Interest paid</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23.5</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7880" w:type="dxa"/>
            <w:vAlign w:val="bottom"/>
          </w:tcPr>
          <w:p>
            <w:pPr>
              <w:ind w:left="220"/>
              <w:spacing w:after="0"/>
              <w:rPr>
                <w:sz w:val="20"/>
                <w:szCs w:val="20"/>
                <w:color w:val="auto"/>
              </w:rPr>
            </w:pPr>
            <w:r>
              <w:rPr>
                <w:rFonts w:ascii="Arial" w:cs="Arial" w:eastAsia="Arial" w:hAnsi="Arial"/>
                <w:sz w:val="14"/>
                <w:szCs w:val="14"/>
                <w:color w:val="auto"/>
              </w:rPr>
              <w:t>Income taxes paid (net of refunds)</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54.2</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Insurance recoveries received</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128.0</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3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References in this Quarterly Report on Form 10-Q to "we," "our," "us," "LII," or the "Company" refer to Lennox International Inc. and its subsidiaries, unless the context requires otherwise.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accompanying unaudited Consolidated Balance Sheet as of June 30, 2020, the accompanying unaudited Consolidated Statements of Operations for the three and six months ended June 30, 2020 and 2019, the accompanying unaudited Consolidated Statements of Comprehensive Income for the three and six months ended June 30, 2020 and 2019, the accompanying unaudited Consolidated Statements of Stockholders' Deficit for the three and six months ended June 30, 2020 and 2019, and the accompanying unaudited Consolidated Statements of Cash Flows for the six months ended June 30, 2020 and 2019 should be read in conjunction with our audited consolidated financial statements and footnotes included in our Annual Report on Form 10-K for the year ended December 31, 2019.</w:t>
      </w:r>
    </w:p>
    <w:p>
      <w:pPr>
        <w:spacing w:after="0" w:line="21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22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self-insurance and warranty reserves, and stock-based compensation, among others. These estimates and assumptions are based on our best estimates and judgment.</w:t>
      </w:r>
    </w:p>
    <w:p>
      <w:pPr>
        <w:spacing w:after="0" w:line="219"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A novel strain of coronavirus (“COVID-19”) surfaced in late 2019 and has spread around the world, including to the United States. In March 2020, the World Health Organization declared COVID-19 a pandemic. The COVID-19 pandemic has disrupted our business operations and caused a significant unfavorable impact on our results of operations.</w:t>
      </w:r>
    </w:p>
    <w:p>
      <w:pPr>
        <w:spacing w:after="0" w:line="21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response to the COVID-19 pandemic, various national, state, and local governments where we, our suppliers, and our customers operate issued decrees prohibiting certain businesses from continuing to operate and certain classes of workers from reporting to work. Those decrees have resulted in supply chain disruption and higher employee absenteeism in our factories.</w:t>
      </w:r>
    </w:p>
    <w:p>
      <w:pPr>
        <w:sectPr>
          <w:pgSz w:w="11900" w:h="16838" w:orient="portrait"/>
          <w:cols w:equalWidth="0" w:num="1">
            <w:col w:w="11240"/>
          </w:cols>
          <w:pgMar w:left="320" w:top="94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color w:val="auto"/>
        </w:rPr>
        <w:t>Additionally, certain of our manufacturing facilities experienced short-term suspensions of operations for COVID-19 employee health concerns.</w:t>
      </w:r>
    </w:p>
    <w:p>
      <w:pPr>
        <w:spacing w:after="0" w:line="264"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The magnitude of the impact of COVID-19 remains unpredictable and we, therefore, continue to anticipate potential supply chain disruptions, employee absenteeism, short-term suspensions of manufacturing facilities and additional health and safety costs related to the COVID-19 pandemic that could unfavorably impact our business. Although these disruptions and costs are expected to be temporary, there is significant uncertainty around the duration and overall impact to our business operations. We believe it is possible that the impact of the COVID-19 pandemic could have a material adverse effect on the results of our operations, financial position and cash flows as of and for the year ended December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5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 replaces the incurred loss impairment methodology in current GAAP with a methodology that reflects expected credit losses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requires consideration of a broader range of reasonable and supportable information to estimate credit losses. ASU 2016-13 is effective for SEC filers for interim and annual periods beginning after December 15, 2019. We adopted ASU 2016-13 using the modified retrospective method for all financial assets measured at amortized cost. Results for periods after January 1, 2020 are presented under ASU 2016-13 while prior period amounts continue to be reported under previously applicable accounting standards. We recorded a $1.3 million net decrease to retained earnings as of January 1, 2020 for the cumulative effect of adopting ASU 2016-13.</w:t>
      </w:r>
    </w:p>
    <w:p>
      <w:pPr>
        <w:spacing w:after="0" w:line="22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 - Goodwill and Other (Topic 350): Simplifying the Test for Goodwill Impairment</w:t>
      </w:r>
      <w:r>
        <w:rPr>
          <w:rFonts w:ascii="Arial" w:cs="Arial" w:eastAsia="Arial" w:hAnsi="Arial"/>
          <w:sz w:val="18"/>
          <w:szCs w:val="18"/>
          <w:color w:val="auto"/>
        </w:rPr>
        <w:t>. ASU 2017-04 eliminates step two of the goodwill impairment test and specifies that goodwill impairment should be measured by comparing the fair value of a reporting unit with its carrying amount. Additionally, the amount of goodwill allocated to each reporting unit with a zero or negative carrying amount of net assets should be disclosed. ASU 2017-04 is effective for annual or interim goodwill impairment tests performed in fiscal years beginning after December 15, 2019. The adoption of ASU 2017-04 did not have a material impact on our consolidated results of operations, cash flows, or statement of financial position.</w:t>
      </w:r>
    </w:p>
    <w:p>
      <w:pPr>
        <w:spacing w:after="0" w:line="21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Internal-Use Software (Topic 350-40): Customer’s Accounting for Implementation</w:t>
      </w:r>
      <w:r>
        <w:rPr>
          <w:rFonts w:ascii="Arial" w:cs="Arial" w:eastAsia="Arial" w:hAnsi="Arial"/>
          <w:sz w:val="18"/>
          <w:szCs w:val="18"/>
          <w:color w:val="auto"/>
        </w:rPr>
        <w:t xml:space="preserve"> </w:t>
      </w:r>
      <w:r>
        <w:rPr>
          <w:rFonts w:ascii="Arial" w:cs="Arial" w:eastAsia="Arial" w:hAnsi="Arial"/>
          <w:sz w:val="18"/>
          <w:szCs w:val="18"/>
          <w:i w:val="1"/>
          <w:iCs w:val="1"/>
          <w:color w:val="auto"/>
        </w:rPr>
        <w:t>Costs incurred in a Cloud Computing Arrangement That is a Service Contract</w:t>
      </w:r>
      <w:r>
        <w:rPr>
          <w:rFonts w:ascii="Arial" w:cs="Arial" w:eastAsia="Arial" w:hAnsi="Arial"/>
          <w:sz w:val="18"/>
          <w:szCs w:val="18"/>
          <w:color w:val="auto"/>
        </w:rPr>
        <w:t>. ASU 2018-15 provides guidance to determine how implementation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cloud computing arrangements that are incurred to develop or obtain internal-use software should be capitalized or expensed as incurred. ASU 2018-15 is effective for fiscal years beginning after December 15, 2019. The adoption of ASU 2018-15 did not have a material impact on our consolidated results of operations, cash flows, or statement of financial position.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Reportable Business Segments:</w:t>
      </w:r>
    </w:p>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segments are organized primarily by the nature of the products and services we provide. The following table describes each segment: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Segment</w:t>
            </w:r>
          </w:p>
        </w:tc>
        <w:tc>
          <w:tcPr>
            <w:tcW w:w="100" w:type="dxa"/>
            <w:vAlign w:val="bottom"/>
            <w:tcBorders>
              <w:bottom w:val="single" w:sz="8" w:color="CCEEFF"/>
            </w:tcBorders>
          </w:tcPr>
          <w:p>
            <w:pPr>
              <w:spacing w:after="0"/>
              <w:rPr>
                <w:sz w:val="16"/>
                <w:szCs w:val="16"/>
                <w:color w:val="auto"/>
              </w:rPr>
            </w:pP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 or Services</w:t>
            </w:r>
          </w:p>
        </w:tc>
        <w:tc>
          <w:tcPr>
            <w:tcW w:w="100" w:type="dxa"/>
            <w:vAlign w:val="bottom"/>
            <w:tcBorders>
              <w:bottom w:val="single" w:sz="8" w:color="CCEEFF"/>
            </w:tcBorders>
          </w:tcPr>
          <w:p>
            <w:pPr>
              <w:spacing w:after="0"/>
              <w:rPr>
                <w:sz w:val="16"/>
                <w:szCs w:val="16"/>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Markets Served</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Geographic Areas</w:t>
            </w:r>
          </w:p>
        </w:tc>
      </w:tr>
      <w:tr>
        <w:trPr>
          <w:trHeight w:val="228"/>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Heating &amp;</w:t>
            </w: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Furnaces, air conditioners, heat pumps, packaged heating and</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Replacement;</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r>
      <w:tr>
        <w:trPr>
          <w:trHeight w:val="216"/>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Cooling</w:t>
            </w: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cooling systems, indoor air quality equipment, comfort control</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New Construction</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37"/>
        </w:trPr>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products, replacement parts and supplies</w:t>
            </w:r>
          </w:p>
        </w:tc>
        <w:tc>
          <w:tcPr>
            <w:tcW w:w="2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29"/>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Commercial Heating &amp;</w:t>
            </w: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Unitary heating and air conditioning equipment, applied</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Light Commercial</w:t>
            </w:r>
          </w:p>
        </w:tc>
        <w:tc>
          <w:tcPr>
            <w:tcW w:w="17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Cooling</w:t>
            </w: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systems, controls, installation and service of commercial</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w w:val="97"/>
              </w:rPr>
              <w:t>heating and cooling equipment, and variable refrigerant flow</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commercial products</w:t>
            </w: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Refrigeration</w:t>
            </w: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Condensing units, unit coolers, fluid coolers, air cooled</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Light Commercial;</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r>
      <w:tr>
        <w:trPr>
          <w:trHeight w:val="216"/>
        </w:trPr>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condensers, air handlers, process chillers, controls, and</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Preservation;</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30"/>
        </w:trPr>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compressorized racks</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Non-Food/Industrial</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r>
      <w:tr>
        <w:trPr>
          <w:trHeight w:val="27"/>
        </w:trPr>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income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jc w:val="both"/>
        <w:ind w:right="20"/>
        <w:spacing w:after="0" w:line="277" w:lineRule="auto"/>
        <w:rPr>
          <w:sz w:val="20"/>
          <w:szCs w:val="20"/>
          <w:color w:val="auto"/>
        </w:rPr>
      </w:pPr>
      <w:r>
        <w:rPr>
          <w:rFonts w:ascii="Arial" w:cs="Arial" w:eastAsia="Arial" w:hAnsi="Arial"/>
          <w:sz w:val="18"/>
          <w:szCs w:val="18"/>
          <w:color w:val="auto"/>
        </w:rPr>
        <w:t>taxes included in the accompanying Consolidated Statements of Operations, excluding certain items. The reconciliation in the table below details the items excluded.</w:t>
      </w:r>
    </w:p>
    <w:p>
      <w:pPr>
        <w:spacing w:after="0" w:line="19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corporate costs include those costs related to corporate functions such as legal, internal audit, treasury, human resources, tax compliance and senior executive staff. Corporate costs also include the long-term share-based incentive awards provided to employees throughout LII. We record these share-based awards as corporate costs because they are determined at the discretion of the Board of Directors and based on the historical practice of doing so for internal reporting purposes.</w:t>
      </w:r>
    </w:p>
    <w:p>
      <w:pPr>
        <w:spacing w:after="0" w:line="21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Any intercompany sales and associated profit (and any other intercompany items) are eliminated from segment results. There were no significant intercompany eliminations for the periods presented.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Data</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sales and segment profit (loss) for each segment, along with a reconciliation of segment profit (loss) to Operating income, are shown below (in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6"/>
          </w:tcPr>
          <w:p>
            <w:pPr>
              <w:spacing w:after="0"/>
              <w:rPr>
                <w:sz w:val="20"/>
                <w:szCs w:val="20"/>
                <w:color w:val="auto"/>
              </w:rPr>
            </w:pPr>
            <w:r>
              <w:rPr>
                <w:rFonts w:ascii="Arial" w:cs="Arial" w:eastAsia="Arial" w:hAnsi="Arial"/>
                <w:sz w:val="16"/>
                <w:szCs w:val="16"/>
                <w:b w:val="1"/>
                <w:bCs w:val="1"/>
                <w:color w:val="auto"/>
              </w:rPr>
              <w:t>For the Three Months Ended June</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gridSpan w:val="3"/>
          </w:tcPr>
          <w:p>
            <w:pPr>
              <w:jc w:val="right"/>
              <w:ind w:right="150"/>
              <w:spacing w:after="0"/>
              <w:rPr>
                <w:sz w:val="20"/>
                <w:szCs w:val="20"/>
                <w:color w:val="auto"/>
              </w:rPr>
            </w:pPr>
            <w:r>
              <w:rPr>
                <w:rFonts w:ascii="Arial" w:cs="Arial" w:eastAsia="Arial" w:hAnsi="Arial"/>
                <w:sz w:val="16"/>
                <w:szCs w:val="16"/>
                <w:b w:val="1"/>
                <w:bCs w:val="1"/>
                <w:color w:val="auto"/>
                <w:w w:val="98"/>
              </w:rPr>
              <w:t>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33"/>
        </w:trPr>
        <w:tc>
          <w:tcPr>
            <w:tcW w:w="5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r>
      <w:tr>
        <w:trPr>
          <w:trHeight w:val="33"/>
        </w:trPr>
        <w:tc>
          <w:tcPr>
            <w:tcW w:w="5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Residential Heating &amp; Cooling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644.8</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689.1</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1,086.9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1,154.6</w:t>
            </w:r>
          </w:p>
        </w:tc>
      </w:tr>
      <w:tr>
        <w:trPr>
          <w:trHeight w:val="27"/>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Heating &amp; Cooling</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434.7</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Refrigeration</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300.1</w:t>
            </w:r>
          </w:p>
        </w:tc>
      </w:tr>
      <w:tr>
        <w:trPr>
          <w:trHeight w:val="27"/>
        </w:trPr>
        <w:tc>
          <w:tcPr>
            <w:tcW w:w="5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5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941.3</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1,099.1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1,665.1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1,889.4</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5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9"/>
        </w:trPr>
        <w:tc>
          <w:tcPr>
            <w:tcW w:w="5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Segment profit (loss) </w:t>
            </w:r>
            <w:r>
              <w:rPr>
                <w:rFonts w:ascii="Arial" w:cs="Arial" w:eastAsia="Arial" w:hAnsi="Arial"/>
                <w:sz w:val="23"/>
                <w:szCs w:val="23"/>
                <w:b w:val="1"/>
                <w:bCs w:val="1"/>
                <w:color w:val="auto"/>
                <w:vertAlign w:val="superscript"/>
              </w:rPr>
              <w:t>(1)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Residential Heating &amp; Cooling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127.3</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159.8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240.1</w:t>
            </w:r>
          </w:p>
        </w:tc>
      </w:tr>
      <w:tr>
        <w:trPr>
          <w:trHeight w:val="27"/>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Heating &amp; Cooling</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68.9</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Refrigeration</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27.5</w:t>
            </w:r>
          </w:p>
        </w:tc>
      </w:tr>
      <w:tr>
        <w:trPr>
          <w:trHeight w:val="27"/>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w:t>
            </w:r>
          </w:p>
        </w:tc>
      </w:tr>
      <w:tr>
        <w:trPr>
          <w:trHeight w:val="237"/>
        </w:trPr>
        <w:tc>
          <w:tcPr>
            <w:tcW w:w="5900" w:type="dxa"/>
            <w:vAlign w:val="bottom"/>
          </w:tcPr>
          <w:p>
            <w:pPr>
              <w:ind w:left="220"/>
              <w:spacing w:after="0"/>
              <w:rPr>
                <w:sz w:val="20"/>
                <w:szCs w:val="20"/>
                <w:color w:val="auto"/>
              </w:rPr>
            </w:pPr>
            <w:r>
              <w:rPr>
                <w:rFonts w:ascii="Arial" w:cs="Arial" w:eastAsia="Arial" w:hAnsi="Arial"/>
                <w:sz w:val="18"/>
                <w:szCs w:val="18"/>
                <w:color w:val="auto"/>
              </w:rPr>
              <w:t>Total segment profit</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190.6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300.3</w:t>
            </w:r>
          </w:p>
        </w:tc>
      </w:tr>
      <w:tr>
        <w:trPr>
          <w:trHeight w:val="27"/>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to 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Special product quality adjustments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sale of business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Partial advance of insurance recoveries related to lost profits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(8.0)</w:t>
            </w:r>
          </w:p>
        </w:tc>
      </w:tr>
      <w:tr>
        <w:trPr>
          <w:trHeight w:val="27"/>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(gain) from natural disaster, net of insurance recoveries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w w:val="91"/>
              </w:rPr>
              <w:t>Items in (Gains) losses and other expenses, net that are excluded from segment</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profit (loss) (1)</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3.9</w:t>
            </w:r>
          </w:p>
        </w:tc>
      </w:tr>
      <w:tr>
        <w:trPr>
          <w:trHeight w:val="27"/>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w:t>
            </w:r>
          </w:p>
        </w:tc>
      </w:tr>
      <w:tr>
        <w:trPr>
          <w:trHeight w:val="26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136.0</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213.8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172.3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308.5</w:t>
            </w:r>
          </w:p>
        </w:tc>
      </w:tr>
      <w:tr>
        <w:trPr>
          <w:trHeight w:val="20"/>
        </w:trPr>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hanging="169"/>
        <w:spacing w:after="0"/>
        <w:tabs>
          <w:tab w:leader="none" w:pos="420" w:val="left"/>
        </w:tabs>
        <w:numPr>
          <w:ilvl w:val="0"/>
          <w:numId w:val="3"/>
        </w:numPr>
        <w:rPr>
          <w:rFonts w:ascii="Arial" w:cs="Arial" w:eastAsia="Arial" w:hAnsi="Arial"/>
          <w:sz w:val="20"/>
          <w:szCs w:val="20"/>
          <w:color w:val="auto"/>
          <w:vertAlign w:val="superscript"/>
        </w:rPr>
      </w:pPr>
      <w:r>
        <w:rPr>
          <w:rFonts w:ascii="Arial" w:cs="Arial" w:eastAsia="Arial" w:hAnsi="Arial"/>
          <w:sz w:val="16"/>
          <w:szCs w:val="16"/>
          <w:color w:val="auto"/>
        </w:rPr>
        <w:t>We define segment profit (loss) as a segment's operating income included in the accompanying Consolidated Statements of Operations, excluding:</w:t>
      </w:r>
    </w:p>
    <w:p>
      <w:pPr>
        <w:spacing w:after="0" w:line="2" w:lineRule="exact"/>
        <w:rPr>
          <w:rFonts w:ascii="Arial" w:cs="Arial" w:eastAsia="Arial" w:hAnsi="Arial"/>
          <w:sz w:val="20"/>
          <w:szCs w:val="20"/>
          <w:color w:val="auto"/>
          <w:vertAlign w:val="superscript"/>
        </w:rPr>
      </w:pPr>
    </w:p>
    <w:p>
      <w:pPr>
        <w:ind w:left="740" w:hanging="246"/>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following items in losses (gains) and other expenses, net:</w:t>
      </w:r>
    </w:p>
    <w:p>
      <w:pPr>
        <w:spacing w:after="0" w:line="7" w:lineRule="exact"/>
        <w:rPr>
          <w:rFonts w:ascii="Arial" w:cs="Arial" w:eastAsia="Arial" w:hAnsi="Arial"/>
          <w:sz w:val="18"/>
          <w:szCs w:val="18"/>
          <w:color w:val="auto"/>
        </w:rPr>
      </w:pPr>
    </w:p>
    <w:p>
      <w:pPr>
        <w:ind w:left="1140" w:hanging="241"/>
        <w:spacing w:after="0"/>
        <w:tabs>
          <w:tab w:leader="none" w:pos="1140" w:val="left"/>
        </w:tabs>
        <w:numPr>
          <w:ilvl w:val="2"/>
          <w:numId w:val="3"/>
        </w:numPr>
        <w:rPr>
          <w:rFonts w:ascii="Arial" w:cs="Arial" w:eastAsia="Arial" w:hAnsi="Arial"/>
          <w:sz w:val="18"/>
          <w:szCs w:val="18"/>
          <w:color w:val="auto"/>
        </w:rPr>
      </w:pPr>
      <w:r>
        <w:rPr>
          <w:rFonts w:ascii="Arial" w:cs="Arial" w:eastAsia="Arial" w:hAnsi="Arial"/>
          <w:sz w:val="18"/>
          <w:szCs w:val="18"/>
          <w:color w:val="auto"/>
        </w:rPr>
        <w:t>Net change in unrealized losses (gains) on unsettled futures contracts,</w:t>
      </w:r>
    </w:p>
    <w:p>
      <w:pPr>
        <w:spacing w:after="0" w:line="9" w:lineRule="exact"/>
        <w:rPr>
          <w:rFonts w:ascii="Arial" w:cs="Arial" w:eastAsia="Arial" w:hAnsi="Arial"/>
          <w:sz w:val="18"/>
          <w:szCs w:val="18"/>
          <w:color w:val="auto"/>
        </w:rPr>
      </w:pPr>
    </w:p>
    <w:p>
      <w:pPr>
        <w:ind w:left="1140" w:hanging="241"/>
        <w:spacing w:after="0"/>
        <w:tabs>
          <w:tab w:leader="none" w:pos="1140" w:val="left"/>
        </w:tabs>
        <w:numPr>
          <w:ilvl w:val="2"/>
          <w:numId w:val="3"/>
        </w:numPr>
        <w:rPr>
          <w:rFonts w:ascii="Arial" w:cs="Arial" w:eastAsia="Arial" w:hAnsi="Arial"/>
          <w:sz w:val="18"/>
          <w:szCs w:val="18"/>
          <w:color w:val="auto"/>
        </w:rPr>
      </w:pPr>
      <w:r>
        <w:rPr>
          <w:rFonts w:ascii="Arial" w:cs="Arial" w:eastAsia="Arial" w:hAnsi="Arial"/>
          <w:sz w:val="18"/>
          <w:szCs w:val="18"/>
          <w:color w:val="auto"/>
        </w:rPr>
        <w:t>Special legal contingency charges,</w:t>
      </w:r>
    </w:p>
    <w:p>
      <w:pPr>
        <w:spacing w:after="0" w:line="9" w:lineRule="exact"/>
        <w:rPr>
          <w:rFonts w:ascii="Arial" w:cs="Arial" w:eastAsia="Arial" w:hAnsi="Arial"/>
          <w:sz w:val="18"/>
          <w:szCs w:val="18"/>
          <w:color w:val="auto"/>
        </w:rPr>
      </w:pPr>
    </w:p>
    <w:p>
      <w:pPr>
        <w:ind w:left="1140" w:hanging="241"/>
        <w:spacing w:after="0"/>
        <w:tabs>
          <w:tab w:leader="none" w:pos="1140" w:val="left"/>
        </w:tabs>
        <w:numPr>
          <w:ilvl w:val="2"/>
          <w:numId w:val="3"/>
        </w:numPr>
        <w:rPr>
          <w:rFonts w:ascii="Arial" w:cs="Arial" w:eastAsia="Arial" w:hAnsi="Arial"/>
          <w:sz w:val="18"/>
          <w:szCs w:val="18"/>
          <w:color w:val="auto"/>
        </w:rPr>
      </w:pPr>
      <w:r>
        <w:rPr>
          <w:rFonts w:ascii="Arial" w:cs="Arial" w:eastAsia="Arial" w:hAnsi="Arial"/>
          <w:sz w:val="18"/>
          <w:szCs w:val="18"/>
          <w:color w:val="auto"/>
        </w:rPr>
        <w:t>Asbestos-related litigation,</w:t>
      </w:r>
    </w:p>
    <w:p>
      <w:pPr>
        <w:spacing w:after="0" w:line="9" w:lineRule="exact"/>
        <w:rPr>
          <w:rFonts w:ascii="Arial" w:cs="Arial" w:eastAsia="Arial" w:hAnsi="Arial"/>
          <w:sz w:val="18"/>
          <w:szCs w:val="18"/>
          <w:color w:val="auto"/>
        </w:rPr>
      </w:pPr>
    </w:p>
    <w:p>
      <w:pPr>
        <w:ind w:left="1140" w:hanging="241"/>
        <w:spacing w:after="0"/>
        <w:tabs>
          <w:tab w:leader="none" w:pos="1140" w:val="left"/>
        </w:tabs>
        <w:numPr>
          <w:ilvl w:val="2"/>
          <w:numId w:val="3"/>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9" w:lineRule="exact"/>
        <w:rPr>
          <w:rFonts w:ascii="Arial" w:cs="Arial" w:eastAsia="Arial" w:hAnsi="Arial"/>
          <w:sz w:val="18"/>
          <w:szCs w:val="18"/>
          <w:color w:val="auto"/>
        </w:rPr>
      </w:pPr>
    </w:p>
    <w:p>
      <w:pPr>
        <w:ind w:left="1140" w:hanging="241"/>
        <w:spacing w:after="0"/>
        <w:tabs>
          <w:tab w:leader="none" w:pos="1140" w:val="left"/>
        </w:tabs>
        <w:numPr>
          <w:ilvl w:val="2"/>
          <w:numId w:val="3"/>
        </w:numPr>
        <w:rPr>
          <w:rFonts w:ascii="Arial" w:cs="Arial" w:eastAsia="Arial" w:hAnsi="Arial"/>
          <w:sz w:val="18"/>
          <w:szCs w:val="18"/>
          <w:color w:val="auto"/>
        </w:rPr>
      </w:pPr>
      <w:r>
        <w:rPr>
          <w:rFonts w:ascii="Arial" w:cs="Arial" w:eastAsia="Arial" w:hAnsi="Arial"/>
          <w:sz w:val="18"/>
          <w:szCs w:val="18"/>
          <w:color w:val="auto"/>
        </w:rPr>
        <w:t>Charges incurred related to COVID-19 pandemic,</w:t>
      </w:r>
    </w:p>
    <w:p>
      <w:pPr>
        <w:spacing w:after="0" w:line="9" w:lineRule="exact"/>
        <w:rPr>
          <w:rFonts w:ascii="Arial" w:cs="Arial" w:eastAsia="Arial" w:hAnsi="Arial"/>
          <w:sz w:val="18"/>
          <w:szCs w:val="18"/>
          <w:color w:val="auto"/>
        </w:rPr>
      </w:pPr>
    </w:p>
    <w:p>
      <w:pPr>
        <w:ind w:left="1140" w:hanging="241"/>
        <w:spacing w:after="0"/>
        <w:tabs>
          <w:tab w:leader="none" w:pos="1140" w:val="left"/>
        </w:tabs>
        <w:numPr>
          <w:ilvl w:val="2"/>
          <w:numId w:val="3"/>
        </w:numPr>
        <w:rPr>
          <w:rFonts w:ascii="Arial" w:cs="Arial" w:eastAsia="Arial" w:hAnsi="Arial"/>
          <w:sz w:val="16"/>
          <w:szCs w:val="16"/>
          <w:color w:val="auto"/>
        </w:rPr>
      </w:pPr>
      <w:r>
        <w:rPr>
          <w:rFonts w:ascii="Arial" w:cs="Arial" w:eastAsia="Arial" w:hAnsi="Arial"/>
          <w:sz w:val="18"/>
          <w:szCs w:val="18"/>
          <w:color w:val="auto"/>
        </w:rPr>
        <w:t>Other items, net,</w:t>
      </w:r>
    </w:p>
    <w:p>
      <w:pPr>
        <w:spacing w:after="0" w:line="9" w:lineRule="exact"/>
        <w:rPr>
          <w:rFonts w:ascii="Arial" w:cs="Arial" w:eastAsia="Arial" w:hAnsi="Arial"/>
          <w:sz w:val="16"/>
          <w:szCs w:val="16"/>
          <w:color w:val="auto"/>
        </w:rPr>
      </w:pPr>
    </w:p>
    <w:p>
      <w:pPr>
        <w:ind w:left="740" w:hanging="246"/>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Loss on sale of business,</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Special product quality adjustments,</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Partial advance of insurance recoveries related to lost profits,</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Loss (gain) from natural disaster, net of insurance recoveries; and,</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Restructuring charges.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3. Earnings Per Share:</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computations of basic and diluted earnings per share for Income from continuing operations were as follows (in millions, except per share data):</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226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Three Months Ended</w:t>
            </w:r>
          </w:p>
        </w:tc>
        <w:tc>
          <w:tcPr>
            <w:tcW w:w="23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For the Six Months Ended June</w:t>
            </w:r>
          </w:p>
        </w:tc>
      </w:tr>
      <w:tr>
        <w:trPr>
          <w:trHeight w:val="210"/>
        </w:trPr>
        <w:tc>
          <w:tcPr>
            <w:tcW w:w="6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30,</w:t>
            </w:r>
          </w:p>
        </w:tc>
        <w:tc>
          <w:tcPr>
            <w:tcW w:w="940" w:type="dxa"/>
            <w:vAlign w:val="bottom"/>
          </w:tcPr>
          <w:p>
            <w:pPr>
              <w:spacing w:after="0"/>
              <w:rPr>
                <w:sz w:val="18"/>
                <w:szCs w:val="18"/>
                <w:color w:val="auto"/>
              </w:rPr>
            </w:pPr>
          </w:p>
        </w:tc>
      </w:tr>
      <w:tr>
        <w:trPr>
          <w:trHeight w:val="33"/>
        </w:trPr>
        <w:tc>
          <w:tcPr>
            <w:tcW w:w="6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r>
      <w:tr>
        <w:trPr>
          <w:trHeight w:val="33"/>
        </w:trPr>
        <w:tc>
          <w:tcPr>
            <w:tcW w:w="6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112.9</w:t>
            </w: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180.0</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Exclude: (Income) loss from discontinued operations</w:t>
            </w:r>
          </w:p>
        </w:tc>
        <w:tc>
          <w:tcPr>
            <w:tcW w:w="22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0.4</w:t>
            </w:r>
          </w:p>
        </w:tc>
      </w:tr>
      <w:tr>
        <w:trPr>
          <w:trHeight w:val="27"/>
        </w:trPr>
        <w:tc>
          <w:tcPr>
            <w:tcW w:w="6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100.6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113.1</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180.4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39.4</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Add: Potential effect of dilutive securities attributable to stock-based payments</w:t>
            </w:r>
          </w:p>
        </w:tc>
        <w:tc>
          <w:tcPr>
            <w:tcW w:w="22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0.4</w:t>
            </w:r>
          </w:p>
        </w:tc>
      </w:tr>
      <w:tr>
        <w:trPr>
          <w:trHeight w:val="27"/>
        </w:trPr>
        <w:tc>
          <w:tcPr>
            <w:tcW w:w="6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diluted</w:t>
            </w: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38.4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39.5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38.6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39.8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Earnings per share – Basic:</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2.95</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4.58</w:t>
            </w:r>
          </w:p>
        </w:tc>
      </w:tr>
      <w:tr>
        <w:trPr>
          <w:trHeight w:val="27"/>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r>
      <w:tr>
        <w:trPr>
          <w:trHeight w:val="264"/>
        </w:trPr>
        <w:tc>
          <w:tcPr>
            <w:tcW w:w="66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4.57</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6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2.93</w:t>
            </w: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4.53</w:t>
            </w:r>
          </w:p>
        </w:tc>
      </w:tr>
      <w:tr>
        <w:trPr>
          <w:trHeight w:val="243"/>
        </w:trPr>
        <w:tc>
          <w:tcPr>
            <w:tcW w:w="6600" w:type="dxa"/>
            <w:vAlign w:val="bottom"/>
          </w:tcPr>
          <w:p>
            <w:pPr>
              <w:ind w:left="22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(0.01)</w:t>
            </w:r>
          </w:p>
        </w:tc>
      </w:tr>
      <w:tr>
        <w:trPr>
          <w:trHeight w:val="27"/>
        </w:trPr>
        <w:tc>
          <w:tcPr>
            <w:tcW w:w="6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3"/>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2.93</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stock appreciation rights and restricted stock units were outstanding but not included in the diluted earnings per share calculation because the assumed exercise of such rights would have been anti-dilutive (in millions, except for per share data):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3760" w:type="dxa"/>
            <w:vAlign w:val="bottom"/>
            <w:gridSpan w:val="5"/>
          </w:tcPr>
          <w:p>
            <w:pPr>
              <w:ind w:left="500"/>
              <w:spacing w:after="0"/>
              <w:rPr>
                <w:sz w:val="20"/>
                <w:szCs w:val="20"/>
                <w:color w:val="auto"/>
              </w:rPr>
            </w:pPr>
            <w:r>
              <w:rPr>
                <w:rFonts w:ascii="Arial" w:cs="Arial" w:eastAsia="Arial" w:hAnsi="Arial"/>
                <w:sz w:val="16"/>
                <w:szCs w:val="16"/>
                <w:b w:val="1"/>
                <w:bCs w:val="1"/>
                <w:color w:val="auto"/>
              </w:rPr>
              <w:t>For the Three Months Ended June 30,</w:t>
            </w:r>
          </w:p>
        </w:tc>
        <w:tc>
          <w:tcPr>
            <w:tcW w:w="3640" w:type="dxa"/>
            <w:vAlign w:val="bottom"/>
            <w:gridSpan w:val="4"/>
          </w:tcPr>
          <w:p>
            <w:pPr>
              <w:jc w:val="right"/>
              <w:ind w:right="513"/>
              <w:spacing w:after="0"/>
              <w:rPr>
                <w:sz w:val="20"/>
                <w:szCs w:val="20"/>
                <w:color w:val="auto"/>
              </w:rPr>
            </w:pPr>
            <w:r>
              <w:rPr>
                <w:rFonts w:ascii="Arial" w:cs="Arial" w:eastAsia="Arial" w:hAnsi="Arial"/>
                <w:sz w:val="16"/>
                <w:szCs w:val="16"/>
                <w:b w:val="1"/>
                <w:bCs w:val="1"/>
                <w:color w:val="auto"/>
              </w:rPr>
              <w:t>For the Six Months Ended June 30,</w:t>
            </w:r>
          </w:p>
        </w:tc>
      </w:tr>
      <w:tr>
        <w:trPr>
          <w:trHeight w:val="33"/>
        </w:trPr>
        <w:tc>
          <w:tcPr>
            <w:tcW w:w="38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840" w:type="dxa"/>
            <w:vAlign w:val="bottom"/>
          </w:tcPr>
          <w:p>
            <w:pPr>
              <w:spacing w:after="0"/>
              <w:rPr>
                <w:sz w:val="18"/>
                <w:szCs w:val="18"/>
                <w:color w:val="auto"/>
              </w:rPr>
            </w:pPr>
          </w:p>
        </w:tc>
        <w:tc>
          <w:tcPr>
            <w:tcW w:w="1780" w:type="dxa"/>
            <w:vAlign w:val="bottom"/>
          </w:tcPr>
          <w:p>
            <w:pPr>
              <w:jc w:val="right"/>
              <w:ind w:right="65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6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760" w:type="dxa"/>
            <w:vAlign w:val="bottom"/>
          </w:tcPr>
          <w:p>
            <w:pPr>
              <w:jc w:val="right"/>
              <w:ind w:right="63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3"/>
              <w:spacing w:after="0"/>
              <w:rPr>
                <w:sz w:val="20"/>
                <w:szCs w:val="20"/>
                <w:color w:val="auto"/>
              </w:rPr>
            </w:pPr>
            <w:r>
              <w:rPr>
                <w:rFonts w:ascii="Arial" w:cs="Arial" w:eastAsia="Arial" w:hAnsi="Arial"/>
                <w:sz w:val="16"/>
                <w:szCs w:val="16"/>
                <w:b w:val="1"/>
                <w:bCs w:val="1"/>
                <w:color w:val="auto"/>
              </w:rPr>
              <w:t>2019</w:t>
            </w:r>
          </w:p>
        </w:tc>
      </w:tr>
      <w:tr>
        <w:trPr>
          <w:trHeight w:val="33"/>
        </w:trPr>
        <w:tc>
          <w:tcPr>
            <w:tcW w:w="38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number of shares</w:t>
            </w:r>
          </w:p>
        </w:tc>
        <w:tc>
          <w:tcPr>
            <w:tcW w:w="17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0.2</w:t>
            </w:r>
          </w:p>
        </w:tc>
      </w:tr>
      <w:tr>
        <w:trPr>
          <w:trHeight w:val="270"/>
        </w:trPr>
        <w:tc>
          <w:tcPr>
            <w:tcW w:w="3840" w:type="dxa"/>
            <w:vAlign w:val="bottom"/>
          </w:tcPr>
          <w:p>
            <w:pPr>
              <w:ind w:left="20"/>
              <w:spacing w:after="0"/>
              <w:rPr>
                <w:sz w:val="20"/>
                <w:szCs w:val="20"/>
                <w:color w:val="auto"/>
              </w:rPr>
            </w:pPr>
            <w:r>
              <w:rPr>
                <w:rFonts w:ascii="Arial" w:cs="Arial" w:eastAsia="Arial" w:hAnsi="Arial"/>
                <w:sz w:val="18"/>
                <w:szCs w:val="18"/>
                <w:color w:val="auto"/>
              </w:rPr>
              <w:t>Price per share</w:t>
            </w:r>
          </w:p>
        </w:tc>
        <w:tc>
          <w:tcPr>
            <w:tcW w:w="1780" w:type="dxa"/>
            <w:vAlign w:val="bottom"/>
          </w:tcPr>
          <w:p>
            <w:pPr>
              <w:jc w:val="right"/>
              <w:spacing w:after="0"/>
              <w:rPr>
                <w:sz w:val="20"/>
                <w:szCs w:val="20"/>
                <w:color w:val="auto"/>
              </w:rPr>
            </w:pPr>
            <w:r>
              <w:rPr>
                <w:rFonts w:ascii="Arial" w:cs="Arial" w:eastAsia="Arial" w:hAnsi="Arial"/>
                <w:sz w:val="18"/>
                <w:szCs w:val="18"/>
                <w:color w:val="auto"/>
              </w:rPr>
              <w:t>$205.53 - $257.08</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205.53</w:t>
            </w: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$205.53 - $257.08</w:t>
            </w:r>
          </w:p>
        </w:tc>
        <w:tc>
          <w:tcPr>
            <w:tcW w:w="12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205.53</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determine if an arrangement is a lease at inception. Operating leases are included in our Consolidated Balance Sheets as Right-of-use assets from operating leases, Current operating lease liabilities and Long-term operating lease liabilities. Finance leases are included in Property, plant and equipment, Current maturities of long-term debt and Long-term debt in our Consolidated Balance Sheets. We do not recognize a right-of-use asset and lease liability for leases with a term of 12 months or less. We do not separate non-lease components from lease components to which they relate and have accounted for the combined lease and non-lease components as a single lease component.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2" w:name="page13"/>
    <w:bookmarkEnd w:id="12"/>
    <w:p>
      <w:pPr>
        <w:jc w:val="both"/>
        <w:ind w:firstLine="243"/>
        <w:spacing w:after="0" w:line="293" w:lineRule="auto"/>
        <w:rPr>
          <w:sz w:val="20"/>
          <w:szCs w:val="20"/>
          <w:color w:val="auto"/>
        </w:rPr>
      </w:pPr>
      <w:r>
        <w:rPr>
          <w:rFonts w:ascii="Arial" w:cs="Arial" w:eastAsia="Arial" w:hAnsi="Arial"/>
          <w:sz w:val="16"/>
          <w:szCs w:val="16"/>
          <w:color w:val="auto"/>
        </w:rPr>
        <w:t>Many of our lease agreements contain renewal options; however, we do not recognize right-of-use assets or lease liabilities for renewal periods unless it is determined that we are reasonably certain of renewing the lease at inception or when a triggering 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which is the date we enter the leased space and begin to make improvements in preparation for its intended use. Variable lease components represent amounts that are not fixed in nature and are not tied to an index or rate, and are recognized as incurred.</w:t>
      </w:r>
    </w:p>
    <w:p>
      <w:pPr>
        <w:spacing w:after="0" w:line="19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Under certain of our third-party service agreements, we control a specific space or underlying asset used in providing the service by the third-party service provider. These arrangements meet the definition under ASC 842 and therefore are accounted for under ASC 842.</w:t>
      </w:r>
    </w:p>
    <w:p>
      <w:pPr>
        <w:spacing w:after="0" w:line="197"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over various tenors (ranging from 1-year through 30-years), a comparable market yield curve consistent with our credit quality was calibrated to our publicly outstanding debt instruments.</w:t>
      </w:r>
    </w:p>
    <w:p>
      <w:pPr>
        <w:spacing w:after="0" w:line="20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lease certain real and personal property under non-cancelable operating leases. Approximately 75% of our right-of-use assets and lease liabilities relate to our leases of real estate with the remaining amounts relating to our leases of IT equipment, fleet vehicles and manufacturing and distribution equipment.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 and Product Related Contingencies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assumptions, as necessary.</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Liabilities for estimated product warranty costs related to continuing operations are included in the following captions on the accompanying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As of June 30, 2020</w:t>
            </w: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As of December 31, 2019</w:t>
            </w:r>
          </w:p>
        </w:tc>
      </w:tr>
      <w:tr>
        <w:trPr>
          <w:trHeight w:val="33"/>
        </w:trPr>
        <w:tc>
          <w:tcPr>
            <w:tcW w:w="7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37.5</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38.2</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79.4</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74.6</w:t>
            </w:r>
          </w:p>
        </w:tc>
      </w:tr>
      <w:tr>
        <w:trPr>
          <w:trHeight w:val="27"/>
        </w:trPr>
        <w:tc>
          <w:tcPr>
            <w:tcW w:w="7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7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warranty liability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116.9</w:t>
            </w: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112.8</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changes in product warranty liabilities related to continuing operations for the six months ended June 30, 2020 were as follows (in millions):</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warranty liability as of December 31, 2019</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112.8</w:t>
            </w:r>
          </w:p>
        </w:tc>
      </w:tr>
      <w:tr>
        <w:trPr>
          <w:trHeight w:val="243"/>
        </w:trPr>
        <w:tc>
          <w:tcPr>
            <w:tcW w:w="9900" w:type="dxa"/>
            <w:vAlign w:val="bottom"/>
          </w:tcPr>
          <w:p>
            <w:pPr>
              <w:ind w:left="200"/>
              <w:spacing w:after="0"/>
              <w:rPr>
                <w:sz w:val="20"/>
                <w:szCs w:val="20"/>
                <w:color w:val="auto"/>
              </w:rPr>
            </w:pPr>
            <w:r>
              <w:rPr>
                <w:rFonts w:ascii="Arial" w:cs="Arial" w:eastAsia="Arial" w:hAnsi="Arial"/>
                <w:sz w:val="18"/>
                <w:szCs w:val="18"/>
                <w:color w:val="auto"/>
              </w:rPr>
              <w:t>Warranty claims paid</w:t>
            </w:r>
          </w:p>
        </w:tc>
        <w:tc>
          <w:tcPr>
            <w:tcW w:w="4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9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Changes resulting from issuance of new warranties</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19.5</w:t>
            </w:r>
          </w:p>
        </w:tc>
      </w:tr>
      <w:tr>
        <w:trPr>
          <w:trHeight w:val="243"/>
        </w:trPr>
        <w:tc>
          <w:tcPr>
            <w:tcW w:w="9900" w:type="dxa"/>
            <w:vAlign w:val="bottom"/>
          </w:tcPr>
          <w:p>
            <w:pPr>
              <w:ind w:left="200"/>
              <w:spacing w:after="0"/>
              <w:rPr>
                <w:sz w:val="20"/>
                <w:szCs w:val="20"/>
                <w:color w:val="auto"/>
              </w:rPr>
            </w:pPr>
            <w:r>
              <w:rPr>
                <w:rFonts w:ascii="Arial" w:cs="Arial" w:eastAsia="Arial" w:hAnsi="Arial"/>
                <w:sz w:val="18"/>
                <w:szCs w:val="18"/>
                <w:color w:val="auto"/>
              </w:rPr>
              <w:t>Changes in estimates associated with pre-existing liabilities</w:t>
            </w:r>
          </w:p>
        </w:tc>
        <w:tc>
          <w:tcPr>
            <w:tcW w:w="44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0.1</w:t>
            </w:r>
          </w:p>
        </w:tc>
      </w:tr>
      <w:tr>
        <w:trPr>
          <w:trHeight w:val="27"/>
        </w:trPr>
        <w:tc>
          <w:tcPr>
            <w:tcW w:w="9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Changes in foreign currency translation rates and other</w:t>
            </w: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37"/>
        </w:trPr>
        <w:tc>
          <w:tcPr>
            <w:tcW w:w="9900" w:type="dxa"/>
            <w:vAlign w:val="bottom"/>
          </w:tcPr>
          <w:p>
            <w:pPr>
              <w:ind w:left="20"/>
              <w:spacing w:after="0"/>
              <w:rPr>
                <w:sz w:val="20"/>
                <w:szCs w:val="20"/>
                <w:color w:val="auto"/>
              </w:rPr>
            </w:pPr>
            <w:r>
              <w:rPr>
                <w:rFonts w:ascii="Arial" w:cs="Arial" w:eastAsia="Arial" w:hAnsi="Arial"/>
                <w:sz w:val="18"/>
                <w:szCs w:val="18"/>
                <w:b w:val="1"/>
                <w:bCs w:val="1"/>
                <w:color w:val="auto"/>
              </w:rPr>
              <w:t>Total warranty liability as of June 30, 2020</w:t>
            </w: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116.9</w:t>
            </w:r>
          </w:p>
        </w:tc>
      </w:tr>
      <w:tr>
        <w:trPr>
          <w:trHeight w:val="27"/>
        </w:trPr>
        <w:tc>
          <w:tcPr>
            <w:tcW w:w="99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9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have incurred, and will likely continue to incur, product costs not covered by insurance or our suppliers’ warranties, which are not included in the tables immediately above. Also, to satisfy our customers and protect our brands, we have repaired or replaced installed products experiencing quality-related issues, and will likely continue such repairs and replacements. Liabilities for such quality related issues are not material.</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21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Some of these claims and lawsuits allege personal injury or health problems resulting from exposure to asbestos that was integrated into certain of our products. We have never manufactured asbestos and have not incorporated asbestos-containing components into our products for several decades. A substantial majority of these asbestos-related claims have been covered by insurance or other forms of indemnity or have been dismissed without payment. The remainder of our closed cases have been resolved for amounts that are not material, individually or in the aggregate. Our defense costs for asbestos-related claims are generally covered by insurance. However, our insurance coverage for settlements and judgments for asbestos-related claims varies depending on several factors and are subject to policy limits. We may have greater financial exposure for future settlements and judgments. The following table summarizes the expenses, net of probable insurance recoveries, for known and future asbestos-related litigation recorded in Losses (gains) and other expenses, net in the Consolidated Statements of Operations.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2660" w:type="dxa"/>
            <w:vAlign w:val="bottom"/>
            <w:gridSpan w:val="7"/>
          </w:tcPr>
          <w:p>
            <w:pPr>
              <w:jc w:val="center"/>
              <w:ind w:right="160"/>
              <w:spacing w:after="0"/>
              <w:rPr>
                <w:sz w:val="20"/>
                <w:szCs w:val="20"/>
                <w:color w:val="auto"/>
              </w:rPr>
            </w:pPr>
            <w:r>
              <w:rPr>
                <w:rFonts w:ascii="Arial" w:cs="Arial" w:eastAsia="Arial" w:hAnsi="Arial"/>
                <w:sz w:val="16"/>
                <w:szCs w:val="16"/>
                <w:b w:val="1"/>
                <w:bCs w:val="1"/>
                <w:color w:val="auto"/>
                <w:w w:val="91"/>
              </w:rPr>
              <w:t>For the Three Months Ended June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30,</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ind w:left="20"/>
              <w:spacing w:after="0"/>
              <w:rPr>
                <w:sz w:val="20"/>
                <w:szCs w:val="20"/>
                <w:color w:val="auto"/>
              </w:rPr>
            </w:pPr>
            <w:r>
              <w:rPr>
                <w:rFonts w:ascii="Arial" w:cs="Arial" w:eastAsia="Arial" w:hAnsi="Arial"/>
                <w:sz w:val="16"/>
                <w:szCs w:val="16"/>
                <w:b w:val="1"/>
                <w:bCs w:val="1"/>
                <w:color w:val="auto"/>
                <w:w w:val="91"/>
              </w:rPr>
              <w:t>For the Six Months Ended June 30,</w:t>
            </w:r>
          </w:p>
        </w:tc>
      </w:tr>
      <w:tr>
        <w:trPr>
          <w:trHeight w:val="33"/>
        </w:trPr>
        <w:tc>
          <w:tcPr>
            <w:tcW w:w="6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3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6"/>
                <w:szCs w:val="16"/>
                <w:b w:val="1"/>
                <w:bCs w:val="1"/>
                <w:color w:val="auto"/>
              </w:rPr>
              <w:t>2019</w:t>
            </w:r>
          </w:p>
        </w:tc>
      </w:tr>
      <w:tr>
        <w:trPr>
          <w:trHeight w:val="33"/>
        </w:trPr>
        <w:tc>
          <w:tcPr>
            <w:tcW w:w="6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(gain) for asbestos-related litigation, net</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1.8</w:t>
            </w:r>
          </w:p>
        </w:tc>
      </w:tr>
      <w:tr>
        <w:trPr>
          <w:trHeight w:val="27"/>
        </w:trPr>
        <w:tc>
          <w:tcPr>
            <w:tcW w:w="6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Marshalltown Tornado and Recovery</w:t>
      </w:r>
    </w:p>
    <w:p>
      <w:pPr>
        <w:spacing w:after="0" w:line="25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On July 19, 2018, our manufacturing facility in Marshalltown, Iowa was severely damaged by a tornado. Insurance covered the repair or replacement of our assets that suffered damage or loss, and business interruption costs, including lost profits, and reimbursement for other expenses and costs that have been incurred relating to the damages and losses suffered. These costs and insurance recoveries are shown in Insurance proceeds for lost profits and Loss (gain) from natural disaster, net of insurance recoveries in the Consolidated Statements of Operations.</w:t>
      </w:r>
    </w:p>
    <w:p>
      <w:pPr>
        <w:spacing w:after="0" w:line="19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December 2019, we reached a final settlement with our insurance carriers for a total cumulative insurance recovery of $367.5 million for the losses we incurred and will incur from the tornado. All recoveries related to the final settlement were received in 2018 and 2019.</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Gain from insurance recoveries, net of losses incurred:</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5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i w:val="1"/>
                <w:iCs w:val="1"/>
                <w:color w:val="auto"/>
              </w:rPr>
              <w:t>(Amounts in millions)</w:t>
            </w:r>
          </w:p>
        </w:tc>
        <w:tc>
          <w:tcPr>
            <w:tcW w:w="2780" w:type="dxa"/>
            <w:vAlign w:val="bottom"/>
            <w:gridSpan w:val="7"/>
            <w:shd w:val="clear" w:color="auto" w:fill="CCEEFF"/>
          </w:tcPr>
          <w:p>
            <w:pPr>
              <w:ind w:left="120"/>
              <w:spacing w:after="0"/>
              <w:rPr>
                <w:sz w:val="20"/>
                <w:szCs w:val="20"/>
                <w:color w:val="auto"/>
              </w:rPr>
            </w:pPr>
            <w:r>
              <w:rPr>
                <w:rFonts w:ascii="Arial" w:cs="Arial" w:eastAsia="Arial" w:hAnsi="Arial"/>
                <w:sz w:val="16"/>
                <w:szCs w:val="16"/>
                <w:b w:val="1"/>
                <w:bCs w:val="1"/>
                <w:color w:val="auto"/>
              </w:rPr>
              <w:t>For the Three Months Ended June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vMerge w:val="continue"/>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6"/>
                <w:szCs w:val="16"/>
                <w:b w:val="1"/>
                <w:bCs w:val="1"/>
                <w:color w:val="auto"/>
                <w:w w:val="98"/>
              </w:rPr>
              <w:t>30,</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4"/>
            <w:shd w:val="clear" w:color="auto" w:fill="CCEEFF"/>
          </w:tcPr>
          <w:p>
            <w:pPr>
              <w:jc w:val="right"/>
              <w:ind w:right="31"/>
              <w:spacing w:after="0"/>
              <w:rPr>
                <w:sz w:val="20"/>
                <w:szCs w:val="20"/>
                <w:color w:val="auto"/>
              </w:rPr>
            </w:pPr>
            <w:r>
              <w:rPr>
                <w:rFonts w:ascii="Arial" w:cs="Arial" w:eastAsia="Arial" w:hAnsi="Arial"/>
                <w:sz w:val="16"/>
                <w:szCs w:val="16"/>
                <w:b w:val="1"/>
                <w:bCs w:val="1"/>
                <w:color w:val="auto"/>
                <w:w w:val="91"/>
              </w:rPr>
              <w:t>For the Six Months Ended June 30,</w:t>
            </w:r>
          </w:p>
        </w:tc>
        <w:tc>
          <w:tcPr>
            <w:tcW w:w="0" w:type="dxa"/>
            <w:vAlign w:val="bottom"/>
          </w:tcPr>
          <w:p>
            <w:pPr>
              <w:spacing w:after="0"/>
              <w:rPr>
                <w:sz w:val="1"/>
                <w:szCs w:val="1"/>
                <w:color w:val="auto"/>
              </w:rPr>
            </w:pPr>
          </w:p>
        </w:tc>
      </w:tr>
      <w:tr>
        <w:trPr>
          <w:trHeight w:val="217"/>
        </w:trPr>
        <w:tc>
          <w:tcPr>
            <w:tcW w:w="55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Insurance recoveries received</w:t>
            </w:r>
          </w:p>
        </w:tc>
        <w:tc>
          <w:tcPr>
            <w:tcW w:w="840" w:type="dxa"/>
            <w:vAlign w:val="bottom"/>
            <w:tcBorders>
              <w:bottom w:val="single" w:sz="8" w:color="CCEEFF"/>
            </w:tcBorders>
            <w:shd w:val="clear" w:color="auto" w:fill="CCEEFF"/>
          </w:tcPr>
          <w:p>
            <w:pPr>
              <w:jc w:val="right"/>
              <w:ind w:right="655"/>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52.0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128.0</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Losses and expenses incurred:</w:t>
            </w:r>
          </w:p>
        </w:tc>
        <w:tc>
          <w:tcPr>
            <w:tcW w:w="8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Site clean-up and remediation</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5580" w:type="dxa"/>
            <w:vAlign w:val="bottom"/>
          </w:tcPr>
          <w:p>
            <w:pPr>
              <w:ind w:left="200"/>
              <w:spacing w:after="0"/>
              <w:rPr>
                <w:sz w:val="20"/>
                <w:szCs w:val="20"/>
                <w:color w:val="auto"/>
              </w:rPr>
            </w:pPr>
            <w:r>
              <w:rPr>
                <w:rFonts w:ascii="Arial" w:cs="Arial" w:eastAsia="Arial" w:hAnsi="Arial"/>
                <w:sz w:val="18"/>
                <w:szCs w:val="18"/>
                <w:color w:val="auto"/>
              </w:rPr>
              <w:t>Factory inefficiencies due to lower productivity</w:t>
            </w:r>
          </w:p>
        </w:tc>
        <w:tc>
          <w:tcPr>
            <w:tcW w:w="8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7"/>
        </w:trPr>
        <w:tc>
          <w:tcPr>
            <w:tcW w:w="5580" w:type="dxa"/>
            <w:vAlign w:val="bottom"/>
          </w:tcPr>
          <w:p>
            <w:pPr>
              <w:ind w:left="120"/>
              <w:spacing w:after="0"/>
              <w:rPr>
                <w:sz w:val="20"/>
                <w:szCs w:val="20"/>
                <w:color w:val="auto"/>
              </w:rPr>
            </w:pPr>
            <w:r>
              <w:rPr>
                <w:rFonts w:ascii="Arial" w:cs="Arial" w:eastAsia="Arial" w:hAnsi="Arial"/>
                <w:sz w:val="18"/>
                <w:szCs w:val="18"/>
                <w:b w:val="1"/>
                <w:bCs w:val="1"/>
                <w:color w:val="auto"/>
              </w:rPr>
              <w:t>Total losses and expenses</w:t>
            </w:r>
          </w:p>
        </w:tc>
        <w:tc>
          <w:tcPr>
            <w:tcW w:w="84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20.1</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49.7</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Presentation in the Consolidated Statements of Operations:</w:t>
            </w:r>
          </w:p>
        </w:tc>
        <w:tc>
          <w:tcPr>
            <w:tcW w:w="8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20"/>
              <w:spacing w:after="0"/>
              <w:rPr>
                <w:sz w:val="20"/>
                <w:szCs w:val="20"/>
                <w:color w:val="auto"/>
              </w:rPr>
            </w:pPr>
            <w:r>
              <w:rPr>
                <w:rFonts w:ascii="Arial" w:cs="Arial" w:eastAsia="Arial" w:hAnsi="Arial"/>
                <w:sz w:val="18"/>
                <w:szCs w:val="18"/>
                <w:color w:val="auto"/>
              </w:rPr>
              <w:t>Insurance proceeds for lost profits</w:t>
            </w:r>
          </w:p>
        </w:tc>
        <w:tc>
          <w:tcPr>
            <w:tcW w:w="8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(gain) from natural disaster, net of insurance recoveries</w:t>
            </w:r>
          </w:p>
        </w:tc>
        <w:tc>
          <w:tcPr>
            <w:tcW w:w="84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55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5. Stock Repurchases:</w:t>
      </w:r>
    </w:p>
    <w:p>
      <w:pPr>
        <w:spacing w:after="0" w:line="25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Our Board of Directors have authorized a total of $3 billion to repurchase shares of our common stock (collectively referred to as the "Share Repurchase Plans"), including a $500 million share repurchase authorization in December 2019.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As of June 30, 2020, $446 million of shares may be repurchased under the Share Repurchase Plans.</w:t>
      </w:r>
    </w:p>
    <w:p>
      <w:pPr>
        <w:spacing w:after="0" w:line="203"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On February 13, 2020, we entered into a Fixed Dollar Accelerated Share Repurchase Transaction (the "ASR Agreement") with Bank of America, to effect an accelerated stock buyback of the Company's common stock. Under the ASR Agreement, we paid Bank of America $100.0 million and Bank of America delivered to us common stock representing approximately 85% of the shares expected to be purchased under the ASR Agreement. The ASR was completed in March 2020 and Bank of America delivered a total of 0.4 million shares of common stock repurchased under this ASR Agreement.</w:t>
      </w:r>
    </w:p>
    <w:p>
      <w:pPr>
        <w:spacing w:after="0" w:line="18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also repurchased shares for $5.6 million during the six months ended June 30, 2020 from employees who tendered their shares to satisfy minimum tax withholding obligations upon the vesting and exercise of stock-based compensation awards.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Divestitures:</w:t>
      </w:r>
    </w:p>
    <w:p>
      <w:pPr>
        <w:spacing w:after="0" w:line="256"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During the first quarter of 2019, we obtained Board of Directors' approval and signed an agreement with EPTA S.p.A., a private Italian company, for the sale of our Kysor Warren business. The sale was completed on March 29, 2019 and the following table summarizes the net loss recognized in connection with this divestiture. There were no gains or losses on the sale of this business for the six months ended June 30, 2020.</w:t>
      </w:r>
    </w:p>
    <w:p>
      <w:pPr>
        <w:spacing w:after="0" w:line="4"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8380" w:type="dxa"/>
            <w:vAlign w:val="bottom"/>
          </w:tcPr>
          <w:p>
            <w:pPr>
              <w:spacing w:after="0"/>
              <w:rPr>
                <w:sz w:val="17"/>
                <w:szCs w:val="17"/>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For the Year Ended December</w:t>
            </w: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460" w:type="dxa"/>
            <w:vAlign w:val="bottom"/>
          </w:tcPr>
          <w:p>
            <w:pPr>
              <w:spacing w:after="0"/>
              <w:rPr>
                <w:sz w:val="18"/>
                <w:szCs w:val="18"/>
                <w:color w:val="auto"/>
              </w:rPr>
            </w:pPr>
          </w:p>
        </w:tc>
        <w:tc>
          <w:tcPr>
            <w:tcW w:w="1740" w:type="dxa"/>
            <w:vAlign w:val="bottom"/>
          </w:tcPr>
          <w:p>
            <w:pPr>
              <w:jc w:val="right"/>
              <w:ind w:right="732"/>
              <w:spacing w:after="0"/>
              <w:rPr>
                <w:sz w:val="20"/>
                <w:szCs w:val="20"/>
                <w:color w:val="auto"/>
              </w:rPr>
            </w:pPr>
            <w:r>
              <w:rPr>
                <w:rFonts w:ascii="Arial" w:cs="Arial" w:eastAsia="Arial" w:hAnsi="Arial"/>
                <w:sz w:val="16"/>
                <w:szCs w:val="16"/>
                <w:b w:val="1"/>
                <w:bCs w:val="1"/>
                <w:color w:val="auto"/>
              </w:rPr>
              <w:t>31, 2019</w:t>
            </w:r>
          </w:p>
        </w:tc>
      </w:tr>
      <w:tr>
        <w:trPr>
          <w:trHeight w:val="33"/>
        </w:trPr>
        <w:tc>
          <w:tcPr>
            <w:tcW w:w="83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3"/>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received from the buyer</w:t>
            </w: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49.0</w:t>
            </w: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Net assets sold</w:t>
            </w:r>
          </w:p>
        </w:tc>
        <w:tc>
          <w:tcPr>
            <w:tcW w:w="46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(52.0)</w:t>
            </w:r>
          </w:p>
        </w:tc>
      </w:tr>
      <w:tr>
        <w:trPr>
          <w:trHeight w:val="27"/>
        </w:trPr>
        <w:tc>
          <w:tcPr>
            <w:tcW w:w="8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AOCI reclassification adjustments, primarily foreign currency translation</w:t>
            </w:r>
          </w:p>
        </w:tc>
        <w:tc>
          <w:tcPr>
            <w:tcW w:w="4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Direct costs to sell</w:t>
            </w:r>
          </w:p>
        </w:tc>
        <w:tc>
          <w:tcPr>
            <w:tcW w:w="46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7"/>
        </w:trPr>
        <w:tc>
          <w:tcPr>
            <w:tcW w:w="83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8"/>
        </w:trPr>
        <w:tc>
          <w:tcPr>
            <w:tcW w:w="8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Loss on sale of business</w:t>
            </w: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(10.6)</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Restructuring Charges:</w:t>
      </w:r>
    </w:p>
    <w:p>
      <w:pPr>
        <w:spacing w:after="0" w:line="25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We record restructuring charges associated with management-approved restructuring plans when we reorganize or remove duplicative headcount or infrastructure within our businesses. Restructuring charges include severance costs to eliminate a specified number of employees, infrastructure charges to vacate facilities and consolidate operations, contract cancellation costs, accelerated depreciation for impaired assets and other related activities. The timing of associated cash payments is dependent upon the type of restructuring charge and can extend over a multi-year period. Restructuring charges are not included in our calculation of segment profit (loss), as more fully explained in Note 2.</w:t>
      </w:r>
    </w:p>
    <w:p>
      <w:pPr>
        <w:spacing w:after="0" w:line="20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Due to the economic impact of COVID-19 on our business, we implemented several cost reduction actions in the second quarter of 2020. We recorded $10.0 million of restructuring charges in the second quarter of 2020 for these actions, which consisted of employee terminations for positions that are no longer needed to support the business, selective facility closures, and cancellations of certain sales and marketing activities.</w:t>
      </w:r>
    </w:p>
    <w:p>
      <w:pPr>
        <w:spacing w:after="0" w:line="19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Information regarding the restructuring charges for all ongoing activities, including actions initiated in the third and fourth quarters of 2019, is presented in the following table (in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53"/>
              <w:spacing w:after="0"/>
              <w:rPr>
                <w:sz w:val="20"/>
                <w:szCs w:val="20"/>
                <w:color w:val="auto"/>
              </w:rPr>
            </w:pPr>
            <w:r>
              <w:rPr>
                <w:rFonts w:ascii="Arial" w:cs="Arial" w:eastAsia="Arial" w:hAnsi="Arial"/>
                <w:sz w:val="16"/>
                <w:szCs w:val="16"/>
                <w:b w:val="1"/>
                <w:bCs w:val="1"/>
                <w:color w:val="auto"/>
                <w:w w:val="89"/>
              </w:rPr>
              <w:t>Total Expected to</w:t>
            </w:r>
          </w:p>
        </w:tc>
      </w:tr>
      <w:tr>
        <w:trPr>
          <w:trHeight w:val="210"/>
        </w:trPr>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Incurred in 2020</w:t>
            </w:r>
          </w:p>
        </w:tc>
        <w:tc>
          <w:tcPr>
            <w:tcW w:w="1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Incurred to Date</w:t>
            </w:r>
          </w:p>
        </w:tc>
        <w:tc>
          <w:tcPr>
            <w:tcW w:w="140" w:type="dxa"/>
            <w:vAlign w:val="bottom"/>
          </w:tcPr>
          <w:p>
            <w:pPr>
              <w:spacing w:after="0"/>
              <w:rPr>
                <w:sz w:val="18"/>
                <w:szCs w:val="18"/>
                <w:color w:val="auto"/>
              </w:rPr>
            </w:pPr>
          </w:p>
        </w:tc>
        <w:tc>
          <w:tcPr>
            <w:tcW w:w="1360" w:type="dxa"/>
            <w:vAlign w:val="bottom"/>
          </w:tcPr>
          <w:p>
            <w:pPr>
              <w:jc w:val="right"/>
              <w:ind w:right="253"/>
              <w:spacing w:after="0"/>
              <w:rPr>
                <w:sz w:val="20"/>
                <w:szCs w:val="20"/>
                <w:color w:val="auto"/>
              </w:rPr>
            </w:pPr>
            <w:r>
              <w:rPr>
                <w:rFonts w:ascii="Arial" w:cs="Arial" w:eastAsia="Arial" w:hAnsi="Arial"/>
                <w:sz w:val="16"/>
                <w:szCs w:val="16"/>
                <w:b w:val="1"/>
                <w:bCs w:val="1"/>
                <w:color w:val="auto"/>
              </w:rPr>
              <w:t>be Incurred</w:t>
            </w:r>
          </w:p>
        </w:tc>
      </w:tr>
      <w:tr>
        <w:trPr>
          <w:trHeight w:val="33"/>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and related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6.5</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Asset write-offs and accelerated depreciation</w:t>
            </w:r>
          </w:p>
        </w:tc>
        <w:tc>
          <w:tcPr>
            <w:tcW w:w="1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3.2</w:t>
            </w: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termination</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5.4</w:t>
            </w:r>
          </w:p>
        </w:tc>
      </w:tr>
      <w:tr>
        <w:trPr>
          <w:trHeight w:val="27"/>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restructuring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16.3</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While restructuring charges are excluded from our calculation of segment profit (loss), the table below presents the restructuring charges associated with each segment (in millions):</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53"/>
              <w:spacing w:after="0"/>
              <w:rPr>
                <w:sz w:val="20"/>
                <w:szCs w:val="20"/>
                <w:color w:val="auto"/>
              </w:rPr>
            </w:pPr>
            <w:r>
              <w:rPr>
                <w:rFonts w:ascii="Arial" w:cs="Arial" w:eastAsia="Arial" w:hAnsi="Arial"/>
                <w:sz w:val="16"/>
                <w:szCs w:val="16"/>
                <w:b w:val="1"/>
                <w:bCs w:val="1"/>
                <w:color w:val="auto"/>
                <w:w w:val="89"/>
              </w:rPr>
              <w:t>Total Expected to</w:t>
            </w:r>
          </w:p>
        </w:tc>
      </w:tr>
      <w:tr>
        <w:trPr>
          <w:trHeight w:val="210"/>
        </w:trPr>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Incurred in 2020</w:t>
            </w: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Incurred to Date</w:t>
            </w:r>
          </w:p>
        </w:tc>
        <w:tc>
          <w:tcPr>
            <w:tcW w:w="120" w:type="dxa"/>
            <w:vAlign w:val="bottom"/>
          </w:tcPr>
          <w:p>
            <w:pPr>
              <w:spacing w:after="0"/>
              <w:rPr>
                <w:sz w:val="18"/>
                <w:szCs w:val="18"/>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rPr>
              <w:t>be Incurred</w:t>
            </w:r>
          </w:p>
        </w:tc>
      </w:tr>
      <w:tr>
        <w:trPr>
          <w:trHeight w:val="33"/>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Heating &amp; Cooling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9.6</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Commercial Heating &amp; Cooling</w:t>
            </w:r>
          </w:p>
        </w:tc>
        <w:tc>
          <w:tcPr>
            <w:tcW w:w="14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3.8</w:t>
            </w: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Refrigeration</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Corporate &amp; Other</w:t>
            </w:r>
          </w:p>
        </w:tc>
        <w:tc>
          <w:tcPr>
            <w:tcW w:w="14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0.7</w:t>
            </w:r>
          </w:p>
        </w:tc>
      </w:tr>
      <w:tr>
        <w:trPr>
          <w:trHeight w:val="27"/>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restructuring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16.3</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 Recognition:</w:t>
      </w:r>
    </w:p>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disaggregates our revenue by business segment by geography which provides information as to the major source of revenue. See Note 2 for additional information on our reportable business segments and the products and services sold in each segment.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200" w:type="dxa"/>
            <w:vAlign w:val="bottom"/>
            <w:tcBorders>
              <w:bottom w:val="single" w:sz="8" w:color="auto"/>
            </w:tcBorders>
            <w:gridSpan w:val="11"/>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92"/>
              </w:rPr>
              <w:t>For the Three Months Ended June 30, 2020</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Residential Heating &amp;</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6"/>
          </w:tcPr>
          <w:p>
            <w:pPr>
              <w:spacing w:after="0"/>
              <w:rPr>
                <w:sz w:val="20"/>
                <w:szCs w:val="20"/>
                <w:color w:val="auto"/>
              </w:rPr>
            </w:pPr>
            <w:r>
              <w:rPr>
                <w:rFonts w:ascii="Arial" w:cs="Arial" w:eastAsia="Arial" w:hAnsi="Arial"/>
                <w:sz w:val="16"/>
                <w:szCs w:val="16"/>
                <w:b w:val="1"/>
                <w:bCs w:val="1"/>
                <w:color w:val="auto"/>
              </w:rPr>
              <w:t>Commercial Heating &amp;</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Cooling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Arial" w:cs="Arial" w:eastAsia="Arial" w:hAnsi="Arial"/>
                <w:sz w:val="16"/>
                <w:szCs w:val="16"/>
                <w:b w:val="1"/>
                <w:bCs w:val="1"/>
                <w:color w:val="auto"/>
              </w:rPr>
              <w:t>Cooling</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2"/>
              </w:rPr>
              <w:t>Refrigeration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6"/>
                <w:szCs w:val="16"/>
                <w:b w:val="1"/>
                <w:bCs w:val="1"/>
                <w:color w:val="auto"/>
              </w:rPr>
              <w:t>Consolidated</w:t>
            </w:r>
          </w:p>
        </w:tc>
        <w:tc>
          <w:tcPr>
            <w:tcW w:w="180" w:type="dxa"/>
            <w:vAlign w:val="bottom"/>
          </w:tcPr>
          <w:p>
            <w:pPr>
              <w:spacing w:after="0"/>
              <w:rPr>
                <w:sz w:val="18"/>
                <w:szCs w:val="18"/>
                <w:color w:val="auto"/>
              </w:rPr>
            </w:pPr>
          </w:p>
        </w:tc>
      </w:tr>
      <w:tr>
        <w:trPr>
          <w:trHeight w:val="33"/>
        </w:trPr>
        <w:tc>
          <w:tcPr>
            <w:tcW w:w="180" w:type="dxa"/>
            <w:vAlign w:val="bottom"/>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0"/>
        </w:trPr>
        <w:tc>
          <w:tcPr>
            <w:tcW w:w="180" w:type="dxa"/>
            <w:vAlign w:val="bottom"/>
          </w:tcPr>
          <w:p>
            <w:pPr>
              <w:spacing w:after="0"/>
              <w:rPr>
                <w:sz w:val="20"/>
                <w:szCs w:val="20"/>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603.8</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173.1</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4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838.2</w:t>
            </w:r>
          </w:p>
        </w:tc>
        <w:tc>
          <w:tcPr>
            <w:tcW w:w="180" w:type="dxa"/>
            <w:vAlign w:val="bottom"/>
          </w:tcPr>
          <w:p>
            <w:pPr>
              <w:spacing w:after="0"/>
              <w:rPr>
                <w:sz w:val="20"/>
                <w:szCs w:val="20"/>
                <w:color w:val="auto"/>
              </w:rPr>
            </w:pPr>
          </w:p>
        </w:tc>
      </w:tr>
      <w:tr>
        <w:trPr>
          <w:trHeight w:val="224"/>
        </w:trPr>
        <w:tc>
          <w:tcPr>
            <w:tcW w:w="18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Canada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59"/>
              <w:spacing w:after="0"/>
              <w:rPr>
                <w:sz w:val="20"/>
                <w:szCs w:val="20"/>
                <w:color w:val="auto"/>
              </w:rPr>
            </w:pPr>
            <w:r>
              <w:rPr>
                <w:rFonts w:ascii="Arial" w:cs="Arial" w:eastAsia="Arial" w:hAnsi="Arial"/>
                <w:sz w:val="16"/>
                <w:szCs w:val="16"/>
                <w:color w:val="auto"/>
              </w:rPr>
              <w:t>15.0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56.0</w:t>
            </w:r>
          </w:p>
        </w:tc>
        <w:tc>
          <w:tcPr>
            <w:tcW w:w="180" w:type="dxa"/>
            <w:vAlign w:val="bottom"/>
          </w:tcPr>
          <w:p>
            <w:pPr>
              <w:spacing w:after="0"/>
              <w:rPr>
                <w:sz w:val="19"/>
                <w:szCs w:val="19"/>
                <w:color w:val="auto"/>
              </w:rPr>
            </w:pPr>
          </w:p>
        </w:tc>
      </w:tr>
      <w:tr>
        <w:trPr>
          <w:trHeight w:val="33"/>
        </w:trPr>
        <w:tc>
          <w:tcPr>
            <w:tcW w:w="1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180" w:type="dxa"/>
            <w:vAlign w:val="bottom"/>
          </w:tcPr>
          <w:p>
            <w:pPr>
              <w:spacing w:after="0"/>
              <w:rPr>
                <w:sz w:val="22"/>
                <w:szCs w:val="22"/>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international</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47.1</w:t>
            </w:r>
          </w:p>
        </w:tc>
        <w:tc>
          <w:tcPr>
            <w:tcW w:w="180" w:type="dxa"/>
            <w:vAlign w:val="bottom"/>
          </w:tcPr>
          <w:p>
            <w:pPr>
              <w:spacing w:after="0"/>
              <w:rPr>
                <w:sz w:val="22"/>
                <w:szCs w:val="22"/>
                <w:color w:val="auto"/>
              </w:rPr>
            </w:pPr>
          </w:p>
        </w:tc>
      </w:tr>
      <w:tr>
        <w:trPr>
          <w:trHeight w:val="247"/>
        </w:trPr>
        <w:tc>
          <w:tcPr>
            <w:tcW w:w="180" w:type="dxa"/>
            <w:vAlign w:val="bottom"/>
          </w:tcPr>
          <w:p>
            <w:pPr>
              <w:spacing w:after="0"/>
              <w:rPr>
                <w:sz w:val="21"/>
                <w:szCs w:val="21"/>
                <w:color w:val="auto"/>
              </w:rPr>
            </w:pPr>
          </w:p>
        </w:tc>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644.8</w:t>
            </w:r>
          </w:p>
        </w:tc>
        <w:tc>
          <w:tcPr>
            <w:tcW w:w="8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188.3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108.2</w:t>
            </w: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941.3</w:t>
            </w:r>
          </w:p>
        </w:tc>
        <w:tc>
          <w:tcPr>
            <w:tcW w:w="180" w:type="dxa"/>
            <w:vAlign w:val="bottom"/>
          </w:tcPr>
          <w:p>
            <w:pPr>
              <w:spacing w:after="0"/>
              <w:rPr>
                <w:sz w:val="21"/>
                <w:szCs w:val="21"/>
                <w:color w:val="auto"/>
              </w:rPr>
            </w:pPr>
          </w:p>
        </w:tc>
      </w:tr>
      <w:tr>
        <w:trPr>
          <w:trHeight w:val="24"/>
        </w:trPr>
        <w:tc>
          <w:tcPr>
            <w:tcW w:w="1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371"/>
        </w:trPr>
        <w:tc>
          <w:tcPr>
            <w:tcW w:w="1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4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3"/>
        </w:trPr>
        <w:tc>
          <w:tcPr>
            <w:tcW w:w="18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200" w:type="dxa"/>
            <w:vAlign w:val="bottom"/>
            <w:tcBorders>
              <w:bottom w:val="single" w:sz="8" w:color="auto"/>
            </w:tcBorders>
            <w:gridSpan w:val="11"/>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92"/>
              </w:rPr>
              <w:t>For the Three Months Ended June 30, 2019</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2"/>
        </w:trPr>
        <w:tc>
          <w:tcPr>
            <w:tcW w:w="1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Residential Heating &amp;</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6"/>
          </w:tcPr>
          <w:p>
            <w:pPr>
              <w:spacing w:after="0"/>
              <w:rPr>
                <w:sz w:val="20"/>
                <w:szCs w:val="20"/>
                <w:color w:val="auto"/>
              </w:rPr>
            </w:pPr>
            <w:r>
              <w:rPr>
                <w:rFonts w:ascii="Arial" w:cs="Arial" w:eastAsia="Arial" w:hAnsi="Arial"/>
                <w:sz w:val="16"/>
                <w:szCs w:val="16"/>
                <w:b w:val="1"/>
                <w:bCs w:val="1"/>
                <w:color w:val="auto"/>
              </w:rPr>
              <w:t>Commercial Heating &amp;</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Cooling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Arial" w:cs="Arial" w:eastAsia="Arial" w:hAnsi="Arial"/>
                <w:sz w:val="16"/>
                <w:szCs w:val="16"/>
                <w:b w:val="1"/>
                <w:bCs w:val="1"/>
                <w:color w:val="auto"/>
              </w:rPr>
              <w:t>Cooling</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2"/>
              </w:rPr>
              <w:t>Refrigeration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6"/>
                <w:szCs w:val="16"/>
                <w:b w:val="1"/>
                <w:bCs w:val="1"/>
                <w:color w:val="auto"/>
              </w:rPr>
              <w:t>Consolidated</w:t>
            </w:r>
          </w:p>
        </w:tc>
        <w:tc>
          <w:tcPr>
            <w:tcW w:w="180" w:type="dxa"/>
            <w:vAlign w:val="bottom"/>
          </w:tcPr>
          <w:p>
            <w:pPr>
              <w:spacing w:after="0"/>
              <w:rPr>
                <w:sz w:val="18"/>
                <w:szCs w:val="18"/>
                <w:color w:val="auto"/>
              </w:rPr>
            </w:pPr>
          </w:p>
        </w:tc>
      </w:tr>
      <w:tr>
        <w:trPr>
          <w:trHeight w:val="33"/>
        </w:trPr>
        <w:tc>
          <w:tcPr>
            <w:tcW w:w="180" w:type="dxa"/>
            <w:vAlign w:val="bottom"/>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0"/>
        </w:trPr>
        <w:tc>
          <w:tcPr>
            <w:tcW w:w="180" w:type="dxa"/>
            <w:vAlign w:val="bottom"/>
          </w:tcPr>
          <w:p>
            <w:pPr>
              <w:spacing w:after="0"/>
              <w:rPr>
                <w:sz w:val="20"/>
                <w:szCs w:val="20"/>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647.2</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239.1</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4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966.3</w:t>
            </w:r>
          </w:p>
        </w:tc>
        <w:tc>
          <w:tcPr>
            <w:tcW w:w="180" w:type="dxa"/>
            <w:vAlign w:val="bottom"/>
          </w:tcPr>
          <w:p>
            <w:pPr>
              <w:spacing w:after="0"/>
              <w:rPr>
                <w:sz w:val="20"/>
                <w:szCs w:val="20"/>
                <w:color w:val="auto"/>
              </w:rPr>
            </w:pPr>
          </w:p>
        </w:tc>
      </w:tr>
      <w:tr>
        <w:trPr>
          <w:trHeight w:val="224"/>
        </w:trPr>
        <w:tc>
          <w:tcPr>
            <w:tcW w:w="18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Canada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59"/>
              <w:spacing w:after="0"/>
              <w:rPr>
                <w:sz w:val="20"/>
                <w:szCs w:val="20"/>
                <w:color w:val="auto"/>
              </w:rPr>
            </w:pPr>
            <w:r>
              <w:rPr>
                <w:rFonts w:ascii="Arial" w:cs="Arial" w:eastAsia="Arial" w:hAnsi="Arial"/>
                <w:sz w:val="16"/>
                <w:szCs w:val="16"/>
                <w:color w:val="auto"/>
              </w:rPr>
              <w:t>21.9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63.8</w:t>
            </w:r>
          </w:p>
        </w:tc>
        <w:tc>
          <w:tcPr>
            <w:tcW w:w="180" w:type="dxa"/>
            <w:vAlign w:val="bottom"/>
          </w:tcPr>
          <w:p>
            <w:pPr>
              <w:spacing w:after="0"/>
              <w:rPr>
                <w:sz w:val="19"/>
                <w:szCs w:val="19"/>
                <w:color w:val="auto"/>
              </w:rPr>
            </w:pPr>
          </w:p>
        </w:tc>
      </w:tr>
      <w:tr>
        <w:trPr>
          <w:trHeight w:val="33"/>
        </w:trPr>
        <w:tc>
          <w:tcPr>
            <w:tcW w:w="1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180" w:type="dxa"/>
            <w:vAlign w:val="bottom"/>
          </w:tcPr>
          <w:p>
            <w:pPr>
              <w:spacing w:after="0"/>
              <w:rPr>
                <w:sz w:val="22"/>
                <w:szCs w:val="22"/>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international</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0.3</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69.0</w:t>
            </w:r>
          </w:p>
        </w:tc>
        <w:tc>
          <w:tcPr>
            <w:tcW w:w="180" w:type="dxa"/>
            <w:vAlign w:val="bottom"/>
          </w:tcPr>
          <w:p>
            <w:pPr>
              <w:spacing w:after="0"/>
              <w:rPr>
                <w:sz w:val="22"/>
                <w:szCs w:val="22"/>
                <w:color w:val="auto"/>
              </w:rPr>
            </w:pPr>
          </w:p>
        </w:tc>
      </w:tr>
      <w:tr>
        <w:trPr>
          <w:trHeight w:val="247"/>
        </w:trPr>
        <w:tc>
          <w:tcPr>
            <w:tcW w:w="180" w:type="dxa"/>
            <w:vAlign w:val="bottom"/>
          </w:tcPr>
          <w:p>
            <w:pPr>
              <w:spacing w:after="0"/>
              <w:rPr>
                <w:sz w:val="21"/>
                <w:szCs w:val="21"/>
                <w:color w:val="auto"/>
              </w:rPr>
            </w:pPr>
          </w:p>
        </w:tc>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689.1</w:t>
            </w:r>
          </w:p>
        </w:tc>
        <w:tc>
          <w:tcPr>
            <w:tcW w:w="8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261.3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148.7</w:t>
            </w: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1,099.1</w:t>
            </w:r>
          </w:p>
        </w:tc>
        <w:tc>
          <w:tcPr>
            <w:tcW w:w="180" w:type="dxa"/>
            <w:vAlign w:val="bottom"/>
          </w:tcPr>
          <w:p>
            <w:pPr>
              <w:spacing w:after="0"/>
              <w:rPr>
                <w:sz w:val="21"/>
                <w:szCs w:val="21"/>
                <w:color w:val="auto"/>
              </w:rPr>
            </w:pPr>
          </w:p>
        </w:tc>
      </w:tr>
      <w:tr>
        <w:trPr>
          <w:trHeight w:val="23"/>
        </w:trPr>
        <w:tc>
          <w:tcPr>
            <w:tcW w:w="1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614"/>
        </w:trPr>
        <w:tc>
          <w:tcPr>
            <w:tcW w:w="1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4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3"/>
        </w:trPr>
        <w:tc>
          <w:tcPr>
            <w:tcW w:w="18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60" w:type="dxa"/>
            <w:vAlign w:val="bottom"/>
            <w:tcBorders>
              <w:bottom w:val="single" w:sz="8" w:color="auto"/>
            </w:tcBorders>
            <w:gridSpan w:val="10"/>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91"/>
              </w:rPr>
              <w:t>For the Six Months Ended June 30, 2020</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left w:val="single" w:sz="8" w:color="CCEEFF"/>
            </w:tcBorders>
          </w:tcPr>
          <w:p>
            <w:pPr>
              <w:spacing w:after="0"/>
              <w:rPr>
                <w:sz w:val="18"/>
                <w:szCs w:val="18"/>
                <w:color w:val="auto"/>
              </w:rPr>
            </w:pPr>
          </w:p>
        </w:tc>
      </w:tr>
      <w:tr>
        <w:trPr>
          <w:trHeight w:val="212"/>
        </w:trPr>
        <w:tc>
          <w:tcPr>
            <w:tcW w:w="1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5"/>
          </w:tcPr>
          <w:p>
            <w:pPr>
              <w:spacing w:after="0"/>
              <w:rPr>
                <w:sz w:val="20"/>
                <w:szCs w:val="20"/>
                <w:color w:val="auto"/>
              </w:rPr>
            </w:pPr>
            <w:r>
              <w:rPr>
                <w:rFonts w:ascii="Arial" w:cs="Arial" w:eastAsia="Arial" w:hAnsi="Arial"/>
                <w:sz w:val="16"/>
                <w:szCs w:val="16"/>
                <w:b w:val="1"/>
                <w:bCs w:val="1"/>
                <w:color w:val="auto"/>
              </w:rPr>
              <w:t>Residential Heating &amp;</w:t>
            </w:r>
          </w:p>
        </w:tc>
        <w:tc>
          <w:tcPr>
            <w:tcW w:w="60" w:type="dxa"/>
            <w:vAlign w:val="bottom"/>
          </w:tcPr>
          <w:p>
            <w:pPr>
              <w:spacing w:after="0"/>
              <w:rPr>
                <w:sz w:val="18"/>
                <w:szCs w:val="18"/>
                <w:color w:val="auto"/>
              </w:rPr>
            </w:pPr>
          </w:p>
        </w:tc>
        <w:tc>
          <w:tcPr>
            <w:tcW w:w="1780" w:type="dxa"/>
            <w:vAlign w:val="bottom"/>
            <w:gridSpan w:val="6"/>
          </w:tcPr>
          <w:p>
            <w:pPr>
              <w:ind w:left="60"/>
              <w:spacing w:after="0"/>
              <w:rPr>
                <w:sz w:val="20"/>
                <w:szCs w:val="20"/>
                <w:color w:val="auto"/>
              </w:rPr>
            </w:pPr>
            <w:r>
              <w:rPr>
                <w:rFonts w:ascii="Arial" w:cs="Arial" w:eastAsia="Arial" w:hAnsi="Arial"/>
                <w:sz w:val="16"/>
                <w:szCs w:val="16"/>
                <w:b w:val="1"/>
                <w:bCs w:val="1"/>
                <w:color w:val="auto"/>
                <w:w w:val="99"/>
              </w:rPr>
              <w:t>Commercial Heating &amp;</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3780" w:type="dxa"/>
            <w:vAlign w:val="bottom"/>
            <w:gridSpan w:val="2"/>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Cooling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ind w:left="120"/>
              <w:spacing w:after="0"/>
              <w:rPr>
                <w:sz w:val="20"/>
                <w:szCs w:val="20"/>
                <w:color w:val="auto"/>
              </w:rPr>
            </w:pPr>
            <w:r>
              <w:rPr>
                <w:rFonts w:ascii="Arial" w:cs="Arial" w:eastAsia="Arial" w:hAnsi="Arial"/>
                <w:sz w:val="16"/>
                <w:szCs w:val="16"/>
                <w:b w:val="1"/>
                <w:bCs w:val="1"/>
                <w:color w:val="auto"/>
              </w:rPr>
              <w:t>Cooling</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6"/>
              </w:rPr>
              <w:t>Refrigeration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6"/>
                <w:szCs w:val="16"/>
                <w:b w:val="1"/>
                <w:bCs w:val="1"/>
                <w:color w:val="auto"/>
              </w:rPr>
              <w:t>Consolidated</w:t>
            </w:r>
          </w:p>
        </w:tc>
        <w:tc>
          <w:tcPr>
            <w:tcW w:w="180" w:type="dxa"/>
            <w:vAlign w:val="bottom"/>
          </w:tcPr>
          <w:p>
            <w:pPr>
              <w:spacing w:after="0"/>
              <w:rPr>
                <w:sz w:val="18"/>
                <w:szCs w:val="18"/>
                <w:color w:val="auto"/>
              </w:rPr>
            </w:pPr>
          </w:p>
        </w:tc>
      </w:tr>
      <w:tr>
        <w:trPr>
          <w:trHeight w:val="33"/>
        </w:trPr>
        <w:tc>
          <w:tcPr>
            <w:tcW w:w="37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1,016.2</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334.3</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4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1,471.3</w:t>
            </w:r>
          </w:p>
        </w:tc>
        <w:tc>
          <w:tcPr>
            <w:tcW w:w="180" w:type="dxa"/>
            <w:vAlign w:val="bottom"/>
            <w:tcBorders>
              <w:left w:val="single" w:sz="8" w:color="CCEEFF"/>
            </w:tcBorders>
          </w:tcPr>
          <w:p>
            <w:pPr>
              <w:spacing w:after="0"/>
              <w:rPr>
                <w:sz w:val="20"/>
                <w:szCs w:val="20"/>
                <w:color w:val="auto"/>
              </w:rPr>
            </w:pP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Canada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70.7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color w:val="auto"/>
              </w:rPr>
              <w:t>32.0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102.7</w:t>
            </w:r>
          </w:p>
        </w:tc>
        <w:tc>
          <w:tcPr>
            <w:tcW w:w="180" w:type="dxa"/>
            <w:vAlign w:val="bottom"/>
          </w:tcPr>
          <w:p>
            <w:pPr>
              <w:spacing w:after="0"/>
              <w:rPr>
                <w:sz w:val="19"/>
                <w:szCs w:val="19"/>
                <w:color w:val="auto"/>
              </w:rPr>
            </w:pPr>
          </w:p>
        </w:tc>
      </w:tr>
      <w:tr>
        <w:trPr>
          <w:trHeight w:val="33"/>
        </w:trPr>
        <w:tc>
          <w:tcPr>
            <w:tcW w:w="37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6"/>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international</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40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91.1</w:t>
            </w:r>
          </w:p>
        </w:tc>
        <w:tc>
          <w:tcPr>
            <w:tcW w:w="180" w:type="dxa"/>
            <w:vAlign w:val="bottom"/>
            <w:tcBorders>
              <w:left w:val="single" w:sz="8" w:color="CCEEFF"/>
            </w:tcBorders>
          </w:tcPr>
          <w:p>
            <w:pPr>
              <w:spacing w:after="0"/>
              <w:rPr>
                <w:sz w:val="22"/>
                <w:szCs w:val="22"/>
                <w:color w:val="auto"/>
              </w:rPr>
            </w:pPr>
          </w:p>
        </w:tc>
      </w:tr>
      <w:tr>
        <w:trPr>
          <w:trHeight w:val="247"/>
        </w:trPr>
        <w:tc>
          <w:tcPr>
            <w:tcW w:w="37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1,086.9</w:t>
            </w:r>
          </w:p>
        </w:tc>
        <w:tc>
          <w:tcPr>
            <w:tcW w:w="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366.7</w:t>
            </w:r>
          </w:p>
        </w:tc>
        <w:tc>
          <w:tcPr>
            <w:tcW w:w="60" w:type="dxa"/>
            <w:vAlign w:val="bottom"/>
            <w:tcBorders>
              <w:top w:val="single" w:sz="8" w:color="auto"/>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211.5</w:t>
            </w: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1,665.1</w:t>
            </w:r>
          </w:p>
        </w:tc>
        <w:tc>
          <w:tcPr>
            <w:tcW w:w="180" w:type="dxa"/>
            <w:vAlign w:val="bottom"/>
          </w:tcPr>
          <w:p>
            <w:pPr>
              <w:spacing w:after="0"/>
              <w:rPr>
                <w:sz w:val="21"/>
                <w:szCs w:val="21"/>
                <w:color w:val="auto"/>
              </w:rPr>
            </w:pPr>
          </w:p>
        </w:tc>
      </w:tr>
      <w:tr>
        <w:trPr>
          <w:trHeight w:val="23"/>
        </w:trPr>
        <w:tc>
          <w:tcPr>
            <w:tcW w:w="1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615"/>
        </w:trPr>
        <w:tc>
          <w:tcPr>
            <w:tcW w:w="1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6"/>
        </w:trPr>
        <w:tc>
          <w:tcPr>
            <w:tcW w:w="180" w:type="dxa"/>
            <w:vAlign w:val="bottom"/>
            <w:tcBorders>
              <w:bottom w:val="single" w:sz="8" w:color="CCEEFF"/>
            </w:tcBorders>
            <w:shd w:val="clear" w:color="auto" w:fill="CCEEFF"/>
          </w:tcPr>
          <w:p>
            <w:pPr>
              <w:spacing w:after="0"/>
              <w:rPr>
                <w:sz w:val="22"/>
                <w:szCs w:val="22"/>
                <w:color w:val="auto"/>
              </w:rPr>
            </w:pPr>
          </w:p>
        </w:tc>
        <w:tc>
          <w:tcPr>
            <w:tcW w:w="3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gridSpan w:val="9"/>
            <w:shd w:val="clear" w:color="auto" w:fill="CCEEFF"/>
          </w:tcPr>
          <w:p>
            <w:pPr>
              <w:ind w:left="120"/>
              <w:spacing w:after="0"/>
              <w:rPr>
                <w:sz w:val="20"/>
                <w:szCs w:val="20"/>
                <w:color w:val="auto"/>
              </w:rPr>
            </w:pPr>
            <w:r>
              <w:rPr>
                <w:rFonts w:ascii="Arial" w:cs="Arial" w:eastAsia="Arial" w:hAnsi="Arial"/>
                <w:sz w:val="16"/>
                <w:szCs w:val="16"/>
                <w:b w:val="1"/>
                <w:bCs w:val="1"/>
                <w:color w:val="auto"/>
                <w:w w:val="92"/>
              </w:rPr>
              <w:t>For the Six Months Ended June 30, 2019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left w:val="single" w:sz="8" w:color="CCEEFF"/>
              <w:bottom w:val="single" w:sz="8" w:color="CCEEFF"/>
            </w:tcBorders>
            <w:shd w:val="clear" w:color="auto" w:fill="CCEEFF"/>
          </w:tcPr>
          <w:p>
            <w:pPr>
              <w:spacing w:after="0"/>
              <w:rPr>
                <w:sz w:val="22"/>
                <w:szCs w:val="22"/>
                <w:color w:val="auto"/>
              </w:rPr>
            </w:pPr>
          </w:p>
        </w:tc>
      </w:tr>
      <w:tr>
        <w:trPr>
          <w:trHeight w:val="209"/>
        </w:trPr>
        <w:tc>
          <w:tcPr>
            <w:tcW w:w="1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Borders>
              <w:top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Residential Heating &amp;</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8"/>
          </w:tcPr>
          <w:p>
            <w:pPr>
              <w:ind w:left="100"/>
              <w:spacing w:after="0"/>
              <w:rPr>
                <w:sz w:val="20"/>
                <w:szCs w:val="20"/>
                <w:color w:val="auto"/>
              </w:rPr>
            </w:pPr>
            <w:r>
              <w:rPr>
                <w:rFonts w:ascii="Arial" w:cs="Arial" w:eastAsia="Arial" w:hAnsi="Arial"/>
                <w:sz w:val="16"/>
                <w:szCs w:val="16"/>
                <w:b w:val="1"/>
                <w:bCs w:val="1"/>
                <w:color w:val="auto"/>
              </w:rPr>
              <w:t>Commercial Heating &amp;</w:t>
            </w: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r>
      <w:tr>
        <w:trPr>
          <w:trHeight w:val="210"/>
        </w:trPr>
        <w:tc>
          <w:tcPr>
            <w:tcW w:w="3780" w:type="dxa"/>
            <w:vAlign w:val="bottom"/>
            <w:gridSpan w:val="2"/>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Cooling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ind w:left="640"/>
              <w:spacing w:after="0"/>
              <w:rPr>
                <w:sz w:val="20"/>
                <w:szCs w:val="20"/>
                <w:color w:val="auto"/>
              </w:rPr>
            </w:pPr>
            <w:r>
              <w:rPr>
                <w:rFonts w:ascii="Arial" w:cs="Arial" w:eastAsia="Arial" w:hAnsi="Arial"/>
                <w:sz w:val="16"/>
                <w:szCs w:val="16"/>
                <w:b w:val="1"/>
                <w:bCs w:val="1"/>
                <w:color w:val="auto"/>
              </w:rPr>
              <w:t>Cooling</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5"/>
          </w:tcPr>
          <w:p>
            <w:pPr>
              <w:ind w:left="80"/>
              <w:spacing w:after="0"/>
              <w:rPr>
                <w:sz w:val="20"/>
                <w:szCs w:val="20"/>
                <w:color w:val="auto"/>
              </w:rPr>
            </w:pPr>
            <w:r>
              <w:rPr>
                <w:rFonts w:ascii="Arial" w:cs="Arial" w:eastAsia="Arial" w:hAnsi="Arial"/>
                <w:sz w:val="16"/>
                <w:szCs w:val="16"/>
                <w:b w:val="1"/>
                <w:bCs w:val="1"/>
                <w:color w:val="auto"/>
              </w:rPr>
              <w:t>Refrigeration</w:t>
            </w:r>
          </w:p>
        </w:tc>
        <w:tc>
          <w:tcPr>
            <w:tcW w:w="10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Consolidated</w:t>
            </w:r>
          </w:p>
        </w:tc>
        <w:tc>
          <w:tcPr>
            <w:tcW w:w="180" w:type="dxa"/>
            <w:vAlign w:val="bottom"/>
          </w:tcPr>
          <w:p>
            <w:pPr>
              <w:spacing w:after="0"/>
              <w:rPr>
                <w:sz w:val="18"/>
                <w:szCs w:val="18"/>
                <w:color w:val="auto"/>
              </w:rPr>
            </w:pPr>
          </w:p>
        </w:tc>
      </w:tr>
      <w:tr>
        <w:trPr>
          <w:trHeight w:val="33"/>
        </w:trPr>
        <w:tc>
          <w:tcPr>
            <w:tcW w:w="37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11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w w:val="89"/>
              </w:rPr>
              <w:t>1,080.3</w:t>
            </w:r>
          </w:p>
        </w:tc>
        <w:tc>
          <w:tcPr>
            <w:tcW w:w="1440" w:type="dxa"/>
            <w:vAlign w:val="bottom"/>
            <w:tcBorders>
              <w:bottom w:val="single" w:sz="8" w:color="CCEEFF"/>
            </w:tcBorders>
            <w:gridSpan w:val="3"/>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w w:val="89"/>
              </w:rPr>
              <w:t>396.4</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4"/>
            <w:shd w:val="clear" w:color="auto" w:fill="CCEEFF"/>
          </w:tcPr>
          <w:p>
            <w:pPr>
              <w:jc w:val="right"/>
              <w:ind w:right="59"/>
              <w:spacing w:after="0"/>
              <w:rPr>
                <w:sz w:val="20"/>
                <w:szCs w:val="20"/>
                <w:color w:val="auto"/>
              </w:rPr>
            </w:pPr>
            <w:r>
              <w:rPr>
                <w:rFonts w:ascii="Arial" w:cs="Arial" w:eastAsia="Arial" w:hAnsi="Arial"/>
                <w:sz w:val="16"/>
                <w:szCs w:val="16"/>
                <w:color w:val="auto"/>
              </w:rPr>
              <w:t>171.6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1,648.3</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Canada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Arial" w:cs="Arial" w:eastAsia="Arial" w:hAnsi="Arial"/>
                <w:sz w:val="16"/>
                <w:szCs w:val="16"/>
                <w:color w:val="auto"/>
                <w:w w:val="83"/>
              </w:rPr>
              <w:t>74.3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37.8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gridSpan w:val="3"/>
          </w:tcPr>
          <w:p>
            <w:pPr>
              <w:jc w:val="right"/>
              <w:ind w:right="5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112.8</w:t>
            </w:r>
          </w:p>
        </w:tc>
        <w:tc>
          <w:tcPr>
            <w:tcW w:w="180" w:type="dxa"/>
            <w:vAlign w:val="bottom"/>
          </w:tcPr>
          <w:p>
            <w:pPr>
              <w:spacing w:after="0"/>
              <w:rPr>
                <w:sz w:val="19"/>
                <w:szCs w:val="19"/>
                <w:color w:val="auto"/>
              </w:rPr>
            </w:pPr>
          </w:p>
        </w:tc>
      </w:tr>
      <w:tr>
        <w:trPr>
          <w:trHeight w:val="33"/>
        </w:trPr>
        <w:tc>
          <w:tcPr>
            <w:tcW w:w="37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6"/>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4"/>
            <w:shd w:val="clear" w:color="auto" w:fill="CCEEFF"/>
          </w:tcPr>
          <w:p>
            <w:pPr>
              <w:jc w:val="right"/>
              <w:ind w:right="59"/>
              <w:spacing w:after="0"/>
              <w:rPr>
                <w:sz w:val="20"/>
                <w:szCs w:val="20"/>
                <w:color w:val="auto"/>
              </w:rPr>
            </w:pPr>
            <w:r>
              <w:rPr>
                <w:rFonts w:ascii="Arial" w:cs="Arial" w:eastAsia="Arial" w:hAnsi="Arial"/>
                <w:sz w:val="16"/>
                <w:szCs w:val="16"/>
                <w:color w:val="auto"/>
              </w:rPr>
              <w:t>127.8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128.3</w:t>
            </w:r>
          </w:p>
        </w:tc>
        <w:tc>
          <w:tcPr>
            <w:tcW w:w="180" w:type="dxa"/>
            <w:vAlign w:val="bottom"/>
            <w:tcBorders>
              <w:left w:val="single" w:sz="8" w:color="CCEEFF"/>
              <w:bottom w:val="single" w:sz="8" w:color="CCEEFF"/>
            </w:tcBorders>
            <w:shd w:val="clear" w:color="auto" w:fill="CCEEFF"/>
          </w:tcPr>
          <w:p>
            <w:pPr>
              <w:spacing w:after="0"/>
              <w:rPr>
                <w:sz w:val="22"/>
                <w:szCs w:val="22"/>
                <w:color w:val="auto"/>
              </w:rPr>
            </w:pPr>
          </w:p>
        </w:tc>
      </w:tr>
      <w:tr>
        <w:trPr>
          <w:trHeight w:val="247"/>
        </w:trPr>
        <w:tc>
          <w:tcPr>
            <w:tcW w:w="37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Borders>
              <w:top w:val="single" w:sz="8" w:color="auto"/>
              <w:bottom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89"/>
              </w:rPr>
              <w:t>1,154.6</w:t>
            </w:r>
          </w:p>
        </w:tc>
        <w:tc>
          <w:tcPr>
            <w:tcW w:w="1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w w:val="89"/>
              </w:rPr>
              <w:t>$</w:t>
            </w:r>
          </w:p>
        </w:tc>
        <w:tc>
          <w:tcPr>
            <w:tcW w:w="6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9"/>
              </w:rPr>
              <w:t>434.7</w:t>
            </w:r>
          </w:p>
        </w:tc>
        <w:tc>
          <w:tcPr>
            <w:tcW w:w="14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300.1</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1,889.4</w:t>
            </w:r>
          </w:p>
        </w:tc>
        <w:tc>
          <w:tcPr>
            <w:tcW w:w="180" w:type="dxa"/>
            <w:vAlign w:val="bottom"/>
            <w:tcBorders>
              <w:top w:val="single" w:sz="8" w:color="auto"/>
              <w:bottom w:val="single" w:sz="8" w:color="auto"/>
            </w:tcBorders>
          </w:tcPr>
          <w:p>
            <w:pPr>
              <w:spacing w:after="0"/>
              <w:rPr>
                <w:sz w:val="21"/>
                <w:szCs w:val="21"/>
                <w:color w:val="auto"/>
              </w:rPr>
            </w:pPr>
          </w:p>
        </w:tc>
      </w:tr>
      <w:tr>
        <w:trPr>
          <w:trHeight w:val="24"/>
        </w:trPr>
        <w:tc>
          <w:tcPr>
            <w:tcW w:w="1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bl>
    <w:p>
      <w:pPr>
        <w:spacing w:after="0" w:line="333" w:lineRule="exact"/>
        <w:rPr>
          <w:sz w:val="20"/>
          <w:szCs w:val="20"/>
          <w:color w:val="auto"/>
        </w:rPr>
      </w:pPr>
    </w:p>
    <w:p>
      <w:pPr>
        <w:jc w:val="both"/>
        <w:ind w:firstLine="243"/>
        <w:spacing w:after="0" w:line="292" w:lineRule="auto"/>
        <w:rPr>
          <w:sz w:val="20"/>
          <w:szCs w:val="20"/>
          <w:color w:val="auto"/>
        </w:rPr>
      </w:pPr>
      <w:r>
        <w:rPr>
          <w:rFonts w:ascii="Arial" w:cs="Arial" w:eastAsia="Arial" w:hAnsi="Arial"/>
          <w:sz w:val="16"/>
          <w:szCs w:val="16"/>
          <w:b w:val="1"/>
          <w:bCs w:val="1"/>
          <w:color w:val="auto"/>
        </w:rPr>
        <w:t xml:space="preserve">Residential Heating &amp; Cooling </w:t>
      </w:r>
      <w:r>
        <w:rPr>
          <w:rFonts w:ascii="Arial" w:cs="Arial" w:eastAsia="Arial" w:hAnsi="Arial"/>
          <w:sz w:val="16"/>
          <w:szCs w:val="16"/>
          <w:color w:val="auto"/>
        </w:rPr>
        <w:t>- We manufacture and market a broad range of furnaces, air conditioners, heat pumps, packaged heating and cooling</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three months ended June 30, 2020 and 2019, direct sales represented 76% and 75% of revenues, and sales to independent distributors represented the remainder. For the six months ended June 30, 2020 and 2019, direct sales represented 75% and 74% of revenues, and sales to independent distributors represented the remainder. Given the nature of our business, customer product orders are fulfilled at a point in time and not over a period of time.</w:t>
      </w:r>
    </w:p>
    <w:p>
      <w:pPr>
        <w:spacing w:after="0" w:line="188"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7"/>
          <w:szCs w:val="17"/>
          <w:b w:val="1"/>
          <w:bCs w:val="1"/>
          <w:color w:val="auto"/>
        </w:rPr>
        <w:t xml:space="preserve">Commercial Heating &amp; Cooling </w:t>
      </w:r>
      <w:r>
        <w:rPr>
          <w:rFonts w:ascii="Arial" w:cs="Arial" w:eastAsia="Arial" w:hAnsi="Arial"/>
          <w:sz w:val="17"/>
          <w:szCs w:val="17"/>
          <w:color w:val="auto"/>
        </w:rPr>
        <w:t>- In North America, we manufacture and sell unitary heating and cooling equipment used in light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such as low-rise office buildings, restaurants, retail centers, churches and schools. These products are distributed primarily through commercial contractors and directly to national account customers in the planned replacement, emergency replacement and new construction markets. Revenue for the products sold is recognized at a point in time when control transfers to the customer, which is generally at time of shipment. Lennox National Account Services provides installation, service and preventive maintenance for HVAC national account customers in the United States and Canada. Revenue related to service contracts is recognized as the services are performed under the contract based on the</w:t>
      </w:r>
    </w:p>
    <w:p>
      <w:pPr>
        <w:sectPr>
          <w:pgSz w:w="11900" w:h="16838" w:orient="portrait"/>
          <w:cols w:equalWidth="0" w:num="1">
            <w:col w:w="11240"/>
          </w:cols>
          <w:pgMar w:left="320" w:top="936"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type w:val="continuous"/>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relative fair value of the services provided. For the three months ended June 30, 2020 and 2019, equipment sales represented 86% and 87% of revenues and the remainder of our revenue was generated from our service business. For the six months ended June 30, 2020 and 2019, equipment sales represented 85% and 85% of revenues, and the remainder of our revenue was generated from our service business.</w:t>
      </w:r>
    </w:p>
    <w:p>
      <w:pPr>
        <w:spacing w:after="0" w:line="20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b w:val="1"/>
          <w:bCs w:val="1"/>
          <w:color w:val="auto"/>
        </w:rPr>
        <w:t xml:space="preserve">Refrigeration </w:t>
      </w:r>
      <w:r>
        <w:rPr>
          <w:rFonts w:ascii="Arial" w:cs="Arial" w:eastAsia="Arial" w:hAnsi="Arial"/>
          <w:sz w:val="18"/>
          <w:szCs w:val="18"/>
          <w:color w:val="auto"/>
        </w:rPr>
        <w:t>- We manufacture and market equipment for the global commercial refrigeration markets under the Heatcraft Worldwide Refrigeration</w:t>
      </w:r>
      <w:r>
        <w:rPr>
          <w:rFonts w:ascii="Arial" w:cs="Arial" w:eastAsia="Arial" w:hAnsi="Arial"/>
          <w:sz w:val="18"/>
          <w:szCs w:val="18"/>
          <w:b w:val="1"/>
          <w:bCs w:val="1"/>
          <w:color w:val="auto"/>
        </w:rPr>
        <w:t xml:space="preserve"> </w:t>
      </w:r>
      <w:r>
        <w:rPr>
          <w:rFonts w:ascii="Arial" w:cs="Arial" w:eastAsia="Arial" w:hAnsi="Arial"/>
          <w:sz w:val="18"/>
          <w:szCs w:val="18"/>
          <w:color w:val="auto"/>
        </w:rPr>
        <w:t>name. Our products are used in the food retail, food service, cold storage as well as non-food refrigeration markets. We sell these products to distributors, installing contractors, engineering design firms, original equipment manufacturers and end-users. In Europe, we also manufacture and sell unitary heating and cooling products and applied systems. Substantially all segment revenue was related to these types of equipment and systems and is recognized at a point in time when control transfers to the customer, which is generally at time of shipment. Less than 1% of segment revenue relates to services for start-up and commissioning activities.</w:t>
      </w:r>
    </w:p>
    <w:p>
      <w:pPr>
        <w:spacing w:after="0" w:line="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b w:val="1"/>
          <w:bCs w:val="1"/>
          <w:color w:val="auto"/>
        </w:rPr>
        <w:t xml:space="preserve">Variable Consideration </w:t>
      </w:r>
      <w:r>
        <w:rPr>
          <w:rFonts w:ascii="Arial" w:cs="Arial" w:eastAsia="Arial" w:hAnsi="Arial"/>
          <w:sz w:val="18"/>
          <w:szCs w:val="18"/>
          <w:color w:val="auto"/>
        </w:rPr>
        <w:t>- We engage in cooperative advertising, customer rebate, and other miscellaneous programs that result in payments or credits</w:t>
      </w:r>
      <w:r>
        <w:rPr>
          <w:rFonts w:ascii="Arial" w:cs="Arial" w:eastAsia="Arial" w:hAnsi="Arial"/>
          <w:sz w:val="18"/>
          <w:szCs w:val="18"/>
          <w:b w:val="1"/>
          <w:bCs w:val="1"/>
          <w:color w:val="auto"/>
        </w:rPr>
        <w:t xml:space="preserve"> </w:t>
      </w:r>
      <w:r>
        <w:rPr>
          <w:rFonts w:ascii="Arial" w:cs="Arial" w:eastAsia="Arial" w:hAnsi="Arial"/>
          <w:sz w:val="18"/>
          <w:szCs w:val="18"/>
          <w:color w:val="auto"/>
        </w:rPr>
        <w:t>being issued to our customers. We record these customer discounts and incentives as a reduction of sales when the sales are recorded. For certain cooperative advertising programs, we also receive an identifiable benefit (goods or services) in exchange for the consideration given, and, accordingly, record a ratable portion of the expenditure to Selling, general and administrative (“SG&amp;A”) expenses. All other advertising, promotions and marketing costs are expensed as incurred.</w:t>
      </w:r>
    </w:p>
    <w:p>
      <w:pPr>
        <w:spacing w:after="0" w:line="21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b w:val="1"/>
          <w:bCs w:val="1"/>
          <w:color w:val="auto"/>
        </w:rPr>
        <w:t xml:space="preserve">Other Judgments and Assumptions </w:t>
      </w:r>
      <w:r>
        <w:rPr>
          <w:rFonts w:ascii="Arial" w:cs="Arial" w:eastAsia="Arial" w:hAnsi="Arial"/>
          <w:sz w:val="18"/>
          <w:szCs w:val="18"/>
          <w:color w:val="auto"/>
        </w:rPr>
        <w:t>- We apply the practical expedient in ASC 606-10-50-14 and do not disclose information about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obligations that have original expected durations of one year or less. Applying the practical expedient in ASC 340-40-25-4, we recognize the incremental costs of obtaining contracts as an expense when incurred if the amortization period of the assets that we otherwise would have recognized is one year or less. These costs are included in SG&amp;A expenses. ASC 606-10-32-18 allows us to not adjust the amount of consideration to be received in a contract for any significant financing component if we expect to receive payment within twelve months of transfer of control of goods or services. We have elected this expedient as we expect all consideration to be received in one year or less at contract inception. We have also elected not to provide the remaining performance obligations disclosures related to service contracts in accordance with the practical expedient in ASC 606-10-55-18. We recognize revenue in the amount to which the entity has a right to invoice and have adopted this election to not provide the remaining performance obligations related to service contracts.</w:t>
      </w:r>
    </w:p>
    <w:p>
      <w:pPr>
        <w:spacing w:after="0" w:line="215"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 We do not have material amounts of contract assets since revenue is recognized as control of goods is transferred or as services are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There are a small number of installation services that may occur over a period of time, but that period of time is generally very short in duration and right of payment does not exist until the installation is completed. Any contract assets that may arise are recorded in Other assets, net in our Consolidated Balance Sheets.</w:t>
      </w:r>
    </w:p>
    <w:p>
      <w:pPr>
        <w:spacing w:after="0" w:line="207"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b w:val="1"/>
          <w:bCs w:val="1"/>
          <w:color w:val="auto"/>
        </w:rPr>
        <w:t xml:space="preserve">Contract Liabilities </w:t>
      </w:r>
      <w:r>
        <w:rPr>
          <w:rFonts w:ascii="Arial" w:cs="Arial" w:eastAsia="Arial" w:hAnsi="Arial"/>
          <w:sz w:val="18"/>
          <w:szCs w:val="18"/>
          <w:color w:val="auto"/>
        </w:rPr>
        <w:t>- Our contract liabilities consist of advance payments and deferred revenue. Our contract liabilities are reported in a net position on</w:t>
      </w:r>
      <w:r>
        <w:rPr>
          <w:rFonts w:ascii="Arial" w:cs="Arial" w:eastAsia="Arial" w:hAnsi="Arial"/>
          <w:sz w:val="18"/>
          <w:szCs w:val="18"/>
          <w:b w:val="1"/>
          <w:bCs w:val="1"/>
          <w:color w:val="auto"/>
        </w:rPr>
        <w:t xml:space="preserve"> </w:t>
      </w:r>
      <w:r>
        <w:rPr>
          <w:rFonts w:ascii="Arial" w:cs="Arial" w:eastAsia="Arial" w:hAnsi="Arial"/>
          <w:sz w:val="18"/>
          <w:szCs w:val="18"/>
          <w:color w:val="auto"/>
        </w:rPr>
        <w:t>a contract-by-contract basis at the end of each reporting period. We classify advance payments and deferred revenue as current or noncurrent based on the timing of when we expect to recognize revenue. Generally all contract liabilities are expected to be recognized within one year and are included in Accrued expenses in our Consolidated Balance Sheets. The noncurrent portion of deferred revenue is included in Other liabilities in our Consolidated Balance Sheets.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contract assets (liabilities) consisted of the following:</w:t>
      </w:r>
    </w:p>
    <w:p>
      <w:pPr>
        <w:spacing w:after="0" w:line="50" w:lineRule="exact"/>
        <w:rPr>
          <w:sz w:val="20"/>
          <w:szCs w:val="20"/>
          <w:color w:val="auto"/>
        </w:rPr>
      </w:pPr>
    </w:p>
    <w:tbl>
      <w:tblPr>
        <w:tblLayout w:type="fixed"/>
        <w:tblInd w:w="180" w:type="dxa"/>
        <w:tblCellMar>
          <w:top w:w="0" w:type="dxa"/>
          <w:left w:w="0" w:type="dxa"/>
          <w:bottom w:w="0" w:type="dxa"/>
          <w:right w:w="0" w:type="dxa"/>
        </w:tblCellMar>
      </w:tblPr>
      <w:tr>
        <w:trPr>
          <w:trHeight w:val="257"/>
        </w:trPr>
        <w:tc>
          <w:tcPr>
            <w:tcW w:w="5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June 30, 2020</w:t>
            </w:r>
          </w:p>
        </w:tc>
        <w:tc>
          <w:tcPr>
            <w:tcW w:w="1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w w:val="98"/>
              </w:rPr>
              <w:t>December 31, 2019</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7"/>
              </w:rPr>
              <w:t>$ Change</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17"/>
        </w:trPr>
        <w:tc>
          <w:tcPr>
            <w:tcW w:w="5620" w:type="dxa"/>
            <w:vAlign w:val="bottom"/>
          </w:tcPr>
          <w:p>
            <w:pPr>
              <w:ind w:left="20"/>
              <w:spacing w:after="0"/>
              <w:rPr>
                <w:sz w:val="20"/>
                <w:szCs w:val="20"/>
                <w:color w:val="auto"/>
              </w:rPr>
            </w:pPr>
            <w:r>
              <w:rPr>
                <w:rFonts w:ascii="Arial" w:cs="Arial" w:eastAsia="Arial" w:hAnsi="Arial"/>
                <w:sz w:val="16"/>
                <w:szCs w:val="16"/>
                <w:color w:val="auto"/>
              </w:rPr>
              <w:t>Contract liabilities - current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 %</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 - noncurrent</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(5.1) %</w:t>
            </w:r>
          </w:p>
        </w:tc>
      </w:tr>
      <w:tr>
        <w:trPr>
          <w:trHeight w:val="24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bl>
    <w:p>
      <w:pPr>
        <w:spacing w:after="0" w:line="337" w:lineRule="exact"/>
        <w:rPr>
          <w:sz w:val="20"/>
          <w:szCs w:val="20"/>
          <w:color w:val="auto"/>
        </w:rPr>
      </w:pPr>
    </w:p>
    <w:p>
      <w:pPr>
        <w:jc w:val="both"/>
        <w:ind w:right="20" w:firstLine="243"/>
        <w:spacing w:after="0" w:line="263" w:lineRule="auto"/>
        <w:rPr>
          <w:sz w:val="20"/>
          <w:szCs w:val="20"/>
          <w:color w:val="auto"/>
        </w:rPr>
      </w:pPr>
      <w:r>
        <w:rPr>
          <w:rFonts w:ascii="Arial" w:cs="Arial" w:eastAsia="Arial" w:hAnsi="Arial"/>
          <w:sz w:val="18"/>
          <w:szCs w:val="18"/>
          <w:color w:val="auto"/>
        </w:rPr>
        <w:t>For the three months ended June 30, 2020 and 2019, we recognized revenue of $2.9 million and $1.5 million and for the six months ended June 30, 2020 and 2019 we recognized revenue of $4.5 million and $2.6 million related to our contract liabilities at January 1, 2020 and 2019, respectively. Impairment losses recognized in our receivables and contract assets were de minimis in 2020 and 2019.</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ind w:right="8360" w:firstLine="8"/>
        <w:spacing w:after="0" w:line="261"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Statement Details: Inventories:</w:t>
      </w: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inventories are as follows (in millions):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As of June 30, 2020</w:t>
            </w: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As of December 31, 2019</w:t>
            </w:r>
          </w:p>
        </w:tc>
      </w:tr>
      <w:tr>
        <w:trPr>
          <w:trHeight w:val="33"/>
        </w:trPr>
        <w:tc>
          <w:tcPr>
            <w:tcW w:w="7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350.7</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402.9</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680" w:type="dxa"/>
            <w:vAlign w:val="bottom"/>
          </w:tcPr>
          <w:p>
            <w:pPr>
              <w:jc w:val="right"/>
              <w:ind w:right="71"/>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6.0</w:t>
            </w:r>
          </w:p>
        </w:tc>
      </w:tr>
      <w:tr>
        <w:trPr>
          <w:trHeight w:val="27"/>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parts</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206.7</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198.8</w:t>
            </w: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563.2</w:t>
            </w:r>
          </w:p>
        </w:tc>
        <w:tc>
          <w:tcPr>
            <w:tcW w:w="16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607.7</w:t>
            </w:r>
          </w:p>
        </w:tc>
      </w:tr>
      <w:tr>
        <w:trPr>
          <w:trHeight w:val="27"/>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of current cost over last-in, first-out cost</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r>
      <w:tr>
        <w:trPr>
          <w:trHeight w:val="263"/>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Total inventories,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499.7</w:t>
            </w:r>
          </w:p>
        </w:tc>
        <w:tc>
          <w:tcPr>
            <w:tcW w:w="16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544.1</w:t>
            </w:r>
          </w:p>
        </w:tc>
      </w:tr>
      <w:tr>
        <w:trPr>
          <w:trHeight w:val="21"/>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changes in the carrying amount of goodwill in 2020, in total and by segment, are summarized in the table below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Changes in foreign</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8"/>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1"/>
              </w:rPr>
              <w:t>Balance at</w:t>
            </w:r>
          </w:p>
        </w:tc>
        <w:tc>
          <w:tcPr>
            <w:tcW w:w="1540" w:type="dxa"/>
            <w:vAlign w:val="bottom"/>
            <w:gridSpan w:val="3"/>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currency translation</w:t>
            </w:r>
          </w:p>
        </w:tc>
        <w:tc>
          <w:tcPr>
            <w:tcW w:w="13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3"/>
              </w:rPr>
              <w:t>Balance at June 30,</w:t>
            </w:r>
          </w:p>
        </w:tc>
      </w:tr>
      <w:tr>
        <w:trPr>
          <w:trHeight w:val="188"/>
        </w:trPr>
        <w:tc>
          <w:tcPr>
            <w:tcW w:w="69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rates</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245"/>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Heating &amp; Cooling</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26.1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26.1</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Commercial Heating &amp; Cooling</w:t>
            </w:r>
          </w:p>
        </w:tc>
        <w:tc>
          <w:tcPr>
            <w:tcW w:w="24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61.1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61.1</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Refrigeration</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99.3</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99.3</w:t>
            </w:r>
          </w:p>
        </w:tc>
      </w:tr>
      <w:tr>
        <w:trPr>
          <w:trHeight w:val="263"/>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Total Goodwill</w:t>
            </w: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186.5</w:t>
            </w:r>
          </w:p>
        </w:tc>
        <w:tc>
          <w:tcPr>
            <w:tcW w:w="1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186.5</w:t>
            </w:r>
          </w:p>
        </w:tc>
      </w:tr>
      <w:tr>
        <w:trPr>
          <w:trHeight w:val="20"/>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perform our annual goodwill impairment test in the fourth quarter of each year, and we monitor our reporting units for indicators of impairment throughout the year to determine if a change in facts or circumstances warrants a re-evaluation of our goodwill.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and Strategies for Using Derivative Instruments</w:t>
      </w:r>
    </w:p>
    <w:p>
      <w:pPr>
        <w:spacing w:after="0" w:line="25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Commodity Price Risk - </w:t>
      </w:r>
      <w:r>
        <w:rPr>
          <w:rFonts w:ascii="Arial" w:cs="Arial" w:eastAsia="Arial" w:hAnsi="Arial"/>
          <w:sz w:val="18"/>
          <w:szCs w:val="18"/>
          <w:color w:val="auto"/>
        </w:rPr>
        <w:t>We utilize a cash flow hedging program to mitigate our exposure to volatility in the prices of metal commodities used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are hedged at future dates. This strategy allows for protection against near-term price volatility while allowing us to adjust to market price movements over time.</w:t>
      </w:r>
    </w:p>
    <w:p>
      <w:pPr>
        <w:spacing w:after="0" w:line="215"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A portion of our debt bears interest at variable rates, and as a result, we are subject to variability in the cash paid for interest. To</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21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i w:val="1"/>
          <w:iCs w:val="1"/>
          <w:color w:val="auto"/>
        </w:rPr>
        <w:t xml:space="preserve">Foreign Currency Risk - </w:t>
      </w:r>
      <w:r>
        <w:rPr>
          <w:rFonts w:ascii="Arial" w:cs="Arial" w:eastAsia="Arial" w:hAnsi="Arial"/>
          <w:sz w:val="18"/>
          <w:szCs w:val="18"/>
          <w:color w:val="auto"/>
        </w:rPr>
        <w:t>Foreign currency exchange rate movements create a degree of risk by affecting the U.S. dollar value of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5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have foreign exchange forward contracts and commodity futures contracts designated as cash flow hedges that are scheduled to mature through January 2021 and November 2021, respectively. Unrealized gains or losses from our cash flow hedges are included in Accumulated other comprehensive loss (“AOCL”) and are expected to be reclassified into earnings within the next 18 months based on the prices of the commodities and foreign currencies at the settlement dates. We recorded the following amounts in AOCL related to our cash flow hedges (in millions):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tbl>
      <w:tblPr>
        <w:tblLayout w:type="fixed"/>
        <w:tblInd w:w="20" w:type="dxa"/>
        <w:tblCellMar>
          <w:top w:w="0" w:type="dxa"/>
          <w:left w:w="0" w:type="dxa"/>
          <w:bottom w:w="0" w:type="dxa"/>
          <w:right w:w="0" w:type="dxa"/>
        </w:tblCellMar>
      </w:tblPr>
      <w:tr>
        <w:trPr>
          <w:trHeight w:val="210"/>
        </w:trPr>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As of June 30, 2020</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2019</w:t>
            </w:r>
          </w:p>
        </w:tc>
      </w:tr>
      <w:tr>
        <w:trPr>
          <w:trHeight w:val="33"/>
        </w:trPr>
        <w:tc>
          <w:tcPr>
            <w:tcW w:w="7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on unsettled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center"/>
              <w:ind w:left="1032"/>
              <w:spacing w:after="0"/>
              <w:rPr>
                <w:sz w:val="20"/>
                <w:szCs w:val="20"/>
                <w:color w:val="auto"/>
              </w:rPr>
            </w:pPr>
            <w:r>
              <w:rPr>
                <w:rFonts w:ascii="Arial" w:cs="Arial" w:eastAsia="Arial" w:hAnsi="Arial"/>
                <w:sz w:val="18"/>
                <w:szCs w:val="18"/>
                <w:color w:val="auto"/>
                <w:w w:val="87"/>
              </w:rPr>
              <w:t>1.5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21"/>
                <w:szCs w:val="21"/>
                <w:color w:val="auto"/>
              </w:rPr>
            </w:pPr>
          </w:p>
        </w:tc>
        <w:tc>
          <w:tcPr>
            <w:tcW w:w="1660" w:type="dxa"/>
            <w:vAlign w:val="bottom"/>
          </w:tcPr>
          <w:p>
            <w:pPr>
              <w:jc w:val="center"/>
              <w:ind w:left="992"/>
              <w:spacing w:after="0"/>
              <w:rPr>
                <w:sz w:val="20"/>
                <w:szCs w:val="20"/>
                <w:color w:val="auto"/>
              </w:rPr>
            </w:pPr>
            <w:r>
              <w:rPr>
                <w:rFonts w:ascii="Arial" w:cs="Arial" w:eastAsia="Arial" w:hAnsi="Arial"/>
                <w:sz w:val="18"/>
                <w:szCs w:val="18"/>
                <w:color w:val="auto"/>
                <w:w w:val="91"/>
              </w:rPr>
              <w:t>(0.9)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7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Losses (gains) included in AOCL, net of tax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center"/>
              <w:ind w:left="1032"/>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left="500" w:hanging="168"/>
        <w:spacing w:after="0" w:line="227" w:lineRule="auto"/>
        <w:tabs>
          <w:tab w:leader="none" w:pos="539"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Assuming commodity prices and foreign currency exchange rates remain constant, we expect to reclassify $1.0 million of derivative losses into earnings within the next 12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issue various long-term incentive awards, including performance share units, restricted stock units and stock appreciation rights under the Lennox International Inc. 2019 Incentive Plan, as amended and restated. Stock-based compensation expense related to continuing operations is included in Selling, general and administrative expenses in the accompanying Consolidated Statements of Operations as follows (in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2860" w:type="dxa"/>
            <w:vAlign w:val="bottom"/>
            <w:gridSpan w:val="6"/>
          </w:tcPr>
          <w:p>
            <w:pPr>
              <w:ind w:left="60"/>
              <w:spacing w:after="0"/>
              <w:rPr>
                <w:sz w:val="20"/>
                <w:szCs w:val="20"/>
                <w:color w:val="auto"/>
              </w:rPr>
            </w:pPr>
            <w:r>
              <w:rPr>
                <w:rFonts w:ascii="Arial" w:cs="Arial" w:eastAsia="Arial" w:hAnsi="Arial"/>
                <w:sz w:val="16"/>
                <w:szCs w:val="16"/>
                <w:b w:val="1"/>
                <w:bCs w:val="1"/>
                <w:color w:val="auto"/>
                <w:w w:val="97"/>
              </w:rPr>
              <w:t>For the Three Months Ended June 30,</w:t>
            </w:r>
          </w:p>
        </w:tc>
        <w:tc>
          <w:tcPr>
            <w:tcW w:w="2480" w:type="dxa"/>
            <w:vAlign w:val="bottom"/>
            <w:gridSpan w:val="5"/>
          </w:tcPr>
          <w:p>
            <w:pPr>
              <w:ind w:left="20"/>
              <w:spacing w:after="0"/>
              <w:rPr>
                <w:sz w:val="20"/>
                <w:szCs w:val="20"/>
                <w:color w:val="auto"/>
              </w:rPr>
            </w:pPr>
            <w:r>
              <w:rPr>
                <w:rFonts w:ascii="Arial" w:cs="Arial" w:eastAsia="Arial" w:hAnsi="Arial"/>
                <w:sz w:val="16"/>
                <w:szCs w:val="16"/>
                <w:b w:val="1"/>
                <w:bCs w:val="1"/>
                <w:color w:val="auto"/>
                <w:w w:val="91"/>
              </w:rPr>
              <w:t>For the Six Months Ended June 30,</w:t>
            </w:r>
          </w:p>
        </w:tc>
      </w:tr>
      <w:tr>
        <w:trPr>
          <w:trHeight w:val="33"/>
        </w:trPr>
        <w:tc>
          <w:tcPr>
            <w:tcW w:w="59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5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5"/>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5"/>
              <w:spacing w:after="0"/>
              <w:rPr>
                <w:sz w:val="20"/>
                <w:szCs w:val="20"/>
                <w:color w:val="auto"/>
              </w:rPr>
            </w:pPr>
            <w:r>
              <w:rPr>
                <w:rFonts w:ascii="Arial" w:cs="Arial" w:eastAsia="Arial" w:hAnsi="Arial"/>
                <w:sz w:val="16"/>
                <w:szCs w:val="16"/>
                <w:b w:val="1"/>
                <w:bCs w:val="1"/>
                <w:color w:val="auto"/>
              </w:rPr>
              <w:t>2019</w:t>
            </w:r>
          </w:p>
        </w:tc>
      </w:tr>
      <w:tr>
        <w:trPr>
          <w:trHeight w:val="33"/>
        </w:trPr>
        <w:tc>
          <w:tcPr>
            <w:tcW w:w="59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(1)</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11.4</w:t>
            </w:r>
          </w:p>
        </w:tc>
      </w:tr>
    </w:tbl>
    <w:p>
      <w:pPr>
        <w:spacing w:after="0" w:line="60" w:lineRule="exact"/>
        <w:rPr>
          <w:sz w:val="20"/>
          <w:szCs w:val="20"/>
          <w:color w:val="auto"/>
        </w:rPr>
      </w:pPr>
    </w:p>
    <w:p>
      <w:pPr>
        <w:ind w:left="440" w:hanging="189"/>
        <w:spacing w:after="0"/>
        <w:tabs>
          <w:tab w:leader="none" w:pos="440" w:val="left"/>
        </w:tabs>
        <w:numPr>
          <w:ilvl w:val="1"/>
          <w:numId w:val="6"/>
        </w:numPr>
        <w:rPr>
          <w:rFonts w:ascii="Arial" w:cs="Arial" w:eastAsia="Arial" w:hAnsi="Arial"/>
          <w:sz w:val="23"/>
          <w:szCs w:val="23"/>
          <w:color w:val="auto"/>
          <w:vertAlign w:val="superscript"/>
        </w:rPr>
      </w:pPr>
      <w:r>
        <w:rPr>
          <w:rFonts w:ascii="Arial" w:cs="Arial" w:eastAsia="Arial" w:hAnsi="Arial"/>
          <w:sz w:val="18"/>
          <w:szCs w:val="18"/>
          <w:color w:val="auto"/>
        </w:rPr>
        <w:t>All expense was recorded in our Corporate and Other business segment.</w:t>
      </w:r>
    </w:p>
    <w:p>
      <w:pPr>
        <w:spacing w:after="0" w:line="224" w:lineRule="exact"/>
        <w:rPr>
          <w:rFonts w:ascii="Arial" w:cs="Arial" w:eastAsia="Arial" w:hAnsi="Arial"/>
          <w:sz w:val="23"/>
          <w:szCs w:val="23"/>
          <w:color w:val="auto"/>
          <w:vertAlign w:val="superscript"/>
        </w:rPr>
      </w:pPr>
    </w:p>
    <w:p>
      <w:pPr>
        <w:ind w:left="280" w:hanging="272"/>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Pension Benefit Plans: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net periodic benefit cost for pensions benefits were as follows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2240" w:type="dxa"/>
            <w:vAlign w:val="bottom"/>
            <w:gridSpan w:val="6"/>
          </w:tcPr>
          <w:p>
            <w:pPr>
              <w:ind w:left="60"/>
              <w:spacing w:after="0"/>
              <w:rPr>
                <w:sz w:val="20"/>
                <w:szCs w:val="20"/>
                <w:color w:val="auto"/>
              </w:rPr>
            </w:pPr>
            <w:r>
              <w:rPr>
                <w:rFonts w:ascii="Arial" w:cs="Arial" w:eastAsia="Arial" w:hAnsi="Arial"/>
                <w:sz w:val="16"/>
                <w:szCs w:val="16"/>
                <w:b w:val="1"/>
                <w:bCs w:val="1"/>
                <w:color w:val="auto"/>
                <w:w w:val="99"/>
              </w:rPr>
              <w:t>For the Three Months Ended</w:t>
            </w:r>
          </w:p>
        </w:tc>
        <w:tc>
          <w:tcPr>
            <w:tcW w:w="140" w:type="dxa"/>
            <w:vAlign w:val="bottom"/>
          </w:tcPr>
          <w:p>
            <w:pPr>
              <w:spacing w:after="0"/>
              <w:rPr>
                <w:sz w:val="17"/>
                <w:szCs w:val="17"/>
                <w:color w:val="auto"/>
              </w:rPr>
            </w:pPr>
          </w:p>
        </w:tc>
        <w:tc>
          <w:tcPr>
            <w:tcW w:w="2040" w:type="dxa"/>
            <w:vAlign w:val="bottom"/>
            <w:gridSpan w:val="4"/>
          </w:tcPr>
          <w:p>
            <w:pPr>
              <w:jc w:val="right"/>
              <w:ind w:right="91"/>
              <w:spacing w:after="0"/>
              <w:rPr>
                <w:sz w:val="20"/>
                <w:szCs w:val="20"/>
                <w:color w:val="auto"/>
              </w:rPr>
            </w:pPr>
            <w:r>
              <w:rPr>
                <w:rFonts w:ascii="Arial" w:cs="Arial" w:eastAsia="Arial" w:hAnsi="Arial"/>
                <w:sz w:val="16"/>
                <w:szCs w:val="16"/>
                <w:b w:val="1"/>
                <w:bCs w:val="1"/>
                <w:color w:val="auto"/>
                <w:w w:val="93"/>
              </w:rPr>
              <w:t>For the Six Months Ended</w:t>
            </w:r>
          </w:p>
        </w:tc>
      </w:tr>
      <w:tr>
        <w:trPr>
          <w:trHeight w:val="210"/>
        </w:trPr>
        <w:tc>
          <w:tcPr>
            <w:tcW w:w="6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r>
      <w:tr>
        <w:trPr>
          <w:trHeight w:val="33"/>
        </w:trPr>
        <w:tc>
          <w:tcPr>
            <w:tcW w:w="6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6"/>
                <w:szCs w:val="16"/>
                <w:b w:val="1"/>
                <w:bCs w:val="1"/>
                <w:color w:val="auto"/>
              </w:rPr>
              <w:t>2019</w:t>
            </w:r>
          </w:p>
        </w:tc>
      </w:tr>
      <w:tr>
        <w:trPr>
          <w:trHeight w:val="237"/>
        </w:trPr>
        <w:tc>
          <w:tcPr>
            <w:tcW w:w="66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w:t>
            </w: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(7.2)</w:t>
            </w: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Recognized actuarial loss</w:t>
            </w:r>
          </w:p>
        </w:tc>
        <w:tc>
          <w:tcPr>
            <w:tcW w:w="22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2.9</w:t>
            </w: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and curtailments</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60.6</w:t>
            </w:r>
          </w:p>
        </w:tc>
      </w:tr>
      <w:tr>
        <w:trPr>
          <w:trHeight w:val="263"/>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62.2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64.2</w:t>
            </w:r>
          </w:p>
        </w:tc>
      </w:tr>
      <w:tr>
        <w:trPr>
          <w:trHeight w:val="20"/>
        </w:trPr>
        <w:tc>
          <w:tcPr>
            <w:tcW w:w="6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June 30, 2020, we had approximately $3.1 million in total gross unrecognized tax benefits. Of this amount $3.1 million, if recognized, would be recorded through the Consolidated Statements of Operations.</w:t>
      </w:r>
    </w:p>
    <w:p>
      <w:pPr>
        <w:spacing w:after="0" w:line="19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are currently under examination for our U.S. federal income taxes under the Internal Revenue Service's Compliance Assurance Program for 2019 and are subject to examination by numerous other taxing authorities in the U.S. and in foreign jurisdictions. We are generally no longer subject to U.S. federal, state and local, or non-U.S. income tax examinations by taxing authorities for years prior to 2012.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12. Lines of Credit and Financing Arrangements:</w:t>
      </w:r>
    </w:p>
    <w:p>
      <w:pPr>
        <w:spacing w:after="0" w:line="256" w:lineRule="exact"/>
        <w:rPr>
          <w:sz w:val="20"/>
          <w:szCs w:val="20"/>
          <w:color w:val="auto"/>
        </w:rPr>
      </w:pPr>
    </w:p>
    <w:p>
      <w:pPr>
        <w:ind w:right="700" w:firstLine="243"/>
        <w:spacing w:after="0" w:line="274" w:lineRule="auto"/>
        <w:rPr>
          <w:sz w:val="20"/>
          <w:szCs w:val="20"/>
          <w:color w:val="auto"/>
        </w:rPr>
      </w:pPr>
      <w:r>
        <w:rPr>
          <w:rFonts w:ascii="Arial" w:cs="Arial" w:eastAsia="Arial" w:hAnsi="Arial"/>
          <w:sz w:val="18"/>
          <w:szCs w:val="18"/>
          <w:color w:val="auto"/>
        </w:rPr>
        <w:t>The following table summarizes our outstanding debt obligations and their classification in the accompanying Consolidated Balance Sheets (in millions):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6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As of June 30, 2020</w:t>
            </w:r>
          </w:p>
        </w:tc>
        <w:tc>
          <w:tcPr>
            <w:tcW w:w="20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6"/>
                <w:szCs w:val="16"/>
                <w:b w:val="1"/>
                <w:bCs w:val="1"/>
                <w:color w:val="auto"/>
                <w:w w:val="94"/>
              </w:rPr>
              <w:t>As of December 31, 2019</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30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r>
      <w:tr>
        <w:trPr>
          <w:trHeight w:val="27"/>
        </w:trPr>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securitization program</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306.0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285.0</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300" w:type="dxa"/>
            <w:vAlign w:val="bottom"/>
          </w:tcPr>
          <w:p>
            <w:pPr>
              <w:spacing w:after="0"/>
              <w:rPr>
                <w:sz w:val="21"/>
                <w:szCs w:val="21"/>
                <w:color w:val="auto"/>
              </w:rPr>
            </w:pPr>
          </w:p>
        </w:tc>
        <w:tc>
          <w:tcPr>
            <w:tcW w:w="1980" w:type="dxa"/>
            <w:vAlign w:val="bottom"/>
          </w:tcPr>
          <w:p>
            <w:pPr>
              <w:jc w:val="right"/>
              <w:ind w:right="51"/>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51"/>
              <w:spacing w:after="0"/>
              <w:rPr>
                <w:sz w:val="20"/>
                <w:szCs w:val="20"/>
                <w:color w:val="auto"/>
              </w:rPr>
            </w:pPr>
            <w:r>
              <w:rPr>
                <w:rFonts w:ascii="Arial" w:cs="Arial" w:eastAsia="Arial" w:hAnsi="Arial"/>
                <w:sz w:val="18"/>
                <w:szCs w:val="18"/>
                <w:color w:val="auto"/>
              </w:rPr>
              <w:t>7.8</w:t>
            </w:r>
          </w:p>
        </w:tc>
      </w:tr>
      <w:tr>
        <w:trPr>
          <w:trHeight w:val="27"/>
        </w:trPr>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30.0</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(0.9)</w:t>
            </w:r>
          </w:p>
        </w:tc>
      </w:tr>
      <w:tr>
        <w:trPr>
          <w:trHeight w:val="27"/>
        </w:trPr>
        <w:tc>
          <w:tcPr>
            <w:tcW w:w="6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3"/>
        </w:trPr>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maturities of long-term debt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343.6</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321.9</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Long-Term Debt:</w:t>
            </w:r>
          </w:p>
        </w:tc>
        <w:tc>
          <w:tcPr>
            <w:tcW w:w="3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26.3</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25.9</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Domestic credit facility</w:t>
            </w:r>
          </w:p>
        </w:tc>
        <w:tc>
          <w:tcPr>
            <w:tcW w:w="300" w:type="dxa"/>
            <w:vAlign w:val="bottom"/>
          </w:tcPr>
          <w:p>
            <w:pPr>
              <w:spacing w:after="0"/>
              <w:rPr>
                <w:sz w:val="21"/>
                <w:szCs w:val="21"/>
                <w:color w:val="auto"/>
              </w:rPr>
            </w:pPr>
          </w:p>
        </w:tc>
        <w:tc>
          <w:tcPr>
            <w:tcW w:w="1980" w:type="dxa"/>
            <w:vAlign w:val="bottom"/>
          </w:tcPr>
          <w:p>
            <w:pPr>
              <w:jc w:val="right"/>
              <w:ind w:right="51"/>
              <w:spacing w:after="0"/>
              <w:rPr>
                <w:sz w:val="20"/>
                <w:szCs w:val="20"/>
                <w:color w:val="auto"/>
              </w:rPr>
            </w:pPr>
            <w:r>
              <w:rPr>
                <w:rFonts w:ascii="Arial" w:cs="Arial" w:eastAsia="Arial" w:hAnsi="Arial"/>
                <w:sz w:val="18"/>
                <w:szCs w:val="18"/>
                <w:color w:val="auto"/>
              </w:rPr>
              <w:t>672.5</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51"/>
              <w:spacing w:after="0"/>
              <w:rPr>
                <w:sz w:val="20"/>
                <w:szCs w:val="20"/>
                <w:color w:val="auto"/>
              </w:rPr>
            </w:pPr>
            <w:r>
              <w:rPr>
                <w:rFonts w:ascii="Arial" w:cs="Arial" w:eastAsia="Arial" w:hAnsi="Arial"/>
                <w:sz w:val="18"/>
                <w:szCs w:val="18"/>
                <w:color w:val="auto"/>
              </w:rPr>
              <w:t>475.5</w:t>
            </w:r>
          </w:p>
        </w:tc>
      </w:tr>
      <w:tr>
        <w:trPr>
          <w:trHeight w:val="27"/>
        </w:trPr>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350.0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350.0</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6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3"/>
        </w:trPr>
        <w:tc>
          <w:tcPr>
            <w:tcW w:w="6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long-term debt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1,047.2</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849.3</w:t>
            </w:r>
          </w:p>
        </w:tc>
      </w:tr>
      <w:tr>
        <w:trPr>
          <w:trHeight w:val="264"/>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Total debt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1,390.8</w:t>
            </w:r>
          </w:p>
        </w:tc>
        <w:tc>
          <w:tcPr>
            <w:tcW w:w="1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1,171.2</w:t>
            </w:r>
          </w:p>
        </w:tc>
      </w:tr>
      <w:tr>
        <w:trPr>
          <w:trHeight w:val="20"/>
        </w:trPr>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Obligations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Through several of our foreign subsidiaries, we have facilities available to assist in financing seasonal borrowing needs for our foreign locations. We had no outstanding foreign obligations as of June 30, 2020 or December 31, 2019 and there were $1.9 million of borrowings and repayments on these facilities for the six months ended June 30, 2020. There were no significant borrowings or repayments on these facilities for the six months ended June 30,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Securitization Program</w:t>
      </w:r>
    </w:p>
    <w:p>
      <w:pPr>
        <w:spacing w:after="0" w:line="252"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As a result of the repurchase right, the transfer of the receivables under the ASP is not accounted for as a sale. Accordingly, the cash received from the transfer of the beneficial interests in our trade accounts receivable is reflected as secured borrowings in the accompanying Consolidated Balance Sheets and proceeds received are included in Cash flows from financing activities in the accompanying Consolidated Statements of Cash Flows.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transferred under the ASP.</w:t>
      </w:r>
    </w:p>
    <w:p>
      <w:pPr>
        <w:spacing w:after="0" w:line="192" w:lineRule="exact"/>
        <w:rPr>
          <w:sz w:val="20"/>
          <w:szCs w:val="20"/>
          <w:color w:val="auto"/>
        </w:rPr>
      </w:pPr>
    </w:p>
    <w:p>
      <w:pPr>
        <w:jc w:val="both"/>
        <w:ind w:firstLine="243"/>
        <w:spacing w:after="0" w:line="299" w:lineRule="auto"/>
        <w:rPr>
          <w:sz w:val="20"/>
          <w:szCs w:val="20"/>
          <w:color w:val="auto"/>
        </w:rPr>
      </w:pPr>
      <w:r>
        <w:rPr>
          <w:rFonts w:ascii="Arial" w:cs="Arial" w:eastAsia="Arial" w:hAnsi="Arial"/>
          <w:sz w:val="16"/>
          <w:szCs w:val="16"/>
          <w:color w:val="auto"/>
        </w:rPr>
        <w:t>We renewed the ASP in November 2019, extending its term to November 2021 and increasing the maximum securitization amount to a range from $250.0 million to $400.0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Arial" w:cs="Arial" w:eastAsia="Arial" w:hAnsi="Arial"/>
                <w:sz w:val="16"/>
                <w:szCs w:val="16"/>
                <w:b w:val="1"/>
                <w:bCs w:val="1"/>
                <w:color w:val="auto"/>
              </w:rPr>
              <w:t>As of June 30, 2020</w:t>
            </w: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2019</w:t>
            </w:r>
          </w:p>
        </w:tc>
      </w:tr>
      <w:tr>
        <w:trPr>
          <w:trHeight w:val="33"/>
        </w:trPr>
        <w:tc>
          <w:tcPr>
            <w:tcW w:w="7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Eligible amount available under the ASP on qualified 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306.0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320.0</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Less: Beneficial interest transferred</w:t>
            </w:r>
          </w:p>
        </w:tc>
        <w:tc>
          <w:tcPr>
            <w:tcW w:w="18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(306.0)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(285.0)</w:t>
            </w:r>
          </w:p>
        </w:tc>
      </w:tr>
      <w:tr>
        <w:trPr>
          <w:trHeight w:val="27"/>
        </w:trPr>
        <w:tc>
          <w:tcPr>
            <w:tcW w:w="7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amount available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pay certain discount fees to use the ASP and to have the facility available to us. These fees relate to both the used and unused portions of the securitization. The used fee is based on the beneficial interest sold and calculated on either the average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1" w:name="page22"/>
    <w:bookmarkEnd w:id="21"/>
    <w:p>
      <w:pPr>
        <w:jc w:val="both"/>
        <w:spacing w:after="0" w:line="279" w:lineRule="auto"/>
        <w:rPr>
          <w:sz w:val="20"/>
          <w:szCs w:val="20"/>
          <w:color w:val="auto"/>
        </w:rPr>
      </w:pPr>
      <w:r>
        <w:rPr>
          <w:rFonts w:ascii="Arial" w:cs="Arial" w:eastAsia="Arial" w:hAnsi="Arial"/>
          <w:sz w:val="17"/>
          <w:szCs w:val="17"/>
          <w:color w:val="auto"/>
        </w:rPr>
        <w:t>LIBOR rate or floating commercial paper rate determined by the purchaser of the beneficial interest, plus a program fee of 0.70%. The average rates as of June 30, 2020 and December 31, 2019 were 1.02% and 2.51%, respectively. The unused fee is based on 101% of the maximum available amount less the beneficial interest transferred and is calculated at a rate ranging between 0.25% and 0.35%, depending on the available borrowings, throughout the term of the agreement. We recorded these fees in Interest expense, net in the accompanying Consolidated Statements of Operations.</w:t>
      </w:r>
    </w:p>
    <w:p>
      <w:pPr>
        <w:spacing w:after="0" w:line="19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ASP contains certain restrictive covenants relating to the quality of our accounts receivable and cross-default provisions with our Sixth Amended and Restated Credit Facility Agreement ("Domestic Credit Facility"), senior unsecured notes and any other indebtedness we may have over $75.0 million. The administrative agent under the ASP is also a participant in our Domestic Credit Facility. The participating financial institutions have investment grade credit ratings. As of June 30, 2020, we believe we were in compliance with all covenant requirements.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 Credit Facility</w:t>
      </w:r>
    </w:p>
    <w:p>
      <w:pPr>
        <w:spacing w:after="0" w:line="25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On January 22, 2019, we amended our Domestic Credit Facility to provide for a $350.0 million increase in revolving commitments. The Domestic Credit Facility currently consists of a $1,000.0 million unsecured revolving credit facility and a $160.0 million unsecured term loan that matures in August 2021 (the "Maturity Date"). We will seek to extend the Maturity Date of the Domestic Credit Facility prior to its expiration.</w:t>
      </w:r>
    </w:p>
    <w:p>
      <w:pPr>
        <w:spacing w:after="0" w:line="19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our Domestic Credit Facility, we had outstanding borrowings of $702.5 million, of which $145.0 million was the term loan balance, as well as $2.4 million committed to standby letters of credit as of June 30, 2020. Subject to covenant limitations, $440.1 million was available for future borrowings. The unsecured term loan also matures on the Maturity Date and requires quarterly principal repayments of $7.5 million. The revolving credit facility includes a subfacility for swingline loans of up to $65.0 million.</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weighted average borrowing rate on the facility was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6"/>
                <w:szCs w:val="16"/>
                <w:b w:val="1"/>
                <w:bCs w:val="1"/>
                <w:color w:val="auto"/>
              </w:rPr>
              <w:t>As of June 30, 2020</w:t>
            </w:r>
          </w:p>
        </w:tc>
        <w:tc>
          <w:tcPr>
            <w:tcW w:w="2340" w:type="dxa"/>
            <w:vAlign w:val="bottom"/>
          </w:tcPr>
          <w:p>
            <w:pPr>
              <w:jc w:val="right"/>
              <w:ind w:right="235"/>
              <w:spacing w:after="0"/>
              <w:rPr>
                <w:sz w:val="20"/>
                <w:szCs w:val="20"/>
                <w:color w:val="auto"/>
              </w:rPr>
            </w:pPr>
            <w:r>
              <w:rPr>
                <w:rFonts w:ascii="Arial" w:cs="Arial" w:eastAsia="Arial" w:hAnsi="Arial"/>
                <w:sz w:val="16"/>
                <w:szCs w:val="16"/>
                <w:b w:val="1"/>
                <w:bCs w:val="1"/>
                <w:color w:val="auto"/>
              </w:rPr>
              <w:t>As of December 31, 2019</w:t>
            </w:r>
          </w:p>
        </w:tc>
      </w:tr>
      <w:tr>
        <w:trPr>
          <w:trHeight w:val="33"/>
        </w:trPr>
        <w:tc>
          <w:tcPr>
            <w:tcW w:w="644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37"/>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borrowing rate</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120" w:type="dxa"/>
            <w:vAlign w:val="bottom"/>
            <w:shd w:val="clear" w:color="auto" w:fill="CCEEFF"/>
          </w:tcPr>
          <w:p>
            <w:pPr>
              <w:spacing w:after="0"/>
              <w:rPr>
                <w:sz w:val="20"/>
                <w:szCs w:val="20"/>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2.93 %</w:t>
            </w:r>
          </w:p>
        </w:tc>
      </w:tr>
      <w:tr>
        <w:trPr>
          <w:trHeight w:val="27"/>
        </w:trPr>
        <w:tc>
          <w:tcPr>
            <w:tcW w:w="644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Our Domestic Credit Facility is guaranteed by certain of our subsidiaries and contains financial covenants relating to leverage and interest coverage. Other covenants contained in the Domestic Credit Facility restrict, among other things, certain mergers, asset dispositions, guarantees, debt, liens, and affiliate transactions. The financial covenants require us to maintain a defined Consolidated Indebtedness to Adjusted EBITDA Ratio and a Cash Flow (defined as EBITDA minus capital expenditures) to Net Interest Expense Ratio. The required ratios under our Domestic Credit Facility are detailed below:</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Indebtedness to Adjusted EBITDA Ratio no greater than</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 1.0</w:t>
            </w:r>
          </w:p>
        </w:tc>
      </w:tr>
      <w:tr>
        <w:trPr>
          <w:trHeight w:val="270"/>
        </w:trPr>
        <w:tc>
          <w:tcPr>
            <w:tcW w:w="7840" w:type="dxa"/>
            <w:vAlign w:val="bottom"/>
          </w:tcPr>
          <w:p>
            <w:pPr>
              <w:ind w:left="20"/>
              <w:spacing w:after="0"/>
              <w:rPr>
                <w:sz w:val="20"/>
                <w:szCs w:val="20"/>
                <w:color w:val="auto"/>
              </w:rPr>
            </w:pPr>
            <w:r>
              <w:rPr>
                <w:rFonts w:ascii="Arial" w:cs="Arial" w:eastAsia="Arial" w:hAnsi="Arial"/>
                <w:sz w:val="18"/>
                <w:szCs w:val="18"/>
                <w:color w:val="auto"/>
              </w:rPr>
              <w:t>Cash Flow to Net Interest Expense Ratio no less than</w:t>
            </w:r>
          </w:p>
        </w:tc>
        <w:tc>
          <w:tcPr>
            <w:tcW w:w="3360" w:type="dxa"/>
            <w:vAlign w:val="bottom"/>
          </w:tcPr>
          <w:p>
            <w:pPr>
              <w:jc w:val="right"/>
              <w:spacing w:after="0"/>
              <w:rPr>
                <w:sz w:val="20"/>
                <w:szCs w:val="20"/>
                <w:color w:val="auto"/>
              </w:rPr>
            </w:pPr>
            <w:r>
              <w:rPr>
                <w:rFonts w:ascii="Arial" w:cs="Arial" w:eastAsia="Arial" w:hAnsi="Arial"/>
                <w:sz w:val="18"/>
                <w:szCs w:val="18"/>
                <w:color w:val="auto"/>
              </w:rPr>
              <w:t>3.0 : 1.0</w:t>
            </w:r>
          </w:p>
        </w:tc>
      </w:tr>
    </w:tbl>
    <w:p>
      <w:pPr>
        <w:spacing w:after="0" w:line="14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Domestic Credit Facility contains customary events of default. These events of default include nonpayment of principal or interest, breach of covenants or other restrictions or requirements, default on certain other indebtedness or receivables securitizations (cross default), and bankruptcy. A cross default under our Domestic Credit Facility could occur if:</w:t>
      </w:r>
    </w:p>
    <w:p>
      <w:pPr>
        <w:spacing w:after="0" w:line="76" w:lineRule="exact"/>
        <w:rPr>
          <w:sz w:val="20"/>
          <w:szCs w:val="20"/>
          <w:color w:val="auto"/>
        </w:rPr>
      </w:pPr>
    </w:p>
    <w:p>
      <w:pPr>
        <w:ind w:left="520" w:hanging="107"/>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fail to pay any principal or interest when due on any other indebtedness or receivables securitization of at least $75.0 million; or</w:t>
      </w:r>
    </w:p>
    <w:p>
      <w:pPr>
        <w:spacing w:after="0" w:line="117" w:lineRule="exact"/>
        <w:rPr>
          <w:rFonts w:ascii="Arial" w:cs="Arial" w:eastAsia="Arial" w:hAnsi="Arial"/>
          <w:sz w:val="18"/>
          <w:szCs w:val="18"/>
          <w:color w:val="auto"/>
        </w:rPr>
      </w:pPr>
    </w:p>
    <w:p>
      <w:pPr>
        <w:ind w:left="660" w:hanging="247"/>
        <w:spacing w:after="0" w:line="263" w:lineRule="auto"/>
        <w:tabs>
          <w:tab w:leader="none" w:pos="549"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in default in the performance of, or compliance with any term of any other indebtedness or receivables securitization in an aggregate principal amount of at least $75.0 million or any other condition exists which would give the holders the right to declare such indebtedness due and payable prior to its stated maturity.</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Each of our major debt agreements contains provisions by which a default under one agreement causes a default in the others (a "cross default"). If a cross default under the Domestic Credit Facility, our senior unsecured notes, our lease of our corporate headquarters in Richardson, Texas (recorded as an operating lease), or our ASP were to occur, it could have a wider impact on our liquidity than might otherwise occur from a default of a single debt instrument or lease commitment.</w:t>
      </w:r>
    </w:p>
    <w:p>
      <w:pPr>
        <w:spacing w:after="0" w:line="21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If any event of default occurs and is continuing, lenders with a majority of the aggregate commitments may require the administrative agent to terminate our right to borrow under our Domestic Credit Facility and accelerate amounts due under our Domestic Credit Facility (except for a bankruptcy event of default, in which case such amounts will automatically become due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and payable and the lenders’ commitments will automatically terminate). As of June 30, 2020, we believe we were in compliance with all covenant requirements.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5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issued $350.0 million of senior unsecured notes in November 2016 (the "Notes") which will mature on November 15, 2023 with interest being paid on May 15 and November 15 at 3.00% per annum semiannually. The Notes are guaranteed, on a senior unsecured basis, by certain of our subsidiaries that guarantee indebtedness under our Domestic Credit Facility.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June 30, 2020, we believe we were in compliance with all covenant requirements.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Comprehensive Income:</w:t>
      </w:r>
    </w:p>
    <w:p>
      <w:pPr>
        <w:spacing w:after="0" w:line="256"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table provides information on items not reclassified in their entirety from AOCL to Net income in the accompanying Consolidated Statements of Operations (in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2300" w:type="dxa"/>
            <w:vAlign w:val="bottom"/>
            <w:gridSpan w:val="6"/>
          </w:tcPr>
          <w:p>
            <w:pPr>
              <w:jc w:val="right"/>
              <w:spacing w:after="0"/>
              <w:rPr>
                <w:sz w:val="20"/>
                <w:szCs w:val="20"/>
                <w:color w:val="auto"/>
              </w:rPr>
            </w:pPr>
            <w:r>
              <w:rPr>
                <w:rFonts w:ascii="Arial" w:cs="Arial" w:eastAsia="Arial" w:hAnsi="Arial"/>
                <w:sz w:val="16"/>
                <w:szCs w:val="16"/>
                <w:b w:val="1"/>
                <w:bCs w:val="1"/>
                <w:color w:val="auto"/>
                <w:w w:val="93"/>
              </w:rPr>
              <w:t>For the Six Months Ended June</w:t>
            </w:r>
          </w:p>
        </w:tc>
        <w:tc>
          <w:tcPr>
            <w:tcW w:w="1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w w:val="98"/>
              </w:rPr>
              <w:t>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vMerge w:val="restart"/>
          </w:tcPr>
          <w:p>
            <w:pPr>
              <w:ind w:left="80"/>
              <w:spacing w:after="0"/>
              <w:rPr>
                <w:sz w:val="20"/>
                <w:szCs w:val="20"/>
                <w:color w:val="auto"/>
              </w:rPr>
            </w:pPr>
            <w:r>
              <w:rPr>
                <w:rFonts w:ascii="Arial" w:cs="Arial" w:eastAsia="Arial" w:hAnsi="Arial"/>
                <w:sz w:val="16"/>
                <w:szCs w:val="16"/>
                <w:b w:val="1"/>
                <w:bCs w:val="1"/>
                <w:color w:val="auto"/>
                <w:w w:val="93"/>
              </w:rPr>
              <w:t>Affected Line Item(s) in the Consolidated</w:t>
            </w: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9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21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20" w:type="dxa"/>
            <w:vAlign w:val="bottom"/>
          </w:tcPr>
          <w:p>
            <w:pPr>
              <w:ind w:left="640"/>
              <w:spacing w:after="0"/>
              <w:rPr>
                <w:sz w:val="20"/>
                <w:szCs w:val="20"/>
                <w:color w:val="auto"/>
              </w:rPr>
            </w:pPr>
            <w:r>
              <w:rPr>
                <w:rFonts w:ascii="Arial" w:cs="Arial" w:eastAsia="Arial" w:hAnsi="Arial"/>
                <w:sz w:val="16"/>
                <w:szCs w:val="16"/>
                <w:b w:val="1"/>
                <w:bCs w:val="1"/>
                <w:color w:val="auto"/>
              </w:rPr>
              <w:t>Statements of Operations</w:t>
            </w: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(Losses) Gains on Cash Flow Hedges:</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w w:val="95"/>
              </w:rPr>
              <w:t>Cost of goods sold; Losses (gains) and</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Derivatives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4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other expenses, net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3420" w:type="dxa"/>
            <w:vAlign w:val="bottom"/>
          </w:tcPr>
          <w:p>
            <w:pPr>
              <w:ind w:left="220"/>
              <w:spacing w:after="0"/>
              <w:rPr>
                <w:sz w:val="20"/>
                <w:szCs w:val="20"/>
                <w:color w:val="auto"/>
              </w:rPr>
            </w:pPr>
            <w:r>
              <w:rPr>
                <w:rFonts w:ascii="Arial" w:cs="Arial" w:eastAsia="Arial" w:hAnsi="Arial"/>
                <w:sz w:val="18"/>
                <w:szCs w:val="18"/>
                <w:color w:val="auto"/>
              </w:rPr>
              <w:t>Net of tax</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Defined Benefit Plan items: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Cost of goods sold; Selling, general and</w:t>
            </w:r>
          </w:p>
        </w:tc>
        <w:tc>
          <w:tcPr>
            <w:tcW w:w="0" w:type="dxa"/>
            <w:vAlign w:val="bottom"/>
          </w:tcPr>
          <w:p>
            <w:pPr>
              <w:spacing w:after="0"/>
              <w:rPr>
                <w:sz w:val="1"/>
                <w:szCs w:val="1"/>
                <w:color w:val="auto"/>
              </w:rPr>
            </w:pPr>
          </w:p>
        </w:tc>
      </w:tr>
      <w:tr>
        <w:trPr>
          <w:trHeight w:val="237"/>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and post-retirement benefit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Pension settlement</w:t>
            </w:r>
          </w:p>
        </w:tc>
        <w:tc>
          <w:tcPr>
            <w:tcW w:w="12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Pension settlement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3420" w:type="dxa"/>
            <w:vAlign w:val="bottom"/>
          </w:tcPr>
          <w:p>
            <w:pPr>
              <w:ind w:left="220"/>
              <w:spacing w:after="0"/>
              <w:rPr>
                <w:sz w:val="20"/>
                <w:szCs w:val="20"/>
                <w:color w:val="auto"/>
              </w:rPr>
            </w:pPr>
            <w:r>
              <w:rPr>
                <w:rFonts w:ascii="Arial" w:cs="Arial" w:eastAsia="Arial" w:hAnsi="Arial"/>
                <w:sz w:val="18"/>
                <w:szCs w:val="18"/>
                <w:color w:val="auto"/>
              </w:rPr>
              <w:t>Net of tax</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Foreign Currency Translation</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Adjustments: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adjustments on sale of</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Loss on sale of business</w:t>
            </w:r>
          </w:p>
        </w:tc>
        <w:tc>
          <w:tcPr>
            <w:tcW w:w="0" w:type="dxa"/>
            <w:vAlign w:val="bottom"/>
          </w:tcPr>
          <w:p>
            <w:pPr>
              <w:spacing w:after="0"/>
              <w:rPr>
                <w:sz w:val="1"/>
                <w:szCs w:val="1"/>
                <w:color w:val="auto"/>
              </w:rPr>
            </w:pPr>
          </w:p>
        </w:tc>
      </w:tr>
      <w:tr>
        <w:trPr>
          <w:trHeight w:val="237"/>
        </w:trPr>
        <w:tc>
          <w:tcPr>
            <w:tcW w:w="3420" w:type="dxa"/>
            <w:vAlign w:val="bottom"/>
          </w:tcPr>
          <w:p>
            <w:pPr>
              <w:ind w:left="220"/>
              <w:spacing w:after="0"/>
              <w:rPr>
                <w:sz w:val="20"/>
                <w:szCs w:val="20"/>
                <w:color w:val="auto"/>
              </w:rPr>
            </w:pPr>
            <w:r>
              <w:rPr>
                <w:rFonts w:ascii="Arial" w:cs="Arial" w:eastAsia="Arial" w:hAnsi="Arial"/>
                <w:sz w:val="18"/>
                <w:szCs w:val="18"/>
                <w:color w:val="auto"/>
              </w:rPr>
              <w:t>Net of tax</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3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Total reclassifications from AOCL</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b w:val="1"/>
                <w:bCs w:val="1"/>
                <w:color w:val="auto"/>
              </w:rPr>
              <w:t>(47.8)</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4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b w:val="1"/>
                <w:bCs w:val="1"/>
                <w:color w:val="auto"/>
              </w:rPr>
              <w:t>(53.2)</w:t>
            </w:r>
          </w:p>
        </w:tc>
        <w:tc>
          <w:tcPr>
            <w:tcW w:w="1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ind w:left="260"/>
        <w:spacing w:after="0"/>
        <w:rPr>
          <w:sz w:val="20"/>
          <w:szCs w:val="20"/>
          <w:color w:val="auto"/>
        </w:rPr>
      </w:pPr>
      <w:r>
        <w:rPr>
          <w:rFonts w:ascii="Arial" w:cs="Arial" w:eastAsia="Arial" w:hAnsi="Arial"/>
          <w:sz w:val="17"/>
          <w:szCs w:val="17"/>
          <w:color w:val="auto"/>
        </w:rPr>
        <w:t>The following table provides information on changes in AOCL, by component (net of tax), for the six months ended June 30, 2020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7"/>
              </w:rPr>
              <w:t>Gains (Losses) on</w:t>
            </w: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Defined Benefit</w:t>
            </w: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rPr>
              <w:t>Foreign Currency</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Cash Flow</w:t>
            </w:r>
          </w:p>
        </w:tc>
        <w:tc>
          <w:tcPr>
            <w:tcW w:w="12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Pension Plan</w:t>
            </w:r>
          </w:p>
        </w:tc>
        <w:tc>
          <w:tcPr>
            <w:tcW w:w="16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Translation</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Hedges</w:t>
            </w: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Items</w:t>
            </w:r>
          </w:p>
        </w:tc>
        <w:tc>
          <w:tcPr>
            <w:tcW w:w="16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Pr>
          <w:p>
            <w:pPr>
              <w:spacing w:after="0"/>
              <w:rPr>
                <w:sz w:val="18"/>
                <w:szCs w:val="18"/>
                <w:color w:val="auto"/>
              </w:rPr>
            </w:pPr>
          </w:p>
        </w:tc>
        <w:tc>
          <w:tcPr>
            <w:tcW w:w="1140" w:type="dxa"/>
            <w:vAlign w:val="bottom"/>
          </w:tcPr>
          <w:p>
            <w:pPr>
              <w:jc w:val="right"/>
              <w:ind w:right="132"/>
              <w:spacing w:after="0"/>
              <w:rPr>
                <w:sz w:val="20"/>
                <w:szCs w:val="20"/>
                <w:color w:val="auto"/>
              </w:rPr>
            </w:pPr>
            <w:r>
              <w:rPr>
                <w:rFonts w:ascii="Arial" w:cs="Arial" w:eastAsia="Arial" w:hAnsi="Arial"/>
                <w:sz w:val="16"/>
                <w:szCs w:val="16"/>
                <w:b w:val="1"/>
                <w:bCs w:val="1"/>
                <w:color w:val="auto"/>
              </w:rPr>
              <w:t>Total AOCL</w:t>
            </w:r>
          </w:p>
        </w:tc>
      </w:tr>
      <w:tr>
        <w:trPr>
          <w:trHeight w:val="33"/>
        </w:trPr>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(81.5)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(22.3)</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(103.8)</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Other comprehensive loss before reclassifications</w:t>
            </w:r>
          </w:p>
        </w:tc>
        <w:tc>
          <w:tcPr>
            <w:tcW w:w="20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(25.4)</w:t>
            </w:r>
          </w:p>
        </w:tc>
      </w:tr>
      <w:tr>
        <w:trPr>
          <w:trHeight w:val="27"/>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reclassified from AOCL</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7.5</w:t>
            </w: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Net other comprehensive (loss) income</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w:t>
            </w:r>
          </w:p>
        </w:tc>
      </w:tr>
      <w:tr>
        <w:trPr>
          <w:trHeight w:val="27"/>
        </w:trPr>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2020</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(0.6)</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(81.0)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(40.1)</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(121.7)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methodologies used to determine the fair value of our financial assets and liabilities at June 30, 2020 were the same as those used at December 31,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Carried at Fair Value on a Recurring Basis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9 for more information related to our derivative instruments.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carrying amounts of Cash and cash equivalents, Short-term investments, Accounts and notes receivable, net, Accounts payable, and Short-term debt approximate fair value due to the short maturities of these instruments. The carrying amount of our Domestic Credit Facility in Long-term debt also approximates fair value due to its variable-rate characteristics.</w:t>
      </w:r>
    </w:p>
    <w:p>
      <w:pPr>
        <w:spacing w:after="0" w:line="21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w:t>
      </w:r>
    </w:p>
    <w:p>
      <w:pPr>
        <w:spacing w:after="0" w:line="9" w:lineRule="exact"/>
        <w:rPr>
          <w:sz w:val="20"/>
          <w:szCs w:val="20"/>
          <w:color w:val="auto"/>
        </w:rPr>
      </w:pPr>
    </w:p>
    <w:p>
      <w:pPr>
        <w:ind w:left="7780"/>
        <w:spacing w:after="0"/>
        <w:tabs>
          <w:tab w:leader="none" w:pos="9460" w:val="left"/>
        </w:tabs>
        <w:rPr>
          <w:sz w:val="20"/>
          <w:szCs w:val="20"/>
          <w:color w:val="auto"/>
        </w:rPr>
      </w:pPr>
      <w:r>
        <w:rPr>
          <w:rFonts w:ascii="Arial" w:cs="Arial" w:eastAsia="Arial" w:hAnsi="Arial"/>
          <w:sz w:val="16"/>
          <w:szCs w:val="16"/>
          <w:b w:val="1"/>
          <w:bCs w:val="1"/>
          <w:color w:val="auto"/>
        </w:rPr>
        <w:t>As of June 30, 2020</w:t>
      </w:r>
      <w:r>
        <w:rPr>
          <w:sz w:val="20"/>
          <w:szCs w:val="20"/>
          <w:color w:val="auto"/>
        </w:rPr>
        <w:tab/>
      </w:r>
      <w:r>
        <w:rPr>
          <w:rFonts w:ascii="Arial" w:cs="Arial" w:eastAsia="Arial" w:hAnsi="Arial"/>
          <w:sz w:val="14"/>
          <w:szCs w:val="14"/>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6" w:lineRule="exact"/>
        <w:rPr>
          <w:sz w:val="20"/>
          <w:szCs w:val="20"/>
          <w:color w:val="auto"/>
        </w:rPr>
      </w:pPr>
    </w:p>
    <w:p>
      <w:pPr>
        <w:ind w:left="20"/>
        <w:spacing w:after="0"/>
        <w:tabs>
          <w:tab w:leader="none" w:pos="7640" w:val="left"/>
          <w:tab w:leader="none" w:pos="8680" w:val="left"/>
          <w:tab w:leader="none" w:pos="9420" w:val="left"/>
          <w:tab w:leader="none" w:pos="10660" w:val="left"/>
        </w:tabs>
        <w:rPr>
          <w:sz w:val="20"/>
          <w:szCs w:val="20"/>
          <w:color w:val="auto"/>
        </w:rPr>
      </w:pPr>
      <w:r>
        <w:rPr>
          <w:rFonts w:ascii="Arial" w:cs="Arial" w:eastAsia="Arial" w:hAnsi="Arial"/>
          <w:sz w:val="18"/>
          <w:szCs w:val="18"/>
          <w:color w:val="auto"/>
        </w:rPr>
        <w:t>Senior unsecured notes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362.7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356.8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w:t>
      </w:r>
    </w:p>
    <w:p>
      <w:pPr>
        <w:spacing w:after="0" w:line="222"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In addition to the specific uncertainties discussed elsewhere in this Quarterly Report on Form 10-Q, the risk factors set forth in Part I, “Item 1A. Risk Factors” in our Annual Report on Form 10-K for the year ended December 31, 2019,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reportable segments are Residential Heating &amp; Cooling, Commercial Heating &amp; Cooling, and Refrigeration. For additional information regarding our reportable segments, see Note 2 in the Notes to the Consolidated Financial Statements.</w:t>
      </w:r>
    </w:p>
    <w:p>
      <w:pPr>
        <w:spacing w:after="0" w:line="211"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18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sell our products and services through a combination of direct sales, distributors and company-owned parts and supplies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21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principal elements of cost of goods sold are components, raw materials, factory overhead, labor, estimated warranty costs, and freight and distribution costs. The principal raw materials used in our manufacturing processes are steel, copper and aluminum. In recent years, pricing volatility for these commodities and related components, including the impact of imposed tariffs on the import of certain of our raw materials and components, has impacted us and the HVACR industry in general. We seek to mitigate the impact of volatility in commodity prices through a combination of price increases, commodity contracts, improved production efficiency and cost reduction initiatives. We also partially mitigate volatility in the prices of these commodities by entering into futures contracts and fixed forward contracts.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Pandemic and the Resulting Changes to our 2020 Financial Outlook</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A novel strain of coronavirus (“COVID-19”) surfaced in late 2019 and has spread around the world, including to the United States. In March 2020, the World Health Organization declared COVID-19 a pandemic. The COVID-19 pandemic has disrupted our business operations and caused a significant unfavorable impact on our results of operations.</w:t>
      </w:r>
    </w:p>
    <w:p>
      <w:pPr>
        <w:spacing w:after="0" w:line="21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response to the COVID-19 pandemic various national, state, and local governments where we, our suppliers, and our customers operate issued decrees prohibiting certain businesses from continuing to operate and certain classes of workers from reporting to work. Those decrees have resulted in supply chain disruption and higher employee absenteeism in our factories.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Additionally, certain of our manufacturing facilities experienced short-term suspensions of operations for COVID-19 employee health concerns during the second quarter of 2020.</w:t>
      </w:r>
    </w:p>
    <w:p>
      <w:pPr>
        <w:spacing w:after="0" w:line="19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Due to the adverse impact of the COVID-19 pandemic on our European manufacturing facilities and the resulting downturn in the related business, we recorded an $8 million valuation allowance in the first quarter of 2020 on certain foreign deferred tax assets as we concluded that it was no longer more likely than not that these foreign tax loss carryforwards would be realized. In April 2020, we implemented cost reduction actions to realize $115 million of SG&amp;A savings for the balance of the year. In connection with these cost saving actions, we incurred pre-tax charges of $10 million in the second quarter of 2020 related primarily to personnel severance and benefits and facility exit costs. Also, during the second quarter of 2020, we incurred $3 million of expenses for facility cleaning and supplies to ensure the health and safety of our employees.</w:t>
      </w:r>
    </w:p>
    <w:p>
      <w:pPr>
        <w:spacing w:after="0" w:line="20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magnitude of the impact of COVID-19 remains unpredictable and we, therefore, continue to anticipate potential supply chain disruptions, employee absenteeism and short-term suspensions of manufacturing facilities, and additional health and safety costs related to the COVID-19 pandemic that could unfavorably impact our business. We also anticipate significant challenges in the remainder of 2020 due to uncertain market conditions. Accordingly, our revised downward financial outlook remains but we made slight adjustments to our expectations.</w:t>
      </w:r>
    </w:p>
    <w:p>
      <w:pPr>
        <w:spacing w:after="0" w:line="19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Currently, we continue to believe that the North America unitary HVAC and refrigeration market will be negatively impacted about 20% this year by the pandemic. Since the first quarter of 2020, we have reset our financial expectations for the year based on that level of market impact and now expect revenue to be down 10% to 15% from last year versus our initial guidance for growth of 4% to 8% (and down from our first quarter expectations of a 11% to 17% decline). We now expect Diluted EPS from continuing operations in the range of $7.31 to $8.11 for the year (as compared to our first quarter expected range of $7.07 to $8.07).</w:t>
      </w:r>
    </w:p>
    <w:p>
      <w:pPr>
        <w:spacing w:after="0" w:line="21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expect our cash generation to remain strong for 2020 as our working capital requirements decline and are projecting approximately $460 million in cash flows from operations for the year. We have reduced our capital expenditure plans for 2020 from $153 million initially to $120 million. We are rated investment grade by both S&amp;P and Moody’s, and we expect to remain well within our debt covenants. Our bank revolver and asset securitization line do not mature until the latter half of 2021, and our senior notes do not mature until November 2023. Our quarterly dividend plans are unchanged, most recently $0.77 per share, or more than $115 million in total payments for the year. We repurchased $100 million of stock in the first quarter of the $400 million we had planned to repurchase for the year. However, we placed the remaining repurchase plans for 2020 on hold and we will review plans for the third and fourth quarters as the year progresses.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Results for the second quarter of 2020 were impacted by the business downturn caused by the COVID-19 pandemic. Year over year sales and profit were down in each of our business segments primarily due to lower sales volumes. The Residential Heating &amp; Cooling segment saw a 6% decrease in net sales and a $26 million decrease in segment profit. The Commercial Heating &amp; Cooling segment had a 28% decrease in net sales and a $18 million decrease in segment profit. The Refrigeration segment had a 27% decline in net sales and a $10 million decline in segment profit.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5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Net sales decreased $158 million to $941 million in the second quarter of 2020 driven by volume declines in each of our operating segments.</w:t>
      </w:r>
    </w:p>
    <w:p>
      <w:pPr>
        <w:spacing w:after="0" w:line="34"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in the second quarter of 2020 decreased $78 million to $136 million primarily due to lower volumes, factory inefficiencies, and non-recurring insurance recoveries in 2019 for lost profits related to the Marshalltown tornado.</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for the second quarter of 2020 decreased $11 million to $100 million.</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Diluted earnings per share from continuing operations were $2.62 per share in the second quarter of 2020 compared to $2.81 per share in the second quarter of 2019.</w:t>
      </w:r>
    </w:p>
    <w:p>
      <w:pPr>
        <w:ind w:left="66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six months ended June 30, 2020, we returned $59 million to shareholders through dividend payments and repurchased $100 million of common stock through our share repurchase program.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of 2020 Compared to Second Quarter of 2019 - Consolidated Results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a summary of our financial results, including information presented as a percentage of net sales: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gridSpan w:val="6"/>
          </w:tcPr>
          <w:p>
            <w:pPr>
              <w:ind w:left="360"/>
              <w:spacing w:after="0"/>
              <w:rPr>
                <w:sz w:val="20"/>
                <w:szCs w:val="20"/>
                <w:color w:val="auto"/>
              </w:rPr>
            </w:pPr>
            <w:r>
              <w:rPr>
                <w:rFonts w:ascii="Arial" w:cs="Arial" w:eastAsia="Arial" w:hAnsi="Arial"/>
                <w:sz w:val="16"/>
                <w:szCs w:val="16"/>
                <w:b w:val="1"/>
                <w:bCs w:val="1"/>
                <w:color w:val="auto"/>
              </w:rPr>
              <w:t>For the Three Months Ended June 30,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Dollars (in millions)</w:t>
            </w:r>
          </w:p>
        </w:tc>
        <w:tc>
          <w:tcPr>
            <w:tcW w:w="14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Percent</w:t>
            </w:r>
          </w:p>
        </w:tc>
        <w:tc>
          <w:tcPr>
            <w:tcW w:w="2360" w:type="dxa"/>
            <w:vAlign w:val="bottom"/>
            <w:gridSpan w:val="3"/>
            <w:vMerge w:val="restart"/>
          </w:tcPr>
          <w:p>
            <w:pPr>
              <w:jc w:val="right"/>
              <w:ind w:right="551"/>
              <w:spacing w:after="0"/>
              <w:rPr>
                <w:sz w:val="20"/>
                <w:szCs w:val="20"/>
                <w:color w:val="auto"/>
              </w:rPr>
            </w:pPr>
            <w:r>
              <w:rPr>
                <w:rFonts w:ascii="Arial" w:cs="Arial" w:eastAsia="Arial" w:hAnsi="Arial"/>
                <w:sz w:val="16"/>
                <w:szCs w:val="16"/>
                <w:b w:val="1"/>
                <w:bCs w:val="1"/>
                <w:color w:val="auto"/>
              </w:rPr>
              <w:t>Percent of Sales</w:t>
            </w:r>
          </w:p>
        </w:tc>
        <w:tc>
          <w:tcPr>
            <w:tcW w:w="0" w:type="dxa"/>
            <w:vAlign w:val="bottom"/>
          </w:tcPr>
          <w:p>
            <w:pPr>
              <w:spacing w:after="0"/>
              <w:rPr>
                <w:sz w:val="1"/>
                <w:szCs w:val="1"/>
                <w:color w:val="auto"/>
              </w:rPr>
            </w:pPr>
          </w:p>
        </w:tc>
      </w:tr>
      <w:tr>
        <w:trPr>
          <w:trHeight w:val="75"/>
        </w:trPr>
        <w:tc>
          <w:tcPr>
            <w:tcW w:w="5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80" w:type="dxa"/>
            <w:vAlign w:val="bottom"/>
            <w:gridSpan w:val="5"/>
            <w:vMerge w:val="continue"/>
          </w:tcPr>
          <w:p>
            <w:pPr>
              <w:spacing w:after="0"/>
              <w:rPr>
                <w:sz w:val="6"/>
                <w:szCs w:val="6"/>
                <w:color w:val="auto"/>
              </w:rPr>
            </w:pP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8"/>
              </w:rPr>
              <w:t>Change</w:t>
            </w:r>
          </w:p>
        </w:tc>
        <w:tc>
          <w:tcPr>
            <w:tcW w:w="23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Fav/(Unfav)</w:t>
            </w:r>
          </w:p>
        </w:tc>
        <w:tc>
          <w:tcPr>
            <w:tcW w:w="1100" w:type="dxa"/>
            <w:vAlign w:val="bottom"/>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941.3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1,099.1</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665.6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767.0</w:t>
            </w:r>
          </w:p>
        </w:tc>
        <w:tc>
          <w:tcPr>
            <w:tcW w:w="140" w:type="dxa"/>
            <w:vAlign w:val="bottom"/>
          </w:tcPr>
          <w:p>
            <w:pPr>
              <w:spacing w:after="0"/>
              <w:rPr>
                <w:sz w:val="21"/>
                <w:szCs w:val="21"/>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21"/>
                <w:szCs w:val="21"/>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70.7</w:t>
            </w:r>
          </w:p>
        </w:tc>
        <w:tc>
          <w:tcPr>
            <w:tcW w:w="14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275.7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332.1</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(17.0)</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29.3</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129.5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152.4</w:t>
            </w:r>
          </w:p>
        </w:tc>
        <w:tc>
          <w:tcPr>
            <w:tcW w:w="140" w:type="dxa"/>
            <w:vAlign w:val="bottom"/>
          </w:tcPr>
          <w:p>
            <w:pPr>
              <w:spacing w:after="0"/>
              <w:rPr>
                <w:sz w:val="21"/>
                <w:szCs w:val="21"/>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1"/>
                <w:szCs w:val="21"/>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(gains) and other expenses, net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(71.4)</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1"/>
                <w:szCs w:val="21"/>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(10,100.0)</w:t>
            </w:r>
          </w:p>
        </w:tc>
        <w:tc>
          <w:tcPr>
            <w:tcW w:w="140" w:type="dxa"/>
            <w:vAlign w:val="bottom"/>
          </w:tcPr>
          <w:p>
            <w:pPr>
              <w:spacing w:after="0"/>
              <w:rPr>
                <w:sz w:val="21"/>
                <w:szCs w:val="21"/>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sale of business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Insurance proceeds for lost profits</w:t>
            </w:r>
          </w:p>
        </w:tc>
        <w:tc>
          <w:tcPr>
            <w:tcW w:w="220" w:type="dxa"/>
            <w:vAlign w:val="bottom"/>
          </w:tcPr>
          <w:p>
            <w:pPr>
              <w:spacing w:after="0"/>
              <w:rPr>
                <w:sz w:val="21"/>
                <w:szCs w:val="2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21"/>
                <w:szCs w:val="21"/>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1"/>
                <w:szCs w:val="21"/>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(gain) from natural disaster, net of insurance recoveries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(116.9)</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Income from equity method investments</w:t>
            </w: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1"/>
                <w:szCs w:val="21"/>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136.0</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213.8</w:t>
            </w:r>
          </w:p>
        </w:tc>
        <w:tc>
          <w:tcPr>
            <w:tcW w:w="1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14.4 %</w:t>
            </w: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sales declined 14% in the second quarter of 2020 compared to the second quarter of 2019, driven by a 15% decline decline in volume, partially offset by a 1% increase in higher combined price and mix.</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Gross profit margin in the second quarter of 2020 decreased 90 basis points ("bps") to 29.3% compared to 30.2% in the second quarter of 2019. We saw margin decreases of 200 bps from lower combined price and mix, 100 bps from factory inefficiencies, and 50 bps from higher product warranty costs. Partially offsetting these were margin increases of 90 bps from lower freight and distribution costs, 70 bps from lower commodities costs, 60 bps from lower tariffs and sourcing and engineering-led cost reductions, and 40 bps from lower other product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Selling, general and administrative expenses ("SG&amp;A") declined approximately $23 million to $130 million in the second quarter of 2020 compared to $152 million in the second quarter of 2019 primarily due to lower salary and incentive compensation costs. As a percentage of net sales, SG&amp;A decreased 10 bps to 13.8% .</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(gains) and Other Expenses, Net</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Losses (gains) losses and other expenses, net for the second quarter of 2020 and 2019 included the following (in millions):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2700" w:type="dxa"/>
            <w:vAlign w:val="bottom"/>
            <w:gridSpan w:val="5"/>
          </w:tcPr>
          <w:p>
            <w:pPr>
              <w:ind w:left="40"/>
              <w:spacing w:after="0"/>
              <w:rPr>
                <w:sz w:val="20"/>
                <w:szCs w:val="20"/>
                <w:color w:val="auto"/>
              </w:rPr>
            </w:pPr>
            <w:r>
              <w:rPr>
                <w:rFonts w:ascii="Arial" w:cs="Arial" w:eastAsia="Arial" w:hAnsi="Arial"/>
                <w:sz w:val="16"/>
                <w:szCs w:val="16"/>
                <w:b w:val="1"/>
                <w:bCs w:val="1"/>
                <w:color w:val="auto"/>
                <w:w w:val="92"/>
              </w:rPr>
              <w:t>For the Three Months Ended June 30,</w:t>
            </w:r>
          </w:p>
        </w:tc>
      </w:tr>
      <w:tr>
        <w:trPr>
          <w:trHeight w:val="33"/>
        </w:trPr>
        <w:tc>
          <w:tcPr>
            <w:tcW w:w="84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8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2019</w:t>
            </w:r>
          </w:p>
        </w:tc>
      </w:tr>
      <w:tr>
        <w:trPr>
          <w:trHeight w:val="33"/>
        </w:trPr>
        <w:tc>
          <w:tcPr>
            <w:tcW w:w="8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Realized losses on settled futures contracts</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0.1</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r>
      <w:tr>
        <w:trPr>
          <w:trHeight w:val="243"/>
        </w:trPr>
        <w:tc>
          <w:tcPr>
            <w:tcW w:w="8480" w:type="dxa"/>
            <w:vAlign w:val="bottom"/>
          </w:tcPr>
          <w:p>
            <w:pPr>
              <w:spacing w:after="0"/>
              <w:rPr>
                <w:sz w:val="20"/>
                <w:szCs w:val="20"/>
                <w:color w:val="auto"/>
              </w:rPr>
            </w:pPr>
            <w:r>
              <w:rPr>
                <w:rFonts w:ascii="Arial" w:cs="Arial" w:eastAsia="Arial" w:hAnsi="Arial"/>
                <w:sz w:val="18"/>
                <w:szCs w:val="18"/>
                <w:color w:val="auto"/>
              </w:rPr>
              <w:t>Foreign currency exchange gains</w:t>
            </w:r>
          </w:p>
        </w:tc>
        <w:tc>
          <w:tcPr>
            <w:tcW w:w="800" w:type="dxa"/>
            <w:vAlign w:val="bottom"/>
          </w:tcPr>
          <w:p>
            <w:pPr>
              <w:spacing w:after="0"/>
              <w:rPr>
                <w:sz w:val="21"/>
                <w:szCs w:val="21"/>
                <w:color w:val="auto"/>
              </w:rPr>
            </w:pPr>
          </w:p>
        </w:tc>
        <w:tc>
          <w:tcPr>
            <w:tcW w:w="480" w:type="dxa"/>
            <w:vAlign w:val="bottom"/>
          </w:tcPr>
          <w:p>
            <w:pPr>
              <w:jc w:val="right"/>
              <w:ind w:right="33"/>
              <w:spacing w:after="0"/>
              <w:rPr>
                <w:sz w:val="20"/>
                <w:szCs w:val="20"/>
                <w:color w:val="auto"/>
              </w:rPr>
            </w:pPr>
            <w:r>
              <w:rPr>
                <w:rFonts w:ascii="Arial" w:cs="Arial" w:eastAsia="Arial" w:hAnsi="Arial"/>
                <w:sz w:val="17"/>
                <w:szCs w:val="17"/>
                <w:color w:val="auto"/>
                <w:w w:val="97"/>
              </w:rPr>
              <w:t>(2.1)</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disposal of fixed assets</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97"/>
              </w:rPr>
              <w:t>(0.2)</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43"/>
        </w:trPr>
        <w:tc>
          <w:tcPr>
            <w:tcW w:w="8480" w:type="dxa"/>
            <w:vAlign w:val="bottom"/>
          </w:tcPr>
          <w:p>
            <w:pPr>
              <w:spacing w:after="0"/>
              <w:rPr>
                <w:sz w:val="20"/>
                <w:szCs w:val="20"/>
                <w:color w:val="auto"/>
              </w:rPr>
            </w:pPr>
            <w:r>
              <w:rPr>
                <w:rFonts w:ascii="Arial" w:cs="Arial" w:eastAsia="Arial" w:hAnsi="Arial"/>
                <w:sz w:val="18"/>
                <w:szCs w:val="18"/>
                <w:color w:val="auto"/>
              </w:rPr>
              <w:t>Other operating income</w:t>
            </w:r>
          </w:p>
        </w:tc>
        <w:tc>
          <w:tcPr>
            <w:tcW w:w="800" w:type="dxa"/>
            <w:vAlign w:val="bottom"/>
          </w:tcPr>
          <w:p>
            <w:pPr>
              <w:spacing w:after="0"/>
              <w:rPr>
                <w:sz w:val="21"/>
                <w:szCs w:val="21"/>
                <w:color w:val="auto"/>
              </w:rPr>
            </w:pPr>
          </w:p>
        </w:tc>
        <w:tc>
          <w:tcPr>
            <w:tcW w:w="480" w:type="dxa"/>
            <w:vAlign w:val="bottom"/>
          </w:tcPr>
          <w:p>
            <w:pPr>
              <w:jc w:val="right"/>
              <w:ind w:right="33"/>
              <w:spacing w:after="0"/>
              <w:rPr>
                <w:sz w:val="20"/>
                <w:szCs w:val="20"/>
                <w:color w:val="auto"/>
              </w:rPr>
            </w:pPr>
            <w:r>
              <w:rPr>
                <w:rFonts w:ascii="Arial" w:cs="Arial" w:eastAsia="Arial" w:hAnsi="Arial"/>
                <w:sz w:val="17"/>
                <w:szCs w:val="17"/>
                <w:color w:val="auto"/>
                <w:w w:val="97"/>
              </w:rPr>
              <w:t>(1.2)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unrealized losses on unsettled futures contracts</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0.8</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r>
      <w:tr>
        <w:trPr>
          <w:trHeight w:val="243"/>
        </w:trPr>
        <w:tc>
          <w:tcPr>
            <w:tcW w:w="8480" w:type="dxa"/>
            <w:vAlign w:val="bottom"/>
          </w:tcPr>
          <w:p>
            <w:pPr>
              <w:spacing w:after="0"/>
              <w:rPr>
                <w:sz w:val="20"/>
                <w:szCs w:val="20"/>
                <w:color w:val="auto"/>
              </w:rPr>
            </w:pPr>
            <w:r>
              <w:rPr>
                <w:rFonts w:ascii="Arial" w:cs="Arial" w:eastAsia="Arial" w:hAnsi="Arial"/>
                <w:sz w:val="18"/>
                <w:szCs w:val="18"/>
                <w:color w:val="auto"/>
              </w:rPr>
              <w:t>Special legal contingency charges</w:t>
            </w:r>
          </w:p>
        </w:tc>
        <w:tc>
          <w:tcPr>
            <w:tcW w:w="800" w:type="dxa"/>
            <w:vAlign w:val="bottom"/>
          </w:tcPr>
          <w:p>
            <w:pPr>
              <w:spacing w:after="0"/>
              <w:rPr>
                <w:sz w:val="21"/>
                <w:szCs w:val="21"/>
                <w:color w:val="auto"/>
              </w:rPr>
            </w:pPr>
          </w:p>
        </w:tc>
        <w:tc>
          <w:tcPr>
            <w:tcW w:w="480" w:type="dxa"/>
            <w:vAlign w:val="bottom"/>
          </w:tcPr>
          <w:p>
            <w:pPr>
              <w:jc w:val="right"/>
              <w:ind w:right="73"/>
              <w:spacing w:after="0"/>
              <w:rPr>
                <w:sz w:val="20"/>
                <w:szCs w:val="20"/>
                <w:color w:val="auto"/>
              </w:rPr>
            </w:pPr>
            <w:r>
              <w:rPr>
                <w:rFonts w:ascii="Arial" w:cs="Arial" w:eastAsia="Arial" w:hAnsi="Arial"/>
                <w:sz w:val="17"/>
                <w:szCs w:val="17"/>
                <w:color w:val="auto"/>
              </w:rPr>
              <w:t>0.7</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Asbestos-related litigation</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1.2</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w:t>
            </w:r>
          </w:p>
        </w:tc>
      </w:tr>
      <w:tr>
        <w:trPr>
          <w:trHeight w:val="243"/>
        </w:trPr>
        <w:tc>
          <w:tcPr>
            <w:tcW w:w="8480" w:type="dxa"/>
            <w:vAlign w:val="bottom"/>
          </w:tcPr>
          <w:p>
            <w:pPr>
              <w:spacing w:after="0"/>
              <w:rPr>
                <w:sz w:val="20"/>
                <w:szCs w:val="20"/>
                <w:color w:val="auto"/>
              </w:rPr>
            </w:pPr>
            <w:r>
              <w:rPr>
                <w:rFonts w:ascii="Arial" w:cs="Arial" w:eastAsia="Arial" w:hAnsi="Arial"/>
                <w:sz w:val="18"/>
                <w:szCs w:val="18"/>
                <w:color w:val="auto"/>
              </w:rPr>
              <w:t>Environmental liabilities</w:t>
            </w:r>
          </w:p>
        </w:tc>
        <w:tc>
          <w:tcPr>
            <w:tcW w:w="800" w:type="dxa"/>
            <w:vAlign w:val="bottom"/>
          </w:tcPr>
          <w:p>
            <w:pPr>
              <w:spacing w:after="0"/>
              <w:rPr>
                <w:sz w:val="21"/>
                <w:szCs w:val="21"/>
                <w:color w:val="auto"/>
              </w:rPr>
            </w:pPr>
          </w:p>
        </w:tc>
        <w:tc>
          <w:tcPr>
            <w:tcW w:w="480" w:type="dxa"/>
            <w:vAlign w:val="bottom"/>
          </w:tcPr>
          <w:p>
            <w:pPr>
              <w:jc w:val="right"/>
              <w:ind w:right="73"/>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1.3</w:t>
            </w:r>
          </w:p>
        </w:tc>
      </w:tr>
      <w:tr>
        <w:trPr>
          <w:trHeight w:val="27"/>
        </w:trPr>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Charges incurred related to COVID-19 pandemic</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480" w:type="dxa"/>
            <w:vAlign w:val="bottom"/>
          </w:tcPr>
          <w:p>
            <w:pPr>
              <w:spacing w:after="0"/>
              <w:rPr>
                <w:sz w:val="20"/>
                <w:szCs w:val="20"/>
                <w:color w:val="auto"/>
              </w:rPr>
            </w:pPr>
            <w:r>
              <w:rPr>
                <w:rFonts w:ascii="Arial" w:cs="Arial" w:eastAsia="Arial" w:hAnsi="Arial"/>
                <w:sz w:val="18"/>
                <w:szCs w:val="18"/>
                <w:color w:val="auto"/>
              </w:rPr>
              <w:t>Other items, net</w:t>
            </w:r>
          </w:p>
        </w:tc>
        <w:tc>
          <w:tcPr>
            <w:tcW w:w="800" w:type="dxa"/>
            <w:vAlign w:val="bottom"/>
          </w:tcPr>
          <w:p>
            <w:pPr>
              <w:spacing w:after="0"/>
              <w:rPr>
                <w:sz w:val="21"/>
                <w:szCs w:val="21"/>
                <w:color w:val="auto"/>
              </w:rPr>
            </w:pPr>
          </w:p>
        </w:tc>
        <w:tc>
          <w:tcPr>
            <w:tcW w:w="480" w:type="dxa"/>
            <w:vAlign w:val="bottom"/>
          </w:tcPr>
          <w:p>
            <w:pPr>
              <w:jc w:val="right"/>
              <w:ind w:right="33"/>
              <w:spacing w:after="0"/>
              <w:rPr>
                <w:sz w:val="20"/>
                <w:szCs w:val="20"/>
                <w:color w:val="auto"/>
              </w:rPr>
            </w:pPr>
            <w:r>
              <w:rPr>
                <w:rFonts w:ascii="Arial" w:cs="Arial" w:eastAsia="Arial" w:hAnsi="Arial"/>
                <w:sz w:val="18"/>
                <w:szCs w:val="18"/>
                <w:color w:val="auto"/>
                <w:w w:val="91"/>
              </w:rPr>
              <w:t>(0.2)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0.9</w:t>
            </w:r>
          </w:p>
        </w:tc>
      </w:tr>
      <w:tr>
        <w:trPr>
          <w:trHeight w:val="27"/>
        </w:trPr>
        <w:tc>
          <w:tcPr>
            <w:tcW w:w="8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8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Losses (gains) and other expenses, net (pre-tax)</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27" w:name="page28"/>
    <w:bookmarkEnd w:id="27"/>
    <w:p>
      <w:pPr>
        <w:jc w:val="both"/>
        <w:ind w:firstLine="243"/>
        <w:spacing w:after="0" w:line="275" w:lineRule="auto"/>
        <w:rPr>
          <w:sz w:val="20"/>
          <w:szCs w:val="20"/>
          <w:color w:val="auto"/>
        </w:rPr>
      </w:pPr>
      <w:r>
        <w:rPr>
          <w:rFonts w:ascii="Arial" w:cs="Arial" w:eastAsia="Arial" w:hAnsi="Arial"/>
          <w:sz w:val="17"/>
          <w:szCs w:val="17"/>
          <w:color w:val="auto"/>
        </w:rPr>
        <w:t>The net change in unrealized losses on unsettled futures contracts was due to changes in commodity prices relative to the unsettled futures contract prices. For more information on our futures contracts, see Note 9 in the Notes to the Consolidated Financial Statements. For more information on special legal contingency charges and asbestos-related litigation, see Note 4 in the Notes to the Consolidated Financial Statements. The environmental liabilities related to estimated remediation costs for contamination at some of our facilities. The charges incurred related to the COVID-19 pandemic related primarily to facility cleaning costs and supplies to ensure the health and safety of our employees.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Restructuring charges were $10 million in the second quarter of 2020 and related to several cost reduction actions taken in response to the economic impact of COVID-19 on our business. These actions consisted of employee terminations for positions that are no longer needed to support the business, selective facility closures, and cancellations of certain sales and marketing activities. For additional information on our restructuring activities, refer to Note 7 in the Notes to the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and Losses related to Marshalltown Tornado</w:t>
      </w:r>
    </w:p>
    <w:p>
      <w:pPr>
        <w:spacing w:after="0" w:line="252"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On July 19, 2018, our manufacturing facility in Marshalltown, Iowa was severely damaged by a tornado. Insurance covered the repair or replacement of our assets that suffered damage or loss and reimbursement for other expenses and costs that have been incurred relating to the damages and losses suffered. These costs and insurance recoveries are shown in Loss (gain) from natural disaster, net of insurance recoveries in the Consolidated Statements of Operations. Our insurance policies also provided business interruption coverage, including lost profits, related to the losses suffered. These insurance recoveries are shown in Insurance proceeds for lost profits in the Consolidated Statements of Operations.</w:t>
      </w:r>
    </w:p>
    <w:p>
      <w:pPr>
        <w:spacing w:after="0" w:line="20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December 2019, we reached a final settlement with our insurance carriers for a total cumulative insurance recovery of $367.5 million for the losses we incurred and will incur from the tornado. All recoveries related to the final settlement were received in 2018 and 2019.</w:t>
      </w:r>
    </w:p>
    <w:p>
      <w:pPr>
        <w:spacing w:after="0" w:line="197"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During the second quarter of 2020, we incurred expenses of $1 million related to damages caused by the tornado, which included site clean up, waste disposal and other restoration costs. See Note 4 in the Notes to the Consolidated Financial Statements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5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participate in two joint ventures that are engaged in the manufacture and sale of compressors, unit coolers and condensing units. We exert significant influence over these affiliates based upon our ownership, but do not control them due to venture partner participation. Accordingly, these joint ventures have been accounted for under the equity method and their financial position and results of operations are not consolidated. Income from equity method investments of $4 million in the second quarter of 2020 was comparable to the second quarter of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Settlement</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second quarter of 2019, we entered into an agreement with Pacific Life Insurance Company to purchase a group annuity contract and transfer $100.0 million of our pension plan assets and $105.6 million of related pension benefit obligations. We recognized a $60.6 million pension settlement charge in the Statement of Operations as a result of this transaction. There were no pension settlements in the second quarter of 2020. For additional information, refer to Note 10 in the Notes to the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Interest expense, net of $7 million in the second quarter of 2020 was down $6 million from $13 million in the second quarter of 2019 due to lower borrowing costs and lower borrowings.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effective tax rate was 21.4% for the second quarter of 2020 compared to 20.6% for the second quarter of 2019. The rate increased primarily due to lower excess tax benefits. We expect our annual effective tax rate to be between 21% and 22%, after excluding the impacts of excess tax benefits recorded under ASU No. 2016-09, the $8 million valuation allowance recorded in the first quarter of 2020 and the tax impacts of restructuring and pandemic-related charges.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Second Quarter of 2020 Compared to Second Quarter of 2019 - Results by Segment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presents our Residential Heating &amp; Cooling segment's net sales and profit for the second quarter of 2020 and 2019 (dollars 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gridSpan w:val="8"/>
          </w:tcPr>
          <w:p>
            <w:pPr>
              <w:jc w:val="right"/>
              <w:ind w:right="480"/>
              <w:spacing w:after="0"/>
              <w:rPr>
                <w:sz w:val="20"/>
                <w:szCs w:val="20"/>
                <w:color w:val="auto"/>
              </w:rPr>
            </w:pPr>
            <w:r>
              <w:rPr>
                <w:rFonts w:ascii="Arial" w:cs="Arial" w:eastAsia="Arial" w:hAnsi="Arial"/>
                <w:sz w:val="16"/>
                <w:szCs w:val="16"/>
                <w:b w:val="1"/>
                <w:bCs w:val="1"/>
                <w:color w:val="auto"/>
                <w:w w:val="91"/>
              </w:rPr>
              <w:t>For the Three Months Ended June 30,</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234"/>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360" w:type="dxa"/>
            <w:vAlign w:val="bottom"/>
          </w:tcPr>
          <w:p>
            <w:pPr>
              <w:jc w:val="right"/>
              <w:ind w:right="2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644.8</w:t>
            </w: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5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(44.3)</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Profit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127.3</w:t>
            </w: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153.4</w:t>
            </w: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7"/>
        </w:trPr>
        <w:tc>
          <w:tcPr>
            <w:tcW w:w="5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Net sales decreased 6% in the second quarter of 2020 compared to the second quarter of 2019. Sales volumes declined 8%, partially offset by 2% higher combined price and mix.</w:t>
      </w:r>
    </w:p>
    <w:p>
      <w:pPr>
        <w:spacing w:after="0" w:line="197"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Segment profit in the second quarter of 2020 declined $26 million compared to the second quarter of 2019 due to $25 million from lower sales volumes, $18 million of non-recurring insurance proceeds for lost profits due to the Marshalltown tornado, $9 million of factory inefficiencies and lower absorption, $6 million from non-recurring warranty adjustments and other product costs, and $1 million of lower income from equity method investments. Partially offsetting these declines was $12 million of lower SG&amp;A expenses, $8 million of lower freight and distribution expenses, $6 million of favorable combined price and mix, $4 million of lower commodities costs, and $3 million from engineering and sourcing-led cost reductions.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presents our Commercial Heating &amp; Cooling segment's net sales and profit for the second quarter of 2020 and 2019 (dollars in millions):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3180" w:type="dxa"/>
            <w:vAlign w:val="bottom"/>
            <w:gridSpan w:val="9"/>
          </w:tcPr>
          <w:p>
            <w:pPr>
              <w:jc w:val="right"/>
              <w:ind w:right="440"/>
              <w:spacing w:after="0"/>
              <w:rPr>
                <w:sz w:val="20"/>
                <w:szCs w:val="20"/>
                <w:color w:val="auto"/>
              </w:rPr>
            </w:pPr>
            <w:r>
              <w:rPr>
                <w:rFonts w:ascii="Arial" w:cs="Arial" w:eastAsia="Arial" w:hAnsi="Arial"/>
                <w:sz w:val="16"/>
                <w:szCs w:val="16"/>
                <w:b w:val="1"/>
                <w:bCs w:val="1"/>
                <w:color w:val="auto"/>
                <w:w w:val="95"/>
              </w:rPr>
              <w:t>For the Three Months Ended June 30,</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5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r>
      <w:tr>
        <w:trPr>
          <w:trHeight w:val="217"/>
        </w:trPr>
        <w:tc>
          <w:tcPr>
            <w:tcW w:w="5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212"/>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212"/>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340" w:type="dxa"/>
            <w:vAlign w:val="bottom"/>
          </w:tcPr>
          <w:p>
            <w:pPr>
              <w:jc w:val="right"/>
              <w:ind w:right="2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6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5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(73.0)</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Profit</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35.6</w:t>
            </w: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53.9</w:t>
            </w: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7"/>
        </w:trPr>
        <w:tc>
          <w:tcPr>
            <w:tcW w:w="5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7"/>
        </w:trPr>
        <w:tc>
          <w:tcPr>
            <w:tcW w:w="5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sales decreased 28% in the second quarter of 2020 compared to the second quarter of 2019. Sales volumes declined 27% and mix was unfavorable 1%.</w:t>
      </w:r>
    </w:p>
    <w:p>
      <w:pPr>
        <w:spacing w:after="0" w:line="19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Segment profit in the second quarter of 2020 declined $18 million compared to the second quarter of 2019 due to $24 million from lower sales volumes and $5 million of unfavorable mix. Partially offsetting these declines was $5 million of lower SG&amp;A expenses, $2 million of lower commodities costs, $2 million of engineering and sourcing-led cost reductions, $1 million of lower freight and distribution expenses, and $1 million from favorable foreign currency exchange 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Refrigeration</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our Refrigeration segment's net sales and profit for the second quarter of 2020 and 2019 (dollars in millions):</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8"/>
          </w:tcPr>
          <w:p>
            <w:pPr>
              <w:jc w:val="right"/>
              <w:ind w:right="480"/>
              <w:spacing w:after="0"/>
              <w:rPr>
                <w:sz w:val="20"/>
                <w:szCs w:val="20"/>
                <w:color w:val="auto"/>
              </w:rPr>
            </w:pPr>
            <w:r>
              <w:rPr>
                <w:rFonts w:ascii="Arial" w:cs="Arial" w:eastAsia="Arial" w:hAnsi="Arial"/>
                <w:sz w:val="16"/>
                <w:szCs w:val="16"/>
                <w:b w:val="1"/>
                <w:bCs w:val="1"/>
                <w:color w:val="auto"/>
                <w:w w:val="92"/>
              </w:rPr>
              <w:t>For the Three Months Ended June 30,</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234"/>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Difference</w:t>
            </w:r>
          </w:p>
        </w:tc>
        <w:tc>
          <w:tcPr>
            <w:tcW w:w="1360" w:type="dxa"/>
            <w:vAlign w:val="bottom"/>
          </w:tcPr>
          <w:p>
            <w:pPr>
              <w:jc w:val="right"/>
              <w:ind w:right="2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6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5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Profit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7"/>
        </w:trPr>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7"/>
        </w:trPr>
        <w:tc>
          <w:tcPr>
            <w:tcW w:w="5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sales decreased 27% in the second quarter of 2020 compared to the second quarter of 2019 due to lower sales volumes.</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29" w:name="page30"/>
    <w:bookmarkEnd w:id="29"/>
    <w:p>
      <w:pPr>
        <w:jc w:val="both"/>
        <w:ind w:firstLine="243"/>
        <w:spacing w:after="0" w:line="259" w:lineRule="auto"/>
        <w:rPr>
          <w:sz w:val="20"/>
          <w:szCs w:val="20"/>
          <w:color w:val="auto"/>
        </w:rPr>
      </w:pPr>
      <w:r>
        <w:rPr>
          <w:rFonts w:ascii="Arial" w:cs="Arial" w:eastAsia="Arial" w:hAnsi="Arial"/>
          <w:sz w:val="18"/>
          <w:szCs w:val="18"/>
          <w:color w:val="auto"/>
        </w:rPr>
        <w:t>Segment profit in the second quarter of 2020 declined $10 million compared to the second quarter of 2019 due to $13 million of lower sales volumes, and $3 million of factory inefficiencies and lower absorption. Partially offsetting these declines were $2 million of lower SG&amp;A expenses, $1 million of lower commodities costs, $1 million from engineering and sourcing-led cost reductions, $1 million of lower freight and distribution expenses, and $1 million from favorable foreign currency exchange 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5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Corporate and other expenses decreased $5 million in the second quarter of 2020 compared to the second quarter of 2019 primarily due to lower salary, incentive compensation, and discretionary expenses.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through June 30, 2020 Compared to Year-to-Date through June 30, 2019 - Consolidated Results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a summary of our financial results, including information presented as a percentage of net sales: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60" w:type="dxa"/>
            <w:vAlign w:val="bottom"/>
            <w:gridSpan w:val="5"/>
          </w:tcPr>
          <w:p>
            <w:pPr>
              <w:jc w:val="right"/>
              <w:ind w:right="311"/>
              <w:spacing w:after="0"/>
              <w:rPr>
                <w:sz w:val="20"/>
                <w:szCs w:val="20"/>
                <w:color w:val="auto"/>
              </w:rPr>
            </w:pPr>
            <w:r>
              <w:rPr>
                <w:rFonts w:ascii="Arial" w:cs="Arial" w:eastAsia="Arial" w:hAnsi="Arial"/>
                <w:sz w:val="16"/>
                <w:szCs w:val="16"/>
                <w:b w:val="1"/>
                <w:bCs w:val="1"/>
                <w:color w:val="auto"/>
              </w:rPr>
              <w:t>For the Six Months Ended June 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vMerge w:val="restart"/>
          </w:tcPr>
          <w:p>
            <w:pPr>
              <w:ind w:left="220"/>
              <w:spacing w:after="0"/>
              <w:rPr>
                <w:sz w:val="20"/>
                <w:szCs w:val="20"/>
                <w:color w:val="auto"/>
              </w:rPr>
            </w:pPr>
            <w:r>
              <w:rPr>
                <w:rFonts w:ascii="Arial" w:cs="Arial" w:eastAsia="Arial" w:hAnsi="Arial"/>
                <w:sz w:val="16"/>
                <w:szCs w:val="16"/>
                <w:b w:val="1"/>
                <w:bCs w:val="1"/>
                <w:color w:val="auto"/>
              </w:rPr>
              <w:t>Dollars (in millions)</w:t>
            </w:r>
          </w:p>
        </w:tc>
        <w:tc>
          <w:tcPr>
            <w:tcW w:w="13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Percent</w:t>
            </w:r>
          </w:p>
        </w:tc>
        <w:tc>
          <w:tcPr>
            <w:tcW w:w="2280" w:type="dxa"/>
            <w:vAlign w:val="bottom"/>
            <w:gridSpan w:val="4"/>
            <w:vMerge w:val="restart"/>
          </w:tcPr>
          <w:p>
            <w:pPr>
              <w:jc w:val="right"/>
              <w:ind w:right="411"/>
              <w:spacing w:after="0"/>
              <w:rPr>
                <w:sz w:val="20"/>
                <w:szCs w:val="20"/>
                <w:color w:val="auto"/>
              </w:rPr>
            </w:pPr>
            <w:r>
              <w:rPr>
                <w:rFonts w:ascii="Arial" w:cs="Arial" w:eastAsia="Arial" w:hAnsi="Arial"/>
                <w:sz w:val="16"/>
                <w:szCs w:val="16"/>
                <w:b w:val="1"/>
                <w:bCs w:val="1"/>
                <w:color w:val="auto"/>
              </w:rPr>
              <w:t>Percent of Sales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20" w:type="dxa"/>
            <w:vAlign w:val="bottom"/>
            <w:gridSpan w:val="5"/>
            <w:vMerge w:val="continue"/>
          </w:tcPr>
          <w:p>
            <w:pPr>
              <w:spacing w:after="0"/>
              <w:rPr>
                <w:sz w:val="6"/>
                <w:szCs w:val="6"/>
                <w:color w:val="auto"/>
              </w:rPr>
            </w:pPr>
          </w:p>
        </w:tc>
        <w:tc>
          <w:tcPr>
            <w:tcW w:w="13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1"/>
              </w:rPr>
              <w:t>Change</w:t>
            </w:r>
          </w:p>
        </w:tc>
        <w:tc>
          <w:tcPr>
            <w:tcW w:w="228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4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6"/>
              </w:rPr>
              <w:t>Fav/(Unfav)</w:t>
            </w:r>
          </w:p>
        </w:tc>
        <w:tc>
          <w:tcPr>
            <w:tcW w:w="960" w:type="dxa"/>
            <w:vAlign w:val="bottom"/>
          </w:tcPr>
          <w:p>
            <w:pPr>
              <w:jc w:val="right"/>
              <w:ind w:right="131"/>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1,665.1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1,889.4</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(11.9)</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1,223.7</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1,355.8</w:t>
            </w:r>
          </w:p>
        </w:tc>
        <w:tc>
          <w:tcPr>
            <w:tcW w:w="1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441.4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533.6</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260.8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298.2</w:t>
            </w:r>
          </w:p>
        </w:tc>
        <w:tc>
          <w:tcPr>
            <w:tcW w:w="1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(gains) and other expenses, net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28.1</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(2,525.0)</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sale of business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Insurance proceeds for lost profits</w:t>
            </w:r>
          </w:p>
        </w:tc>
        <w:tc>
          <w:tcPr>
            <w:tcW w:w="24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(65.5)</w:t>
            </w:r>
          </w:p>
        </w:tc>
        <w:tc>
          <w:tcPr>
            <w:tcW w:w="1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(gain) from natural disaster, net of insurance recoveries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(121.1)</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Income from equity method investments</w:t>
            </w:r>
          </w:p>
        </w:tc>
        <w:tc>
          <w:tcPr>
            <w:tcW w:w="2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172.3</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308.5</w:t>
            </w: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(44.1)</w:t>
            </w: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10.3 %</w:t>
            </w: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16.3 %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5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Net sales decreased 12% in the six months ended June 30, 2020 compared to the six months ended June 30, 2019 due to a 11% decline in sales volumes and a 2% decline related to the sale of our Kysor Warren business in the first quarter of 2019, partially offset by 1% from favorable combined price and mix.</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38"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Gross profit margins for the six months ended June 30, 2020 decreased 170 bps to 26.5% compared to the six months ended June 30, 2019. Our profit margin decreased 200 bps from unfavorable combined price and mix, 120 bps from factory inefficiencies, and 90 bps from higher product warranties and other product costs. These were partially offset by 80 bps from lower commodities costs, 80 bps from sourcing and engineering-led cost reductions and lower tariffs, 50 bps from lower freight and distribution costs, and 30 bps from the divested Kysor Warren business which had lower margins.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SG&amp;A declined $37 million to $261 million for the six months ended June 30, 2020 compared to $298 million for the six months ended June 30, 2019 primarily due to lower salaries and incentive compensation costs, the sale of our Kysor Warren business in the first quarter of 2019, and lower discretionary expenditures. As a percentage of net sales, SG&amp;A decreased 10 bps to 15.7% from 15.8%.</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Losses (gains) and Other Expenses, Net</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Losses (gains) and other expenses, net for the six months ended June 30, 2020 and 2019 included the following (in millions):</w:t>
      </w:r>
    </w:p>
    <w:p>
      <w:pPr>
        <w:spacing w:after="0" w:line="64" w:lineRule="exact"/>
        <w:rPr>
          <w:sz w:val="20"/>
          <w:szCs w:val="20"/>
          <w:color w:val="auto"/>
        </w:rPr>
      </w:pPr>
    </w:p>
    <w:p>
      <w:pPr>
        <w:ind w:left="8700"/>
        <w:spacing w:after="0"/>
        <w:rPr>
          <w:sz w:val="20"/>
          <w:szCs w:val="20"/>
          <w:color w:val="auto"/>
        </w:rPr>
      </w:pPr>
      <w:r>
        <w:rPr>
          <w:rFonts w:ascii="Arial" w:cs="Arial" w:eastAsia="Arial" w:hAnsi="Arial"/>
          <w:sz w:val="15"/>
          <w:szCs w:val="15"/>
          <w:b w:val="1"/>
          <w:bCs w:val="1"/>
          <w:color w:val="auto"/>
        </w:rPr>
        <w:t>For the Six Months Ended June 30,</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8580" w:type="dxa"/>
            <w:vAlign w:val="bottom"/>
            <w:tcBorders>
              <w:top w:val="single" w:sz="8" w:color="CCEEFF"/>
              <w:bottom w:val="single" w:sz="8" w:color="CCEEFF"/>
            </w:tcBorders>
            <w:shd w:val="clear" w:color="auto" w:fill="CCEEFF"/>
          </w:tcPr>
          <w:p>
            <w:pPr>
              <w:spacing w:after="0"/>
              <w:rPr>
                <w:sz w:val="23"/>
                <w:szCs w:val="23"/>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top w:val="single" w:sz="8" w:color="auto"/>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spacing w:after="0"/>
              <w:rPr>
                <w:sz w:val="23"/>
                <w:szCs w:val="23"/>
                <w:color w:val="auto"/>
              </w:rPr>
            </w:pPr>
          </w:p>
        </w:tc>
        <w:tc>
          <w:tcPr>
            <w:tcW w:w="940" w:type="dxa"/>
            <w:vAlign w:val="bottom"/>
            <w:tcBorders>
              <w:top w:val="single" w:sz="8" w:color="auto"/>
              <w:bottom w:val="single" w:sz="8" w:color="CCEEFF"/>
            </w:tcBorders>
            <w:shd w:val="clear" w:color="auto" w:fill="CCEEFF"/>
          </w:tcPr>
          <w:p>
            <w:pPr>
              <w:jc w:val="right"/>
              <w:ind w:right="351"/>
              <w:spacing w:after="0"/>
              <w:rPr>
                <w:sz w:val="20"/>
                <w:szCs w:val="20"/>
                <w:color w:val="auto"/>
              </w:rPr>
            </w:pPr>
            <w:r>
              <w:rPr>
                <w:rFonts w:ascii="Arial" w:cs="Arial" w:eastAsia="Arial" w:hAnsi="Arial"/>
                <w:sz w:val="16"/>
                <w:szCs w:val="16"/>
                <w:b w:val="1"/>
                <w:bCs w:val="1"/>
                <w:color w:val="auto"/>
              </w:rPr>
              <w:t>2019</w:t>
            </w:r>
          </w:p>
        </w:tc>
      </w:tr>
      <w:tr>
        <w:trPr>
          <w:trHeight w:val="237"/>
        </w:trPr>
        <w:tc>
          <w:tcPr>
            <w:tcW w:w="8580" w:type="dxa"/>
            <w:vAlign w:val="bottom"/>
          </w:tcPr>
          <w:p>
            <w:pPr>
              <w:ind w:left="20"/>
              <w:spacing w:after="0"/>
              <w:rPr>
                <w:sz w:val="20"/>
                <w:szCs w:val="20"/>
                <w:color w:val="auto"/>
              </w:rPr>
            </w:pPr>
            <w:r>
              <w:rPr>
                <w:rFonts w:ascii="Arial" w:cs="Arial" w:eastAsia="Arial" w:hAnsi="Arial"/>
                <w:sz w:val="18"/>
                <w:szCs w:val="18"/>
                <w:color w:val="auto"/>
              </w:rPr>
              <w:t>Realized losses on settled futures contracts</w:t>
            </w:r>
          </w:p>
        </w:tc>
        <w:tc>
          <w:tcPr>
            <w:tcW w:w="800" w:type="dxa"/>
            <w:vAlign w:val="bottom"/>
            <w:tcBorders>
              <w:top w:val="single" w:sz="8" w:color="auto"/>
            </w:tcBorders>
          </w:tcPr>
          <w:p>
            <w:pPr>
              <w:jc w:val="right"/>
              <w:ind w:right="595"/>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0.2</w:t>
            </w:r>
          </w:p>
        </w:tc>
        <w:tc>
          <w:tcPr>
            <w:tcW w:w="16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0.2</w:t>
            </w:r>
          </w:p>
        </w:tc>
      </w:tr>
      <w:tr>
        <w:trPr>
          <w:trHeight w:val="27"/>
        </w:trPr>
        <w:tc>
          <w:tcPr>
            <w:tcW w:w="8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losses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5"/>
              </w:rPr>
              <w:t>(2.6)</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Gain on disposal of fixed assets</w:t>
            </w:r>
          </w:p>
        </w:tc>
        <w:tc>
          <w:tcPr>
            <w:tcW w:w="80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7"/>
                <w:szCs w:val="17"/>
                <w:color w:val="auto"/>
                <w:w w:val="85"/>
              </w:rPr>
              <w:t>(0.1)</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7"/>
                <w:szCs w:val="17"/>
                <w:color w:val="auto"/>
              </w:rPr>
              <w:t>(0.2)</w:t>
            </w:r>
          </w:p>
        </w:tc>
      </w:tr>
      <w:tr>
        <w:trPr>
          <w:trHeight w:val="27"/>
        </w:trPr>
        <w:tc>
          <w:tcPr>
            <w:tcW w:w="8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income</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5"/>
              </w:rPr>
              <w:t>(1.3)</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Net change in unrealized losses (gains) on unsettled futures contracts</w:t>
            </w:r>
          </w:p>
        </w:tc>
        <w:tc>
          <w:tcPr>
            <w:tcW w:w="800" w:type="dxa"/>
            <w:vAlign w:val="bottom"/>
          </w:tcPr>
          <w:p>
            <w:pPr>
              <w:spacing w:after="0"/>
              <w:rPr>
                <w:sz w:val="21"/>
                <w:szCs w:val="21"/>
                <w:color w:val="auto"/>
              </w:rPr>
            </w:pPr>
          </w:p>
        </w:tc>
        <w:tc>
          <w:tcPr>
            <w:tcW w:w="440" w:type="dxa"/>
            <w:vAlign w:val="bottom"/>
          </w:tcPr>
          <w:p>
            <w:pPr>
              <w:jc w:val="right"/>
              <w:ind w:right="74"/>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8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 legal contingency charges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0.7</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0.2</w:t>
            </w: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Asbestos-related litigation</w:t>
            </w:r>
          </w:p>
        </w:tc>
        <w:tc>
          <w:tcPr>
            <w:tcW w:w="80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7"/>
                <w:szCs w:val="17"/>
                <w:color w:val="auto"/>
                <w:w w:val="85"/>
              </w:rPr>
              <w:t>(0.5)</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1.8</w:t>
            </w:r>
          </w:p>
        </w:tc>
      </w:tr>
      <w:tr>
        <w:trPr>
          <w:trHeight w:val="27"/>
        </w:trPr>
        <w:tc>
          <w:tcPr>
            <w:tcW w:w="8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liabilities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1.3</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w:t>
            </w: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Charges incurred related to COVID-19 pandemic</w:t>
            </w:r>
          </w:p>
        </w:tc>
        <w:tc>
          <w:tcPr>
            <w:tcW w:w="800" w:type="dxa"/>
            <w:vAlign w:val="bottom"/>
          </w:tcPr>
          <w:p>
            <w:pPr>
              <w:spacing w:after="0"/>
              <w:rPr>
                <w:sz w:val="21"/>
                <w:szCs w:val="21"/>
                <w:color w:val="auto"/>
              </w:rPr>
            </w:pPr>
          </w:p>
        </w:tc>
        <w:tc>
          <w:tcPr>
            <w:tcW w:w="440" w:type="dxa"/>
            <w:vAlign w:val="bottom"/>
          </w:tcPr>
          <w:p>
            <w:pPr>
              <w:jc w:val="right"/>
              <w:ind w:right="74"/>
              <w:spacing w:after="0"/>
              <w:rPr>
                <w:sz w:val="20"/>
                <w:szCs w:val="20"/>
                <w:color w:val="auto"/>
              </w:rPr>
            </w:pPr>
            <w:r>
              <w:rPr>
                <w:rFonts w:ascii="Arial" w:cs="Arial" w:eastAsia="Arial" w:hAnsi="Arial"/>
                <w:sz w:val="17"/>
                <w:szCs w:val="17"/>
                <w:color w:val="auto"/>
              </w:rPr>
              <w:t>3.4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items, net</w:t>
            </w: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5"/>
              </w:rPr>
              <w:t>(0.2)</w:t>
            </w: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0.9</w:t>
            </w:r>
          </w:p>
        </w:tc>
      </w:tr>
      <w:tr>
        <w:trPr>
          <w:trHeight w:val="264"/>
        </w:trPr>
        <w:tc>
          <w:tcPr>
            <w:tcW w:w="8580" w:type="dxa"/>
            <w:vAlign w:val="bottom"/>
          </w:tcPr>
          <w:p>
            <w:pPr>
              <w:ind w:left="200"/>
              <w:spacing w:after="0"/>
              <w:rPr>
                <w:sz w:val="20"/>
                <w:szCs w:val="20"/>
                <w:color w:val="auto"/>
              </w:rPr>
            </w:pPr>
            <w:r>
              <w:rPr>
                <w:rFonts w:ascii="Arial" w:cs="Arial" w:eastAsia="Arial" w:hAnsi="Arial"/>
                <w:sz w:val="18"/>
                <w:szCs w:val="18"/>
                <w:color w:val="auto"/>
              </w:rPr>
              <w:t>Losses (gains) and other expenses, net (pre-tax)</w:t>
            </w:r>
          </w:p>
        </w:tc>
        <w:tc>
          <w:tcPr>
            <w:tcW w:w="80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3.2</w:t>
            </w:r>
          </w:p>
        </w:tc>
      </w:tr>
      <w:tr>
        <w:trPr>
          <w:trHeight w:val="20"/>
        </w:trPr>
        <w:tc>
          <w:tcPr>
            <w:tcW w:w="8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The net change in unrealized losses on unsettled futures contracts was due to changes in commodity prices relative to the unsettled futures contract prices. For more information on our futures contracts, see Note 9 in the Notes to the Consolidated Financial Statements. For more information on special legal contingency charges and asbestos-related litigation, see Note 4 in the Notes to the Consolidated Financial Statements. The environmental liabilities related to estimated remediation costs for contamination at some of our facilities. The charges incurred related to the COVID-19 pandemic related primarily to facility cleaning costs and supplies to ensure the health and safety of our employees.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Restructuring charges were approximately $11 million in the six months ended June 30, 2020 and related to several cost reduction actions taken in response to the economic impact of COVID-19 on our business. These actions consisted of employee terminations for positions that are no longer needed to support the business, selective facility closures, and cancellations of certain sales and marketing activities. For additional information on our restructuring activities, refer to Note 7 in the Notes to the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Sale of Business</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recognized a loss of $9 million for the six months ended June 30, 2019 related to the sale of our Kysor Warren business in the first quarter of 2019. There were no losses related to this sale for the six months ended June 30, 2020. Refer to Note 6 in the Notes to the Consolidated Financial Statements for additional information on this divestiture.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and Losses related to Marshalltown Tornado</w:t>
      </w:r>
    </w:p>
    <w:p>
      <w:pPr>
        <w:spacing w:after="0" w:line="252"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On July 19, 2018, our manufacturing facility in Marshalltown, Iowa was severely damaged by a tornado. Insurance covered the repair or replacement of our assets that suffered damage or loss and reimbursement for other expenses and costs that have been incurred relating to the damages and losses suffered. These costs and insurance recoveries are shown in Loss (gain) from natural disaster, net of insurance recoveries in the Consolidated Statements of Operations. Our insurance policies also provided business interruption coverage, including lost profits, related to the losses suffered. These insurance recoveries are shown in Insurance proceeds for lost profits in the Consolidated Statements of Operations.</w:t>
      </w:r>
    </w:p>
    <w:p>
      <w:pPr>
        <w:spacing w:after="0" w:line="20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December 2019, we reached a final settlement with our insurance carriers for a total cumulative insurance recovery of $367.5 million for the losses we incurred and will incur from the tornado. All recoveries related to the final settlement were received in 2018 and 2019.</w:t>
      </w:r>
    </w:p>
    <w:p>
      <w:pPr>
        <w:spacing w:after="0" w:line="197"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For the six months ended June 30, 2020, we incurred expenses of $3 million related to damages caused by the tornado, which included site clean up, waste disposal and other restoration costs. See Note 4 in the Notes to the Consolidated Financial Statements for additional information.</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Income from equity method investments of $7 million for the six months ended June 30, 2020 was flat compared to the six months ended June 30,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Settlement</w:t>
      </w:r>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second quarter of 2019, we entered into an agreement with Pacific Life Insurance Company to purchase a group annuity contract and transfer $100.0 million of our pension plan assets and $105.6 million of related pension benefit obligations. We recognized a $60.6 million pension settlement charge in the Statement of Operations as a result of this transaction. There were no pension settlements for the six months ended June 30, 2020. For additional information, refer to Note 10 in the Notes to the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Interest expense, net of $16 million in the six months ended June 30, 2020 decreased $8 million from $24 million in the six months ended June 30, 2019 primarily due to lower borrowing costs and lower borrowings.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effective tax rate increased to 26.8% for the six months ended June 30, 2020 compared to 19.0% for the six months ended June 30, 2019 primarily due to a $8 million valuation allowance on certain foreign deferred tax assets recorded in the first quarter of 2020 and lower excess tax benefits.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through June 30, 2020 Compared to Year-to-Date through June 30, 2019 - Results by Segment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5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table presents our Residential Heating &amp; Cooling segment's net sales and profit for the six months ended June 30, 2020 and 2019 (dollars in millions):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5"/>
          </w:tcPr>
          <w:p>
            <w:pPr>
              <w:jc w:val="right"/>
              <w:spacing w:after="0"/>
              <w:rPr>
                <w:sz w:val="20"/>
                <w:szCs w:val="20"/>
                <w:color w:val="auto"/>
              </w:rPr>
            </w:pPr>
            <w:r>
              <w:rPr>
                <w:rFonts w:ascii="Arial" w:cs="Arial" w:eastAsia="Arial" w:hAnsi="Arial"/>
                <w:sz w:val="16"/>
                <w:szCs w:val="16"/>
                <w:b w:val="1"/>
                <w:bCs w:val="1"/>
                <w:color w:val="auto"/>
                <w:w w:val="92"/>
              </w:rPr>
              <w:t>For the Six Months Ended June 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5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Difference</w:t>
            </w:r>
          </w:p>
        </w:tc>
        <w:tc>
          <w:tcPr>
            <w:tcW w:w="13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6"/>
                <w:szCs w:val="16"/>
                <w:b w:val="1"/>
                <w:bCs w:val="1"/>
                <w:color w:val="auto"/>
              </w:rPr>
              <w:t>% Change</w:t>
            </w: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1,086.9</w:t>
            </w:r>
          </w:p>
        </w:tc>
        <w:tc>
          <w:tcPr>
            <w:tcW w:w="2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1,154.6</w:t>
            </w:r>
          </w:p>
        </w:tc>
        <w:tc>
          <w:tcPr>
            <w:tcW w:w="1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(67.7)</w:t>
            </w:r>
          </w:p>
        </w:tc>
        <w:tc>
          <w:tcPr>
            <w:tcW w:w="16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6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(80.3)</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sales decreased 6% in the six months ended June 30, 2020 compared to the six months ended June 30, 2019. Sales volumes declined 7% partially offset by favorable combined price and mix of 1%.</w:t>
      </w:r>
    </w:p>
    <w:p>
      <w:pPr>
        <w:spacing w:after="0" w:line="197"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Segment profit for the six months ended June 30, 2020 decreased $80 million compared to the six months ended June 30, 2019 due to $58 million of non-recurring insurance proceeds for lost profits related to the Marshalltown tornado, $33 million from lower sales volumes, $17 million from lower factory absorption and efficiency, $15 million from non-recurring warranty adjustments and other product costs, $11 million from unfavorable mix, and $1 million from lower income from equity method investments. Partially offsetting these declines was $18 million of lower SG&amp;A expenses, $9 million of favorable price, $9 million from sourcing and engineering-led cost reductions, $8 million of lower commodities costs, $7 million from lower freight and distribution expense, $2 million from lower tariffs on imported Chinese components, and $2 million from favorable foreign currency exchange rates.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5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table presents our Commercial Heating &amp; Cooling segment's net sales and profit for the six months ended June 30, 2020 and 2019 (dollars in millions):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2" w:name="page33"/>
    <w:bookmarkEnd w:id="32"/>
    <w:p>
      <w:pPr>
        <w:ind w:left="5560"/>
        <w:spacing w:after="0"/>
        <w:rPr>
          <w:sz w:val="20"/>
          <w:szCs w:val="20"/>
          <w:color w:val="auto"/>
        </w:rPr>
      </w:pPr>
      <w:r>
        <w:rPr>
          <w:rFonts w:ascii="Arial" w:cs="Arial" w:eastAsia="Arial" w:hAnsi="Arial"/>
          <w:sz w:val="16"/>
          <w:szCs w:val="16"/>
          <w:b w:val="1"/>
          <w:bCs w:val="1"/>
          <w:color w:val="auto"/>
        </w:rPr>
        <w:t>For the Six Months Ended June 30,</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53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spacing w:after="0"/>
              <w:rPr>
                <w:sz w:val="23"/>
                <w:szCs w:val="23"/>
                <w:color w:val="auto"/>
              </w:rPr>
            </w:pPr>
          </w:p>
        </w:tc>
        <w:tc>
          <w:tcPr>
            <w:tcW w:w="840" w:type="dxa"/>
            <w:vAlign w:val="bottom"/>
            <w:tcBorders>
              <w:top w:val="single" w:sz="8" w:color="auto"/>
              <w:bottom w:val="single" w:sz="8" w:color="CCEEFF"/>
            </w:tcBorders>
            <w:shd w:val="clear" w:color="auto" w:fill="CCEEFF"/>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top w:val="single" w:sz="8" w:color="auto"/>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top w:val="single" w:sz="8" w:color="auto"/>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126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Difference</w:t>
            </w:r>
          </w:p>
        </w:tc>
        <w:tc>
          <w:tcPr>
            <w:tcW w:w="1360" w:type="dxa"/>
            <w:vAlign w:val="bottom"/>
            <w:tcBorders>
              <w:top w:val="single" w:sz="8" w:color="CCEEFF"/>
              <w:bottom w:val="single" w:sz="8" w:color="CCEEFF"/>
            </w:tcBorders>
            <w:shd w:val="clear" w:color="auto" w:fill="CCEEFF"/>
          </w:tcPr>
          <w:p>
            <w:pPr>
              <w:jc w:val="right"/>
              <w:ind w:right="213"/>
              <w:spacing w:after="0"/>
              <w:rPr>
                <w:sz w:val="20"/>
                <w:szCs w:val="20"/>
                <w:color w:val="auto"/>
              </w:rPr>
            </w:pPr>
            <w:r>
              <w:rPr>
                <w:rFonts w:ascii="Arial" w:cs="Arial" w:eastAsia="Arial" w:hAnsi="Arial"/>
                <w:sz w:val="16"/>
                <w:szCs w:val="16"/>
                <w:b w:val="1"/>
                <w:bCs w:val="1"/>
                <w:color w:val="auto"/>
              </w:rPr>
              <w:t>% Change</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366.7</w:t>
            </w:r>
          </w:p>
        </w:tc>
        <w:tc>
          <w:tcPr>
            <w:tcW w:w="2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434.7</w:t>
            </w:r>
          </w:p>
        </w:tc>
        <w:tc>
          <w:tcPr>
            <w:tcW w:w="2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(68.0)</w:t>
            </w:r>
          </w:p>
        </w:tc>
        <w:tc>
          <w:tcPr>
            <w:tcW w:w="16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Profit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6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364" w:lineRule="exact"/>
        <w:rPr>
          <w:sz w:val="20"/>
          <w:szCs w:val="20"/>
          <w:color w:val="auto"/>
        </w:rPr>
      </w:pPr>
    </w:p>
    <w:p>
      <w:pPr>
        <w:jc w:val="both"/>
        <w:ind w:right="20" w:firstLine="243"/>
        <w:spacing w:after="0" w:line="258" w:lineRule="auto"/>
        <w:rPr>
          <w:sz w:val="20"/>
          <w:szCs w:val="20"/>
          <w:color w:val="auto"/>
        </w:rPr>
      </w:pPr>
      <w:r>
        <w:rPr>
          <w:rFonts w:ascii="Arial" w:cs="Arial" w:eastAsia="Arial" w:hAnsi="Arial"/>
          <w:sz w:val="18"/>
          <w:szCs w:val="18"/>
          <w:color w:val="auto"/>
        </w:rPr>
        <w:t>Net sales decreased 16% in the six months ended June 30, 2020 compared to the six months ended June 30, 2019 due to 17% from lower sales volumes partially offset by favorable mix of 1%.</w:t>
      </w:r>
    </w:p>
    <w:p>
      <w:pPr>
        <w:spacing w:after="0" w:line="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Segment profit for the six months ended June 30, 2020 decreased $15 million compared to the first six months of 2019 due to $26 million from lower sales volumes, $3 million from unfavorable mix, and $1 million from higher product warranty costs. Partially offsetting these declines was $6 million of lower SG&amp;A expenses, $4 million from sourcing and engineering-led cost reductions, $3 million from lower commodities costs, $1 million from lower freight and distribution expenses, and $1 million from favorable foreign currency exchange rates.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Refrigeration</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presents our Refrigeration segment's net sales and profit for the six months ended June 30, 2019 and 2019 (dollars in millions):</w:t>
      </w:r>
    </w:p>
    <w:p>
      <w:pPr>
        <w:spacing w:after="0" w:line="87" w:lineRule="exact"/>
        <w:rPr>
          <w:sz w:val="20"/>
          <w:szCs w:val="20"/>
          <w:color w:val="auto"/>
        </w:rPr>
      </w:pPr>
    </w:p>
    <w:p>
      <w:pPr>
        <w:ind w:left="5520"/>
        <w:spacing w:after="0"/>
        <w:rPr>
          <w:sz w:val="20"/>
          <w:szCs w:val="20"/>
          <w:color w:val="auto"/>
        </w:rPr>
      </w:pPr>
      <w:r>
        <w:rPr>
          <w:rFonts w:ascii="Arial" w:cs="Arial" w:eastAsia="Arial" w:hAnsi="Arial"/>
          <w:sz w:val="16"/>
          <w:szCs w:val="16"/>
          <w:b w:val="1"/>
          <w:bCs w:val="1"/>
          <w:color w:val="auto"/>
        </w:rPr>
        <w:t>For the Six Months Ended June 30,</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524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spacing w:after="0"/>
              <w:rPr>
                <w:sz w:val="23"/>
                <w:szCs w:val="23"/>
                <w:color w:val="auto"/>
              </w:rPr>
            </w:pPr>
          </w:p>
        </w:tc>
        <w:tc>
          <w:tcPr>
            <w:tcW w:w="840" w:type="dxa"/>
            <w:vAlign w:val="bottom"/>
            <w:tcBorders>
              <w:top w:val="single" w:sz="8" w:color="auto"/>
              <w:bottom w:val="single" w:sz="8" w:color="CCEEFF"/>
            </w:tcBorders>
            <w:shd w:val="clear" w:color="auto" w:fill="CCEEFF"/>
          </w:tcPr>
          <w:p>
            <w:pPr>
              <w:jc w:val="right"/>
              <w:ind w:right="232"/>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top w:val="single" w:sz="8" w:color="auto"/>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jc w:val="right"/>
              <w:ind w:right="252"/>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top w:val="single" w:sz="8" w:color="auto"/>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12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Difference</w:t>
            </w:r>
          </w:p>
        </w:tc>
        <w:tc>
          <w:tcPr>
            <w:tcW w:w="1380" w:type="dxa"/>
            <w:vAlign w:val="bottom"/>
            <w:tcBorders>
              <w:top w:val="single" w:sz="8" w:color="CCEEFF"/>
              <w:bottom w:val="single" w:sz="8" w:color="CCEEFF"/>
            </w:tcBorders>
            <w:shd w:val="clear" w:color="auto" w:fill="CCEEFF"/>
          </w:tcPr>
          <w:p>
            <w:pPr>
              <w:jc w:val="right"/>
              <w:ind w:right="233"/>
              <w:spacing w:after="0"/>
              <w:rPr>
                <w:sz w:val="20"/>
                <w:szCs w:val="20"/>
                <w:color w:val="auto"/>
              </w:rPr>
            </w:pPr>
            <w:r>
              <w:rPr>
                <w:rFonts w:ascii="Arial" w:cs="Arial" w:eastAsia="Arial" w:hAnsi="Arial"/>
                <w:sz w:val="16"/>
                <w:szCs w:val="16"/>
                <w:b w:val="1"/>
                <w:bCs w:val="1"/>
                <w:color w:val="auto"/>
              </w:rPr>
              <w:t>% Change</w:t>
            </w: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2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2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(88.6)</w:t>
            </w:r>
          </w:p>
        </w:tc>
        <w:tc>
          <w:tcPr>
            <w:tcW w:w="16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Profit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7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pacing w:after="0" w:line="364" w:lineRule="exact"/>
        <w:rPr>
          <w:sz w:val="20"/>
          <w:szCs w:val="20"/>
          <w:color w:val="auto"/>
        </w:rPr>
      </w:pPr>
    </w:p>
    <w:p>
      <w:pPr>
        <w:jc w:val="both"/>
        <w:ind w:right="20" w:firstLine="243"/>
        <w:spacing w:after="0" w:line="263" w:lineRule="auto"/>
        <w:rPr>
          <w:sz w:val="20"/>
          <w:szCs w:val="20"/>
          <w:color w:val="auto"/>
        </w:rPr>
      </w:pPr>
      <w:r>
        <w:rPr>
          <w:rFonts w:ascii="Arial" w:cs="Arial" w:eastAsia="Arial" w:hAnsi="Arial"/>
          <w:sz w:val="18"/>
          <w:szCs w:val="18"/>
          <w:color w:val="auto"/>
        </w:rPr>
        <w:t>Net sales decreased 30% in the six months ended June 30, 2020 compared to the six months ended June 30, 2019. Sales volumes decreased 18%, the loss of sales from our divested Kysor Warren business contributed 12%, and unfavorable foreign currency exchange rates contributed 1%, which was partially offset by 1% of favorable combined price and mix.</w:t>
      </w:r>
    </w:p>
    <w:p>
      <w:pPr>
        <w:spacing w:after="0" w:line="211"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Segment profit for the six months ended June 30, 2020 decreased $18 million compared to the six months ended June 30, 2019 due to $17 million from lower sales volumes, $7 million from lower factory absorption and efficiency, $3 million from other product costs, and $2 million from non-recurring European refrigerant quota sales. Partially offsetting these declines was $5 million of lower SG&amp;A expenses, $2 million from lower commodities costs, $1 million from sourcing and engineering-led cost reductions, $1 million from lower freight and distribution expenses, $1 million from favorable foreign currency exchange rates, and $1 million of higher profit due to the divestiture of the Kysor Warren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5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Corporate and other expenses decreased $3 million in the six months ended June 30, 2020 compared to the six months ended June 30, 2019 due to lower salary, incentive compensation and discretionary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working capital and capital expenditure requirements are generally met through internally generated funds, bank lines of credit and an asset securitization arrangement. Working capital needs are generally greater in the first and second quarters due to the seasonal nature of our business cycle.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cash flow activity for the six months ended June 30, 2020 and 2019 (in millions):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3" w:name="page34"/>
    <w:bookmarkEnd w:id="33"/>
    <w:p>
      <w:pPr>
        <w:ind w:left="8720"/>
        <w:spacing w:after="0"/>
        <w:rPr>
          <w:sz w:val="20"/>
          <w:szCs w:val="20"/>
          <w:color w:val="auto"/>
        </w:rPr>
      </w:pPr>
      <w:r>
        <w:rPr>
          <w:rFonts w:ascii="Arial" w:cs="Arial" w:eastAsia="Arial" w:hAnsi="Arial"/>
          <w:sz w:val="15"/>
          <w:szCs w:val="15"/>
          <w:b w:val="1"/>
          <w:bCs w:val="1"/>
          <w:color w:val="auto"/>
        </w:rPr>
        <w:t>For the Six Months Ended June 30,</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862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spacing w:after="0"/>
              <w:rPr>
                <w:sz w:val="23"/>
                <w:szCs w:val="23"/>
                <w:color w:val="auto"/>
              </w:rPr>
            </w:pPr>
          </w:p>
        </w:tc>
        <w:tc>
          <w:tcPr>
            <w:tcW w:w="940" w:type="dxa"/>
            <w:vAlign w:val="bottom"/>
            <w:tcBorders>
              <w:top w:val="single" w:sz="8" w:color="auto"/>
              <w:bottom w:val="single" w:sz="8" w:color="CCEEFF"/>
            </w:tcBorders>
            <w:shd w:val="clear" w:color="auto" w:fill="CCEEFF"/>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CCEEFF"/>
            </w:tcBorders>
            <w:shd w:val="clear" w:color="auto" w:fill="CCEEFF"/>
          </w:tcPr>
          <w:p>
            <w:pPr>
              <w:jc w:val="right"/>
              <w:ind w:right="352"/>
              <w:spacing w:after="0"/>
              <w:rPr>
                <w:sz w:val="20"/>
                <w:szCs w:val="20"/>
                <w:color w:val="auto"/>
              </w:rPr>
            </w:pPr>
            <w:r>
              <w:rPr>
                <w:rFonts w:ascii="Arial" w:cs="Arial" w:eastAsia="Arial" w:hAnsi="Arial"/>
                <w:sz w:val="16"/>
                <w:szCs w:val="16"/>
                <w:b w:val="1"/>
                <w:bCs w:val="1"/>
                <w:color w:val="auto"/>
              </w:rPr>
              <w:t>2019</w:t>
            </w:r>
          </w:p>
        </w:tc>
      </w:tr>
      <w:tr>
        <w:trPr>
          <w:trHeight w:val="237"/>
        </w:trPr>
        <w:tc>
          <w:tcPr>
            <w:tcW w:w="862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(111.0)</w:t>
            </w:r>
          </w:p>
        </w:tc>
      </w:tr>
      <w:tr>
        <w:trPr>
          <w:trHeight w:val="27"/>
        </w:trPr>
        <w:tc>
          <w:tcPr>
            <w:tcW w:w="8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(44.3)</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w:t>
            </w:r>
          </w:p>
        </w:tc>
      </w:tr>
      <w:tr>
        <w:trPr>
          <w:trHeight w:val="243"/>
        </w:trPr>
        <w:tc>
          <w:tcPr>
            <w:tcW w:w="86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52.3</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97.0</w:t>
            </w:r>
          </w:p>
        </w:tc>
      </w:tr>
    </w:tbl>
    <w:p>
      <w:pPr>
        <w:spacing w:after="0" w:line="36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i w:val="1"/>
          <w:iCs w:val="1"/>
          <w:color w:val="auto"/>
        </w:rPr>
        <w:t xml:space="preserve">Net Cash Provided by Operating Activities - </w:t>
      </w:r>
      <w:r>
        <w:rPr>
          <w:rFonts w:ascii="Arial" w:cs="Arial" w:eastAsia="Arial" w:hAnsi="Arial"/>
          <w:sz w:val="18"/>
          <w:szCs w:val="18"/>
          <w:color w:val="auto"/>
        </w:rPr>
        <w:t>We generated cash from operating activities during the six months ended June 30, 2020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working capital requirements resulting from the business downturn caused by the COVID-19 pandemic. The net cash used in operating activities for the six months ended June 30, 2019 reflects the seasonal increase in working capital requirements.</w:t>
      </w:r>
    </w:p>
    <w:p>
      <w:pPr>
        <w:spacing w:after="0" w:line="21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Net Cash (Used in) Provided by Investing Activities - </w:t>
      </w:r>
      <w:r>
        <w:rPr>
          <w:rFonts w:ascii="Arial" w:cs="Arial" w:eastAsia="Arial" w:hAnsi="Arial"/>
          <w:sz w:val="18"/>
          <w:szCs w:val="18"/>
          <w:color w:val="auto"/>
        </w:rPr>
        <w:t>Capital expenditures were $44 million in the six months ended June 30, 2020 compared to $54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same period of 2019. Capital expenditures in 2020 were primarily related to the expansion of manufacturing capacity and equipment and investments in systems and software to support the overall enterprise. For the six months ended June 30, 2019, we also received net proceeds of $44 million for the sale of our Kysor Warren business and insurance recoveries of $13 million to replace property and equipment damaged by the Marshalltown tornado.</w:t>
      </w:r>
    </w:p>
    <w:p>
      <w:pPr>
        <w:spacing w:after="0" w:line="215"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i w:val="1"/>
          <w:iCs w:val="1"/>
          <w:color w:val="auto"/>
        </w:rPr>
        <w:t xml:space="preserve">Net Cash Provided by Financing Activities - </w:t>
      </w:r>
      <w:r>
        <w:rPr>
          <w:rFonts w:ascii="Arial" w:cs="Arial" w:eastAsia="Arial" w:hAnsi="Arial"/>
          <w:sz w:val="16"/>
          <w:szCs w:val="16"/>
          <w:color w:val="auto"/>
        </w:rPr>
        <w:t>Net cash provided by financing activities in the six months ended June 30, 2020 was $52 million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$97 million in the same period of 2019. The decrease was primarily due to lower net borrowings on our revolving credit facility partially offset by fewer stock repurchases. We repurchased $100 million of shares for the six months ended June 30, 2020 and returned $59 million to shareholders through dividend payments. For additional information on share repurchases, refer to Note 5 in the Notes to the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Position</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details our lines of credit and financing arrangements as of June 30, 2020 (in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w w:val="99"/>
              </w:rPr>
              <w:t>Outstanding</w:t>
            </w:r>
          </w:p>
        </w:tc>
        <w:tc>
          <w:tcPr>
            <w:tcW w:w="0" w:type="dxa"/>
            <w:vAlign w:val="bottom"/>
          </w:tcPr>
          <w:p>
            <w:pPr>
              <w:spacing w:after="0"/>
              <w:rPr>
                <w:sz w:val="1"/>
                <w:szCs w:val="1"/>
                <w:color w:val="auto"/>
              </w:rPr>
            </w:pPr>
          </w:p>
        </w:tc>
      </w:tr>
      <w:tr>
        <w:trPr>
          <w:trHeight w:val="210"/>
        </w:trPr>
        <w:tc>
          <w:tcPr>
            <w:tcW w:w="9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53"/>
              <w:spacing w:after="0"/>
              <w:rPr>
                <w:sz w:val="20"/>
                <w:szCs w:val="20"/>
                <w:color w:val="auto"/>
              </w:rPr>
            </w:pPr>
            <w:r>
              <w:rPr>
                <w:rFonts w:ascii="Arial" w:cs="Arial" w:eastAsia="Arial" w:hAnsi="Arial"/>
                <w:sz w:val="16"/>
                <w:szCs w:val="16"/>
                <w:b w:val="1"/>
                <w:bCs w:val="1"/>
                <w:color w:val="auto"/>
              </w:rPr>
              <w:t>Borrowings</w:t>
            </w:r>
          </w:p>
        </w:tc>
        <w:tc>
          <w:tcPr>
            <w:tcW w:w="0" w:type="dxa"/>
            <w:vAlign w:val="bottom"/>
          </w:tcPr>
          <w:p>
            <w:pPr>
              <w:spacing w:after="0"/>
              <w:rPr>
                <w:sz w:val="1"/>
                <w:szCs w:val="1"/>
                <w:color w:val="auto"/>
              </w:rPr>
            </w:pPr>
          </w:p>
        </w:tc>
      </w:tr>
      <w:tr>
        <w:trPr>
          <w:trHeight w:val="33"/>
        </w:trPr>
        <w:tc>
          <w:tcPr>
            <w:tcW w:w="97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Asset securitization program </w:t>
            </w:r>
            <w:r>
              <w:rPr>
                <w:rFonts w:ascii="Arial" w:cs="Arial" w:eastAsia="Arial" w:hAnsi="Arial"/>
                <w:sz w:val="23"/>
                <w:szCs w:val="23"/>
                <w:color w:val="auto"/>
                <w:vertAlign w:val="superscript"/>
              </w:rPr>
              <w:t>(2)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2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Domestic credit facility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9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current maturities of long-term debt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Long-term debt:</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Finance lease obligations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Domestic credit facility </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Senior unsecured notes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long-term debt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debt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26.3</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672.5</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350.0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w:t>
      </w:r>
    </w:p>
    <w:p>
      <w:pPr>
        <w:spacing w:after="0" w:line="77"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1,047.2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512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53" w:lineRule="exact"/>
        <w:rPr>
          <w:sz w:val="20"/>
          <w:szCs w:val="20"/>
          <w:color w:val="auto"/>
        </w:rPr>
      </w:pPr>
    </w:p>
    <w:p>
      <w:pPr>
        <w:ind w:left="781" w:hanging="781"/>
        <w:spacing w:after="0"/>
        <w:tabs>
          <w:tab w:leader="none" w:pos="781"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1,390.8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41910</wp:posOffset>
            </wp:positionV>
            <wp:extent cx="9512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5123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67310</wp:posOffset>
            </wp:positionV>
            <wp:extent cx="9512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039" w:space="720"/>
            <w:col w:w="1481"/>
          </w:cols>
          <w:pgMar w:left="320" w:top="949" w:right="339" w:bottom="1440" w:gutter="0" w:footer="0" w:header="0"/>
          <w:type w:val="continuous"/>
        </w:sectPr>
      </w:pPr>
    </w:p>
    <w:p>
      <w:pPr>
        <w:spacing w:after="0" w:line="299" w:lineRule="exact"/>
        <w:rPr>
          <w:sz w:val="20"/>
          <w:szCs w:val="20"/>
          <w:color w:val="auto"/>
        </w:rPr>
      </w:pPr>
    </w:p>
    <w:p>
      <w:pPr>
        <w:ind w:left="340" w:hanging="332"/>
        <w:spacing w:after="0" w:line="249" w:lineRule="auto"/>
        <w:tabs>
          <w:tab w:leader="none" w:pos="19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The available future borrowings on our domestic credit facility are $440.1 million, after being reduced by the outstanding borrowings and $2.4 million in outstanding standby letters of credit. We also had $29.6 million in outstanding standby letters of credit outside of the domestic credit facility as of June 30, 2020. The domestic credit facility matures in August 2021 and we will seek to extend it prior to the end of its term.</w:t>
      </w:r>
    </w:p>
    <w:p>
      <w:pPr>
        <w:spacing w:after="0" w:line="33" w:lineRule="exact"/>
        <w:rPr>
          <w:rFonts w:ascii="Arial" w:cs="Arial" w:eastAsia="Arial" w:hAnsi="Arial"/>
          <w:sz w:val="22"/>
          <w:szCs w:val="22"/>
          <w:color w:val="auto"/>
          <w:vertAlign w:val="superscript"/>
        </w:rPr>
      </w:pPr>
    </w:p>
    <w:p>
      <w:pPr>
        <w:ind w:left="340" w:hanging="332"/>
        <w:spacing w:after="0" w:line="234" w:lineRule="auto"/>
        <w:tabs>
          <w:tab w:leader="none" w:pos="205"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The maximum securitization amount ranges from $250.0 million to $400.0 million, depending on the period. The maximum capacity of the ASP is the lesser of the maximum securitization amount or 100% of the net pool balance less reserves, as defined under the ASP. Refer to Note 12 in the Notes to the Consolidated Financial Statements for more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Leverage</w:t>
      </w:r>
    </w:p>
    <w:p>
      <w:pPr>
        <w:sectPr>
          <w:pgSz w:w="11900" w:h="16838" w:orient="portrait"/>
          <w:cols w:equalWidth="0" w:num="1">
            <w:col w:w="11240"/>
          </w:cols>
          <w:pgMar w:left="320" w:top="94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34" w:name="page35"/>
    <w:bookmarkEnd w:id="34"/>
    <w:p>
      <w:pPr>
        <w:jc w:val="both"/>
        <w:ind w:firstLine="243"/>
        <w:spacing w:after="0" w:line="301" w:lineRule="auto"/>
        <w:rPr>
          <w:sz w:val="20"/>
          <w:szCs w:val="20"/>
          <w:color w:val="auto"/>
        </w:rPr>
      </w:pPr>
      <w:r>
        <w:rPr>
          <w:rFonts w:ascii="Arial" w:cs="Arial" w:eastAsia="Arial" w:hAnsi="Arial"/>
          <w:sz w:val="16"/>
          <w:szCs w:val="16"/>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increased to 119.7% at June 30, 2020 from 117.0% at December 31, 2019.</w:t>
      </w:r>
    </w:p>
    <w:p>
      <w:pPr>
        <w:spacing w:after="0" w:line="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2020, our senior credit ratings were Baa3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52"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believe our cash and cash equivalents of $45 million, future cash generated from operations and available future borrowings are sufficient to fund operations, planned capital expenditures, future contractual obligations, potential share repurchases and dividends and other needs in the foreseeable future. Included in our cash and cash equivalents of $45 million as of June 30, 2020 was $21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related to our Debt Obligations</w:t>
      </w:r>
    </w:p>
    <w:p>
      <w:pPr>
        <w:spacing w:after="0" w:line="23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senior unsecured notes were issued by Lennox International Inc. (the "Parent") and are unconditionally guaranteed by certain of our subsidiaries (the "Guarantor Subsidiaries") and are not secured by our other subsidiaries. The Guarantor Subsidiaries are 100% owned and consolidated, all guarantees are full and unconditional, and all guarantees are joint and several.</w:t>
      </w:r>
    </w:p>
    <w:p>
      <w:pPr>
        <w:spacing w:after="0" w:line="21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combined Parent and Guarantor Subsidiary financial information is presented as of June 30, 2020 and December 31, 2019 and for the three and six months ended June 30, 2020 (in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June 30, 2020</w:t>
            </w: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As of December 31, 2019</w:t>
            </w:r>
          </w:p>
        </w:tc>
      </w:tr>
      <w:tr>
        <w:trPr>
          <w:trHeight w:val="27"/>
        </w:trPr>
        <w:tc>
          <w:tcPr>
            <w:tcW w:w="7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540.9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594.5</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2,513.0</w:t>
            </w:r>
          </w:p>
        </w:tc>
        <w:tc>
          <w:tcPr>
            <w:tcW w:w="100" w:type="dxa"/>
            <w:vAlign w:val="bottom"/>
          </w:tcPr>
          <w:p>
            <w:pPr>
              <w:spacing w:after="0"/>
              <w:rPr>
                <w:sz w:val="21"/>
                <w:szCs w:val="21"/>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2,297.8</w:t>
            </w:r>
          </w:p>
        </w:tc>
      </w:tr>
      <w:tr>
        <w:trPr>
          <w:trHeight w:val="27"/>
        </w:trPr>
        <w:tc>
          <w:tcPr>
            <w:tcW w:w="7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528.4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619.7</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1,375.1</w:t>
            </w:r>
          </w:p>
        </w:tc>
        <w:tc>
          <w:tcPr>
            <w:tcW w:w="100" w:type="dxa"/>
            <w:vAlign w:val="bottom"/>
          </w:tcPr>
          <w:p>
            <w:pPr>
              <w:spacing w:after="0"/>
              <w:rPr>
                <w:sz w:val="21"/>
                <w:szCs w:val="21"/>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1,169.4</w:t>
            </w:r>
          </w:p>
        </w:tc>
      </w:tr>
      <w:tr>
        <w:trPr>
          <w:trHeight w:val="27"/>
        </w:trPr>
        <w:tc>
          <w:tcPr>
            <w:tcW w:w="7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non-guarantor subsidiaries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(299.2)</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(339.2)</w:t>
            </w:r>
          </w:p>
        </w:tc>
      </w:tr>
      <w:tr>
        <w:trPr>
          <w:trHeight w:val="27"/>
        </w:trPr>
        <w:tc>
          <w:tcPr>
            <w:tcW w:w="7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For the Three Months</w:t>
            </w:r>
          </w:p>
        </w:tc>
        <w:tc>
          <w:tcPr>
            <w:tcW w:w="200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For the Six Months Ended</w:t>
            </w:r>
          </w:p>
        </w:tc>
        <w:tc>
          <w:tcPr>
            <w:tcW w:w="180" w:type="dxa"/>
            <w:vAlign w:val="bottom"/>
          </w:tcPr>
          <w:p>
            <w:pPr>
              <w:spacing w:after="0"/>
              <w:rPr>
                <w:sz w:val="17"/>
                <w:szCs w:val="17"/>
                <w:color w:val="auto"/>
              </w:rPr>
            </w:pPr>
          </w:p>
        </w:tc>
        <w:tc>
          <w:tcPr>
            <w:tcW w:w="1720" w:type="dxa"/>
            <w:vAlign w:val="bottom"/>
          </w:tcPr>
          <w:p>
            <w:pPr>
              <w:jc w:val="right"/>
              <w:ind w:right="193"/>
              <w:spacing w:after="0"/>
              <w:rPr>
                <w:sz w:val="20"/>
                <w:szCs w:val="20"/>
                <w:color w:val="auto"/>
              </w:rPr>
            </w:pPr>
            <w:r>
              <w:rPr>
                <w:rFonts w:ascii="Arial" w:cs="Arial" w:eastAsia="Arial" w:hAnsi="Arial"/>
                <w:sz w:val="16"/>
                <w:szCs w:val="16"/>
                <w:b w:val="1"/>
                <w:bCs w:val="1"/>
                <w:color w:val="auto"/>
                <w:w w:val="96"/>
              </w:rPr>
              <w:t>For the Year Ended</w:t>
            </w:r>
          </w:p>
        </w:tc>
      </w:tr>
      <w:tr>
        <w:trPr>
          <w:trHeight w:val="210"/>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Ended June 30, 2020</w:t>
            </w:r>
          </w:p>
        </w:tc>
        <w:tc>
          <w:tcPr>
            <w:tcW w:w="30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18"/>
                <w:szCs w:val="18"/>
                <w:color w:val="auto"/>
              </w:rPr>
            </w:pPr>
          </w:p>
        </w:tc>
        <w:tc>
          <w:tcPr>
            <w:tcW w:w="1720" w:type="dxa"/>
            <w:vAlign w:val="bottom"/>
          </w:tcPr>
          <w:p>
            <w:pPr>
              <w:jc w:val="right"/>
              <w:ind w:right="213"/>
              <w:spacing w:after="0"/>
              <w:rPr>
                <w:sz w:val="20"/>
                <w:szCs w:val="20"/>
                <w:color w:val="auto"/>
              </w:rPr>
            </w:pPr>
            <w:r>
              <w:rPr>
                <w:rFonts w:ascii="Arial" w:cs="Arial" w:eastAsia="Arial" w:hAnsi="Arial"/>
                <w:sz w:val="16"/>
                <w:szCs w:val="16"/>
                <w:b w:val="1"/>
                <w:bCs w:val="1"/>
                <w:color w:val="auto"/>
                <w:w w:val="97"/>
              </w:rPr>
              <w:t>December 31, 2019</w:t>
            </w:r>
          </w:p>
        </w:tc>
      </w:tr>
      <w:tr>
        <w:trPr>
          <w:trHeight w:val="33"/>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906.1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1,571.1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3,479.8</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53"/>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431.3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3"/>
              <w:spacing w:after="0"/>
              <w:rPr>
                <w:sz w:val="20"/>
                <w:szCs w:val="20"/>
                <w:color w:val="auto"/>
              </w:rPr>
            </w:pPr>
            <w:r>
              <w:rPr>
                <w:rFonts w:ascii="Arial" w:cs="Arial" w:eastAsia="Arial" w:hAnsi="Arial"/>
                <w:sz w:val="18"/>
                <w:szCs w:val="18"/>
                <w:color w:val="auto"/>
              </w:rPr>
              <w:t>966.6</w:t>
            </w: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828.4</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53"/>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3"/>
              <w:spacing w:after="0"/>
              <w:rPr>
                <w:sz w:val="20"/>
                <w:szCs w:val="20"/>
                <w:color w:val="auto"/>
              </w:rPr>
            </w:pPr>
            <w:r>
              <w:rPr>
                <w:rFonts w:ascii="Arial" w:cs="Arial" w:eastAsia="Arial" w:hAnsi="Arial"/>
                <w:sz w:val="18"/>
                <w:szCs w:val="18"/>
                <w:color w:val="auto"/>
              </w:rPr>
              <w:t>828.4</w:t>
            </w: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to non-guarantor subsidiaries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228.3</w:t>
            </w:r>
          </w:p>
        </w:tc>
      </w:tr>
      <w:tr>
        <w:trPr>
          <w:trHeight w:val="27"/>
        </w:trPr>
        <w:tc>
          <w:tcPr>
            <w:tcW w:w="5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An off-balance sheet arrangement is any transaction, agreement or other contractual arrangement involving an unconsolidated entity under which the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 We have no off-balance sheet arrangements that we believe may have a material current or future effect on our financial condition, liquidity or results of operations.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Commitments, Contingencies and Guarantees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information regarding our commitments, contingencies and guarantees, see Note 4 in the Notes to the Consolidated Financial Statements.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See Note 1 in the Notes to the Consolidated Financial Statements for disclosure of recent accounting pronouncements and the potential impact on our financial statements and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2019. Our exposure to market risk has not changed materially since December 31, 2019.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June 30, 2020,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risk factors discussed in Part I, “Item 1A. Risk Factors” in our Annual Report on Form 10-K for the year ended December 31, 2019, which could materially affect our business, financial condition or results of operations. We have also revised our risk factor related to the COVID-19 pandemic that was previously identified in the first quarter of 2020, as follows:</w:t>
      </w:r>
    </w:p>
    <w:p>
      <w:pPr>
        <w:spacing w:after="0" w:line="214" w:lineRule="exact"/>
        <w:rPr>
          <w:sz w:val="20"/>
          <w:szCs w:val="20"/>
          <w:color w:val="auto"/>
        </w:rPr>
      </w:pPr>
    </w:p>
    <w:p>
      <w:pPr>
        <w:ind w:left="500" w:right="300"/>
        <w:spacing w:after="0" w:line="261" w:lineRule="auto"/>
        <w:rPr>
          <w:sz w:val="20"/>
          <w:szCs w:val="20"/>
          <w:color w:val="auto"/>
        </w:rPr>
      </w:pPr>
      <w:r>
        <w:rPr>
          <w:rFonts w:ascii="Arial" w:cs="Arial" w:eastAsia="Arial" w:hAnsi="Arial"/>
          <w:sz w:val="18"/>
          <w:szCs w:val="18"/>
          <w:b w:val="1"/>
          <w:bCs w:val="1"/>
          <w:i w:val="1"/>
          <w:iCs w:val="1"/>
          <w:color w:val="auto"/>
        </w:rPr>
        <w:t>The COVID-19 pandemic has disrupted our business operations and results of operations and is expected to continue to impact our results of operations, financial position and cash flows.</w:t>
      </w:r>
    </w:p>
    <w:p>
      <w:pPr>
        <w:spacing w:after="0" w:line="198" w:lineRule="exact"/>
        <w:rPr>
          <w:sz w:val="20"/>
          <w:szCs w:val="20"/>
          <w:color w:val="auto"/>
        </w:rPr>
      </w:pPr>
    </w:p>
    <w:p>
      <w:pPr>
        <w:jc w:val="both"/>
        <w:ind w:left="500" w:firstLine="243"/>
        <w:spacing w:after="0" w:line="286" w:lineRule="auto"/>
        <w:rPr>
          <w:sz w:val="20"/>
          <w:szCs w:val="20"/>
          <w:color w:val="auto"/>
        </w:rPr>
      </w:pPr>
      <w:r>
        <w:rPr>
          <w:rFonts w:ascii="Arial" w:cs="Arial" w:eastAsia="Arial" w:hAnsi="Arial"/>
          <w:sz w:val="17"/>
          <w:szCs w:val="17"/>
          <w:color w:val="auto"/>
        </w:rPr>
        <w:t>The spread of COVID-19 and the developments surrounding the global pandemic have disrupted our business operations and affected our results of operations. The current and uncertain future impact of the COVID-19 outbreak, including its effect on the demand for our products, our customers and our supply chain, is expected to continue to impact our results of operations, financial position and cash flows.</w:t>
      </w:r>
    </w:p>
    <w:p>
      <w:pPr>
        <w:spacing w:after="0" w:line="192" w:lineRule="exact"/>
        <w:rPr>
          <w:sz w:val="20"/>
          <w:szCs w:val="20"/>
          <w:color w:val="auto"/>
        </w:rPr>
      </w:pPr>
    </w:p>
    <w:p>
      <w:pPr>
        <w:jc w:val="both"/>
        <w:ind w:left="500" w:firstLine="243"/>
        <w:spacing w:after="0" w:line="259" w:lineRule="auto"/>
        <w:rPr>
          <w:sz w:val="20"/>
          <w:szCs w:val="20"/>
          <w:color w:val="auto"/>
        </w:rPr>
      </w:pPr>
      <w:r>
        <w:rPr>
          <w:rFonts w:ascii="Arial" w:cs="Arial" w:eastAsia="Arial" w:hAnsi="Arial"/>
          <w:sz w:val="18"/>
          <w:szCs w:val="18"/>
          <w:color w:val="auto"/>
        </w:rPr>
        <w:t>In response to the COVID-19 pandemic, various national, state, and local governments where we, our suppliers, and our customers operate have issued decrees prohibiting certain businesses from continuing to operate and certain classes of workers from reporting to work. Those decrees have resulted in supply chain disruption and higher absenteeism in our factories. It remains unclear how long these decrees will remain in place, what additional decrees may be instituted, and the impact they may have on our company.</w:t>
      </w:r>
    </w:p>
    <w:p>
      <w:pPr>
        <w:spacing w:after="0" w:line="214" w:lineRule="exact"/>
        <w:rPr>
          <w:sz w:val="20"/>
          <w:szCs w:val="20"/>
          <w:color w:val="auto"/>
        </w:rPr>
      </w:pPr>
    </w:p>
    <w:p>
      <w:pPr>
        <w:jc w:val="both"/>
        <w:ind w:left="500" w:firstLine="243"/>
        <w:spacing w:after="0" w:line="286" w:lineRule="auto"/>
        <w:rPr>
          <w:sz w:val="20"/>
          <w:szCs w:val="20"/>
          <w:color w:val="auto"/>
        </w:rPr>
      </w:pPr>
      <w:r>
        <w:rPr>
          <w:rFonts w:ascii="Arial" w:cs="Arial" w:eastAsia="Arial" w:hAnsi="Arial"/>
          <w:sz w:val="17"/>
          <w:szCs w:val="17"/>
          <w:color w:val="auto"/>
        </w:rPr>
        <w:t>Additionally, certain of our manufacturing facilities have experienced short-term suspensions of operations for COVID-19 employee health concerns. There remains health concern risks, and we cannot predict whether any of our manufacturing facilities or other facilities which we rely on in our operations (e.g., distributions facilities) will experience disruptions or how long such disruptions would last.</w:t>
      </w:r>
    </w:p>
    <w:p>
      <w:pPr>
        <w:spacing w:after="0" w:line="192" w:lineRule="exact"/>
        <w:rPr>
          <w:sz w:val="20"/>
          <w:szCs w:val="20"/>
          <w:color w:val="auto"/>
        </w:rPr>
      </w:pPr>
    </w:p>
    <w:p>
      <w:pPr>
        <w:jc w:val="both"/>
        <w:ind w:left="500" w:firstLine="243"/>
        <w:spacing w:after="0" w:line="257" w:lineRule="auto"/>
        <w:rPr>
          <w:sz w:val="20"/>
          <w:szCs w:val="20"/>
          <w:color w:val="auto"/>
        </w:rPr>
      </w:pPr>
      <w:r>
        <w:rPr>
          <w:rFonts w:ascii="Arial" w:cs="Arial" w:eastAsia="Arial" w:hAnsi="Arial"/>
          <w:sz w:val="18"/>
          <w:szCs w:val="18"/>
          <w:color w:val="auto"/>
        </w:rPr>
        <w:t>We implemented several cost reduction actions in the second quarter of 2020, such as measures including employee terminations, selective facility closures and cancellations of certain sales and marketing activities, and revised our financial outlook downward. Additionally, due to the adverse impact of the COVID-19 pandemic on our European manufacturing facilities and the resulting downturn in the related business, we recorded an $8 million valuation allowance in the first quarter of 2020 on certain foreign deferred tax assets as we concluded that it was no longer more likely than not that these foreign tax loss carryforwards would be realized.</w:t>
      </w:r>
    </w:p>
    <w:p>
      <w:pPr>
        <w:spacing w:after="0" w:line="215" w:lineRule="exact"/>
        <w:rPr>
          <w:sz w:val="20"/>
          <w:szCs w:val="20"/>
          <w:color w:val="auto"/>
        </w:rPr>
      </w:pPr>
    </w:p>
    <w:p>
      <w:pPr>
        <w:jc w:val="both"/>
        <w:ind w:left="500" w:firstLine="243"/>
        <w:spacing w:after="0" w:line="277" w:lineRule="auto"/>
        <w:rPr>
          <w:sz w:val="20"/>
          <w:szCs w:val="20"/>
          <w:color w:val="auto"/>
        </w:rPr>
      </w:pPr>
      <w:r>
        <w:rPr>
          <w:rFonts w:ascii="Arial" w:cs="Arial" w:eastAsia="Arial" w:hAnsi="Arial"/>
          <w:sz w:val="18"/>
          <w:szCs w:val="18"/>
          <w:color w:val="auto"/>
        </w:rPr>
        <w:t>We believe that the impact of the COVID-19 pandemic could have a material adverse effect on the results of our operations, financial position and cash flows as of and for the year ended December 31, 2020.</w:t>
      </w:r>
    </w:p>
    <w:p>
      <w:pPr>
        <w:spacing w:after="0" w:line="197"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There have been no other material changes to our risk factors from those disclosed in our Annual Report on Form 10-K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the second quarter of 2020, we purchased shares of our common stock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Approximate Dollar Value of</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1"/>
              </w:rPr>
              <w:t>Average Price Paid</w:t>
            </w:r>
          </w:p>
        </w:tc>
        <w:tc>
          <w:tcPr>
            <w:tcW w:w="1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jc w:val="center"/>
              <w:ind w:right="95"/>
              <w:spacing w:after="0" w:line="162" w:lineRule="exact"/>
              <w:rPr>
                <w:sz w:val="20"/>
                <w:szCs w:val="20"/>
                <w:color w:val="auto"/>
              </w:rPr>
            </w:pPr>
            <w:r>
              <w:rPr>
                <w:rFonts w:ascii="Arial" w:cs="Arial" w:eastAsia="Arial" w:hAnsi="Arial"/>
                <w:sz w:val="16"/>
                <w:szCs w:val="16"/>
                <w:b w:val="1"/>
                <w:bCs w:val="1"/>
                <w:color w:val="auto"/>
                <w:w w:val="89"/>
              </w:rPr>
              <w:t>Shares that may yet be</w:t>
            </w:r>
          </w:p>
        </w:tc>
        <w:tc>
          <w:tcPr>
            <w:tcW w:w="0" w:type="dxa"/>
            <w:vAlign w:val="bottom"/>
          </w:tcPr>
          <w:p>
            <w:pPr>
              <w:spacing w:after="0"/>
              <w:rPr>
                <w:sz w:val="1"/>
                <w:szCs w:val="1"/>
                <w:color w:val="auto"/>
              </w:rPr>
            </w:pPr>
          </w:p>
        </w:tc>
      </w:tr>
      <w:tr>
        <w:trPr>
          <w:trHeight w:val="94"/>
        </w:trPr>
        <w:tc>
          <w:tcPr>
            <w:tcW w:w="35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4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w w:val="91"/>
              </w:rPr>
              <w:t>Purchased under our Share</w:t>
            </w:r>
          </w:p>
        </w:tc>
        <w:tc>
          <w:tcPr>
            <w:tcW w:w="0" w:type="dxa"/>
            <w:vAlign w:val="bottom"/>
          </w:tcPr>
          <w:p>
            <w:pPr>
              <w:spacing w:after="0"/>
              <w:rPr>
                <w:sz w:val="1"/>
                <w:szCs w:val="1"/>
                <w:color w:val="auto"/>
              </w:rPr>
            </w:pPr>
          </w:p>
        </w:tc>
      </w:tr>
      <w:tr>
        <w:trPr>
          <w:trHeight w:val="68"/>
        </w:trPr>
        <w:tc>
          <w:tcPr>
            <w:tcW w:w="3580" w:type="dxa"/>
            <w:vAlign w:val="bottom"/>
          </w:tcPr>
          <w:p>
            <w:pPr>
              <w:spacing w:after="0"/>
              <w:rPr>
                <w:sz w:val="5"/>
                <w:szCs w:val="5"/>
                <w:color w:val="auto"/>
              </w:rPr>
            </w:pPr>
          </w:p>
        </w:tc>
        <w:tc>
          <w:tcPr>
            <w:tcW w:w="144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rPr>
              <w:t>Total Number of</w:t>
            </w:r>
          </w:p>
        </w:tc>
        <w:tc>
          <w:tcPr>
            <w:tcW w:w="200" w:type="dxa"/>
            <w:vAlign w:val="bottom"/>
          </w:tcPr>
          <w:p>
            <w:pPr>
              <w:spacing w:after="0"/>
              <w:rPr>
                <w:sz w:val="5"/>
                <w:szCs w:val="5"/>
                <w:color w:val="auto"/>
              </w:rPr>
            </w:pPr>
          </w:p>
        </w:tc>
        <w:tc>
          <w:tcPr>
            <w:tcW w:w="180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w w:val="91"/>
              </w:rPr>
              <w:t>per Share (including</w:t>
            </w:r>
          </w:p>
        </w:tc>
        <w:tc>
          <w:tcPr>
            <w:tcW w:w="1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200" w:type="dxa"/>
            <w:vAlign w:val="bottom"/>
          </w:tcPr>
          <w:p>
            <w:pPr>
              <w:spacing w:after="0"/>
              <w:rPr>
                <w:sz w:val="5"/>
                <w:szCs w:val="5"/>
                <w:color w:val="auto"/>
              </w:rPr>
            </w:pPr>
          </w:p>
        </w:tc>
        <w:tc>
          <w:tcPr>
            <w:tcW w:w="2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jc w:val="center"/>
              <w:ind w:right="95"/>
              <w:spacing w:after="0" w:line="162" w:lineRule="exact"/>
              <w:rPr>
                <w:sz w:val="20"/>
                <w:szCs w:val="20"/>
                <w:color w:val="auto"/>
              </w:rPr>
            </w:pPr>
            <w:r>
              <w:rPr>
                <w:rFonts w:ascii="Arial" w:cs="Arial" w:eastAsia="Arial" w:hAnsi="Arial"/>
                <w:sz w:val="16"/>
                <w:szCs w:val="16"/>
                <w:b w:val="1"/>
                <w:bCs w:val="1"/>
                <w:color w:val="auto"/>
                <w:w w:val="89"/>
              </w:rPr>
              <w:t>Repurchase Plans</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w w:val="85"/>
              </w:rPr>
              <w:t xml:space="preserve">Shares Purchased </w:t>
            </w:r>
            <w:r>
              <w:rPr>
                <w:rFonts w:ascii="Arial" w:cs="Arial" w:eastAsia="Arial" w:hAnsi="Arial"/>
                <w:sz w:val="21"/>
                <w:szCs w:val="21"/>
                <w:b w:val="1"/>
                <w:bCs w:val="1"/>
                <w:color w:val="auto"/>
                <w:w w:val="85"/>
                <w:vertAlign w:val="superscript"/>
              </w:rPr>
              <w:t>(1)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80"/>
              </w:rPr>
              <w:t>fees)</w:t>
            </w:r>
          </w:p>
        </w:tc>
        <w:tc>
          <w:tcPr>
            <w:tcW w:w="20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95"/>
              <w:spacing w:after="0" w:line="216" w:lineRule="exact"/>
              <w:rPr>
                <w:sz w:val="20"/>
                <w:szCs w:val="20"/>
                <w:color w:val="auto"/>
              </w:rPr>
            </w:pPr>
            <w:r>
              <w:rPr>
                <w:rFonts w:ascii="Arial" w:cs="Arial" w:eastAsia="Arial" w:hAnsi="Arial"/>
                <w:sz w:val="16"/>
                <w:szCs w:val="16"/>
                <w:b w:val="1"/>
                <w:bCs w:val="1"/>
                <w:color w:val="auto"/>
                <w:w w:val="89"/>
              </w:rPr>
              <w:t xml:space="preserve">(in millions) </w:t>
            </w:r>
            <w:r>
              <w:rPr>
                <w:rFonts w:ascii="Arial" w:cs="Arial" w:eastAsia="Arial" w:hAnsi="Arial"/>
                <w:sz w:val="21"/>
                <w:szCs w:val="21"/>
                <w:b w:val="1"/>
                <w:bCs w:val="1"/>
                <w:color w:val="auto"/>
                <w:w w:val="89"/>
                <w:vertAlign w:val="superscript"/>
              </w:rPr>
              <w:t>(2)</w:t>
            </w: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April 1 through April 24</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April 24 through May 22</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249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188.9</w:t>
            </w:r>
          </w:p>
        </w:tc>
        <w:tc>
          <w:tcPr>
            <w:tcW w:w="200" w:type="dxa"/>
            <w:vAlign w:val="bottom"/>
          </w:tcPr>
          <w:p>
            <w:pPr>
              <w:spacing w:after="0"/>
              <w:rPr>
                <w:sz w:val="21"/>
                <w:szCs w:val="21"/>
                <w:color w:val="auto"/>
              </w:rPr>
            </w:pPr>
          </w:p>
        </w:tc>
        <w:tc>
          <w:tcPr>
            <w:tcW w:w="1920" w:type="dxa"/>
            <w:vAlign w:val="bottom"/>
          </w:tcPr>
          <w:p>
            <w:pPr>
              <w:ind w:left="15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75"/>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May 22 through June 30</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323</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228.2</w:t>
            </w:r>
          </w:p>
        </w:tc>
        <w:tc>
          <w:tcPr>
            <w:tcW w:w="2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14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Borders>
              <w:top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80" w:hanging="169"/>
        <w:spacing w:after="0" w:line="227" w:lineRule="auto"/>
        <w:tabs>
          <w:tab w:leader="none" w:pos="427"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Includes 572 shares of common stock we repurchased in April, May and June of 2020 surrendered to LII to satisfy employee tax-withholding obligations in connection with the exercise of long-term incentive awards.</w:t>
      </w:r>
    </w:p>
    <w:p>
      <w:pPr>
        <w:spacing w:after="0" w:line="40" w:lineRule="exact"/>
        <w:rPr>
          <w:rFonts w:ascii="Arial" w:cs="Arial" w:eastAsia="Arial" w:hAnsi="Arial"/>
          <w:sz w:val="23"/>
          <w:szCs w:val="23"/>
          <w:color w:val="auto"/>
          <w:vertAlign w:val="superscript"/>
        </w:rPr>
      </w:pPr>
    </w:p>
    <w:p>
      <w:pPr>
        <w:ind w:left="380" w:hanging="169"/>
        <w:spacing w:after="0" w:line="238" w:lineRule="auto"/>
        <w:tabs>
          <w:tab w:leader="none" w:pos="401"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After $100.0 million related to repurchases under the ASR Agreement executed in February 2020. The stock repurchases were executed pursuant to a previously announced repurchase plan. See Note 5 in the Notes to the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60" w:top="89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Exhibits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4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5"/>
              </w:rPr>
              <w:t>3.1</w:t>
            </w:r>
          </w:p>
        </w:tc>
        <w:tc>
          <w:tcPr>
            <w:tcW w:w="9980" w:type="dxa"/>
            <w:vAlign w:val="bottom"/>
            <w:tcBorders>
              <w:bottom w:val="single" w:sz="8" w:color="0000FF"/>
            </w:tcBorders>
            <w:gridSpan w:val="12"/>
            <w:shd w:val="clear" w:color="auto" w:fill="CCEEFF"/>
          </w:tcPr>
          <w:p>
            <w:pPr>
              <w:spacing w:after="0"/>
              <w:rPr>
                <w:rFonts w:ascii="Arial" w:cs="Arial" w:eastAsia="Arial" w:hAnsi="Arial"/>
                <w:sz w:val="18"/>
                <w:szCs w:val="18"/>
                <w:color w:val="0000FF"/>
                <w:w w:val="93"/>
              </w:rPr>
            </w:pPr>
            <w:hyperlink r:id="rId69">
              <w:r>
                <w:rPr>
                  <w:rFonts w:ascii="Arial" w:cs="Arial" w:eastAsia="Arial" w:hAnsi="Arial"/>
                  <w:sz w:val="18"/>
                  <w:szCs w:val="18"/>
                  <w:color w:val="0000FF"/>
                  <w:w w:val="93"/>
                </w:rPr>
                <w:t>Restated Certificate of Incorporation of Lennox International Inc. (“LII”) (filed as Exhibit 3.1 to LII’s Registration Statement on Form S-1</w:t>
              </w:r>
            </w:hyperlink>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156"/>
        </w:trPr>
        <w:tc>
          <w:tcPr>
            <w:tcW w:w="940" w:type="dxa"/>
            <w:vAlign w:val="bottom"/>
            <w:shd w:val="clear" w:color="auto" w:fill="CCEEFF"/>
          </w:tcPr>
          <w:p>
            <w:pPr>
              <w:spacing w:after="0"/>
              <w:rPr>
                <w:sz w:val="13"/>
                <w:szCs w:val="13"/>
                <w:color w:val="auto"/>
              </w:rPr>
            </w:pPr>
          </w:p>
        </w:tc>
        <w:tc>
          <w:tcPr>
            <w:tcW w:w="9980" w:type="dxa"/>
            <w:vAlign w:val="bottom"/>
            <w:gridSpan w:val="12"/>
            <w:shd w:val="clear" w:color="auto" w:fill="CCEEFF"/>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(Registration Statement No. 333-75725) filed on April 6, 1999 and incorporated herein by reference).</w:t>
              </w:r>
            </w:hyperlink>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500" w:type="dxa"/>
            <w:vAlign w:val="bottom"/>
            <w:tcBorders>
              <w:top w:val="single" w:sz="8" w:color="0000FF"/>
            </w:tcBorders>
            <w:shd w:val="clear" w:color="auto" w:fill="CCEEFF"/>
          </w:tcPr>
          <w:p>
            <w:pPr>
              <w:spacing w:after="0" w:line="20" w:lineRule="exact"/>
              <w:rPr>
                <w:sz w:val="1"/>
                <w:szCs w:val="1"/>
                <w:color w:val="auto"/>
              </w:rPr>
            </w:pPr>
          </w:p>
        </w:tc>
        <w:tc>
          <w:tcPr>
            <w:tcW w:w="2340" w:type="dxa"/>
            <w:vAlign w:val="bottom"/>
            <w:tcBorders>
              <w:top w:val="single" w:sz="8" w:color="0000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40" w:type="dxa"/>
            <w:vAlign w:val="bottom"/>
          </w:tcPr>
          <w:p>
            <w:pPr>
              <w:jc w:val="right"/>
              <w:ind w:right="590"/>
              <w:spacing w:after="0" w:line="189" w:lineRule="exact"/>
              <w:rPr>
                <w:sz w:val="20"/>
                <w:szCs w:val="20"/>
                <w:color w:val="auto"/>
              </w:rPr>
            </w:pPr>
            <w:r>
              <w:rPr>
                <w:rFonts w:ascii="Arial" w:cs="Arial" w:eastAsia="Arial" w:hAnsi="Arial"/>
                <w:sz w:val="18"/>
                <w:szCs w:val="18"/>
                <w:color w:val="auto"/>
                <w:w w:val="95"/>
              </w:rPr>
              <w:t>3.2</w:t>
            </w:r>
          </w:p>
        </w:tc>
        <w:tc>
          <w:tcPr>
            <w:tcW w:w="10220" w:type="dxa"/>
            <w:vAlign w:val="bottom"/>
            <w:tcBorders>
              <w:bottom w:val="single" w:sz="8" w:color="0000FF"/>
            </w:tcBorders>
            <w:gridSpan w:val="16"/>
          </w:tcPr>
          <w:p>
            <w:pPr>
              <w:spacing w:after="0" w:line="169"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Amended and Restated Bylaws of LII (filed as Exhibit 3.1 to LII’s Current Report on Form 8-K filed on December 16, 2013 and incorporated</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940" w:type="dxa"/>
            <w:vAlign w:val="bottom"/>
          </w:tcPr>
          <w:p>
            <w:pPr>
              <w:spacing w:after="0"/>
              <w:rPr>
                <w:sz w:val="13"/>
                <w:szCs w:val="13"/>
                <w:color w:val="auto"/>
              </w:rPr>
            </w:pPr>
          </w:p>
        </w:tc>
        <w:tc>
          <w:tcPr>
            <w:tcW w:w="10220" w:type="dxa"/>
            <w:vAlign w:val="bottom"/>
            <w:gridSpan w:val="16"/>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herein by reference)</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94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jc w:val="right"/>
              <w:ind w:right="590"/>
              <w:spacing w:after="0" w:line="169" w:lineRule="exact"/>
              <w:rPr>
                <w:sz w:val="20"/>
                <w:szCs w:val="20"/>
                <w:color w:val="auto"/>
              </w:rPr>
            </w:pPr>
            <w:r>
              <w:rPr>
                <w:rFonts w:ascii="Arial" w:cs="Arial" w:eastAsia="Arial" w:hAnsi="Arial"/>
                <w:sz w:val="18"/>
                <w:szCs w:val="18"/>
                <w:color w:val="auto"/>
                <w:w w:val="95"/>
              </w:rPr>
              <w:t>4.1</w:t>
            </w:r>
          </w:p>
        </w:tc>
        <w:tc>
          <w:tcPr>
            <w:tcW w:w="10280" w:type="dxa"/>
            <w:vAlign w:val="bottom"/>
            <w:gridSpan w:val="19"/>
            <w:shd w:val="clear" w:color="auto" w:fill="CCEEFF"/>
          </w:tcPr>
          <w:p>
            <w:pPr>
              <w:spacing w:after="0" w:line="169" w:lineRule="exact"/>
              <w:rPr>
                <w:rFonts w:ascii="Arial" w:cs="Arial" w:eastAsia="Arial" w:hAnsi="Arial"/>
                <w:sz w:val="18"/>
                <w:szCs w:val="18"/>
                <w:color w:val="0000FF"/>
                <w:w w:val="93"/>
              </w:rPr>
            </w:pPr>
            <w:hyperlink r:id="rId71">
              <w:r>
                <w:rPr>
                  <w:rFonts w:ascii="Arial" w:cs="Arial" w:eastAsia="Arial" w:hAnsi="Arial"/>
                  <w:sz w:val="18"/>
                  <w:szCs w:val="18"/>
                  <w:color w:val="0000FF"/>
                  <w:w w:val="93"/>
                </w:rPr>
                <w:t>Specimen Stock Certificate for the Common Stock, par value $.01 per share, of LII (filed as Exhibit 4.1 to LII’s Amendment to Registration</w:t>
              </w:r>
            </w:hyperlink>
          </w:p>
        </w:tc>
      </w:tr>
      <w:tr>
        <w:trPr>
          <w:trHeight w:val="196"/>
        </w:trPr>
        <w:tc>
          <w:tcPr>
            <w:tcW w:w="9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FF"/>
            </w:tcBorders>
            <w:gridSpan w:val="14"/>
            <w:shd w:val="clear" w:color="auto" w:fill="CCEEFF"/>
          </w:tcPr>
          <w:p>
            <w:pPr>
              <w:spacing w:after="0" w:line="196" w:lineRule="exact"/>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Statement on Form S-1/A (Registration No. 333-75725) filed on June 16, 1999 and incorporated herein by reference).</w:t>
              </w:r>
            </w:hyperlink>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189"/>
        </w:trPr>
        <w:tc>
          <w:tcPr>
            <w:tcW w:w="940" w:type="dxa"/>
            <w:vAlign w:val="bottom"/>
          </w:tcPr>
          <w:p>
            <w:pPr>
              <w:jc w:val="right"/>
              <w:ind w:right="590"/>
              <w:spacing w:after="0" w:line="169" w:lineRule="exact"/>
              <w:rPr>
                <w:sz w:val="20"/>
                <w:szCs w:val="20"/>
                <w:color w:val="auto"/>
              </w:rPr>
            </w:pPr>
            <w:r>
              <w:rPr>
                <w:rFonts w:ascii="Arial" w:cs="Arial" w:eastAsia="Arial" w:hAnsi="Arial"/>
                <w:sz w:val="18"/>
                <w:szCs w:val="18"/>
                <w:color w:val="auto"/>
                <w:w w:val="95"/>
              </w:rPr>
              <w:t>4.2</w:t>
            </w:r>
          </w:p>
        </w:tc>
        <w:tc>
          <w:tcPr>
            <w:tcW w:w="10280" w:type="dxa"/>
            <w:vAlign w:val="bottom"/>
            <w:gridSpan w:val="19"/>
          </w:tcPr>
          <w:p>
            <w:pPr>
              <w:spacing w:after="0" w:line="169" w:lineRule="exact"/>
              <w:rPr>
                <w:rFonts w:ascii="Arial" w:cs="Arial" w:eastAsia="Arial" w:hAnsi="Arial"/>
                <w:sz w:val="18"/>
                <w:szCs w:val="18"/>
                <w:color w:val="0000FF"/>
                <w:w w:val="93"/>
              </w:rPr>
            </w:pPr>
            <w:hyperlink r:id="rId72">
              <w:r>
                <w:rPr>
                  <w:rFonts w:ascii="Arial" w:cs="Arial" w:eastAsia="Arial" w:hAnsi="Arial"/>
                  <w:sz w:val="18"/>
                  <w:szCs w:val="18"/>
                  <w:color w:val="0000FF"/>
                  <w:w w:val="93"/>
                </w:rPr>
                <w:t>Indenture, dated as of May 3, 2010, between LII and U.S. Bank National Association, as trustee (filed as Exhibit 4.3 to LII’s Post-Effective</w:t>
              </w:r>
            </w:hyperlink>
          </w:p>
        </w:tc>
      </w:tr>
      <w:tr>
        <w:trPr>
          <w:trHeight w:val="156"/>
        </w:trPr>
        <w:tc>
          <w:tcPr>
            <w:tcW w:w="940" w:type="dxa"/>
            <w:vAlign w:val="bottom"/>
          </w:tcPr>
          <w:p>
            <w:pPr>
              <w:spacing w:after="0"/>
              <w:rPr>
                <w:sz w:val="13"/>
                <w:szCs w:val="13"/>
                <w:color w:val="auto"/>
              </w:rPr>
            </w:pPr>
          </w:p>
        </w:tc>
        <w:tc>
          <w:tcPr>
            <w:tcW w:w="10020" w:type="dxa"/>
            <w:vAlign w:val="bottom"/>
            <w:tcBorders>
              <w:top w:val="single" w:sz="8" w:color="0000FF"/>
            </w:tcBorders>
            <w:gridSpan w:val="13"/>
          </w:tcPr>
          <w:p>
            <w:pPr>
              <w:spacing w:after="0" w:line="156" w:lineRule="exact"/>
              <w:rPr>
                <w:rFonts w:ascii="Arial" w:cs="Arial" w:eastAsia="Arial" w:hAnsi="Arial"/>
                <w:sz w:val="18"/>
                <w:szCs w:val="18"/>
                <w:color w:val="0000FF"/>
                <w:w w:val="95"/>
              </w:rPr>
            </w:pPr>
            <w:hyperlink r:id="rId72">
              <w:r>
                <w:rPr>
                  <w:rFonts w:ascii="Arial" w:cs="Arial" w:eastAsia="Arial" w:hAnsi="Arial"/>
                  <w:sz w:val="18"/>
                  <w:szCs w:val="18"/>
                  <w:color w:val="0000FF"/>
                  <w:w w:val="95"/>
                </w:rPr>
                <w:t>Amendment No. 1 to Registration Statement on S-3 (Registration No. 333-155796) filed on May 3, 2010, and incorporated herein by</w:t>
              </w:r>
            </w:hyperlink>
          </w:p>
        </w:tc>
        <w:tc>
          <w:tcPr>
            <w:tcW w:w="1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940" w:type="dxa"/>
            <w:vAlign w:val="bottom"/>
          </w:tcPr>
          <w:p>
            <w:pPr>
              <w:spacing w:after="0"/>
              <w:rPr>
                <w:sz w:val="13"/>
                <w:szCs w:val="13"/>
                <w:color w:val="auto"/>
              </w:rPr>
            </w:pPr>
          </w:p>
        </w:tc>
        <w:tc>
          <w:tcPr>
            <w:tcW w:w="95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72">
              <w:r>
                <w:rPr>
                  <w:rFonts w:ascii="Arial" w:cs="Arial" w:eastAsia="Arial" w:hAnsi="Arial"/>
                  <w:sz w:val="18"/>
                  <w:szCs w:val="18"/>
                  <w:color w:val="0000FF"/>
                </w:rPr>
                <w:t>reference).</w:t>
              </w:r>
            </w:hyperlink>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40" w:type="dxa"/>
            <w:vAlign w:val="bottom"/>
            <w:shd w:val="clear" w:color="auto" w:fill="CCEEFF"/>
          </w:tcPr>
          <w:p>
            <w:pPr>
              <w:jc w:val="right"/>
              <w:ind w:right="590"/>
              <w:spacing w:after="0" w:line="169" w:lineRule="exact"/>
              <w:rPr>
                <w:sz w:val="20"/>
                <w:szCs w:val="20"/>
                <w:color w:val="auto"/>
              </w:rPr>
            </w:pPr>
            <w:r>
              <w:rPr>
                <w:rFonts w:ascii="Arial" w:cs="Arial" w:eastAsia="Arial" w:hAnsi="Arial"/>
                <w:sz w:val="18"/>
                <w:szCs w:val="18"/>
                <w:color w:val="auto"/>
                <w:w w:val="95"/>
              </w:rPr>
              <w:t>4.3</w:t>
            </w:r>
          </w:p>
        </w:tc>
        <w:tc>
          <w:tcPr>
            <w:tcW w:w="10280" w:type="dxa"/>
            <w:vAlign w:val="bottom"/>
            <w:gridSpan w:val="19"/>
            <w:shd w:val="clear" w:color="auto" w:fill="CCEEFF"/>
          </w:tcPr>
          <w:p>
            <w:pPr>
              <w:spacing w:after="0" w:line="169"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Form of Supplemental Indenture among LII, the guarantors party thereto and U.S. Bank National Association, as trustee (filed as Exhibit 4.11</w:t>
              </w:r>
            </w:hyperlink>
          </w:p>
        </w:tc>
      </w:tr>
      <w:tr>
        <w:trPr>
          <w:trHeight w:val="156"/>
        </w:trPr>
        <w:tc>
          <w:tcPr>
            <w:tcW w:w="940" w:type="dxa"/>
            <w:vAlign w:val="bottom"/>
            <w:tcBorders>
              <w:top w:val="single" w:sz="8" w:color="CCEEFF"/>
            </w:tcBorders>
            <w:shd w:val="clear" w:color="auto" w:fill="CCEEFF"/>
          </w:tcPr>
          <w:p>
            <w:pPr>
              <w:spacing w:after="0"/>
              <w:rPr>
                <w:sz w:val="13"/>
                <w:szCs w:val="13"/>
                <w:color w:val="auto"/>
              </w:rPr>
            </w:pPr>
          </w:p>
        </w:tc>
        <w:tc>
          <w:tcPr>
            <w:tcW w:w="10240" w:type="dxa"/>
            <w:vAlign w:val="bottom"/>
            <w:tcBorders>
              <w:top w:val="single" w:sz="8" w:color="0000FF"/>
            </w:tcBorders>
            <w:gridSpan w:val="17"/>
            <w:shd w:val="clear" w:color="auto" w:fill="CCEEFF"/>
          </w:tcPr>
          <w:p>
            <w:pPr>
              <w:spacing w:after="0" w:line="156" w:lineRule="exact"/>
              <w:rPr>
                <w:rFonts w:ascii="Arial" w:cs="Arial" w:eastAsia="Arial" w:hAnsi="Arial"/>
                <w:sz w:val="18"/>
                <w:szCs w:val="18"/>
                <w:color w:val="0000FF"/>
                <w:w w:val="98"/>
              </w:rPr>
            </w:pPr>
            <w:hyperlink r:id="rId73">
              <w:r>
                <w:rPr>
                  <w:rFonts w:ascii="Arial" w:cs="Arial" w:eastAsia="Arial" w:hAnsi="Arial"/>
                  <w:sz w:val="18"/>
                  <w:szCs w:val="18"/>
                  <w:color w:val="0000FF"/>
                  <w:w w:val="98"/>
                </w:rPr>
                <w:t>to LII’s Post-Effective Amendment No. 1 to Registration Statement on S-3 (Registration No. 333-155796) filed on May 3, 2010, and</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55"/>
        </w:trPr>
        <w:tc>
          <w:tcPr>
            <w:tcW w:w="940" w:type="dxa"/>
            <w:vAlign w:val="bottom"/>
            <w:tcBorders>
              <w:top w:val="single" w:sz="8" w:color="CCEEFF"/>
            </w:tcBorders>
            <w:shd w:val="clear" w:color="auto" w:fill="CCEEFF"/>
          </w:tcPr>
          <w:p>
            <w:pPr>
              <w:spacing w:after="0"/>
              <w:rPr>
                <w:sz w:val="13"/>
                <w:szCs w:val="13"/>
                <w:color w:val="auto"/>
              </w:rPr>
            </w:pPr>
          </w:p>
        </w:tc>
        <w:tc>
          <w:tcPr>
            <w:tcW w:w="9560" w:type="dxa"/>
            <w:vAlign w:val="bottom"/>
            <w:tcBorders>
              <w:top w:val="single" w:sz="8" w:color="0000FF"/>
            </w:tcBorders>
            <w:gridSpan w:val="7"/>
            <w:shd w:val="clear" w:color="auto" w:fill="CCEEFF"/>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incorporated herein by reference)</w:t>
              </w:r>
              <w:r>
                <w:rPr>
                  <w:rFonts w:ascii="Arial" w:cs="Arial" w:eastAsia="Arial" w:hAnsi="Arial"/>
                  <w:sz w:val="18"/>
                  <w:szCs w:val="18"/>
                  <w:color w:val="000000"/>
                </w:rPr>
                <w:t>.</w:t>
              </w:r>
            </w:hyperlink>
          </w:p>
        </w:tc>
        <w:tc>
          <w:tcPr>
            <w:tcW w:w="1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right w:val="single" w:sz="8" w:color="CCEEFF"/>
            </w:tcBorders>
            <w:gridSpan w:val="4"/>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40" w:type="dxa"/>
            <w:vAlign w:val="bottom"/>
          </w:tcPr>
          <w:p>
            <w:pPr>
              <w:jc w:val="right"/>
              <w:ind w:right="590"/>
              <w:spacing w:after="0" w:line="169" w:lineRule="exact"/>
              <w:rPr>
                <w:sz w:val="20"/>
                <w:szCs w:val="20"/>
                <w:color w:val="auto"/>
              </w:rPr>
            </w:pPr>
            <w:r>
              <w:rPr>
                <w:rFonts w:ascii="Arial" w:cs="Arial" w:eastAsia="Arial" w:hAnsi="Arial"/>
                <w:sz w:val="18"/>
                <w:szCs w:val="18"/>
                <w:color w:val="auto"/>
                <w:w w:val="95"/>
              </w:rPr>
              <w:t>4.4</w:t>
            </w:r>
          </w:p>
        </w:tc>
        <w:tc>
          <w:tcPr>
            <w:tcW w:w="10280" w:type="dxa"/>
            <w:vAlign w:val="bottom"/>
            <w:gridSpan w:val="19"/>
          </w:tcPr>
          <w:p>
            <w:pPr>
              <w:spacing w:after="0" w:line="169"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Sixth Supplemental Indenture, dated as of November 3, 2016, among LII, each other existing Guarantor under the Indenture, dated as of May</w:t>
              </w:r>
            </w:hyperlink>
          </w:p>
        </w:tc>
      </w:tr>
      <w:tr>
        <w:trPr>
          <w:trHeight w:val="20"/>
        </w:trPr>
        <w:tc>
          <w:tcPr>
            <w:tcW w:w="94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7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940" w:type="dxa"/>
            <w:vAlign w:val="bottom"/>
          </w:tcPr>
          <w:p>
            <w:pPr>
              <w:spacing w:after="0"/>
              <w:rPr>
                <w:sz w:val="13"/>
                <w:szCs w:val="13"/>
                <w:color w:val="auto"/>
              </w:rPr>
            </w:pPr>
          </w:p>
        </w:tc>
        <w:tc>
          <w:tcPr>
            <w:tcW w:w="10280" w:type="dxa"/>
            <w:vAlign w:val="bottom"/>
            <w:gridSpan w:val="19"/>
          </w:tcPr>
          <w:p>
            <w:pPr>
              <w:spacing w:after="0" w:line="15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3, 2010, as subsequently supplemented, and US Bank National Association, as trustee (filed as Exhibit 4.2 to LII’s Current Report on Form 8-</w:t>
              </w:r>
            </w:hyperlink>
          </w:p>
        </w:tc>
      </w:tr>
      <w:tr>
        <w:trPr>
          <w:trHeight w:val="156"/>
        </w:trPr>
        <w:tc>
          <w:tcPr>
            <w:tcW w:w="940" w:type="dxa"/>
            <w:vAlign w:val="bottom"/>
          </w:tcPr>
          <w:p>
            <w:pPr>
              <w:spacing w:after="0"/>
              <w:rPr>
                <w:sz w:val="13"/>
                <w:szCs w:val="13"/>
                <w:color w:val="auto"/>
              </w:rPr>
            </w:pPr>
          </w:p>
        </w:tc>
        <w:tc>
          <w:tcPr>
            <w:tcW w:w="102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K filed on November 3, 2016, and incorporated herein by reference).</w:t>
              </w:r>
            </w:hyperlink>
          </w:p>
        </w:tc>
        <w:tc>
          <w:tcPr>
            <w:tcW w:w="20" w:type="dxa"/>
            <w:vAlign w:val="bottom"/>
          </w:tcPr>
          <w:p>
            <w:pPr>
              <w:spacing w:after="0"/>
              <w:rPr>
                <w:sz w:val="13"/>
                <w:szCs w:val="13"/>
                <w:color w:val="auto"/>
              </w:rPr>
            </w:pPr>
          </w:p>
        </w:tc>
      </w:tr>
      <w:tr>
        <w:trPr>
          <w:trHeight w:val="21"/>
        </w:trPr>
        <w:tc>
          <w:tcPr>
            <w:tcW w:w="94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500" w:type="dxa"/>
            <w:vAlign w:val="bottom"/>
            <w:tcBorders>
              <w:top w:val="single" w:sz="8" w:color="0000FF"/>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40" w:type="dxa"/>
            <w:vAlign w:val="bottom"/>
            <w:tcBorders>
              <w:bottom w:val="single" w:sz="8" w:color="CCEEFF"/>
            </w:tcBorders>
            <w:shd w:val="clear" w:color="auto" w:fill="CCEEFF"/>
          </w:tcPr>
          <w:p>
            <w:pPr>
              <w:jc w:val="right"/>
              <w:ind w:right="590"/>
              <w:spacing w:after="0" w:line="189" w:lineRule="exact"/>
              <w:rPr>
                <w:sz w:val="20"/>
                <w:szCs w:val="20"/>
                <w:color w:val="auto"/>
              </w:rPr>
            </w:pPr>
            <w:r>
              <w:rPr>
                <w:rFonts w:ascii="Arial" w:cs="Arial" w:eastAsia="Arial" w:hAnsi="Arial"/>
                <w:sz w:val="18"/>
                <w:szCs w:val="18"/>
                <w:color w:val="auto"/>
                <w:w w:val="95"/>
              </w:rPr>
              <w:t>4.5</w:t>
            </w:r>
          </w:p>
        </w:tc>
        <w:tc>
          <w:tcPr>
            <w:tcW w:w="9760" w:type="dxa"/>
            <w:vAlign w:val="bottom"/>
            <w:tcBorders>
              <w:bottom w:val="single" w:sz="8" w:color="0000FF"/>
            </w:tcBorders>
            <w:gridSpan w:val="10"/>
            <w:shd w:val="clear" w:color="auto" w:fill="CCEEFF"/>
          </w:tcPr>
          <w:p>
            <w:pPr>
              <w:spacing w:after="0" w:line="169"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Seventh Supplemental Indenture, dated as of January 23, 2019, among LII Mexico Holdings Ltd., Lennox International Inc., each other</w:t>
              </w:r>
            </w:hyperlink>
          </w:p>
        </w:tc>
        <w:tc>
          <w:tcPr>
            <w:tcW w:w="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right w:val="single" w:sz="8" w:color="CCEEFF"/>
            </w:tcBorders>
            <w:gridSpan w:val="4"/>
            <w:shd w:val="clear" w:color="auto" w:fill="CCEEFF"/>
          </w:tcPr>
          <w:p>
            <w:pPr>
              <w:spacing w:after="0"/>
              <w:rPr>
                <w:sz w:val="16"/>
                <w:szCs w:val="16"/>
                <w:color w:val="auto"/>
              </w:rPr>
            </w:pPr>
          </w:p>
        </w:tc>
        <w:tc>
          <w:tcPr>
            <w:tcW w:w="100" w:type="dxa"/>
            <w:vAlign w:val="bottom"/>
            <w:tcBorders>
              <w:bottom w:val="single" w:sz="8" w:color="CCEEFF"/>
            </w:tcBorders>
            <w:gridSpan w:val="4"/>
            <w:shd w:val="clear" w:color="auto" w:fill="CCEEFF"/>
          </w:tcPr>
          <w:p>
            <w:pPr>
              <w:spacing w:after="0"/>
              <w:rPr>
                <w:sz w:val="16"/>
                <w:szCs w:val="16"/>
                <w:color w:val="auto"/>
              </w:rPr>
            </w:pPr>
          </w:p>
        </w:tc>
      </w:tr>
      <w:tr>
        <w:trPr>
          <w:trHeight w:val="156"/>
        </w:trPr>
        <w:tc>
          <w:tcPr>
            <w:tcW w:w="940" w:type="dxa"/>
            <w:vAlign w:val="bottom"/>
            <w:shd w:val="clear" w:color="auto" w:fill="CCEEFF"/>
          </w:tcPr>
          <w:p>
            <w:pPr>
              <w:spacing w:after="0"/>
              <w:rPr>
                <w:sz w:val="13"/>
                <w:szCs w:val="13"/>
                <w:color w:val="auto"/>
              </w:rPr>
            </w:pPr>
          </w:p>
        </w:tc>
        <w:tc>
          <w:tcPr>
            <w:tcW w:w="9760" w:type="dxa"/>
            <w:vAlign w:val="bottom"/>
            <w:gridSpan w:val="10"/>
            <w:shd w:val="clear" w:color="auto" w:fill="CCEEFF"/>
          </w:tcPr>
          <w:p>
            <w:pPr>
              <w:spacing w:after="0" w:line="156" w:lineRule="exact"/>
              <w:rPr>
                <w:rFonts w:ascii="Arial" w:cs="Arial" w:eastAsia="Arial" w:hAnsi="Arial"/>
                <w:sz w:val="18"/>
                <w:szCs w:val="18"/>
                <w:color w:val="0000FF"/>
                <w:w w:val="89"/>
              </w:rPr>
            </w:pPr>
            <w:hyperlink r:id="rId75">
              <w:r>
                <w:rPr>
                  <w:rFonts w:ascii="Arial" w:cs="Arial" w:eastAsia="Arial" w:hAnsi="Arial"/>
                  <w:sz w:val="18"/>
                  <w:szCs w:val="18"/>
                  <w:color w:val="0000FF"/>
                  <w:w w:val="89"/>
                </w:rPr>
                <w:t>existing Guarantor under the Indenture, dated as of May 3, 2010, as subsequently supplemented, and US Bank National Association, as</w:t>
              </w:r>
            </w:hyperlink>
          </w:p>
        </w:tc>
        <w:tc>
          <w:tcPr>
            <w:tcW w:w="40" w:type="dxa"/>
            <w:vAlign w:val="bottom"/>
            <w:shd w:val="clear" w:color="auto" w:fill="CCEEFF"/>
          </w:tcPr>
          <w:p>
            <w:pPr>
              <w:spacing w:after="0"/>
              <w:rPr>
                <w:sz w:val="13"/>
                <w:szCs w:val="13"/>
                <w:color w:val="auto"/>
              </w:rPr>
            </w:pPr>
          </w:p>
        </w:tc>
        <w:tc>
          <w:tcPr>
            <w:tcW w:w="380" w:type="dxa"/>
            <w:vAlign w:val="bottom"/>
            <w:tcBorders>
              <w:right w:val="single" w:sz="8" w:color="CCEEFF"/>
            </w:tcBorders>
            <w:gridSpan w:val="4"/>
            <w:shd w:val="clear" w:color="auto" w:fill="CCEEFF"/>
          </w:tcPr>
          <w:p>
            <w:pPr>
              <w:spacing w:after="0"/>
              <w:rPr>
                <w:sz w:val="13"/>
                <w:szCs w:val="13"/>
                <w:color w:val="auto"/>
              </w:rPr>
            </w:pPr>
          </w:p>
        </w:tc>
        <w:tc>
          <w:tcPr>
            <w:tcW w:w="100" w:type="dxa"/>
            <w:vAlign w:val="bottom"/>
            <w:gridSpan w:val="4"/>
            <w:shd w:val="clear" w:color="auto" w:fill="CCEEFF"/>
          </w:tcPr>
          <w:p>
            <w:pPr>
              <w:spacing w:after="0"/>
              <w:rPr>
                <w:sz w:val="13"/>
                <w:szCs w:val="13"/>
                <w:color w:val="auto"/>
              </w:rPr>
            </w:pPr>
          </w:p>
        </w:tc>
      </w:tr>
      <w:tr>
        <w:trPr>
          <w:trHeight w:val="196"/>
        </w:trPr>
        <w:tc>
          <w:tcPr>
            <w:tcW w:w="940" w:type="dxa"/>
            <w:vAlign w:val="bottom"/>
            <w:tcBorders>
              <w:top w:val="single" w:sz="8" w:color="CCEEFF"/>
            </w:tcBorders>
            <w:shd w:val="clear" w:color="auto" w:fill="CCEEFF"/>
          </w:tcPr>
          <w:p>
            <w:pPr>
              <w:spacing w:after="0"/>
              <w:rPr>
                <w:sz w:val="17"/>
                <w:szCs w:val="17"/>
                <w:color w:val="auto"/>
              </w:rPr>
            </w:pPr>
          </w:p>
        </w:tc>
        <w:tc>
          <w:tcPr>
            <w:tcW w:w="9740" w:type="dxa"/>
            <w:vAlign w:val="bottom"/>
            <w:tcBorders>
              <w:top w:val="single" w:sz="8" w:color="0000FF"/>
            </w:tcBorders>
            <w:gridSpan w:val="9"/>
            <w:shd w:val="clear" w:color="auto" w:fill="CCEEFF"/>
          </w:tcPr>
          <w:p>
            <w:pPr>
              <w:spacing w:after="0" w:line="196" w:lineRule="exact"/>
              <w:rPr>
                <w:rFonts w:ascii="Arial" w:cs="Arial" w:eastAsia="Arial" w:hAnsi="Arial"/>
                <w:sz w:val="18"/>
                <w:szCs w:val="18"/>
                <w:u w:val="single" w:color="auto"/>
                <w:color w:val="0000FF"/>
                <w:w w:val="94"/>
              </w:rPr>
            </w:pPr>
            <w:hyperlink r:id="rId75">
              <w:r>
                <w:rPr>
                  <w:rFonts w:ascii="Arial" w:cs="Arial" w:eastAsia="Arial" w:hAnsi="Arial"/>
                  <w:sz w:val="18"/>
                  <w:szCs w:val="18"/>
                  <w:u w:val="single" w:color="auto"/>
                  <w:color w:val="0000FF"/>
                  <w:w w:val="94"/>
                </w:rPr>
                <w:t>trustee (filed as Exhibit 2.5 to LII's Annual Report on Form 10-K filed on February 19, 2019 and incorporated herein by reference).</w:t>
              </w:r>
            </w:hyperlink>
          </w:p>
        </w:tc>
        <w:tc>
          <w:tcPr>
            <w:tcW w:w="60" w:type="dxa"/>
            <w:vAlign w:val="bottom"/>
            <w:tcBorders>
              <w:top w:val="single" w:sz="8" w:color="CCEEFF"/>
            </w:tcBorders>
            <w:gridSpan w:val="2"/>
            <w:shd w:val="clear" w:color="auto" w:fill="CCEEFF"/>
          </w:tcPr>
          <w:p>
            <w:pPr>
              <w:spacing w:after="0"/>
              <w:rPr>
                <w:sz w:val="17"/>
                <w:szCs w:val="17"/>
                <w:color w:val="auto"/>
              </w:rPr>
            </w:pPr>
          </w:p>
        </w:tc>
        <w:tc>
          <w:tcPr>
            <w:tcW w:w="380" w:type="dxa"/>
            <w:vAlign w:val="bottom"/>
            <w:tcBorders>
              <w:top w:val="single" w:sz="8" w:color="CCEEFF"/>
              <w:right w:val="single" w:sz="8" w:color="CCEEFF"/>
            </w:tcBorders>
            <w:gridSpan w:val="4"/>
            <w:shd w:val="clear" w:color="auto" w:fill="CCEEFF"/>
          </w:tcPr>
          <w:p>
            <w:pPr>
              <w:spacing w:after="0"/>
              <w:rPr>
                <w:sz w:val="17"/>
                <w:szCs w:val="17"/>
                <w:color w:val="auto"/>
              </w:rPr>
            </w:pPr>
          </w:p>
        </w:tc>
        <w:tc>
          <w:tcPr>
            <w:tcW w:w="100" w:type="dxa"/>
            <w:vAlign w:val="bottom"/>
            <w:tcBorders>
              <w:top w:val="single" w:sz="8" w:color="CCEEFF"/>
            </w:tcBorders>
            <w:gridSpan w:val="4"/>
            <w:shd w:val="clear" w:color="auto" w:fill="CCEEFF"/>
          </w:tcPr>
          <w:p>
            <w:pPr>
              <w:spacing w:after="0"/>
              <w:rPr>
                <w:sz w:val="17"/>
                <w:szCs w:val="17"/>
                <w:color w:val="auto"/>
              </w:rPr>
            </w:pPr>
          </w:p>
        </w:tc>
      </w:tr>
      <w:tr>
        <w:trPr>
          <w:trHeight w:val="189"/>
        </w:trPr>
        <w:tc>
          <w:tcPr>
            <w:tcW w:w="940" w:type="dxa"/>
            <w:vAlign w:val="bottom"/>
          </w:tcPr>
          <w:p>
            <w:pPr>
              <w:jc w:val="right"/>
              <w:ind w:right="590"/>
              <w:spacing w:after="0" w:line="189" w:lineRule="exact"/>
              <w:rPr>
                <w:sz w:val="20"/>
                <w:szCs w:val="20"/>
                <w:color w:val="auto"/>
              </w:rPr>
            </w:pPr>
            <w:r>
              <w:rPr>
                <w:rFonts w:ascii="Arial" w:cs="Arial" w:eastAsia="Arial" w:hAnsi="Arial"/>
                <w:sz w:val="18"/>
                <w:szCs w:val="18"/>
                <w:color w:val="auto"/>
                <w:w w:val="95"/>
              </w:rPr>
              <w:t>4.6</w:t>
            </w:r>
          </w:p>
        </w:tc>
        <w:tc>
          <w:tcPr>
            <w:tcW w:w="9800" w:type="dxa"/>
            <w:vAlign w:val="bottom"/>
            <w:tcBorders>
              <w:bottom w:val="single" w:sz="8" w:color="0000FF"/>
            </w:tcBorders>
            <w:gridSpan w:val="11"/>
          </w:tcPr>
          <w:p>
            <w:pPr>
              <w:spacing w:after="0" w:line="169"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Form of 3.000% Notes due 2023 (filed as Exhibit A in Exhibit 4.2 to LII’s Current Report on Form 8-K filed on November 3, 2016, and</w:t>
              </w:r>
            </w:hyperlink>
          </w:p>
        </w:tc>
        <w:tc>
          <w:tcPr>
            <w:tcW w:w="380" w:type="dxa"/>
            <w:vAlign w:val="bottom"/>
            <w:gridSpan w:val="4"/>
          </w:tcPr>
          <w:p>
            <w:pPr>
              <w:spacing w:after="0"/>
              <w:rPr>
                <w:sz w:val="16"/>
                <w:szCs w:val="16"/>
                <w:color w:val="auto"/>
              </w:rPr>
            </w:pPr>
          </w:p>
        </w:tc>
        <w:tc>
          <w:tcPr>
            <w:tcW w:w="100" w:type="dxa"/>
            <w:vAlign w:val="bottom"/>
            <w:gridSpan w:val="4"/>
          </w:tcPr>
          <w:p>
            <w:pPr>
              <w:spacing w:after="0"/>
              <w:rPr>
                <w:sz w:val="16"/>
                <w:szCs w:val="16"/>
                <w:color w:val="auto"/>
              </w:rPr>
            </w:pPr>
          </w:p>
        </w:tc>
      </w:tr>
      <w:tr>
        <w:trPr>
          <w:trHeight w:val="156"/>
        </w:trPr>
        <w:tc>
          <w:tcPr>
            <w:tcW w:w="940" w:type="dxa"/>
            <w:vAlign w:val="bottom"/>
          </w:tcPr>
          <w:p>
            <w:pPr>
              <w:spacing w:after="0"/>
              <w:rPr>
                <w:sz w:val="13"/>
                <w:szCs w:val="13"/>
                <w:color w:val="auto"/>
              </w:rPr>
            </w:pPr>
          </w:p>
        </w:tc>
        <w:tc>
          <w:tcPr>
            <w:tcW w:w="2460" w:type="dxa"/>
            <w:vAlign w:val="bottom"/>
            <w:tcBorders>
              <w:bottom w:val="single" w:sz="8" w:color="0000FF"/>
            </w:tcBorders>
            <w:gridSpan w:val="4"/>
          </w:tcPr>
          <w:p>
            <w:pPr>
              <w:spacing w:after="0" w:line="156" w:lineRule="exact"/>
              <w:rPr>
                <w:rFonts w:ascii="Arial" w:cs="Arial" w:eastAsia="Arial" w:hAnsi="Arial"/>
                <w:sz w:val="18"/>
                <w:szCs w:val="18"/>
                <w:color w:val="0000FF"/>
                <w:w w:val="89"/>
              </w:rPr>
            </w:pPr>
            <w:hyperlink r:id="rId74">
              <w:r>
                <w:rPr>
                  <w:rFonts w:ascii="Arial" w:cs="Arial" w:eastAsia="Arial" w:hAnsi="Arial"/>
                  <w:sz w:val="18"/>
                  <w:szCs w:val="18"/>
                  <w:color w:val="0000FF"/>
                  <w:w w:val="89"/>
                </w:rPr>
                <w:t>incorporated herein by reference).</w:t>
              </w:r>
            </w:hyperlink>
          </w:p>
        </w:tc>
        <w:tc>
          <w:tcPr>
            <w:tcW w:w="7340" w:type="dxa"/>
            <w:vAlign w:val="bottom"/>
            <w:gridSpan w:val="7"/>
          </w:tcPr>
          <w:p>
            <w:pPr>
              <w:spacing w:after="0"/>
              <w:rPr>
                <w:sz w:val="13"/>
                <w:szCs w:val="13"/>
                <w:color w:val="auto"/>
              </w:rPr>
            </w:pPr>
          </w:p>
        </w:tc>
        <w:tc>
          <w:tcPr>
            <w:tcW w:w="380" w:type="dxa"/>
            <w:vAlign w:val="bottom"/>
            <w:gridSpan w:val="4"/>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09"/>
        </w:trPr>
        <w:tc>
          <w:tcPr>
            <w:tcW w:w="940" w:type="dxa"/>
            <w:vAlign w:val="bottom"/>
          </w:tcPr>
          <w:p>
            <w:pPr>
              <w:jc w:val="right"/>
              <w:ind w:right="590"/>
              <w:spacing w:after="0"/>
              <w:rPr>
                <w:sz w:val="20"/>
                <w:szCs w:val="20"/>
                <w:color w:val="auto"/>
              </w:rPr>
            </w:pPr>
            <w:r>
              <w:rPr>
                <w:rFonts w:ascii="Arial" w:cs="Arial" w:eastAsia="Arial" w:hAnsi="Arial"/>
                <w:sz w:val="18"/>
                <w:szCs w:val="18"/>
                <w:color w:val="auto"/>
                <w:w w:val="95"/>
              </w:rPr>
              <w:t>4.7</w:t>
            </w:r>
          </w:p>
        </w:tc>
        <w:tc>
          <w:tcPr>
            <w:tcW w:w="1018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w:anchor="page41">
              <w:r>
                <w:rPr>
                  <w:rFonts w:ascii="Arial" w:cs="Arial" w:eastAsia="Arial" w:hAnsi="Arial"/>
                  <w:sz w:val="18"/>
                  <w:szCs w:val="18"/>
                  <w:color w:val="0000FF"/>
                  <w:w w:val="91"/>
                </w:rPr>
                <w:t>Eighth Supplemental Indenture, dated as of May 22, 2020, among Lennox Switzerland GmbH, Lennox International Inc., each other existing</w:t>
              </w:r>
            </w:hyperlink>
          </w:p>
        </w:tc>
        <w:tc>
          <w:tcPr>
            <w:tcW w:w="100" w:type="dxa"/>
            <w:vAlign w:val="bottom"/>
            <w:gridSpan w:val="4"/>
          </w:tcPr>
          <w:p>
            <w:pPr>
              <w:spacing w:after="0"/>
              <w:rPr>
                <w:sz w:val="18"/>
                <w:szCs w:val="18"/>
                <w:color w:val="auto"/>
              </w:rPr>
            </w:pPr>
          </w:p>
        </w:tc>
      </w:tr>
      <w:tr>
        <w:trPr>
          <w:trHeight w:val="157"/>
        </w:trPr>
        <w:tc>
          <w:tcPr>
            <w:tcW w:w="940" w:type="dxa"/>
            <w:vAlign w:val="bottom"/>
          </w:tcPr>
          <w:p>
            <w:pPr>
              <w:spacing w:after="0"/>
              <w:rPr>
                <w:sz w:val="13"/>
                <w:szCs w:val="13"/>
                <w:color w:val="auto"/>
              </w:rPr>
            </w:pPr>
          </w:p>
        </w:tc>
        <w:tc>
          <w:tcPr>
            <w:tcW w:w="10180" w:type="dxa"/>
            <w:vAlign w:val="bottom"/>
            <w:gridSpan w:val="15"/>
          </w:tcPr>
          <w:p>
            <w:pPr>
              <w:spacing w:after="0" w:line="157" w:lineRule="exact"/>
              <w:rPr>
                <w:rFonts w:ascii="Arial" w:cs="Arial" w:eastAsia="Arial" w:hAnsi="Arial"/>
                <w:sz w:val="18"/>
                <w:szCs w:val="18"/>
                <w:u w:val="single" w:color="auto"/>
                <w:color w:val="0000FF"/>
                <w:w w:val="94"/>
              </w:rPr>
            </w:pPr>
            <w:hyperlink w:anchor="page41">
              <w:r>
                <w:rPr>
                  <w:rFonts w:ascii="Arial" w:cs="Arial" w:eastAsia="Arial" w:hAnsi="Arial"/>
                  <w:sz w:val="18"/>
                  <w:szCs w:val="18"/>
                  <w:u w:val="single" w:color="auto"/>
                  <w:color w:val="0000FF"/>
                  <w:w w:val="94"/>
                </w:rPr>
                <w:t>Guarantor under the Indenture, dated as of May 3, 2010, as subsequently supplemented, and US Bank National Association, as trustee</w:t>
              </w:r>
            </w:hyperlink>
          </w:p>
        </w:tc>
        <w:tc>
          <w:tcPr>
            <w:tcW w:w="100" w:type="dxa"/>
            <w:vAlign w:val="bottom"/>
            <w:gridSpan w:val="4"/>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15175" cy="3683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15175" cy="368300"/>
                    </a:xfrm>
                    <a:prstGeom prst="rect">
                      <a:avLst/>
                    </a:prstGeom>
                    <a:noFill/>
                  </pic:spPr>
                </pic:pic>
              </a:graphicData>
            </a:graphic>
          </wp:anchor>
        </w:drawing>
      </w:r>
    </w:p>
    <w:p>
      <w:pPr>
        <w:ind w:left="94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(furnished herewith)</w:t>
        </w:r>
      </w:hyperlink>
    </w:p>
    <w:p>
      <w:pPr>
        <w:sectPr>
          <w:pgSz w:w="11900" w:h="16838" w:orient="portrait"/>
          <w:cols w:equalWidth="0" w:num="1">
            <w:col w:w="11220"/>
          </w:cols>
          <w:pgMar w:left="320" w:top="891" w:right="359" w:bottom="1440" w:gutter="0" w:footer="0" w:header="0"/>
        </w:sectPr>
      </w:pP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31.2</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List of Guarantor Subsidiaries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14605</wp:posOffset>
            </wp:positionV>
            <wp:extent cx="711517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 w:lineRule="exact"/>
        <w:rPr>
          <w:sz w:val="20"/>
          <w:szCs w:val="20"/>
          <w:color w:val="auto"/>
        </w:rPr>
      </w:pPr>
    </w:p>
    <w:p>
      <w:pPr>
        <w:spacing w:after="0"/>
        <w:rPr>
          <w:rFonts w:ascii="Arial" w:cs="Arial" w:eastAsia="Arial" w:hAnsi="Arial"/>
          <w:sz w:val="18"/>
          <w:szCs w:val="18"/>
          <w:color w:val="0000FF"/>
        </w:rPr>
      </w:pPr>
      <w:hyperlink w:anchor="page51">
        <w:r>
          <w:rPr>
            <w:rFonts w:ascii="Arial" w:cs="Arial" w:eastAsia="Arial" w:hAnsi="Arial"/>
            <w:sz w:val="18"/>
            <w:szCs w:val="18"/>
            <w:u w:val="single" w:color="auto"/>
            <w:color w:val="0000FF"/>
          </w:rPr>
          <w:t>Certification of the principal executive officer (filed herewith)</w:t>
        </w:r>
        <w:r>
          <w:rPr>
            <w:rFonts w:ascii="Arial" w:cs="Arial" w:eastAsia="Arial" w:hAnsi="Arial"/>
            <w:sz w:val="18"/>
            <w:szCs w:val="18"/>
            <w:color w:val="0000FF"/>
          </w:rPr>
          <w:t>.</w:t>
        </w:r>
      </w:hyperlink>
    </w:p>
    <w:p>
      <w:pPr>
        <w:spacing w:after="0" w:line="62" w:lineRule="exact"/>
        <w:rPr>
          <w:sz w:val="20"/>
          <w:szCs w:val="20"/>
          <w:color w:val="auto"/>
        </w:rPr>
      </w:pPr>
    </w:p>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Certification of the principal financial officer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40640</wp:posOffset>
            </wp:positionV>
            <wp:extent cx="711517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4" w:lineRule="exact"/>
        <w:rPr>
          <w:sz w:val="20"/>
          <w:szCs w:val="20"/>
          <w:color w:val="auto"/>
        </w:rPr>
      </w:pPr>
    </w:p>
    <w:p>
      <w:pPr>
        <w:spacing w:after="0"/>
        <w:rPr>
          <w:rFonts w:ascii="Arial" w:cs="Arial" w:eastAsia="Arial" w:hAnsi="Arial"/>
          <w:sz w:val="16"/>
          <w:szCs w:val="16"/>
          <w:u w:val="single" w:color="auto"/>
          <w:color w:val="0000FF"/>
        </w:rPr>
      </w:pPr>
      <w:hyperlink w:anchor="page53">
        <w:r>
          <w:rPr>
            <w:rFonts w:ascii="Arial" w:cs="Arial" w:eastAsia="Arial" w:hAnsi="Arial"/>
            <w:sz w:val="16"/>
            <w:szCs w:val="16"/>
            <w:u w:val="single" w:color="auto"/>
            <w:color w:val="0000FF"/>
          </w:rPr>
          <w:t>Certification of the principal executive officer and the principal financial officer pursuant to 18 U.S.C. Section 1350 (furnished herewith).</w:t>
        </w:r>
      </w:hyperlink>
    </w:p>
    <w:p>
      <w:pPr>
        <w:spacing w:after="0" w:line="59" w:lineRule="exact"/>
        <w:rPr>
          <w:sz w:val="20"/>
          <w:szCs w:val="20"/>
          <w:color w:val="auto"/>
        </w:rPr>
      </w:pPr>
    </w:p>
    <w:p>
      <w:pPr>
        <w:ind w:right="380"/>
        <w:spacing w:after="0" w:line="274" w:lineRule="auto"/>
        <w:rPr>
          <w:sz w:val="20"/>
          <w:szCs w:val="20"/>
          <w:color w:val="auto"/>
        </w:rPr>
      </w:pPr>
      <w:r>
        <w:rPr>
          <w:rFonts w:ascii="Arial" w:cs="Arial" w:eastAsia="Arial" w:hAnsi="Arial"/>
          <w:sz w:val="18"/>
          <w:szCs w:val="18"/>
          <w:color w:val="auto"/>
        </w:rPr>
        <w:t>INS XBRL Instance Document. The instance document does not appear in the Interactive Data File because its XBRL tags are embedded within the Inline XBRL document.</w:t>
      </w:r>
    </w:p>
    <w:p>
      <w:pPr>
        <w:spacing w:after="0" w:line="1" w:lineRule="exact"/>
        <w:rPr>
          <w:sz w:val="20"/>
          <w:szCs w:val="20"/>
          <w:color w:val="auto"/>
        </w:rPr>
      </w:pPr>
    </w:p>
    <w:p>
      <w:pPr>
        <w:sectPr>
          <w:pgSz w:w="11900" w:h="16838" w:orient="portrait"/>
          <w:cols w:equalWidth="0" w:num="2">
            <w:col w:w="340" w:space="600"/>
            <w:col w:w="10280"/>
          </w:cols>
          <w:pgMar w:left="320" w:top="891" w:right="35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3"/>
              </w:rPr>
              <w:t>101</w:t>
            </w:r>
          </w:p>
        </w:tc>
        <w:tc>
          <w:tcPr>
            <w:tcW w:w="10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SCH Inline XBRL Taxonomy Extension Schema Document</w:t>
            </w:r>
          </w:p>
        </w:tc>
      </w:tr>
      <w:tr>
        <w:trPr>
          <w:trHeight w:val="243"/>
        </w:trPr>
        <w:tc>
          <w:tcPr>
            <w:tcW w:w="620" w:type="dxa"/>
            <w:vAlign w:val="bottom"/>
          </w:tcPr>
          <w:p>
            <w:pPr>
              <w:jc w:val="right"/>
              <w:ind w:right="230"/>
              <w:spacing w:after="0"/>
              <w:rPr>
                <w:sz w:val="20"/>
                <w:szCs w:val="20"/>
                <w:color w:val="auto"/>
              </w:rPr>
            </w:pPr>
            <w:r>
              <w:rPr>
                <w:rFonts w:ascii="Arial" w:cs="Arial" w:eastAsia="Arial" w:hAnsi="Arial"/>
                <w:sz w:val="18"/>
                <w:szCs w:val="18"/>
                <w:color w:val="auto"/>
                <w:w w:val="93"/>
              </w:rPr>
              <w:t>101</w:t>
            </w:r>
          </w:p>
        </w:tc>
        <w:tc>
          <w:tcPr>
            <w:tcW w:w="10600" w:type="dxa"/>
            <w:vAlign w:val="bottom"/>
          </w:tcPr>
          <w:p>
            <w:pPr>
              <w:ind w:left="320"/>
              <w:spacing w:after="0"/>
              <w:rPr>
                <w:sz w:val="20"/>
                <w:szCs w:val="20"/>
                <w:color w:val="auto"/>
              </w:rPr>
            </w:pPr>
            <w:r>
              <w:rPr>
                <w:rFonts w:ascii="Arial" w:cs="Arial" w:eastAsia="Arial" w:hAnsi="Arial"/>
                <w:sz w:val="18"/>
                <w:szCs w:val="18"/>
                <w:color w:val="auto"/>
              </w:rPr>
              <w:t>CAL Inline XBRL Taxonomy Extension Calculation Linkbase Document</w:t>
            </w:r>
          </w:p>
        </w:tc>
      </w:tr>
      <w:tr>
        <w:trPr>
          <w:trHeight w:val="27"/>
        </w:trPr>
        <w:tc>
          <w:tcPr>
            <w:tcW w:w="620" w:type="dxa"/>
            <w:vAlign w:val="bottom"/>
          </w:tcPr>
          <w:p>
            <w:pPr>
              <w:spacing w:after="0"/>
              <w:rPr>
                <w:sz w:val="2"/>
                <w:szCs w:val="2"/>
                <w:color w:val="auto"/>
              </w:rPr>
            </w:pPr>
          </w:p>
        </w:tc>
        <w:tc>
          <w:tcPr>
            <w:tcW w:w="1060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3"/>
              </w:rPr>
              <w:t>101</w:t>
            </w:r>
          </w:p>
        </w:tc>
        <w:tc>
          <w:tcPr>
            <w:tcW w:w="10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LAB Inline XBRL Taxonomy Extension Label Linkbase Document</w:t>
            </w:r>
          </w:p>
        </w:tc>
      </w:tr>
      <w:tr>
        <w:trPr>
          <w:trHeight w:val="243"/>
        </w:trPr>
        <w:tc>
          <w:tcPr>
            <w:tcW w:w="620" w:type="dxa"/>
            <w:vAlign w:val="bottom"/>
          </w:tcPr>
          <w:p>
            <w:pPr>
              <w:jc w:val="right"/>
              <w:ind w:right="230"/>
              <w:spacing w:after="0"/>
              <w:rPr>
                <w:sz w:val="20"/>
                <w:szCs w:val="20"/>
                <w:color w:val="auto"/>
              </w:rPr>
            </w:pPr>
            <w:r>
              <w:rPr>
                <w:rFonts w:ascii="Arial" w:cs="Arial" w:eastAsia="Arial" w:hAnsi="Arial"/>
                <w:sz w:val="18"/>
                <w:szCs w:val="18"/>
                <w:color w:val="auto"/>
                <w:w w:val="93"/>
              </w:rPr>
              <w:t>101</w:t>
            </w:r>
          </w:p>
        </w:tc>
        <w:tc>
          <w:tcPr>
            <w:tcW w:w="10600" w:type="dxa"/>
            <w:vAlign w:val="bottom"/>
          </w:tcPr>
          <w:p>
            <w:pPr>
              <w:ind w:left="320"/>
              <w:spacing w:after="0"/>
              <w:rPr>
                <w:sz w:val="20"/>
                <w:szCs w:val="20"/>
                <w:color w:val="auto"/>
              </w:rPr>
            </w:pPr>
            <w:r>
              <w:rPr>
                <w:rFonts w:ascii="Arial" w:cs="Arial" w:eastAsia="Arial" w:hAnsi="Arial"/>
                <w:sz w:val="18"/>
                <w:szCs w:val="18"/>
                <w:color w:val="auto"/>
              </w:rPr>
              <w:t>PRE Inline XBRL Taxonomy Extension Presentation Linkbase Document</w:t>
            </w:r>
          </w:p>
        </w:tc>
      </w:tr>
      <w:tr>
        <w:trPr>
          <w:trHeight w:val="27"/>
        </w:trPr>
        <w:tc>
          <w:tcPr>
            <w:tcW w:w="620" w:type="dxa"/>
            <w:vAlign w:val="bottom"/>
          </w:tcPr>
          <w:p>
            <w:pPr>
              <w:spacing w:after="0"/>
              <w:rPr>
                <w:sz w:val="2"/>
                <w:szCs w:val="2"/>
                <w:color w:val="auto"/>
              </w:rPr>
            </w:pPr>
          </w:p>
        </w:tc>
        <w:tc>
          <w:tcPr>
            <w:tcW w:w="10600" w:type="dxa"/>
            <w:vAlign w:val="bottom"/>
          </w:tcPr>
          <w:p>
            <w:pPr>
              <w:spacing w:after="0"/>
              <w:rPr>
                <w:sz w:val="2"/>
                <w:szCs w:val="2"/>
                <w:color w:val="auto"/>
              </w:rPr>
            </w:pPr>
          </w:p>
        </w:tc>
      </w:tr>
      <w:tr>
        <w:trPr>
          <w:trHeight w:val="243"/>
        </w:trPr>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3"/>
              </w:rPr>
              <w:t>101</w:t>
            </w:r>
          </w:p>
        </w:tc>
        <w:tc>
          <w:tcPr>
            <w:tcW w:w="10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 Inline XBRL Taxonomy Extension Definition Linkbase Document</w:t>
            </w:r>
          </w:p>
        </w:tc>
      </w:tr>
      <w:tr>
        <w:trPr>
          <w:trHeight w:val="27"/>
        </w:trPr>
        <w:tc>
          <w:tcPr>
            <w:tcW w:w="620" w:type="dxa"/>
            <w:vAlign w:val="bottom"/>
            <w:shd w:val="clear" w:color="auto" w:fill="CCEEFF"/>
          </w:tcPr>
          <w:p>
            <w:pPr>
              <w:spacing w:after="0"/>
              <w:rPr>
                <w:sz w:val="2"/>
                <w:szCs w:val="2"/>
                <w:color w:val="auto"/>
              </w:rPr>
            </w:pPr>
          </w:p>
        </w:tc>
        <w:tc>
          <w:tcPr>
            <w:tcW w:w="1060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940" w:hanging="91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39" w:name="page40"/>
    <w:bookmarkEnd w:id="39"/>
    <w:p>
      <w:pPr>
        <w:jc w:val="center"/>
        <w:ind w:right="-7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LENNOX INTERNATIONAL INC.</w:t>
      </w:r>
    </w:p>
    <w:p>
      <w:pPr>
        <w:spacing w:after="0" w:line="25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W. Reitmeier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Joseph W. Reitmeier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(on behalf of registrant and as principal financial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 July 20,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20"/>
          </w:cols>
          <w:pgMar w:left="320" w:top="1134" w:right="10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4.7</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EIGHTH SUPPLEMENTAL INDENTURE</w:t>
      </w:r>
    </w:p>
    <w:p>
      <w:pPr>
        <w:spacing w:after="0" w:line="229" w:lineRule="exact"/>
        <w:rPr>
          <w:sz w:val="20"/>
          <w:szCs w:val="20"/>
          <w:color w:val="auto"/>
        </w:rPr>
      </w:pPr>
    </w:p>
    <w:p>
      <w:pPr>
        <w:ind w:right="160" w:firstLine="392"/>
        <w:spacing w:after="0" w:line="276" w:lineRule="auto"/>
        <w:rPr>
          <w:sz w:val="20"/>
          <w:szCs w:val="20"/>
          <w:color w:val="auto"/>
        </w:rPr>
      </w:pPr>
      <w:r>
        <w:rPr>
          <w:rFonts w:ascii="Arial" w:cs="Arial" w:eastAsia="Arial" w:hAnsi="Arial"/>
          <w:sz w:val="20"/>
          <w:szCs w:val="20"/>
          <w:color w:val="auto"/>
        </w:rPr>
        <w:t>This EIGHTH SUPPLEMENTAL INDENTURE, dated as of May 22, 2020 (this “</w:t>
      </w:r>
      <w:r>
        <w:rPr>
          <w:rFonts w:ascii="Arial" w:cs="Arial" w:eastAsia="Arial" w:hAnsi="Arial"/>
          <w:sz w:val="20"/>
          <w:szCs w:val="20"/>
          <w:b w:val="1"/>
          <w:bCs w:val="1"/>
          <w:color w:val="auto"/>
        </w:rPr>
        <w:t>Eighth Supplemental Indenture</w:t>
      </w:r>
      <w:r>
        <w:rPr>
          <w:rFonts w:ascii="Arial" w:cs="Arial" w:eastAsia="Arial" w:hAnsi="Arial"/>
          <w:sz w:val="20"/>
          <w:szCs w:val="20"/>
          <w:color w:val="auto"/>
        </w:rPr>
        <w:t>”), is among Lennox Switzerland GmbH, a limited liability company incorporated in Switzerland (the “</w:t>
      </w:r>
      <w:r>
        <w:rPr>
          <w:rFonts w:ascii="Arial" w:cs="Arial" w:eastAsia="Arial" w:hAnsi="Arial"/>
          <w:sz w:val="20"/>
          <w:szCs w:val="20"/>
          <w:b w:val="1"/>
          <w:bCs w:val="1"/>
          <w:color w:val="auto"/>
        </w:rPr>
        <w:t>Guarantor</w:t>
      </w:r>
      <w:r>
        <w:rPr>
          <w:rFonts w:ascii="Arial" w:cs="Arial" w:eastAsia="Arial" w:hAnsi="Arial"/>
          <w:sz w:val="20"/>
          <w:szCs w:val="20"/>
          <w:color w:val="auto"/>
        </w:rPr>
        <w:t>”), Lennox International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each other existing Guarantor under the Indenture referred to below (the “</w:t>
      </w:r>
      <w:r>
        <w:rPr>
          <w:rFonts w:ascii="Arial" w:cs="Arial" w:eastAsia="Arial" w:hAnsi="Arial"/>
          <w:sz w:val="20"/>
          <w:szCs w:val="20"/>
          <w:b w:val="1"/>
          <w:bCs w:val="1"/>
          <w:color w:val="auto"/>
        </w:rPr>
        <w:t>Existing Guarantors</w:t>
      </w:r>
      <w:r>
        <w:rPr>
          <w:rFonts w:ascii="Arial" w:cs="Arial" w:eastAsia="Arial" w:hAnsi="Arial"/>
          <w:sz w:val="20"/>
          <w:szCs w:val="20"/>
          <w:color w:val="auto"/>
        </w:rPr>
        <w:t>”), and U.S. Bank National Association, as Trustee under the Indenture referred to below.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243" w:lineRule="exact"/>
        <w:rPr>
          <w:sz w:val="20"/>
          <w:szCs w:val="20"/>
          <w:color w:val="auto"/>
        </w:rPr>
      </w:pPr>
    </w:p>
    <w:p>
      <w:pPr>
        <w:ind w:right="160" w:firstLine="392"/>
        <w:spacing w:after="0" w:line="274" w:lineRule="auto"/>
        <w:rPr>
          <w:sz w:val="20"/>
          <w:szCs w:val="20"/>
          <w:color w:val="auto"/>
        </w:rPr>
      </w:pPr>
      <w:r>
        <w:rPr>
          <w:rFonts w:ascii="Arial" w:cs="Arial" w:eastAsia="Arial" w:hAnsi="Arial"/>
          <w:sz w:val="20"/>
          <w:szCs w:val="20"/>
          <w:color w:val="auto"/>
        </w:rPr>
        <w:t>WHEREAS, the Company, the Existing Guarantors and the Trustee have heretofore become parties to an Indenture, dated as of May 3, 2010 (the “</w:t>
      </w:r>
      <w:r>
        <w:rPr>
          <w:rFonts w:ascii="Arial" w:cs="Arial" w:eastAsia="Arial" w:hAnsi="Arial"/>
          <w:sz w:val="20"/>
          <w:szCs w:val="20"/>
          <w:b w:val="1"/>
          <w:bCs w:val="1"/>
          <w:color w:val="auto"/>
        </w:rPr>
        <w:t>Base Indenture</w:t>
      </w:r>
      <w:r>
        <w:rPr>
          <w:rFonts w:ascii="Arial" w:cs="Arial" w:eastAsia="Arial" w:hAnsi="Arial"/>
          <w:sz w:val="20"/>
          <w:szCs w:val="20"/>
          <w:color w:val="auto"/>
        </w:rPr>
        <w:t>”), as supplemented by the Sixth Supplemental Indenture (the “</w:t>
      </w:r>
      <w:r>
        <w:rPr>
          <w:rFonts w:ascii="Arial" w:cs="Arial" w:eastAsia="Arial" w:hAnsi="Arial"/>
          <w:sz w:val="20"/>
          <w:szCs w:val="20"/>
          <w:b w:val="1"/>
          <w:bCs w:val="1"/>
          <w:color w:val="auto"/>
        </w:rPr>
        <w:t>Sixth Supplemental Indenture</w:t>
      </w:r>
      <w:r>
        <w:rPr>
          <w:rFonts w:ascii="Arial" w:cs="Arial" w:eastAsia="Arial" w:hAnsi="Arial"/>
          <w:sz w:val="20"/>
          <w:szCs w:val="20"/>
          <w:color w:val="auto"/>
        </w:rPr>
        <w:t>” and, together with the Base Indenture, the “</w:t>
      </w:r>
      <w:r>
        <w:rPr>
          <w:rFonts w:ascii="Arial" w:cs="Arial" w:eastAsia="Arial" w:hAnsi="Arial"/>
          <w:sz w:val="20"/>
          <w:szCs w:val="20"/>
          <w:b w:val="1"/>
          <w:bCs w:val="1"/>
          <w:color w:val="auto"/>
        </w:rPr>
        <w:t>Indenture</w:t>
      </w:r>
      <w:r>
        <w:rPr>
          <w:rFonts w:ascii="Arial" w:cs="Arial" w:eastAsia="Arial" w:hAnsi="Arial"/>
          <w:sz w:val="20"/>
          <w:szCs w:val="20"/>
          <w:color w:val="auto"/>
        </w:rPr>
        <w:t>”) dated as of November 3, 2016, providing for the issuance of 3.000% Notes due 2023 of the Company (the “</w:t>
      </w:r>
      <w:r>
        <w:rPr>
          <w:rFonts w:ascii="Arial" w:cs="Arial" w:eastAsia="Arial" w:hAnsi="Arial"/>
          <w:sz w:val="20"/>
          <w:szCs w:val="20"/>
          <w:b w:val="1"/>
          <w:bCs w:val="1"/>
          <w:color w:val="auto"/>
        </w:rPr>
        <w:t>Notes</w:t>
      </w:r>
      <w:r>
        <w:rPr>
          <w:rFonts w:ascii="Arial" w:cs="Arial" w:eastAsia="Arial" w:hAnsi="Arial"/>
          <w:sz w:val="20"/>
          <w:szCs w:val="20"/>
          <w:color w:val="auto"/>
        </w:rPr>
        <w:t>”);</w:t>
      </w:r>
    </w:p>
    <w:p>
      <w:pPr>
        <w:spacing w:after="0" w:line="192" w:lineRule="exact"/>
        <w:rPr>
          <w:sz w:val="20"/>
          <w:szCs w:val="20"/>
          <w:color w:val="auto"/>
        </w:rPr>
      </w:pPr>
    </w:p>
    <w:p>
      <w:pPr>
        <w:ind w:right="20" w:firstLine="392"/>
        <w:spacing w:after="0" w:line="274" w:lineRule="auto"/>
        <w:rPr>
          <w:sz w:val="20"/>
          <w:szCs w:val="20"/>
          <w:color w:val="auto"/>
        </w:rPr>
      </w:pPr>
      <w:r>
        <w:rPr>
          <w:rFonts w:ascii="Arial" w:cs="Arial" w:eastAsia="Arial" w:hAnsi="Arial"/>
          <w:sz w:val="20"/>
          <w:szCs w:val="20"/>
          <w:color w:val="auto"/>
        </w:rPr>
        <w:t>WHEREAS, Section 8.06 of the Sixth Supplemental Indenture provides that the Company is required to cause the Guarantor to execute and deliver to the Trustee a supplemental indenture evidencing its guarantee of the punctual payment when due of all monetary obligations of the Company under the Indenture and the Notes on the terms and conditions set forth herein and in Article 8 of the Sixth Supplemental Indenture;</w:t>
      </w:r>
    </w:p>
    <w:p>
      <w:pPr>
        <w:spacing w:after="0" w:line="192" w:lineRule="exact"/>
        <w:rPr>
          <w:sz w:val="20"/>
          <w:szCs w:val="20"/>
          <w:color w:val="auto"/>
        </w:rPr>
      </w:pPr>
    </w:p>
    <w:p>
      <w:pPr>
        <w:ind w:right="20" w:firstLine="392"/>
        <w:spacing w:after="0" w:line="278" w:lineRule="auto"/>
        <w:rPr>
          <w:sz w:val="20"/>
          <w:szCs w:val="20"/>
          <w:color w:val="auto"/>
        </w:rPr>
      </w:pPr>
      <w:r>
        <w:rPr>
          <w:rFonts w:ascii="Arial" w:cs="Arial" w:eastAsia="Arial" w:hAnsi="Arial"/>
          <w:sz w:val="20"/>
          <w:szCs w:val="20"/>
          <w:color w:val="auto"/>
        </w:rPr>
        <w:t>WHEREAS, the Guarantor desires to enter into such supplemental indenture for good and valuable consideration, including substantial economic benefit in that the financial performance and condition of the Guarantor is dependent on the financial performance and condition of the Company, the obligations hereunder of which the Guarantor has guaranteed; and</w:t>
      </w:r>
    </w:p>
    <w:p>
      <w:pPr>
        <w:spacing w:after="0" w:line="186" w:lineRule="exact"/>
        <w:rPr>
          <w:sz w:val="20"/>
          <w:szCs w:val="20"/>
          <w:color w:val="auto"/>
        </w:rPr>
      </w:pPr>
    </w:p>
    <w:p>
      <w:pPr>
        <w:ind w:right="780" w:firstLine="392"/>
        <w:spacing w:after="0" w:line="288" w:lineRule="auto"/>
        <w:rPr>
          <w:sz w:val="20"/>
          <w:szCs w:val="20"/>
          <w:color w:val="auto"/>
        </w:rPr>
      </w:pPr>
      <w:r>
        <w:rPr>
          <w:rFonts w:ascii="Arial" w:cs="Arial" w:eastAsia="Arial" w:hAnsi="Arial"/>
          <w:sz w:val="20"/>
          <w:szCs w:val="20"/>
          <w:color w:val="auto"/>
        </w:rPr>
        <w:t>WHEREAS, pursuant to Section 8.01 of the Base Indenture, the parties hereto are authorized to execute and deliver this Eighth Supplemental Indenture to amend the Indenture, without the consent of any Holder.</w:t>
      </w:r>
    </w:p>
    <w:p>
      <w:pPr>
        <w:spacing w:after="0" w:line="177" w:lineRule="exact"/>
        <w:rPr>
          <w:sz w:val="20"/>
          <w:szCs w:val="20"/>
          <w:color w:val="auto"/>
        </w:rPr>
      </w:pPr>
    </w:p>
    <w:p>
      <w:pPr>
        <w:ind w:right="320" w:firstLine="396"/>
        <w:spacing w:after="0" w:line="278"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of which is hereby acknowledged, the Guarantor, the Company, the Existing Guarantors and the Trustee mutually covenant and agree for the benefit of the Holders of the Notes as follows:</w:t>
      </w:r>
    </w:p>
    <w:p>
      <w:pPr>
        <w:spacing w:after="0" w:line="186" w:lineRule="exact"/>
        <w:rPr>
          <w:sz w:val="20"/>
          <w:szCs w:val="20"/>
          <w:color w:val="auto"/>
        </w:rPr>
      </w:pPr>
    </w:p>
    <w:p>
      <w:pPr>
        <w:jc w:val="both"/>
        <w:ind w:left="660" w:right="140" w:hanging="4"/>
        <w:spacing w:after="0" w:line="322" w:lineRule="auto"/>
        <w:tabs>
          <w:tab w:leader="none" w:pos="8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Defined Terms. As used in this Eighth Supplemental Indenture, terms defined in the Indenture or in the preamble or recital hereto are used herein as therein defined. The words “herein,” “hereof” and “hereby” and other words of similar import used in this Eighth Supplemental Indenture refer to this Eighth Supplemental Indenture as a whole and not to any particular section hereof.</w:t>
      </w:r>
    </w:p>
    <w:p>
      <w:pPr>
        <w:spacing w:after="0" w:line="152" w:lineRule="exact"/>
        <w:rPr>
          <w:rFonts w:ascii="Arial" w:cs="Arial" w:eastAsia="Arial" w:hAnsi="Arial"/>
          <w:sz w:val="18"/>
          <w:szCs w:val="18"/>
          <w:color w:val="auto"/>
        </w:rPr>
      </w:pPr>
    </w:p>
    <w:p>
      <w:pPr>
        <w:ind w:left="660" w:right="320" w:hanging="4"/>
        <w:spacing w:after="0" w:line="322" w:lineRule="auto"/>
        <w:tabs>
          <w:tab w:leader="none" w:pos="8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Agreement to Guarantee. The Guarantor, as primary obligor and not merely as surety, hereby jointly and severally with the Existing Guarantors, irrevocably and fully and unconditionally guarantees to each Holder and to the Trustee and its successor and assigns (the “</w:t>
      </w:r>
      <w:r>
        <w:rPr>
          <w:rFonts w:ascii="Arial" w:cs="Arial" w:eastAsia="Arial" w:hAnsi="Arial"/>
          <w:sz w:val="18"/>
          <w:szCs w:val="18"/>
          <w:b w:val="1"/>
          <w:bCs w:val="1"/>
          <w:color w:val="auto"/>
        </w:rPr>
        <w:t>Guarantee</w:t>
      </w:r>
      <w:r>
        <w:rPr>
          <w:rFonts w:ascii="Arial" w:cs="Arial" w:eastAsia="Arial" w:hAnsi="Arial"/>
          <w:sz w:val="18"/>
          <w:szCs w:val="18"/>
          <w:color w:val="auto"/>
        </w:rPr>
        <w:t>”), on a senior unsecured basis and equal in right of payment to all existing and future senior</w:t>
      </w:r>
    </w:p>
    <w:p>
      <w:pPr>
        <w:sectPr>
          <w:pgSz w:w="11900" w:h="16838" w:orient="portrait"/>
          <w:cols w:equalWidth="0" w:num="1">
            <w:col w:w="11240"/>
          </w:cols>
          <w:pgMar w:left="320" w:top="139" w:right="339" w:bottom="1440" w:gutter="0" w:footer="0" w:header="0"/>
        </w:sectPr>
      </w:pPr>
    </w:p>
    <w:bookmarkStart w:id="41" w:name="page42"/>
    <w:bookmarkEnd w:id="41"/>
    <w:p>
      <w:pPr>
        <w:spacing w:after="0" w:line="141"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indebtedness of the Guarantor, the punctual payment when due of all monetary obligations of the Company under the Indenture and the Notes, whether for principal of or interest on the Notes, on the terms and subject to the conditions set forth in Article 8 of the Sixth Supplemental Indenture and agrees to be bound by (and shall be entitled to the benefits of) all other applicable provisions of the Indenture as a Guarantor.</w:t>
      </w:r>
    </w:p>
    <w:p>
      <w:pPr>
        <w:spacing w:after="0" w:line="187" w:lineRule="exact"/>
        <w:rPr>
          <w:sz w:val="20"/>
          <w:szCs w:val="20"/>
          <w:color w:val="auto"/>
        </w:rPr>
      </w:pPr>
    </w:p>
    <w:p>
      <w:pPr>
        <w:jc w:val="both"/>
        <w:ind w:firstLine="36"/>
        <w:spacing w:after="0" w:line="247" w:lineRule="auto"/>
        <w:tabs>
          <w:tab w:leader="none" w:pos="270"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Legal </w:t>
      </w:r>
      <w:r>
        <w:rPr>
          <w:rFonts w:ascii="Arial" w:cs="Arial" w:eastAsia="Arial" w:hAnsi="Arial"/>
          <w:sz w:val="19"/>
          <w:szCs w:val="19"/>
          <w:color w:val="auto"/>
        </w:rPr>
        <w:t>Restrictions on the Guarantor’s obligations. Notwithstanding any other provision hereof, the Base Indenture or the Sixth</w:t>
      </w:r>
      <w:r>
        <w:rPr>
          <w:rFonts w:ascii="Arial" w:cs="Arial" w:eastAsia="Arial" w:hAnsi="Arial"/>
          <w:sz w:val="22"/>
          <w:szCs w:val="22"/>
          <w:color w:val="auto"/>
        </w:rPr>
        <w:t xml:space="preserve"> </w:t>
      </w:r>
      <w:r>
        <w:rPr>
          <w:rFonts w:ascii="Arial" w:cs="Arial" w:eastAsia="Arial" w:hAnsi="Arial"/>
          <w:sz w:val="19"/>
          <w:szCs w:val="19"/>
          <w:color w:val="auto"/>
        </w:rPr>
        <w:t>Supplemental Indenture, the obligations of the Guarantor hereunder and thereunder is at all times subject to the following limitations and requirements (which limitations and requirements also apply to all of the Guarantor’s joint liability, indemnities, guarantees and collateral for debt of, or other obligations to grant economic benefits to, its respective direct or indirect parent companies or sister companies, e.g., by way of restrictions of the Guarantor’s rights of set-off or subrogation or of its obligation to subordinate or waive claims, in each case as may be applicable, under the Indenture):</w:t>
      </w:r>
    </w:p>
    <w:p>
      <w:pPr>
        <w:spacing w:after="0" w:line="231" w:lineRule="exact"/>
        <w:rPr>
          <w:rFonts w:ascii="Arial" w:cs="Arial" w:eastAsia="Arial" w:hAnsi="Arial"/>
          <w:sz w:val="22"/>
          <w:szCs w:val="22"/>
          <w:color w:val="auto"/>
        </w:rPr>
      </w:pPr>
    </w:p>
    <w:p>
      <w:pPr>
        <w:jc w:val="both"/>
        <w:ind w:left="320"/>
        <w:spacing w:after="0" w:line="301" w:lineRule="auto"/>
        <w:tabs>
          <w:tab w:leader="none" w:pos="612"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and to the extent (i) the Guarantor becomes liable under the Indenture for obligations of the direct or indirect parent companies (up-stream) or sister companies (cross-stream) of the Guarantor, “</w:t>
      </w:r>
      <w:r>
        <w:rPr>
          <w:rFonts w:ascii="Arial" w:cs="Arial" w:eastAsia="Arial" w:hAnsi="Arial"/>
          <w:sz w:val="18"/>
          <w:szCs w:val="18"/>
          <w:b w:val="1"/>
          <w:bCs w:val="1"/>
          <w:color w:val="auto"/>
        </w:rPr>
        <w:t>Restricted Obligations</w:t>
      </w:r>
      <w:r>
        <w:rPr>
          <w:rFonts w:ascii="Arial" w:cs="Arial" w:eastAsia="Arial" w:hAnsi="Arial"/>
          <w:sz w:val="18"/>
          <w:szCs w:val="18"/>
          <w:color w:val="auto"/>
        </w:rPr>
        <w:t>”) and (ii) if complying with such liability obligation would, under Swiss corporate law (among others, prohibiting capital repayments (</w:t>
      </w:r>
      <w:r>
        <w:rPr>
          <w:rFonts w:ascii="Arial" w:cs="Arial" w:eastAsia="Arial" w:hAnsi="Arial"/>
          <w:sz w:val="18"/>
          <w:szCs w:val="18"/>
          <w:i w:val="1"/>
          <w:iCs w:val="1"/>
          <w:color w:val="auto"/>
        </w:rPr>
        <w:t>Einlagerückgewähr</w:t>
      </w:r>
      <w:r>
        <w:rPr>
          <w:rFonts w:ascii="Arial" w:cs="Arial" w:eastAsia="Arial" w:hAnsi="Arial"/>
          <w:sz w:val="18"/>
          <w:szCs w:val="18"/>
          <w:color w:val="auto"/>
        </w:rPr>
        <w:t>), restricting profit distributions (</w:t>
      </w:r>
      <w:r>
        <w:rPr>
          <w:rFonts w:ascii="Arial" w:cs="Arial" w:eastAsia="Arial" w:hAnsi="Arial"/>
          <w:sz w:val="18"/>
          <w:szCs w:val="18"/>
          <w:i w:val="1"/>
          <w:iCs w:val="1"/>
          <w:color w:val="auto"/>
        </w:rPr>
        <w:t>Gewinnausschüttung</w:t>
      </w:r>
      <w:r>
        <w:rPr>
          <w:rFonts w:ascii="Arial" w:cs="Arial" w:eastAsia="Arial" w:hAnsi="Arial"/>
          <w:sz w:val="18"/>
          <w:szCs w:val="18"/>
          <w:color w:val="auto"/>
        </w:rPr>
        <w:t>) or protecting the legally protected reserves (</w:t>
      </w:r>
      <w:r>
        <w:rPr>
          <w:rFonts w:ascii="Arial" w:cs="Arial" w:eastAsia="Arial" w:hAnsi="Arial"/>
          <w:sz w:val="18"/>
          <w:szCs w:val="18"/>
          <w:i w:val="1"/>
          <w:iCs w:val="1"/>
          <w:color w:val="auto"/>
        </w:rPr>
        <w:t>gesetzlich geschützte</w:t>
      </w:r>
      <w:r>
        <w:rPr>
          <w:rFonts w:ascii="Arial" w:cs="Arial" w:eastAsia="Arial" w:hAnsi="Arial"/>
          <w:sz w:val="18"/>
          <w:szCs w:val="18"/>
          <w:color w:val="auto"/>
        </w:rPr>
        <w:t xml:space="preserve"> </w:t>
      </w:r>
      <w:r>
        <w:rPr>
          <w:rFonts w:ascii="Arial" w:cs="Arial" w:eastAsia="Arial" w:hAnsi="Arial"/>
          <w:sz w:val="18"/>
          <w:szCs w:val="18"/>
          <w:i w:val="1"/>
          <w:iCs w:val="1"/>
          <w:color w:val="auto"/>
        </w:rPr>
        <w:t>Reserven</w:t>
      </w:r>
      <w:r>
        <w:rPr>
          <w:rFonts w:ascii="Arial" w:cs="Arial" w:eastAsia="Arial" w:hAnsi="Arial"/>
          <w:sz w:val="18"/>
          <w:szCs w:val="18"/>
          <w:color w:val="auto"/>
        </w:rPr>
        <w:t>)) not be permitted or otherwise be restricted at such time, then the Guarantor’s liability for Restricted Obligations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limited to the maximum amount of the Guarantor’s freely disposable quotaholder equity at the time or times of enforcement (the “</w:t>
      </w:r>
      <w:r>
        <w:rPr>
          <w:rFonts w:ascii="Arial" w:cs="Arial" w:eastAsia="Arial" w:hAnsi="Arial"/>
          <w:sz w:val="18"/>
          <w:szCs w:val="18"/>
          <w:b w:val="1"/>
          <w:bCs w:val="1"/>
          <w:color w:val="auto"/>
        </w:rPr>
        <w:t>Maximum Amount</w:t>
      </w:r>
      <w:r>
        <w:rPr>
          <w:rFonts w:ascii="Arial" w:cs="Arial" w:eastAsia="Arial" w:hAnsi="Arial"/>
          <w:sz w:val="18"/>
          <w:szCs w:val="18"/>
          <w:color w:val="auto"/>
        </w:rPr>
        <w:t>”). Such limitation shall only apply if and to the extent it is required under applicable Swiss mandatory law at the time of enforcement of the Guarantor's liability for Restricted Obligations and provided that such limitation shall not (generally or definitively) affect the obligations of the Guarantor under the Indenture and not free the Guarantor from its liability in excess of the Maximum Amount, but merely postpone the time of enforcement until such times when application towards discharging the Restricted Obligations is permitted under then applicable Swiss law. The Maximum Amount of freely disposable quotaholder equity shall be determined in accordance with applicable Swiss law and accounting principles, and, if and to the extent required by applicable Swiss law, shall be confirmed by the auditors of the Guarantor on the basis of an audited balance sheet as of that time (including, if applicable and permitted by applicable Swiss law, an interim audited balance sheet).</w:t>
      </w:r>
    </w:p>
    <w:p>
      <w:pPr>
        <w:spacing w:after="0" w:line="199" w:lineRule="exact"/>
        <w:rPr>
          <w:rFonts w:ascii="Arial" w:cs="Arial" w:eastAsia="Arial" w:hAnsi="Arial"/>
          <w:sz w:val="18"/>
          <w:szCs w:val="18"/>
          <w:color w:val="auto"/>
        </w:rPr>
      </w:pPr>
    </w:p>
    <w:p>
      <w:pPr>
        <w:jc w:val="both"/>
        <w:ind w:left="320"/>
        <w:spacing w:after="0" w:line="278" w:lineRule="auto"/>
        <w:tabs>
          <w:tab w:leader="none" w:pos="622" w:val="left"/>
        </w:tabs>
        <w:numPr>
          <w:ilvl w:val="1"/>
          <w:numId w:val="15"/>
        </w:numPr>
        <w:rPr>
          <w:rFonts w:ascii="Arial" w:cs="Arial" w:eastAsia="Arial" w:hAnsi="Arial"/>
          <w:sz w:val="20"/>
          <w:szCs w:val="20"/>
          <w:color w:val="auto"/>
        </w:rPr>
      </w:pPr>
      <w:r>
        <w:rPr>
          <w:rFonts w:ascii="Arial" w:cs="Arial" w:eastAsia="Arial" w:hAnsi="Arial"/>
          <w:sz w:val="20"/>
          <w:szCs w:val="20"/>
          <w:color w:val="auto"/>
        </w:rPr>
        <w:t>If the Guarantor making a payment in respect of Restricted Obligations under the Indenture is obliged to withhold tax imposed based on the Swiss Federal Act on Withholding Tax of 13 October 1965 (</w:t>
      </w:r>
      <w:r>
        <w:rPr>
          <w:rFonts w:ascii="Arial" w:cs="Arial" w:eastAsia="Arial" w:hAnsi="Arial"/>
          <w:sz w:val="20"/>
          <w:szCs w:val="20"/>
          <w:i w:val="1"/>
          <w:iCs w:val="1"/>
          <w:color w:val="auto"/>
        </w:rPr>
        <w:t>Bundesgesetz über die Verrechnungssteuer</w:t>
      </w:r>
      <w:r>
        <w:rPr>
          <w:rFonts w:ascii="Arial" w:cs="Arial" w:eastAsia="Arial" w:hAnsi="Arial"/>
          <w:sz w:val="20"/>
          <w:szCs w:val="20"/>
          <w:color w:val="auto"/>
        </w:rPr>
        <w:t>) ( “</w:t>
      </w:r>
      <w:r>
        <w:rPr>
          <w:rFonts w:ascii="Arial" w:cs="Arial" w:eastAsia="Arial" w:hAnsi="Arial"/>
          <w:sz w:val="20"/>
          <w:szCs w:val="20"/>
          <w:b w:val="1"/>
          <w:bCs w:val="1"/>
          <w:color w:val="auto"/>
        </w:rPr>
        <w:t>Swiss Withholding Tax</w:t>
      </w:r>
      <w:r>
        <w:rPr>
          <w:rFonts w:ascii="Arial" w:cs="Arial" w:eastAsia="Arial" w:hAnsi="Arial"/>
          <w:sz w:val="20"/>
          <w:szCs w:val="20"/>
          <w:color w:val="auto"/>
        </w:rPr>
        <w:t>”) in respect of such payment, the Guarantor shall:</w:t>
      </w:r>
    </w:p>
    <w:p>
      <w:pPr>
        <w:spacing w:after="0" w:line="213" w:lineRule="exact"/>
        <w:rPr>
          <w:rFonts w:ascii="Arial" w:cs="Arial" w:eastAsia="Arial" w:hAnsi="Arial"/>
          <w:sz w:val="20"/>
          <w:szCs w:val="20"/>
          <w:color w:val="auto"/>
        </w:rPr>
      </w:pPr>
    </w:p>
    <w:p>
      <w:pPr>
        <w:jc w:val="both"/>
        <w:ind w:left="800" w:firstLine="6"/>
        <w:spacing w:after="0" w:line="299" w:lineRule="auto"/>
        <w:tabs>
          <w:tab w:leader="none" w:pos="1045" w:val="left"/>
        </w:tabs>
        <w:numPr>
          <w:ilvl w:val="2"/>
          <w:numId w:val="15"/>
        </w:numPr>
        <w:rPr>
          <w:rFonts w:ascii="Arial" w:cs="Arial" w:eastAsia="Arial" w:hAnsi="Arial"/>
          <w:sz w:val="19"/>
          <w:szCs w:val="19"/>
          <w:color w:val="auto"/>
        </w:rPr>
      </w:pPr>
      <w:r>
        <w:rPr>
          <w:rFonts w:ascii="Arial" w:cs="Arial" w:eastAsia="Arial" w:hAnsi="Arial"/>
          <w:sz w:val="19"/>
          <w:szCs w:val="19"/>
          <w:color w:val="auto"/>
        </w:rPr>
        <w:t>use its commercially reasonable efforts to procure (and cause its parent company and other relevant Affiliates to fully cooperate in any such procurement) that such payments can be made without deduction of Swiss Withholding Tax, or with deduction of Swiss Withholding Tax at a reduced rate, by discharging the liability to such tax by</w:t>
      </w:r>
    </w:p>
    <w:p>
      <w:pPr>
        <w:sectPr>
          <w:pgSz w:w="11900" w:h="16838" w:orient="portrait"/>
          <w:cols w:equalWidth="0" w:num="1">
            <w:col w:w="10580"/>
          </w:cols>
          <w:pgMar w:left="980" w:top="1440" w:right="339" w:bottom="1440" w:gutter="0" w:footer="0" w:header="0"/>
        </w:sectPr>
      </w:pPr>
    </w:p>
    <w:bookmarkStart w:id="42" w:name="page43"/>
    <w:bookmarkEnd w:id="42"/>
    <w:p>
      <w:pPr>
        <w:spacing w:after="0" w:line="141"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notification pursuant to applicable law (including double tax treaties) rather than payment of the tax;</w:t>
      </w:r>
    </w:p>
    <w:p>
      <w:pPr>
        <w:spacing w:after="0" w:line="270" w:lineRule="exact"/>
        <w:rPr>
          <w:sz w:val="20"/>
          <w:szCs w:val="20"/>
          <w:color w:val="auto"/>
        </w:rPr>
      </w:pPr>
    </w:p>
    <w:p>
      <w:pPr>
        <w:jc w:val="both"/>
        <w:ind w:left="480" w:firstLine="6"/>
        <w:spacing w:after="0" w:line="309" w:lineRule="auto"/>
        <w:tabs>
          <w:tab w:leader="none" w:pos="766"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the notification procedure pursuant to paragraph (i) above does not apply, deduct Swiss Withholding Tax at the rate of 35% (or such other rate as in force from time to time), or if the notification procedure pursuant to paragraph (i) above applies for a part of the Swiss Withholding Tax only, deduct Swiss Withholding Tax at the reduced rate resulting after the discharge of part of such tax by notification under applicable law, from any payment made by it in respect of Restricted Obligations and promptly pay any such taxes to the Swiss Federal Tax Administration (</w:t>
      </w:r>
      <w:r>
        <w:rPr>
          <w:rFonts w:ascii="Arial" w:cs="Arial" w:eastAsia="Arial" w:hAnsi="Arial"/>
          <w:sz w:val="18"/>
          <w:szCs w:val="18"/>
          <w:i w:val="1"/>
          <w:iCs w:val="1"/>
          <w:color w:val="auto"/>
        </w:rPr>
        <w:t>Eidgenössische Steuerverwaltung</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480" w:firstLine="46"/>
        <w:spacing w:after="0" w:line="278" w:lineRule="auto"/>
        <w:tabs>
          <w:tab w:leader="none" w:pos="876" w:val="left"/>
        </w:tabs>
        <w:numPr>
          <w:ilvl w:val="2"/>
          <w:numId w:val="16"/>
        </w:numPr>
        <w:rPr>
          <w:rFonts w:ascii="Arial" w:cs="Arial" w:eastAsia="Arial" w:hAnsi="Arial"/>
          <w:sz w:val="20"/>
          <w:szCs w:val="20"/>
          <w:color w:val="auto"/>
        </w:rPr>
      </w:pPr>
      <w:r>
        <w:rPr>
          <w:rFonts w:ascii="Arial" w:cs="Arial" w:eastAsia="Arial" w:hAnsi="Arial"/>
          <w:sz w:val="20"/>
          <w:szCs w:val="20"/>
          <w:color w:val="auto"/>
        </w:rPr>
        <w:t>promptly notify the Trustee that such notification, or as the case may be, deduction has been made and provide the Trustee with evidence that such a notification of the Swiss Federal Tax Administration has been made or, as the case may be, such taxes deducted have been paid to the Swiss Federal Tax Administration;</w:t>
      </w:r>
    </w:p>
    <w:p>
      <w:pPr>
        <w:spacing w:after="0" w:line="213" w:lineRule="exact"/>
        <w:rPr>
          <w:rFonts w:ascii="Arial" w:cs="Arial" w:eastAsia="Arial" w:hAnsi="Arial"/>
          <w:sz w:val="20"/>
          <w:szCs w:val="20"/>
          <w:color w:val="auto"/>
        </w:rPr>
      </w:pPr>
    </w:p>
    <w:p>
      <w:pPr>
        <w:jc w:val="both"/>
        <w:ind w:left="480" w:firstLine="46"/>
        <w:spacing w:after="0" w:line="270" w:lineRule="auto"/>
        <w:tabs>
          <w:tab w:leader="none" w:pos="851" w:val="left"/>
        </w:tabs>
        <w:numPr>
          <w:ilvl w:val="2"/>
          <w:numId w:val="16"/>
        </w:numPr>
        <w:rPr>
          <w:rFonts w:ascii="Arial" w:cs="Arial" w:eastAsia="Arial" w:hAnsi="Arial"/>
          <w:sz w:val="20"/>
          <w:szCs w:val="20"/>
          <w:color w:val="auto"/>
        </w:rPr>
      </w:pPr>
      <w:r>
        <w:rPr>
          <w:rFonts w:ascii="Arial" w:cs="Arial" w:eastAsia="Arial" w:hAnsi="Arial"/>
          <w:sz w:val="20"/>
          <w:szCs w:val="20"/>
          <w:color w:val="auto"/>
        </w:rPr>
        <w:t>in the case of a deduction of Swiss Withholding Tax, use its commercially reasonable efforts to ensure that any person other than the Trustee, which is entitled to a full or partial refund of the Swiss Withholding Tax deducted from such payment in respect of Restricted Obligations, will, as soon as possible after such deduction (x) request a refund of the Swiss Withholding Tax under applicable law (including tax treaties), (y) pay to the Trustee upon receipt any amounts so refunded; and (z) if the Holders are entitled to a full or partial refund of the Swiss Withholding Tax deducted from such payment and if requested by the Trustee, provide the Trustee those documents that are required by law and applicable tax treaties to be provided by the payer of such tax in order to enable the Holder to prepare a claim for refund of Swiss Withholding Tax; and</w:t>
      </w:r>
    </w:p>
    <w:p>
      <w:pPr>
        <w:spacing w:after="0" w:line="225" w:lineRule="exact"/>
        <w:rPr>
          <w:rFonts w:ascii="Arial" w:cs="Arial" w:eastAsia="Arial" w:hAnsi="Arial"/>
          <w:sz w:val="20"/>
          <w:szCs w:val="20"/>
          <w:color w:val="auto"/>
        </w:rPr>
      </w:pPr>
    </w:p>
    <w:p>
      <w:pPr>
        <w:jc w:val="both"/>
        <w:ind w:left="480" w:firstLine="46"/>
        <w:spacing w:after="0" w:line="274" w:lineRule="auto"/>
        <w:tabs>
          <w:tab w:leader="none" w:pos="823" w:val="left"/>
        </w:tabs>
        <w:numPr>
          <w:ilvl w:val="2"/>
          <w:numId w:val="16"/>
        </w:numPr>
        <w:rPr>
          <w:rFonts w:ascii="Arial" w:cs="Arial" w:eastAsia="Arial" w:hAnsi="Arial"/>
          <w:sz w:val="20"/>
          <w:szCs w:val="20"/>
          <w:color w:val="auto"/>
        </w:rPr>
      </w:pPr>
      <w:r>
        <w:rPr>
          <w:rFonts w:ascii="Arial" w:cs="Arial" w:eastAsia="Arial" w:hAnsi="Arial"/>
          <w:sz w:val="20"/>
          <w:szCs w:val="20"/>
          <w:color w:val="auto"/>
        </w:rPr>
        <w:t>to the extent such a deduction is made, shall not be obliged to either gross-up or indemnify any party under the Indenture, unless such payment is permitted under the laws of Switzerland then in force. This paragraph (v) is without prejudice to the gross-up or indemnification obligations of the Company or the Existing Guarantors (other than the Guarantor).</w:t>
      </w:r>
    </w:p>
    <w:p>
      <w:pPr>
        <w:spacing w:after="0" w:line="218" w:lineRule="exact"/>
        <w:rPr>
          <w:rFonts w:ascii="Arial" w:cs="Arial" w:eastAsia="Arial" w:hAnsi="Arial"/>
          <w:sz w:val="20"/>
          <w:szCs w:val="20"/>
          <w:color w:val="auto"/>
        </w:rPr>
      </w:pPr>
    </w:p>
    <w:p>
      <w:pPr>
        <w:jc w:val="both"/>
        <w:spacing w:after="0" w:line="309" w:lineRule="auto"/>
        <w:tabs>
          <w:tab w:leader="none" w:pos="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Guarantor is obliged to withhold Swiss Withholding Tax in accordance with paragraph (b) above, and if the Maximum Amount is not fully utilized, the Trustee, the Holders and their permitted successors, transferees and assigns shall be entitled to further enforce the Indenture against the Guarantor and apply proceeds therefrom against the Restricted Obligations up to an amount which is equal to that amount which would have been obtained if no withholding of Swiss Withholding Tax were required, whereby such further enforcements shall always be limited to the Maximum Amount.</w:t>
      </w:r>
    </w:p>
    <w:p>
      <w:pPr>
        <w:spacing w:after="0" w:line="193" w:lineRule="exact"/>
        <w:rPr>
          <w:rFonts w:ascii="Arial" w:cs="Arial" w:eastAsia="Arial" w:hAnsi="Arial"/>
          <w:sz w:val="18"/>
          <w:szCs w:val="18"/>
          <w:color w:val="auto"/>
        </w:rPr>
      </w:pPr>
    </w:p>
    <w:p>
      <w:pPr>
        <w:jc w:val="both"/>
        <w:spacing w:after="0" w:line="278" w:lineRule="auto"/>
        <w:tabs>
          <w:tab w:leader="none" w:pos="275" w:val="left"/>
        </w:tabs>
        <w:numPr>
          <w:ilvl w:val="0"/>
          <w:numId w:val="17"/>
        </w:numPr>
        <w:rPr>
          <w:rFonts w:ascii="Arial" w:cs="Arial" w:eastAsia="Arial" w:hAnsi="Arial"/>
          <w:sz w:val="20"/>
          <w:szCs w:val="20"/>
          <w:color w:val="auto"/>
        </w:rPr>
      </w:pPr>
      <w:r>
        <w:rPr>
          <w:rFonts w:ascii="Arial" w:cs="Arial" w:eastAsia="Arial" w:hAnsi="Arial"/>
          <w:sz w:val="20"/>
          <w:szCs w:val="20"/>
          <w:color w:val="auto"/>
        </w:rPr>
        <w:t>If and to the extent requested by the Trustee, the Holders or their permitted successors, transferees and assigns, and if and to the extent this is from time to time required under Swiss law (restricting profit distributions), in order to allow the Holders to obtain a maximum</w:t>
      </w:r>
    </w:p>
    <w:p>
      <w:pPr>
        <w:sectPr>
          <w:pgSz w:w="11900" w:h="16838" w:orient="portrait"/>
          <w:cols w:equalWidth="0" w:num="1">
            <w:col w:w="10260"/>
          </w:cols>
          <w:pgMar w:left="1300" w:top="1440" w:right="339" w:bottom="1440" w:gutter="0" w:footer="0" w:header="0"/>
        </w:sectPr>
      </w:pPr>
    </w:p>
    <w:bookmarkStart w:id="43" w:name="page44"/>
    <w:bookmarkEnd w:id="43"/>
    <w:p>
      <w:pPr>
        <w:spacing w:after="0" w:line="141" w:lineRule="exact"/>
        <w:rPr>
          <w:sz w:val="20"/>
          <w:szCs w:val="20"/>
          <w:color w:val="auto"/>
        </w:rPr>
      </w:pPr>
    </w:p>
    <w:p>
      <w:pPr>
        <w:jc w:val="both"/>
        <w:ind w:left="324"/>
        <w:spacing w:after="0" w:line="274" w:lineRule="auto"/>
        <w:rPr>
          <w:sz w:val="20"/>
          <w:szCs w:val="20"/>
          <w:color w:val="auto"/>
        </w:rPr>
      </w:pPr>
      <w:r>
        <w:rPr>
          <w:rFonts w:ascii="Arial" w:cs="Arial" w:eastAsia="Arial" w:hAnsi="Arial"/>
          <w:sz w:val="20"/>
          <w:szCs w:val="20"/>
          <w:color w:val="auto"/>
        </w:rPr>
        <w:t>benefit under the Indenture, the Guarantor shall promptly implement all such measures and/or to promptly procure the fulfilment of all prerequisites allowing the prompt unlimited application of the proceeds from the enforcement of the Guarantee and other security created under the Indenture and allowing the Guarantor to promptly perform its obligations and make the (requested) payment(s) under the Indenture from time to time, including the following:</w:t>
      </w:r>
    </w:p>
    <w:p>
      <w:pPr>
        <w:spacing w:after="0" w:line="219" w:lineRule="exact"/>
        <w:rPr>
          <w:sz w:val="20"/>
          <w:szCs w:val="20"/>
          <w:color w:val="auto"/>
        </w:rPr>
      </w:pPr>
    </w:p>
    <w:p>
      <w:pPr>
        <w:ind w:left="1084" w:hanging="234"/>
        <w:spacing w:after="0"/>
        <w:tabs>
          <w:tab w:leader="none" w:pos="1084" w:val="left"/>
        </w:tabs>
        <w:numPr>
          <w:ilvl w:val="1"/>
          <w:numId w:val="18"/>
        </w:numPr>
        <w:rPr>
          <w:rFonts w:ascii="Arial" w:cs="Arial" w:eastAsia="Arial" w:hAnsi="Arial"/>
          <w:sz w:val="20"/>
          <w:szCs w:val="20"/>
          <w:color w:val="auto"/>
        </w:rPr>
      </w:pPr>
      <w:r>
        <w:rPr>
          <w:rFonts w:ascii="Arial" w:cs="Arial" w:eastAsia="Arial" w:hAnsi="Arial"/>
          <w:sz w:val="20"/>
          <w:szCs w:val="20"/>
          <w:color w:val="auto"/>
        </w:rPr>
        <w:t>preparation of an up-to-date audited balance sheet of the Guarantor;</w:t>
      </w:r>
    </w:p>
    <w:p>
      <w:pPr>
        <w:spacing w:after="0" w:line="269" w:lineRule="exact"/>
        <w:rPr>
          <w:rFonts w:ascii="Arial" w:cs="Arial" w:eastAsia="Arial" w:hAnsi="Arial"/>
          <w:sz w:val="20"/>
          <w:szCs w:val="20"/>
          <w:color w:val="auto"/>
        </w:rPr>
      </w:pPr>
    </w:p>
    <w:p>
      <w:pPr>
        <w:ind w:left="1144" w:hanging="294"/>
        <w:spacing w:after="0"/>
        <w:tabs>
          <w:tab w:leader="none" w:pos="1144" w:val="left"/>
        </w:tabs>
        <w:numPr>
          <w:ilvl w:val="2"/>
          <w:numId w:val="18"/>
        </w:numPr>
        <w:rPr>
          <w:rFonts w:ascii="Arial" w:cs="Arial" w:eastAsia="Arial" w:hAnsi="Arial"/>
          <w:sz w:val="20"/>
          <w:szCs w:val="20"/>
          <w:color w:val="auto"/>
        </w:rPr>
      </w:pPr>
      <w:r>
        <w:rPr>
          <w:rFonts w:ascii="Arial" w:cs="Arial" w:eastAsia="Arial" w:hAnsi="Arial"/>
          <w:sz w:val="20"/>
          <w:szCs w:val="20"/>
          <w:color w:val="auto"/>
        </w:rPr>
        <w:t>confirmation of the auditors of the Guarantor as to the Maximum Amount;</w:t>
      </w:r>
    </w:p>
    <w:p>
      <w:pPr>
        <w:spacing w:after="0" w:line="269" w:lineRule="exact"/>
        <w:rPr>
          <w:rFonts w:ascii="Arial" w:cs="Arial" w:eastAsia="Arial" w:hAnsi="Arial"/>
          <w:sz w:val="20"/>
          <w:szCs w:val="20"/>
          <w:color w:val="auto"/>
        </w:rPr>
      </w:pPr>
    </w:p>
    <w:p>
      <w:pPr>
        <w:ind w:left="1184" w:hanging="334"/>
        <w:spacing w:after="0"/>
        <w:tabs>
          <w:tab w:leader="none" w:pos="1184" w:val="left"/>
        </w:tabs>
        <w:numPr>
          <w:ilvl w:val="2"/>
          <w:numId w:val="18"/>
        </w:numPr>
        <w:rPr>
          <w:rFonts w:ascii="Arial" w:cs="Arial" w:eastAsia="Arial" w:hAnsi="Arial"/>
          <w:sz w:val="20"/>
          <w:szCs w:val="20"/>
          <w:color w:val="auto"/>
        </w:rPr>
      </w:pPr>
      <w:r>
        <w:rPr>
          <w:rFonts w:ascii="Arial" w:cs="Arial" w:eastAsia="Arial" w:hAnsi="Arial"/>
          <w:sz w:val="20"/>
          <w:szCs w:val="20"/>
          <w:color w:val="auto"/>
        </w:rPr>
        <w:t>approval by a quotaholders’ meeting of the Guarantor of the capital distribution;</w:t>
      </w:r>
    </w:p>
    <w:p>
      <w:pPr>
        <w:spacing w:after="0" w:line="269" w:lineRule="exact"/>
        <w:rPr>
          <w:rFonts w:ascii="Arial" w:cs="Arial" w:eastAsia="Arial" w:hAnsi="Arial"/>
          <w:sz w:val="20"/>
          <w:szCs w:val="20"/>
          <w:color w:val="auto"/>
        </w:rPr>
      </w:pPr>
    </w:p>
    <w:p>
      <w:pPr>
        <w:jc w:val="both"/>
        <w:ind w:left="804" w:firstLine="46"/>
        <w:spacing w:after="0" w:line="272" w:lineRule="auto"/>
        <w:tabs>
          <w:tab w:leader="none" w:pos="1189" w:val="left"/>
        </w:tabs>
        <w:numPr>
          <w:ilvl w:val="2"/>
          <w:numId w:val="18"/>
        </w:numPr>
        <w:rPr>
          <w:rFonts w:ascii="Arial" w:cs="Arial" w:eastAsia="Arial" w:hAnsi="Arial"/>
          <w:sz w:val="20"/>
          <w:szCs w:val="20"/>
          <w:color w:val="auto"/>
        </w:rPr>
      </w:pPr>
      <w:r>
        <w:rPr>
          <w:rFonts w:ascii="Arial" w:cs="Arial" w:eastAsia="Arial" w:hAnsi="Arial"/>
          <w:sz w:val="20"/>
          <w:szCs w:val="20"/>
          <w:color w:val="auto"/>
        </w:rPr>
        <w:t>if the enforcement of the Guarantor’s obligations in respect of Restricted Obligations would be limited due to the effects referred to in this section 2, then the Guarantor shall, to the extent permitted by applicable Swiss law and accounting principles write up or realize any of its assets that are shown in its balance sheet with a book value that is significantly lower than the market value of the assets, in case of realization, however, only if such assets are not necessary for the business (</w:t>
      </w:r>
      <w:r>
        <w:rPr>
          <w:rFonts w:ascii="Arial" w:cs="Arial" w:eastAsia="Arial" w:hAnsi="Arial"/>
          <w:sz w:val="20"/>
          <w:szCs w:val="20"/>
          <w:i w:val="1"/>
          <w:iCs w:val="1"/>
          <w:color w:val="auto"/>
        </w:rPr>
        <w:t>nicht betriebsnotwendig</w:t>
      </w:r>
      <w:r>
        <w:rPr>
          <w:rFonts w:ascii="Arial" w:cs="Arial" w:eastAsia="Arial" w:hAnsi="Arial"/>
          <w:sz w:val="20"/>
          <w:szCs w:val="20"/>
          <w:color w:val="auto"/>
        </w:rPr>
        <w:t>) of the Guarantor; and</w:t>
      </w:r>
    </w:p>
    <w:p>
      <w:pPr>
        <w:spacing w:after="0" w:line="222" w:lineRule="exact"/>
        <w:rPr>
          <w:rFonts w:ascii="Arial" w:cs="Arial" w:eastAsia="Arial" w:hAnsi="Arial"/>
          <w:sz w:val="20"/>
          <w:szCs w:val="20"/>
          <w:color w:val="auto"/>
        </w:rPr>
      </w:pPr>
    </w:p>
    <w:p>
      <w:pPr>
        <w:ind w:left="804" w:right="300" w:firstLine="6"/>
        <w:spacing w:after="0" w:line="347" w:lineRule="auto"/>
        <w:tabs>
          <w:tab w:leader="none" w:pos="108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such other measures necessary to permit performance by the Guarantor of its obligations under the Indenture and application of the proceeds from the enforcement of such obligations with a minimum of limitations.</w:t>
      </w:r>
    </w:p>
    <w:p>
      <w:pPr>
        <w:spacing w:after="0" w:line="130" w:lineRule="exact"/>
        <w:rPr>
          <w:rFonts w:ascii="Arial" w:cs="Arial" w:eastAsia="Arial" w:hAnsi="Arial"/>
          <w:sz w:val="18"/>
          <w:szCs w:val="18"/>
          <w:color w:val="auto"/>
        </w:rPr>
      </w:pPr>
    </w:p>
    <w:p>
      <w:pPr>
        <w:ind w:left="4" w:right="60" w:hanging="4"/>
        <w:spacing w:after="0" w:line="278" w:lineRule="auto"/>
        <w:tabs>
          <w:tab w:leader="none" w:pos="198" w:val="left"/>
        </w:tabs>
        <w:numPr>
          <w:ilvl w:val="0"/>
          <w:numId w:val="20"/>
        </w:numPr>
        <w:rPr>
          <w:rFonts w:ascii="Arial" w:cs="Arial" w:eastAsia="Arial" w:hAnsi="Arial"/>
          <w:sz w:val="20"/>
          <w:szCs w:val="20"/>
          <w:color w:val="auto"/>
        </w:rPr>
      </w:pPr>
      <w:r>
        <w:rPr>
          <w:rFonts w:ascii="Arial" w:cs="Arial" w:eastAsia="Arial" w:hAnsi="Arial"/>
          <w:sz w:val="20"/>
          <w:szCs w:val="20"/>
          <w:color w:val="auto"/>
        </w:rPr>
        <w:t>Termination, Release and Discharge. The Guarantee shall terminate and be of no further force or effect, and the Guarantor shall be released and discharged from all obligations in respect of the Guarantee, as and when provided in Section 8.03 of the Sixth Supplemental Indenture.</w:t>
      </w:r>
    </w:p>
    <w:p>
      <w:pPr>
        <w:spacing w:after="0" w:line="186" w:lineRule="exact"/>
        <w:rPr>
          <w:rFonts w:ascii="Arial" w:cs="Arial" w:eastAsia="Arial" w:hAnsi="Arial"/>
          <w:sz w:val="20"/>
          <w:szCs w:val="20"/>
          <w:color w:val="auto"/>
        </w:rPr>
      </w:pPr>
    </w:p>
    <w:p>
      <w:pPr>
        <w:jc w:val="both"/>
        <w:ind w:left="4" w:right="60" w:hanging="4"/>
        <w:spacing w:after="0" w:line="278" w:lineRule="auto"/>
        <w:tabs>
          <w:tab w:leader="none" w:pos="202" w:val="left"/>
        </w:tabs>
        <w:numPr>
          <w:ilvl w:val="0"/>
          <w:numId w:val="20"/>
        </w:numPr>
        <w:rPr>
          <w:rFonts w:ascii="Arial" w:cs="Arial" w:eastAsia="Arial" w:hAnsi="Arial"/>
          <w:sz w:val="20"/>
          <w:szCs w:val="20"/>
          <w:color w:val="auto"/>
        </w:rPr>
      </w:pPr>
      <w:r>
        <w:rPr>
          <w:rFonts w:ascii="Arial" w:cs="Arial" w:eastAsia="Arial" w:hAnsi="Arial"/>
          <w:sz w:val="20"/>
          <w:szCs w:val="20"/>
          <w:color w:val="auto"/>
        </w:rPr>
        <w:t>Parties. Nothing in this Eighth Supplemental Indenture is intended or shall be construed to give any Person, other than the Holders and the Trustee, any legal or equitable right, remedy or claim under or in respect of the Guarantee or any provision contained herein, the Base Indenture or in Article 8 of the Sixth Supplemental Indenture.</w:t>
      </w:r>
    </w:p>
    <w:p>
      <w:pPr>
        <w:spacing w:after="0" w:line="186" w:lineRule="exact"/>
        <w:rPr>
          <w:rFonts w:ascii="Arial" w:cs="Arial" w:eastAsia="Arial" w:hAnsi="Arial"/>
          <w:sz w:val="20"/>
          <w:szCs w:val="20"/>
          <w:color w:val="auto"/>
        </w:rPr>
      </w:pPr>
    </w:p>
    <w:p>
      <w:pPr>
        <w:jc w:val="both"/>
        <w:ind w:left="4" w:right="80" w:hanging="4"/>
        <w:spacing w:after="0" w:line="278" w:lineRule="auto"/>
        <w:tabs>
          <w:tab w:leader="none" w:pos="202" w:val="left"/>
        </w:tabs>
        <w:numPr>
          <w:ilvl w:val="0"/>
          <w:numId w:val="20"/>
        </w:numPr>
        <w:rPr>
          <w:rFonts w:ascii="Arial" w:cs="Arial" w:eastAsia="Arial" w:hAnsi="Arial"/>
          <w:sz w:val="20"/>
          <w:szCs w:val="20"/>
          <w:color w:val="auto"/>
        </w:rPr>
      </w:pPr>
      <w:r>
        <w:rPr>
          <w:rFonts w:ascii="Arial" w:cs="Arial" w:eastAsia="Arial" w:hAnsi="Arial"/>
          <w:sz w:val="20"/>
          <w:szCs w:val="20"/>
          <w:color w:val="auto"/>
        </w:rPr>
        <w:t>Governing Law. This Eighth Supplemental Indenture and the Notes shall be deemed to be a contract under the laws of the State of New York, and for all purposes shall be construed in accordance with the laws of such State, except as may otherwise be required by mandatory provisions of law.</w:t>
      </w:r>
    </w:p>
    <w:p>
      <w:pPr>
        <w:spacing w:after="0" w:line="186" w:lineRule="exact"/>
        <w:rPr>
          <w:rFonts w:ascii="Arial" w:cs="Arial" w:eastAsia="Arial" w:hAnsi="Arial"/>
          <w:sz w:val="20"/>
          <w:szCs w:val="20"/>
          <w:color w:val="auto"/>
        </w:rPr>
      </w:pPr>
    </w:p>
    <w:p>
      <w:pPr>
        <w:ind w:left="4" w:right="40" w:hanging="4"/>
        <w:spacing w:after="0" w:line="278" w:lineRule="auto"/>
        <w:tabs>
          <w:tab w:leader="none" w:pos="202" w:val="left"/>
        </w:tabs>
        <w:numPr>
          <w:ilvl w:val="0"/>
          <w:numId w:val="20"/>
        </w:numPr>
        <w:rPr>
          <w:rFonts w:ascii="Arial" w:cs="Arial" w:eastAsia="Arial" w:hAnsi="Arial"/>
          <w:sz w:val="20"/>
          <w:szCs w:val="20"/>
          <w:color w:val="auto"/>
        </w:rPr>
      </w:pPr>
      <w:r>
        <w:rPr>
          <w:rFonts w:ascii="Arial" w:cs="Arial" w:eastAsia="Arial" w:hAnsi="Arial"/>
          <w:sz w:val="20"/>
          <w:szCs w:val="20"/>
          <w:color w:val="auto"/>
        </w:rPr>
        <w:t>Ratification of Indenture; Supplemental Indentures Part of Indenture. The Indenture, as supplemented by this Eighth Supplemental Indenture, is in all respects ratified and confirmed, and this Eighth Supplemental Indenture shall be deemed part of the Indenture in the manner and to the extent herein and therein provided.</w:t>
      </w:r>
    </w:p>
    <w:p>
      <w:pPr>
        <w:spacing w:after="0" w:line="186" w:lineRule="exact"/>
        <w:rPr>
          <w:rFonts w:ascii="Arial" w:cs="Arial" w:eastAsia="Arial" w:hAnsi="Arial"/>
          <w:sz w:val="20"/>
          <w:szCs w:val="20"/>
          <w:color w:val="auto"/>
        </w:rPr>
      </w:pPr>
    </w:p>
    <w:p>
      <w:pPr>
        <w:jc w:val="both"/>
        <w:ind w:left="4" w:right="240" w:hanging="4"/>
        <w:spacing w:after="0" w:line="278" w:lineRule="auto"/>
        <w:tabs>
          <w:tab w:leader="none" w:pos="198" w:val="left"/>
        </w:tabs>
        <w:numPr>
          <w:ilvl w:val="0"/>
          <w:numId w:val="20"/>
        </w:numPr>
        <w:rPr>
          <w:rFonts w:ascii="Arial" w:cs="Arial" w:eastAsia="Arial" w:hAnsi="Arial"/>
          <w:sz w:val="20"/>
          <w:szCs w:val="20"/>
          <w:color w:val="auto"/>
        </w:rPr>
      </w:pPr>
      <w:r>
        <w:rPr>
          <w:rFonts w:ascii="Arial" w:cs="Arial" w:eastAsia="Arial" w:hAnsi="Arial"/>
          <w:sz w:val="20"/>
          <w:szCs w:val="20"/>
          <w:color w:val="auto"/>
        </w:rPr>
        <w:t>Trustee Makes No Representation; Trustee’s Rights and Duties. The recitals contained herein shall be taken as the statements of the Company, and the Trustee assumes no responsibility for the correctness of the same. The Trustee makes no representation as to the validity or sufficiency</w:t>
      </w:r>
    </w:p>
    <w:p>
      <w:pPr>
        <w:sectPr>
          <w:pgSz w:w="11900" w:h="16838" w:orient="portrait"/>
          <w:cols w:equalWidth="0" w:num="1">
            <w:col w:w="10584"/>
          </w:cols>
          <w:pgMar w:left="976" w:top="1440" w:right="339" w:bottom="1440" w:gutter="0" w:footer="0" w:header="0"/>
        </w:sectPr>
      </w:pPr>
    </w:p>
    <w:bookmarkStart w:id="44" w:name="page45"/>
    <w:bookmarkEnd w:id="44"/>
    <w:p>
      <w:pPr>
        <w:spacing w:after="0" w:line="141" w:lineRule="exact"/>
        <w:rPr>
          <w:sz w:val="20"/>
          <w:szCs w:val="20"/>
          <w:color w:val="auto"/>
        </w:rPr>
      </w:pPr>
    </w:p>
    <w:p>
      <w:pPr>
        <w:ind w:left="4"/>
        <w:spacing w:after="0" w:line="322" w:lineRule="auto"/>
        <w:rPr>
          <w:sz w:val="20"/>
          <w:szCs w:val="20"/>
          <w:color w:val="auto"/>
        </w:rPr>
      </w:pPr>
      <w:r>
        <w:rPr>
          <w:rFonts w:ascii="Arial" w:cs="Arial" w:eastAsia="Arial" w:hAnsi="Arial"/>
          <w:sz w:val="18"/>
          <w:szCs w:val="18"/>
          <w:color w:val="auto"/>
        </w:rPr>
        <w:t>of this Eighth Supplemental Indenture and shall not be liable in connection therewith. The rights and duties of the Trustee shall be determined by the express provisions of the Indenture and, except as expressly set forth in this Eighth Supplemental Indenture, nothing in this Eighth Supplemental Indenture shall in any way modify or otherwise affect the Trustee’s rights and duties thereunder.</w:t>
      </w:r>
    </w:p>
    <w:p>
      <w:pPr>
        <w:spacing w:after="0" w:line="152" w:lineRule="exact"/>
        <w:rPr>
          <w:sz w:val="20"/>
          <w:szCs w:val="20"/>
          <w:color w:val="auto"/>
        </w:rPr>
      </w:pPr>
    </w:p>
    <w:p>
      <w:pPr>
        <w:ind w:left="4" w:right="400" w:hanging="4"/>
        <w:spacing w:after="0" w:line="288" w:lineRule="auto"/>
        <w:tabs>
          <w:tab w:leader="none" w:pos="202"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Counterparts. This Eighth Supplemental Indenture may be executed in any number of counterparts, each of which shall be an original; but such counterparts shall together constitute but one and the same instrument.</w:t>
      </w:r>
    </w:p>
    <w:p>
      <w:pPr>
        <w:spacing w:after="0" w:line="177" w:lineRule="exact"/>
        <w:rPr>
          <w:rFonts w:ascii="Arial" w:cs="Arial" w:eastAsia="Arial" w:hAnsi="Arial"/>
          <w:sz w:val="20"/>
          <w:szCs w:val="20"/>
          <w:color w:val="auto"/>
        </w:rPr>
      </w:pPr>
    </w:p>
    <w:p>
      <w:pPr>
        <w:ind w:left="304" w:hanging="304"/>
        <w:spacing w:after="0"/>
        <w:tabs>
          <w:tab w:leader="none" w:pos="304" w:val="left"/>
        </w:tabs>
        <w:numPr>
          <w:ilvl w:val="0"/>
          <w:numId w:val="21"/>
        </w:numPr>
        <w:rPr>
          <w:rFonts w:ascii="Arial" w:cs="Arial" w:eastAsia="Arial" w:hAnsi="Arial"/>
          <w:sz w:val="20"/>
          <w:szCs w:val="20"/>
          <w:color w:val="auto"/>
        </w:rPr>
      </w:pPr>
      <w:r>
        <w:rPr>
          <w:rFonts w:ascii="Arial" w:cs="Arial" w:eastAsia="Arial" w:hAnsi="Arial"/>
          <w:sz w:val="20"/>
          <w:szCs w:val="20"/>
          <w:color w:val="auto"/>
        </w:rPr>
        <w:t>Headings. The section headings herein are for convenience only and shall not affect the construction hereof.</w:t>
      </w:r>
    </w:p>
    <w:p>
      <w:pPr>
        <w:spacing w:after="0" w:line="243" w:lineRule="exact"/>
        <w:rPr>
          <w:sz w:val="20"/>
          <w:szCs w:val="20"/>
          <w:color w:val="auto"/>
        </w:rPr>
      </w:pPr>
    </w:p>
    <w:p>
      <w:pPr>
        <w:jc w:val="center"/>
        <w:ind w:right="-83"/>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10504"/>
          </w:cols>
          <w:pgMar w:left="976" w:top="1440" w:right="419" w:bottom="1440" w:gutter="0" w:footer="0" w:header="0"/>
        </w:sectPr>
      </w:pPr>
    </w:p>
    <w:bookmarkStart w:id="45" w:name="page46"/>
    <w:bookmarkEnd w:id="45"/>
    <w:p>
      <w:pPr>
        <w:spacing w:after="0" w:line="141" w:lineRule="exact"/>
        <w:rPr>
          <w:sz w:val="20"/>
          <w:szCs w:val="20"/>
          <w:color w:val="auto"/>
        </w:rPr>
      </w:pPr>
    </w:p>
    <w:p>
      <w:pPr>
        <w:ind w:firstLine="396"/>
        <w:spacing w:after="0" w:line="288" w:lineRule="auto"/>
        <w:rPr>
          <w:sz w:val="20"/>
          <w:szCs w:val="20"/>
          <w:color w:val="auto"/>
        </w:rPr>
      </w:pPr>
      <w:r>
        <w:rPr>
          <w:rFonts w:ascii="Arial" w:cs="Arial" w:eastAsia="Arial" w:hAnsi="Arial"/>
          <w:sz w:val="20"/>
          <w:szCs w:val="20"/>
          <w:color w:val="auto"/>
        </w:rPr>
        <w:t>IN WITNESS WHEREOF, the parties hereto have caused this Eighth Supplemental Indenture to be duly executed as of the date first above written.</w:t>
      </w:r>
    </w:p>
    <w:p>
      <w:pPr>
        <w:spacing w:after="0" w:line="126" w:lineRule="exact"/>
        <w:rPr>
          <w:sz w:val="20"/>
          <w:szCs w:val="20"/>
          <w:color w:val="auto"/>
        </w:rPr>
      </w:pPr>
    </w:p>
    <w:p>
      <w:pPr>
        <w:ind w:left="4060"/>
        <w:spacing w:after="0" w:line="230" w:lineRule="exact"/>
        <w:rPr>
          <w:sz w:val="20"/>
          <w:szCs w:val="20"/>
          <w:color w:val="auto"/>
        </w:rPr>
      </w:pPr>
      <w:r>
        <w:rPr>
          <w:rFonts w:ascii="MS PGothic" w:cs="MS PGothic" w:eastAsia="MS PGothic" w:hAnsi="MS PGothic"/>
          <w:sz w:val="20"/>
          <w:szCs w:val="20"/>
          <w:color w:val="auto"/>
        </w:rPr>
        <w:t> </w:t>
      </w:r>
      <w:r>
        <w:rPr>
          <w:rFonts w:ascii="Arial" w:cs="Arial" w:eastAsia="Arial" w:hAnsi="Arial"/>
          <w:sz w:val="20"/>
          <w:szCs w:val="20"/>
          <w:color w:val="auto"/>
        </w:rPr>
        <w:t>LENNOX INDUSTRIES INC.</w:t>
      </w:r>
    </w:p>
    <w:p>
      <w:pPr>
        <w:spacing w:after="0" w:line="52"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ALLIED AIR ENTERPRISES INC.</w:t>
      </w:r>
    </w:p>
    <w:p>
      <w:pPr>
        <w:ind w:left="4060"/>
        <w:spacing w:after="0"/>
        <w:rPr>
          <w:sz w:val="20"/>
          <w:szCs w:val="20"/>
          <w:color w:val="auto"/>
        </w:rPr>
      </w:pPr>
      <w:r>
        <w:rPr>
          <w:rFonts w:ascii="Arial" w:cs="Arial" w:eastAsia="Arial" w:hAnsi="Arial"/>
          <w:sz w:val="20"/>
          <w:szCs w:val="20"/>
          <w:color w:val="auto"/>
        </w:rPr>
        <w:t>LENNOX GLOBAL LLC</w:t>
      </w:r>
    </w:p>
    <w:p>
      <w:pPr>
        <w:ind w:left="4060"/>
        <w:spacing w:after="0"/>
        <w:rPr>
          <w:sz w:val="20"/>
          <w:szCs w:val="20"/>
          <w:color w:val="auto"/>
        </w:rPr>
      </w:pPr>
      <w:r>
        <w:rPr>
          <w:rFonts w:ascii="Arial" w:cs="Arial" w:eastAsia="Arial" w:hAnsi="Arial"/>
          <w:sz w:val="20"/>
          <w:szCs w:val="20"/>
          <w:color w:val="auto"/>
        </w:rPr>
        <w:t>HEATCRAFT INC.</w:t>
      </w:r>
    </w:p>
    <w:p>
      <w:pPr>
        <w:ind w:left="4060"/>
        <w:spacing w:after="0"/>
        <w:rPr>
          <w:sz w:val="20"/>
          <w:szCs w:val="20"/>
          <w:color w:val="auto"/>
        </w:rPr>
      </w:pPr>
      <w:r>
        <w:rPr>
          <w:rFonts w:ascii="Arial" w:cs="Arial" w:eastAsia="Arial" w:hAnsi="Arial"/>
          <w:sz w:val="20"/>
          <w:szCs w:val="20"/>
          <w:color w:val="auto"/>
        </w:rPr>
        <w:t>HEATCRAFT REFRIGERATION PRODUCTS LLC</w:t>
      </w:r>
    </w:p>
    <w:p>
      <w:pPr>
        <w:ind w:left="4060"/>
        <w:spacing w:after="0"/>
        <w:rPr>
          <w:sz w:val="20"/>
          <w:szCs w:val="20"/>
          <w:color w:val="auto"/>
        </w:rPr>
      </w:pPr>
      <w:r>
        <w:rPr>
          <w:rFonts w:ascii="Arial" w:cs="Arial" w:eastAsia="Arial" w:hAnsi="Arial"/>
          <w:sz w:val="20"/>
          <w:szCs w:val="20"/>
          <w:color w:val="auto"/>
        </w:rPr>
        <w:t>ADVANCED DISTRIBUTOR PRODUCTS LLC</w:t>
      </w:r>
    </w:p>
    <w:p>
      <w:pPr>
        <w:ind w:left="4060"/>
        <w:spacing w:after="0"/>
        <w:rPr>
          <w:sz w:val="20"/>
          <w:szCs w:val="20"/>
          <w:color w:val="auto"/>
        </w:rPr>
      </w:pPr>
      <w:r>
        <w:rPr>
          <w:rFonts w:ascii="Arial" w:cs="Arial" w:eastAsia="Arial" w:hAnsi="Arial"/>
          <w:sz w:val="20"/>
          <w:szCs w:val="20"/>
          <w:color w:val="auto"/>
        </w:rPr>
        <w:t>LENNOX NATIONAL ACCOUNT SERVICES LLC</w:t>
      </w:r>
    </w:p>
    <w:p>
      <w:pPr>
        <w:ind w:left="4060"/>
        <w:spacing w:after="0"/>
        <w:rPr>
          <w:sz w:val="20"/>
          <w:szCs w:val="20"/>
          <w:color w:val="auto"/>
        </w:rPr>
      </w:pPr>
      <w:r>
        <w:rPr>
          <w:rFonts w:ascii="Arial" w:cs="Arial" w:eastAsia="Arial" w:hAnsi="Arial"/>
          <w:sz w:val="20"/>
          <w:szCs w:val="20"/>
          <w:color w:val="auto"/>
        </w:rPr>
        <w:t>LGL AUSTRALIA (US) INC.</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LGL EUROPE HOLDING CO.</w:t>
      </w:r>
    </w:p>
    <w:p>
      <w:pPr>
        <w:spacing w:after="0" w:line="276" w:lineRule="exact"/>
        <w:rPr>
          <w:sz w:val="20"/>
          <w:szCs w:val="20"/>
          <w:color w:val="auto"/>
        </w:rPr>
      </w:pPr>
    </w:p>
    <w:p>
      <w:pPr>
        <w:ind w:left="3920"/>
        <w:spacing w:after="0"/>
        <w:tabs>
          <w:tab w:leader="none" w:pos="4420" w:val="left"/>
        </w:tabs>
        <w:rPr>
          <w:sz w:val="20"/>
          <w:szCs w:val="20"/>
          <w:color w:val="auto"/>
        </w:rPr>
      </w:pPr>
      <w:r>
        <w:rPr>
          <w:rFonts w:ascii="Arial" w:cs="Arial" w:eastAsia="Arial" w:hAnsi="Arial"/>
          <w:sz w:val="20"/>
          <w:szCs w:val="20"/>
          <w:color w:val="auto"/>
        </w:rPr>
        <w:t>By:</w:t>
        <w:tab/>
        <w:t>/s/</w:t>
      </w:r>
      <w:r>
        <w:rPr>
          <w:rFonts w:ascii="Arial" w:cs="Arial" w:eastAsia="Arial" w:hAnsi="Arial"/>
          <w:sz w:val="21"/>
          <w:szCs w:val="21"/>
          <w:color w:val="auto"/>
        </w:rPr>
        <w:t>Richard A. Pelini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37465</wp:posOffset>
            </wp:positionV>
            <wp:extent cx="19291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63"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Name: Richard A. Pelini</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LENNOX INTERNATIONAL INC.</w:t>
      </w:r>
    </w:p>
    <w:p>
      <w:pPr>
        <w:spacing w:after="0" w:line="200" w:lineRule="exact"/>
        <w:rPr>
          <w:sz w:val="20"/>
          <w:szCs w:val="20"/>
          <w:color w:val="auto"/>
        </w:rPr>
      </w:pPr>
    </w:p>
    <w:p>
      <w:pPr>
        <w:spacing w:after="0" w:line="254" w:lineRule="exact"/>
        <w:rPr>
          <w:sz w:val="20"/>
          <w:szCs w:val="20"/>
          <w:color w:val="auto"/>
        </w:rPr>
      </w:pPr>
    </w:p>
    <w:p>
      <w:pPr>
        <w:ind w:left="3920"/>
        <w:spacing w:after="0"/>
        <w:tabs>
          <w:tab w:leader="none" w:pos="44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Richard A. Pelini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24130</wp:posOffset>
            </wp:positionV>
            <wp:extent cx="19291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42"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Name: Richard A. Pelini</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Title: Vice President and Treasurer</w:t>
      </w:r>
    </w:p>
    <w:p>
      <w:pPr>
        <w:sectPr>
          <w:pgSz w:w="11900" w:h="16838" w:orient="portrait"/>
          <w:cols w:equalWidth="0" w:num="1">
            <w:col w:w="10900"/>
          </w:cols>
          <w:pgMar w:left="320" w:top="1440" w:right="679" w:bottom="1440" w:gutter="0" w:footer="0" w:header="0"/>
        </w:sectPr>
      </w:pPr>
    </w:p>
    <w:bookmarkStart w:id="46" w:name="page47"/>
    <w:bookmarkEnd w:id="46"/>
    <w:p>
      <w:pPr>
        <w:spacing w:after="0" w:line="168"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LII MEXICO HOLDINGS LTD.</w:t>
      </w:r>
    </w:p>
    <w:p>
      <w:pPr>
        <w:spacing w:after="0" w:line="200" w:lineRule="exact"/>
        <w:rPr>
          <w:sz w:val="20"/>
          <w:szCs w:val="20"/>
          <w:color w:val="auto"/>
        </w:rPr>
      </w:pPr>
    </w:p>
    <w:p>
      <w:pPr>
        <w:spacing w:after="0" w:line="259" w:lineRule="exact"/>
        <w:rPr>
          <w:sz w:val="20"/>
          <w:szCs w:val="20"/>
          <w:color w:val="auto"/>
        </w:rPr>
      </w:pPr>
    </w:p>
    <w:p>
      <w:pPr>
        <w:ind w:left="2800"/>
        <w:spacing w:after="0"/>
        <w:tabs>
          <w:tab w:leader="none" w:pos="3300" w:val="left"/>
        </w:tabs>
        <w:rPr>
          <w:sz w:val="20"/>
          <w:szCs w:val="20"/>
          <w:color w:val="auto"/>
        </w:rPr>
      </w:pPr>
      <w:r>
        <w:rPr>
          <w:rFonts w:ascii="Arial" w:cs="Arial" w:eastAsia="Arial" w:hAnsi="Arial"/>
          <w:sz w:val="20"/>
          <w:szCs w:val="20"/>
          <w:color w:val="auto"/>
        </w:rPr>
        <w:t>By:</w:t>
        <w:tab/>
        <w:t>/s/ Erik Eduard Hagethorn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27305</wp:posOffset>
            </wp:positionV>
            <wp:extent cx="19291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34" w:lineRule="exact"/>
        <w:rPr>
          <w:sz w:val="20"/>
          <w:szCs w:val="20"/>
          <w:color w:val="auto"/>
        </w:rPr>
      </w:pPr>
    </w:p>
    <w:p>
      <w:pPr>
        <w:jc w:val="right"/>
        <w:ind w:right="3279"/>
        <w:spacing w:after="0"/>
        <w:rPr>
          <w:sz w:val="20"/>
          <w:szCs w:val="20"/>
          <w:color w:val="auto"/>
        </w:rPr>
      </w:pPr>
      <w:r>
        <w:rPr>
          <w:rFonts w:ascii="Arial" w:cs="Arial" w:eastAsia="Arial" w:hAnsi="Arial"/>
          <w:sz w:val="20"/>
          <w:szCs w:val="20"/>
          <w:color w:val="auto"/>
        </w:rPr>
        <w:t>Name: Erik Eduard Hagethorn</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1440" w:right="1440" w:bottom="1440" w:gutter="0" w:footer="0" w:header="0"/>
        </w:sectPr>
      </w:pPr>
    </w:p>
    <w:bookmarkStart w:id="47" w:name="page48"/>
    <w:bookmarkEnd w:id="47"/>
    <w:p>
      <w:pPr>
        <w:spacing w:after="0" w:line="168"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LENNOX SWITZERLAND GMBH</w:t>
      </w:r>
    </w:p>
    <w:p>
      <w:pPr>
        <w:spacing w:after="0" w:line="200" w:lineRule="exact"/>
        <w:rPr>
          <w:sz w:val="20"/>
          <w:szCs w:val="20"/>
          <w:color w:val="auto"/>
        </w:rPr>
      </w:pPr>
    </w:p>
    <w:p>
      <w:pPr>
        <w:spacing w:after="0" w:line="259"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/s/ Sarah Wood Braley</w:t>
      </w:r>
    </w:p>
    <w:p>
      <w:pPr>
        <w:spacing w:after="0" w:line="16"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17145</wp:posOffset>
            </wp:positionV>
            <wp:extent cx="19291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Name: Sarah Wood Braley</w:t>
      </w:r>
    </w:p>
    <w:p>
      <w:pPr>
        <w:spacing w:after="0" w:line="54"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Title: President of Management</w:t>
      </w:r>
    </w:p>
    <w:p>
      <w:pPr>
        <w:sectPr>
          <w:pgSz w:w="11900" w:h="16838" w:orient="portrait"/>
          <w:cols w:equalWidth="0" w:num="1">
            <w:col w:w="9019"/>
          </w:cols>
          <w:pgMar w:left="1440" w:top="1440" w:right="1440" w:bottom="1440" w:gutter="0" w:footer="0" w:header="0"/>
        </w:sectPr>
      </w:pPr>
    </w:p>
    <w:bookmarkStart w:id="48" w:name="page49"/>
    <w:bookmarkEnd w:id="48"/>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U.S. BANK NATIONAL ASSOCIATION, AS TRUSTEE</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620" w:type="dxa"/>
            <w:vAlign w:val="bottom"/>
          </w:tcPr>
          <w:p>
            <w:pPr>
              <w:ind w:left="20"/>
              <w:spacing w:after="0"/>
              <w:rPr>
                <w:sz w:val="20"/>
                <w:szCs w:val="20"/>
                <w:color w:val="auto"/>
              </w:rPr>
            </w:pPr>
            <w:r>
              <w:rPr>
                <w:rFonts w:ascii="Arial" w:cs="Arial" w:eastAsia="Arial" w:hAnsi="Arial"/>
                <w:sz w:val="20"/>
                <w:szCs w:val="20"/>
                <w:color w:val="auto"/>
              </w:rPr>
              <w:t>/s/ Kristel Richards Jech</w:t>
            </w:r>
          </w:p>
        </w:tc>
      </w:tr>
      <w:tr>
        <w:trPr>
          <w:trHeight w:val="23"/>
        </w:trPr>
        <w:tc>
          <w:tcPr>
            <w:tcW w:w="76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54"/>
        </w:trPr>
        <w:tc>
          <w:tcPr>
            <w:tcW w:w="760" w:type="dxa"/>
            <w:vAlign w:val="bottom"/>
          </w:tcPr>
          <w:p>
            <w:pPr>
              <w:spacing w:after="0"/>
              <w:rPr>
                <w:sz w:val="22"/>
                <w:szCs w:val="22"/>
                <w:color w:val="auto"/>
              </w:rPr>
            </w:pPr>
          </w:p>
        </w:tc>
        <w:tc>
          <w:tcPr>
            <w:tcW w:w="4620" w:type="dxa"/>
            <w:vAlign w:val="bottom"/>
          </w:tcPr>
          <w:p>
            <w:pPr>
              <w:ind w:left="20"/>
              <w:spacing w:after="0"/>
              <w:rPr>
                <w:sz w:val="20"/>
                <w:szCs w:val="20"/>
                <w:color w:val="auto"/>
              </w:rPr>
            </w:pPr>
            <w:r>
              <w:rPr>
                <w:rFonts w:ascii="Arial" w:cs="Arial" w:eastAsia="Arial" w:hAnsi="Arial"/>
                <w:sz w:val="20"/>
                <w:szCs w:val="20"/>
                <w:color w:val="auto"/>
              </w:rPr>
              <w:t>Name: Kristel Richards Jech</w:t>
            </w:r>
          </w:p>
        </w:tc>
      </w:tr>
      <w:tr>
        <w:trPr>
          <w:trHeight w:val="283"/>
        </w:trPr>
        <w:tc>
          <w:tcPr>
            <w:tcW w:w="76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Arial" w:cs="Arial" w:eastAsia="Arial" w:hAnsi="Arial"/>
                <w:sz w:val="20"/>
                <w:szCs w:val="20"/>
                <w:color w:val="auto"/>
              </w:rPr>
              <w:t>Title: Vice President</w:t>
            </w:r>
          </w:p>
        </w:tc>
      </w:tr>
    </w:tbl>
    <w:p>
      <w:pPr>
        <w:sectPr>
          <w:pgSz w:w="11900" w:h="16838" w:orient="portrait"/>
          <w:cols w:equalWidth="0" w:num="1">
            <w:col w:w="9999"/>
          </w:cols>
          <w:pgMar w:left="460" w:top="1440"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color w:val="auto"/>
        </w:rPr>
        <w:t>Exhibit 22</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List of Guarantor Subsidiaries</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subsidiaries of Lennox International Inc. (the “Company”) are guarantors with respect to the Company’s 3.00%</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Notes due 2023:</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96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Guarantor</w:t>
            </w:r>
          </w:p>
        </w:tc>
        <w:tc>
          <w:tcPr>
            <w:tcW w:w="52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State or Other Jurisdiction of Formation</w:t>
            </w:r>
          </w:p>
        </w:tc>
      </w:tr>
      <w:tr>
        <w:trPr>
          <w:trHeight w:val="23"/>
        </w:trPr>
        <w:tc>
          <w:tcPr>
            <w:tcW w:w="5960" w:type="dxa"/>
            <w:vAlign w:val="bottom"/>
            <w:tcBorders>
              <w:left w:val="single" w:sz="8" w:color="00000A"/>
              <w:bottom w:val="single" w:sz="8" w:color="00000A"/>
              <w:right w:val="single" w:sz="8" w:color="00000A"/>
            </w:tcBorders>
          </w:tcPr>
          <w:p>
            <w:pPr>
              <w:spacing w:after="0"/>
              <w:rPr>
                <w:sz w:val="2"/>
                <w:szCs w:val="2"/>
                <w:color w:val="auto"/>
              </w:rPr>
            </w:pPr>
          </w:p>
        </w:tc>
        <w:tc>
          <w:tcPr>
            <w:tcW w:w="5260" w:type="dxa"/>
            <w:vAlign w:val="bottom"/>
            <w:tcBorders>
              <w:bottom w:val="single" w:sz="8" w:color="00000A"/>
              <w:right w:val="single" w:sz="8" w:color="00000A"/>
            </w:tcBorders>
          </w:tcPr>
          <w:p>
            <w:pPr>
              <w:spacing w:after="0"/>
              <w:rPr>
                <w:sz w:val="2"/>
                <w:szCs w:val="2"/>
                <w:color w:val="auto"/>
              </w:rPr>
            </w:pPr>
          </w:p>
        </w:tc>
      </w:tr>
      <w:tr>
        <w:trPr>
          <w:trHeight w:val="254"/>
        </w:trPr>
        <w:tc>
          <w:tcPr>
            <w:tcW w:w="5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Advanced Distributor Products LLC</w:t>
            </w:r>
          </w:p>
        </w:tc>
        <w:tc>
          <w:tcPr>
            <w:tcW w:w="52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960" w:type="dxa"/>
            <w:vAlign w:val="bottom"/>
            <w:tcBorders>
              <w:left w:val="single" w:sz="8" w:color="00000A"/>
              <w:bottom w:val="single" w:sz="8" w:color="00000A"/>
              <w:right w:val="single" w:sz="8" w:color="00000A"/>
            </w:tcBorders>
          </w:tcPr>
          <w:p>
            <w:pPr>
              <w:spacing w:after="0"/>
              <w:rPr>
                <w:sz w:val="2"/>
                <w:szCs w:val="2"/>
                <w:color w:val="auto"/>
              </w:rPr>
            </w:pPr>
          </w:p>
        </w:tc>
        <w:tc>
          <w:tcPr>
            <w:tcW w:w="5260" w:type="dxa"/>
            <w:vAlign w:val="bottom"/>
            <w:tcBorders>
              <w:bottom w:val="single" w:sz="8" w:color="00000A"/>
              <w:right w:val="single" w:sz="8" w:color="00000A"/>
            </w:tcBorders>
          </w:tcPr>
          <w:p>
            <w:pPr>
              <w:spacing w:after="0"/>
              <w:rPr>
                <w:sz w:val="2"/>
                <w:szCs w:val="2"/>
                <w:color w:val="auto"/>
              </w:rPr>
            </w:pPr>
          </w:p>
        </w:tc>
      </w:tr>
      <w:tr>
        <w:trPr>
          <w:trHeight w:val="254"/>
        </w:trPr>
        <w:tc>
          <w:tcPr>
            <w:tcW w:w="5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Allied Air Enterprises LLC</w:t>
            </w:r>
          </w:p>
        </w:tc>
        <w:tc>
          <w:tcPr>
            <w:tcW w:w="52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960" w:type="dxa"/>
            <w:vAlign w:val="bottom"/>
            <w:tcBorders>
              <w:left w:val="single" w:sz="8" w:color="00000A"/>
              <w:bottom w:val="single" w:sz="8" w:color="00000A"/>
              <w:right w:val="single" w:sz="8" w:color="00000A"/>
            </w:tcBorders>
          </w:tcPr>
          <w:p>
            <w:pPr>
              <w:spacing w:after="0"/>
              <w:rPr>
                <w:sz w:val="2"/>
                <w:szCs w:val="2"/>
                <w:color w:val="auto"/>
              </w:rPr>
            </w:pPr>
          </w:p>
        </w:tc>
        <w:tc>
          <w:tcPr>
            <w:tcW w:w="5260" w:type="dxa"/>
            <w:vAlign w:val="bottom"/>
            <w:tcBorders>
              <w:bottom w:val="single" w:sz="8" w:color="00000A"/>
              <w:right w:val="single" w:sz="8" w:color="00000A"/>
            </w:tcBorders>
          </w:tcPr>
          <w:p>
            <w:pPr>
              <w:spacing w:after="0"/>
              <w:rPr>
                <w:sz w:val="2"/>
                <w:szCs w:val="2"/>
                <w:color w:val="auto"/>
              </w:rPr>
            </w:pPr>
          </w:p>
        </w:tc>
      </w:tr>
      <w:tr>
        <w:trPr>
          <w:trHeight w:val="254"/>
        </w:trPr>
        <w:tc>
          <w:tcPr>
            <w:tcW w:w="5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Heatcraft Inc.</w:t>
            </w:r>
          </w:p>
        </w:tc>
        <w:tc>
          <w:tcPr>
            <w:tcW w:w="52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960" w:type="dxa"/>
            <w:vAlign w:val="bottom"/>
            <w:tcBorders>
              <w:left w:val="single" w:sz="8" w:color="00000A"/>
              <w:bottom w:val="single" w:sz="8" w:color="00000A"/>
              <w:right w:val="single" w:sz="8" w:color="00000A"/>
            </w:tcBorders>
          </w:tcPr>
          <w:p>
            <w:pPr>
              <w:spacing w:after="0"/>
              <w:rPr>
                <w:sz w:val="2"/>
                <w:szCs w:val="2"/>
                <w:color w:val="auto"/>
              </w:rPr>
            </w:pPr>
          </w:p>
        </w:tc>
        <w:tc>
          <w:tcPr>
            <w:tcW w:w="5260" w:type="dxa"/>
            <w:vAlign w:val="bottom"/>
            <w:tcBorders>
              <w:bottom w:val="single" w:sz="8" w:color="00000A"/>
              <w:right w:val="single" w:sz="8" w:color="00000A"/>
            </w:tcBorders>
          </w:tcPr>
          <w:p>
            <w:pPr>
              <w:spacing w:after="0"/>
              <w:rPr>
                <w:sz w:val="2"/>
                <w:szCs w:val="2"/>
                <w:color w:val="auto"/>
              </w:rPr>
            </w:pPr>
          </w:p>
        </w:tc>
      </w:tr>
      <w:tr>
        <w:trPr>
          <w:trHeight w:val="254"/>
        </w:trPr>
        <w:tc>
          <w:tcPr>
            <w:tcW w:w="5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Heatcraft Refrigeration Products LLC</w:t>
            </w:r>
          </w:p>
        </w:tc>
        <w:tc>
          <w:tcPr>
            <w:tcW w:w="52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960" w:type="dxa"/>
            <w:vAlign w:val="bottom"/>
            <w:tcBorders>
              <w:left w:val="single" w:sz="8" w:color="00000A"/>
              <w:bottom w:val="single" w:sz="8" w:color="00000A"/>
              <w:right w:val="single" w:sz="8" w:color="00000A"/>
            </w:tcBorders>
          </w:tcPr>
          <w:p>
            <w:pPr>
              <w:spacing w:after="0"/>
              <w:rPr>
                <w:sz w:val="2"/>
                <w:szCs w:val="2"/>
                <w:color w:val="auto"/>
              </w:rPr>
            </w:pPr>
          </w:p>
        </w:tc>
        <w:tc>
          <w:tcPr>
            <w:tcW w:w="5260" w:type="dxa"/>
            <w:vAlign w:val="bottom"/>
            <w:tcBorders>
              <w:bottom w:val="single" w:sz="8" w:color="00000A"/>
              <w:right w:val="single" w:sz="8" w:color="00000A"/>
            </w:tcBorders>
          </w:tcPr>
          <w:p>
            <w:pPr>
              <w:spacing w:after="0"/>
              <w:rPr>
                <w:sz w:val="2"/>
                <w:szCs w:val="2"/>
                <w:color w:val="auto"/>
              </w:rPr>
            </w:pPr>
          </w:p>
        </w:tc>
      </w:tr>
      <w:tr>
        <w:trPr>
          <w:trHeight w:val="254"/>
        </w:trPr>
        <w:tc>
          <w:tcPr>
            <w:tcW w:w="5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Lennox Global LLC</w:t>
            </w:r>
          </w:p>
        </w:tc>
        <w:tc>
          <w:tcPr>
            <w:tcW w:w="52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960" w:type="dxa"/>
            <w:vAlign w:val="bottom"/>
            <w:tcBorders>
              <w:left w:val="single" w:sz="8" w:color="00000A"/>
              <w:bottom w:val="single" w:sz="8" w:color="00000A"/>
              <w:right w:val="single" w:sz="8" w:color="00000A"/>
            </w:tcBorders>
          </w:tcPr>
          <w:p>
            <w:pPr>
              <w:spacing w:after="0"/>
              <w:rPr>
                <w:sz w:val="2"/>
                <w:szCs w:val="2"/>
                <w:color w:val="auto"/>
              </w:rPr>
            </w:pPr>
          </w:p>
        </w:tc>
        <w:tc>
          <w:tcPr>
            <w:tcW w:w="5260" w:type="dxa"/>
            <w:vAlign w:val="bottom"/>
            <w:tcBorders>
              <w:bottom w:val="single" w:sz="8" w:color="00000A"/>
              <w:right w:val="single" w:sz="8" w:color="00000A"/>
            </w:tcBorders>
          </w:tcPr>
          <w:p>
            <w:pPr>
              <w:spacing w:after="0"/>
              <w:rPr>
                <w:sz w:val="2"/>
                <w:szCs w:val="2"/>
                <w:color w:val="auto"/>
              </w:rPr>
            </w:pPr>
          </w:p>
        </w:tc>
      </w:tr>
      <w:tr>
        <w:trPr>
          <w:trHeight w:val="254"/>
        </w:trPr>
        <w:tc>
          <w:tcPr>
            <w:tcW w:w="5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Lennox Industries Inc.</w:t>
            </w:r>
          </w:p>
        </w:tc>
        <w:tc>
          <w:tcPr>
            <w:tcW w:w="52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960" w:type="dxa"/>
            <w:vAlign w:val="bottom"/>
            <w:tcBorders>
              <w:left w:val="single" w:sz="8" w:color="00000A"/>
              <w:bottom w:val="single" w:sz="8" w:color="00000A"/>
              <w:right w:val="single" w:sz="8" w:color="00000A"/>
            </w:tcBorders>
          </w:tcPr>
          <w:p>
            <w:pPr>
              <w:spacing w:after="0"/>
              <w:rPr>
                <w:sz w:val="2"/>
                <w:szCs w:val="2"/>
                <w:color w:val="auto"/>
              </w:rPr>
            </w:pPr>
          </w:p>
        </w:tc>
        <w:tc>
          <w:tcPr>
            <w:tcW w:w="5260" w:type="dxa"/>
            <w:vAlign w:val="bottom"/>
            <w:tcBorders>
              <w:bottom w:val="single" w:sz="8" w:color="00000A"/>
              <w:right w:val="single" w:sz="8" w:color="00000A"/>
            </w:tcBorders>
          </w:tcPr>
          <w:p>
            <w:pPr>
              <w:spacing w:after="0"/>
              <w:rPr>
                <w:sz w:val="2"/>
                <w:szCs w:val="2"/>
                <w:color w:val="auto"/>
              </w:rPr>
            </w:pPr>
          </w:p>
        </w:tc>
      </w:tr>
      <w:tr>
        <w:trPr>
          <w:trHeight w:val="254"/>
        </w:trPr>
        <w:tc>
          <w:tcPr>
            <w:tcW w:w="5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Lennox National Account Services LLC</w:t>
            </w:r>
          </w:p>
        </w:tc>
        <w:tc>
          <w:tcPr>
            <w:tcW w:w="52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5960" w:type="dxa"/>
            <w:vAlign w:val="bottom"/>
            <w:tcBorders>
              <w:left w:val="single" w:sz="8" w:color="00000A"/>
              <w:bottom w:val="single" w:sz="8" w:color="00000A"/>
              <w:right w:val="single" w:sz="8" w:color="00000A"/>
            </w:tcBorders>
          </w:tcPr>
          <w:p>
            <w:pPr>
              <w:spacing w:after="0"/>
              <w:rPr>
                <w:sz w:val="2"/>
                <w:szCs w:val="2"/>
                <w:color w:val="auto"/>
              </w:rPr>
            </w:pPr>
          </w:p>
        </w:tc>
        <w:tc>
          <w:tcPr>
            <w:tcW w:w="5260" w:type="dxa"/>
            <w:vAlign w:val="bottom"/>
            <w:tcBorders>
              <w:bottom w:val="single" w:sz="8" w:color="00000A"/>
              <w:right w:val="single" w:sz="8" w:color="00000A"/>
            </w:tcBorders>
          </w:tcPr>
          <w:p>
            <w:pPr>
              <w:spacing w:after="0"/>
              <w:rPr>
                <w:sz w:val="2"/>
                <w:szCs w:val="2"/>
                <w:color w:val="auto"/>
              </w:rPr>
            </w:pPr>
          </w:p>
        </w:tc>
      </w:tr>
      <w:tr>
        <w:trPr>
          <w:trHeight w:val="254"/>
        </w:trPr>
        <w:tc>
          <w:tcPr>
            <w:tcW w:w="5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LGL Australia (US) Inc.</w:t>
            </w:r>
          </w:p>
        </w:tc>
        <w:tc>
          <w:tcPr>
            <w:tcW w:w="52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960" w:type="dxa"/>
            <w:vAlign w:val="bottom"/>
            <w:tcBorders>
              <w:left w:val="single" w:sz="8" w:color="00000A"/>
              <w:bottom w:val="single" w:sz="8" w:color="00000A"/>
              <w:right w:val="single" w:sz="8" w:color="00000A"/>
            </w:tcBorders>
          </w:tcPr>
          <w:p>
            <w:pPr>
              <w:spacing w:after="0"/>
              <w:rPr>
                <w:sz w:val="2"/>
                <w:szCs w:val="2"/>
                <w:color w:val="auto"/>
              </w:rPr>
            </w:pPr>
          </w:p>
        </w:tc>
        <w:tc>
          <w:tcPr>
            <w:tcW w:w="5260" w:type="dxa"/>
            <w:vAlign w:val="bottom"/>
            <w:tcBorders>
              <w:bottom w:val="single" w:sz="8" w:color="00000A"/>
              <w:right w:val="single" w:sz="8" w:color="00000A"/>
            </w:tcBorders>
          </w:tcPr>
          <w:p>
            <w:pPr>
              <w:spacing w:after="0"/>
              <w:rPr>
                <w:sz w:val="2"/>
                <w:szCs w:val="2"/>
                <w:color w:val="auto"/>
              </w:rPr>
            </w:pPr>
          </w:p>
        </w:tc>
      </w:tr>
      <w:tr>
        <w:trPr>
          <w:trHeight w:val="254"/>
        </w:trPr>
        <w:tc>
          <w:tcPr>
            <w:tcW w:w="5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LGL Europe Holding Co.</w:t>
            </w:r>
          </w:p>
        </w:tc>
        <w:tc>
          <w:tcPr>
            <w:tcW w:w="52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960" w:type="dxa"/>
            <w:vAlign w:val="bottom"/>
            <w:tcBorders>
              <w:left w:val="single" w:sz="8" w:color="00000A"/>
              <w:bottom w:val="single" w:sz="8" w:color="00000A"/>
              <w:right w:val="single" w:sz="8" w:color="00000A"/>
            </w:tcBorders>
          </w:tcPr>
          <w:p>
            <w:pPr>
              <w:spacing w:after="0"/>
              <w:rPr>
                <w:sz w:val="2"/>
                <w:szCs w:val="2"/>
                <w:color w:val="auto"/>
              </w:rPr>
            </w:pPr>
          </w:p>
        </w:tc>
        <w:tc>
          <w:tcPr>
            <w:tcW w:w="5260" w:type="dxa"/>
            <w:vAlign w:val="bottom"/>
            <w:tcBorders>
              <w:bottom w:val="single" w:sz="8" w:color="00000A"/>
              <w:right w:val="single" w:sz="8" w:color="00000A"/>
            </w:tcBorders>
          </w:tcPr>
          <w:p>
            <w:pPr>
              <w:spacing w:after="0"/>
              <w:rPr>
                <w:sz w:val="2"/>
                <w:szCs w:val="2"/>
                <w:color w:val="auto"/>
              </w:rPr>
            </w:pPr>
          </w:p>
        </w:tc>
      </w:tr>
      <w:tr>
        <w:trPr>
          <w:trHeight w:val="254"/>
        </w:trPr>
        <w:tc>
          <w:tcPr>
            <w:tcW w:w="59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Lennox Switzerland GmbH</w:t>
            </w:r>
          </w:p>
        </w:tc>
        <w:tc>
          <w:tcPr>
            <w:tcW w:w="52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Switzerland</w:t>
            </w:r>
          </w:p>
        </w:tc>
      </w:tr>
      <w:tr>
        <w:trPr>
          <w:trHeight w:val="23"/>
        </w:trPr>
        <w:tc>
          <w:tcPr>
            <w:tcW w:w="5960" w:type="dxa"/>
            <w:vAlign w:val="bottom"/>
            <w:tcBorders>
              <w:left w:val="single" w:sz="8" w:color="00000A"/>
              <w:bottom w:val="single" w:sz="8" w:color="00000A"/>
              <w:right w:val="single" w:sz="8" w:color="00000A"/>
            </w:tcBorders>
          </w:tcPr>
          <w:p>
            <w:pPr>
              <w:spacing w:after="0"/>
              <w:rPr>
                <w:sz w:val="2"/>
                <w:szCs w:val="2"/>
                <w:color w:val="auto"/>
              </w:rPr>
            </w:pPr>
          </w:p>
        </w:tc>
        <w:tc>
          <w:tcPr>
            <w:tcW w:w="526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1240"/>
          </w:cols>
          <w:pgMar w:left="320" w:top="142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Todd M. Bluedorn, certify that:</w:t>
      </w:r>
    </w:p>
    <w:p>
      <w:pPr>
        <w:spacing w:after="0" w:line="117"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20, 2020</w:t>
      </w:r>
    </w:p>
    <w:p>
      <w:pPr>
        <w:spacing w:after="0" w:line="200" w:lineRule="exact"/>
        <w:rPr>
          <w:sz w:val="20"/>
          <w:szCs w:val="20"/>
          <w:color w:val="auto"/>
        </w:rPr>
      </w:pPr>
    </w:p>
    <w:p>
      <w:pPr>
        <w:spacing w:after="0" w:line="26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31750</wp:posOffset>
            </wp:positionV>
            <wp:extent cx="27686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Todd M. Bluedorn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W. Reitmeier, certify that:</w:t>
      </w:r>
    </w:p>
    <w:p>
      <w:pPr>
        <w:spacing w:after="0" w:line="117"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20, 2020</w:t>
      </w:r>
    </w:p>
    <w:p>
      <w:pPr>
        <w:spacing w:after="0" w:line="200" w:lineRule="exact"/>
        <w:rPr>
          <w:sz w:val="20"/>
          <w:szCs w:val="20"/>
          <w:color w:val="auto"/>
        </w:rPr>
      </w:pPr>
    </w:p>
    <w:p>
      <w:pPr>
        <w:spacing w:after="0" w:line="26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31750</wp:posOffset>
            </wp:positionV>
            <wp:extent cx="27686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Joseph W. Reitmeier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In connection with the Quarterly Report of Lennox International Inc. (the “Company”) on Form 10-Q for the quarter ended June 30, 2020 as filed with the Securities and Exchange Commission on the date hereof (the “Report”), each of the undersigned, Todd M. Bluedorn, Chief Executive Officer of the Company, and Joseph W. Reitmeier, Chief Financial Officer of the Company, certifies, pursuant to 18 U.S.C. Section 1350, as adopted pursuant to section 906 of the Sarbanes-Oxley Act of 2002, that to his or her knowledge:</w:t>
      </w:r>
    </w:p>
    <w:p>
      <w:pPr>
        <w:spacing w:after="0" w:line="133"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946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Todd M. Bluedorn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July 20,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946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W. Reitmeier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July 20, 2020</w:t>
      </w:r>
    </w:p>
    <w:p>
      <w:pPr>
        <w:spacing w:after="0" w:line="171" w:lineRule="exact"/>
        <w:rPr>
          <w:sz w:val="20"/>
          <w:szCs w:val="20"/>
          <w:color w:val="auto"/>
        </w:rPr>
      </w:pPr>
    </w:p>
    <w:p>
      <w:pPr>
        <w:ind w:right="260" w:firstLine="445"/>
        <w:spacing w:after="0" w:line="263"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3">
    <w:nsid w:val="DED7263"/>
    <w:multiLevelType w:val="hybridMultilevel"/>
    <w:lvl w:ilvl="0">
      <w:lvlJc w:val="left"/>
      <w:lvlText w:val="%1."/>
      <w:numFmt w:val="decimal"/>
      <w:start w:val="9"/>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lvl w:ilvl="1">
      <w:lvlJc w:val="left"/>
      <w:lvlText w:val="(%2)"/>
      <w:numFmt w:val="decimal"/>
      <w:start w:val="1"/>
    </w:lvl>
  </w:abstractNum>
  <w:abstractNum w:abstractNumId="6">
    <w:nsid w:val="41A7C4C9"/>
    <w:multiLevelType w:val="hybridMultilevel"/>
    <w:lvl w:ilvl="0">
      <w:lvlJc w:val="left"/>
      <w:lvlText w:val="%1."/>
      <w:numFmt w:val="decimal"/>
      <w:start w:val="10"/>
    </w:lvl>
    <w:lvl w:ilvl="1">
      <w:lvlJc w:val="left"/>
      <w:lvlText w:val="%2"/>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04"/>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5">
    <w:nsid w:val="62BBD95A"/>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3"/>
    </w:lvl>
  </w:abstractNum>
  <w:abstractNum w:abstractNumId="16">
    <w:nsid w:val="436C6125"/>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7">
    <w:nsid w:val="628C895D"/>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18">
    <w:nsid w:val="333AB105"/>
    <w:multiLevelType w:val="hybridMultilevel"/>
    <w:lvl w:ilvl="0">
      <w:lvlJc w:val="left"/>
      <w:lvlText w:val="%1"/>
      <w:numFmt w:val="decimal"/>
      <w:start w:val="1"/>
    </w:lvl>
    <w:lvl w:ilvl="1">
      <w:lvlJc w:val="left"/>
      <w:lvlText w:val="(%2)"/>
      <w:numFmt w:val="lowerRoman"/>
      <w:start w:val="5"/>
    </w:lvl>
    <w:lvl w:ilvl="2">
      <w:lvlJc w:val="left"/>
      <w:lvlText w:val="%3"/>
      <w:numFmt w:val="lowerRoman"/>
      <w:start w:val="1"/>
    </w:lvl>
  </w:abstractNum>
  <w:abstractNum w:abstractNumId="19">
    <w:nsid w:val="721DA317"/>
    <w:multiLevelType w:val="hybridMultilevel"/>
    <w:lvl w:ilvl="0">
      <w:lvlJc w:val="left"/>
      <w:lvlText w:val="%1."/>
      <w:numFmt w:val="decimal"/>
      <w:start w:val="4"/>
    </w:lvl>
    <w:lvl w:ilvl="1">
      <w:lvlJc w:val="left"/>
      <w:lvlText w:val="%2"/>
      <w:numFmt w:val="lowerRoman"/>
      <w:start w:val="1"/>
    </w:lvl>
    <w:lvl w:ilvl="2">
      <w:lvlJc w:val="left"/>
      <w:lvlText w:val="%3"/>
      <w:numFmt w:val="lowerRoman"/>
      <w:start w:val="1"/>
    </w:lvl>
  </w:abstractNum>
  <w:abstractNum w:abstractNumId="20">
    <w:nsid w:val="2443A858"/>
    <w:multiLevelType w:val="hybridMultilevel"/>
    <w:lvl w:ilvl="0">
      <w:lvlJc w:val="left"/>
      <w:lvlText w:val="%1."/>
      <w:numFmt w:val="decimal"/>
      <w:start w:val="9"/>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69" Type="http://schemas.openxmlformats.org/officeDocument/2006/relationships/hyperlink" Target="http://www.sec.gov/Archives/edgar/data/1069202/0000950134-99-002720-index.html" TargetMode="External"/><Relationship Id="rId70" Type="http://schemas.openxmlformats.org/officeDocument/2006/relationships/hyperlink" Target="http://www.sec.gov/Archives/edgar/data/1069202/000119312513474576/d644537dex31.htm" TargetMode="External"/><Relationship Id="rId71" Type="http://schemas.openxmlformats.org/officeDocument/2006/relationships/hyperlink" Target="http://www.sec.gov/Archives/edgar/data/1069202/0000950134-99-005530-index.html" TargetMode="External"/><Relationship Id="rId72" Type="http://schemas.openxmlformats.org/officeDocument/2006/relationships/hyperlink" Target="http://www.sec.gov/Archives/edgar/data/1017609/000095012310042399/d72548exv4w3.htm" TargetMode="External"/><Relationship Id="rId73" Type="http://schemas.openxmlformats.org/officeDocument/2006/relationships/hyperlink" Target="http://www.sec.gov/Archives/edgar/data/1017609/000095012310042399/d72548exv4w11.htm" TargetMode="External"/><Relationship Id="rId74" Type="http://schemas.openxmlformats.org/officeDocument/2006/relationships/hyperlink" Target="http://www.sec.gov/Archives/edgar/data/1069202/000119312516758285/d284193dex42.htm" TargetMode="External"/><Relationship Id="rId75" Type="http://schemas.openxmlformats.org/officeDocument/2006/relationships/hyperlink" Target="http://www.sec.gov/Archives/edgar/data/1069202/000106920219000008/lii-ex45_2018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2020-07-20T15:28:57Z</dcterms:created>
  <dcterms:modified xsi:type="dcterms:W3CDTF">2020-07-20T15:28:57Z</dcterms:modified>
</cp:coreProperties>
</file>