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46" w:lineRule="exact"/>
        <w:rPr>
          <w:sz w:val="24"/>
          <w:szCs w:val="24"/>
          <w:color w:val="auto"/>
        </w:rPr>
      </w:pPr>
    </w:p>
    <w:p>
      <w:pPr>
        <w:ind w:left="24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auto"/>
        </w:rPr>
        <w:t>Washington, D. C. 20549</w:t>
      </w:r>
    </w:p>
    <w:p>
      <w:pPr>
        <w:spacing w:after="0" w:line="5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7" w:lineRule="exact"/>
        <w:rPr>
          <w:sz w:val="24"/>
          <w:szCs w:val="24"/>
          <w:color w:val="auto"/>
        </w:rPr>
      </w:pPr>
    </w:p>
    <w:p>
      <w:pPr>
        <w:ind w:left="2380"/>
        <w:spacing w:after="0"/>
        <w:rPr>
          <w:sz w:val="20"/>
          <w:szCs w:val="20"/>
          <w:color w:val="auto"/>
        </w:rPr>
      </w:pPr>
      <w:r>
        <w:rPr>
          <w:rFonts w:ascii="Arial" w:cs="Arial" w:eastAsia="Arial" w:hAnsi="Arial"/>
          <w:sz w:val="25"/>
          <w:szCs w:val="25"/>
          <w:b w:val="1"/>
          <w:bCs w:val="1"/>
          <w:color w:val="auto"/>
        </w:rPr>
        <w:t>FOR THE QUARTERLY PERIOD ENDED June 30, 2018</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001-15149</w:t>
      </w:r>
    </w:p>
    <w:p>
      <w:pPr>
        <w:spacing w:after="0" w:line="8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LENNOX INTERNATIONAL INC.</w:t>
      </w:r>
    </w:p>
    <w:p>
      <w:pPr>
        <w:spacing w:after="0" w:line="5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6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86"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(972-497-5000)</w:t>
      </w:r>
    </w:p>
    <w:p>
      <w:pPr>
        <w:spacing w:after="0" w:line="6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90"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jc w:val="center"/>
              <w:ind w:right="1370"/>
              <w:spacing w:after="0"/>
              <w:rPr>
                <w:sz w:val="20"/>
                <w:szCs w:val="20"/>
                <w:color w:val="auto"/>
              </w:rPr>
            </w:pPr>
            <w:r>
              <w:rPr>
                <w:rFonts w:ascii="Arial" w:cs="Arial" w:eastAsia="Arial" w:hAnsi="Arial"/>
                <w:sz w:val="18"/>
                <w:szCs w:val="18"/>
                <w:color w:val="auto"/>
              </w:rPr>
              <w:t>[X]</w:t>
            </w:r>
          </w:p>
        </w:tc>
        <w:tc>
          <w:tcPr>
            <w:tcW w:w="4380" w:type="dxa"/>
            <w:vAlign w:val="bottom"/>
          </w:tcPr>
          <w:p>
            <w:pPr>
              <w:ind w:left="20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jc w:val="right"/>
              <w:ind w:right="1950"/>
              <w:spacing w:after="0"/>
              <w:rPr>
                <w:sz w:val="20"/>
                <w:szCs w:val="20"/>
                <w:color w:val="auto"/>
              </w:rPr>
            </w:pPr>
            <w:r>
              <w:rPr>
                <w:rFonts w:ascii="Arial" w:cs="Arial" w:eastAsia="Arial" w:hAnsi="Arial"/>
                <w:sz w:val="18"/>
                <w:szCs w:val="18"/>
                <w:color w:val="auto"/>
              </w:rPr>
              <w:t>[ ]</w:t>
            </w:r>
          </w:p>
        </w:tc>
        <w:tc>
          <w:tcPr>
            <w:tcW w:w="4380" w:type="dxa"/>
            <w:vAlign w:val="bottom"/>
          </w:tcPr>
          <w:p>
            <w:pPr>
              <w:ind w:left="20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38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3" w:lineRule="exact"/>
        <w:rPr>
          <w:sz w:val="24"/>
          <w:szCs w:val="24"/>
          <w:color w:val="auto"/>
        </w:rPr>
      </w:pPr>
    </w:p>
    <w:p>
      <w:pPr>
        <w:ind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5" w:lineRule="exact"/>
        <w:rPr>
          <w:sz w:val="24"/>
          <w:szCs w:val="24"/>
          <w:color w:val="auto"/>
        </w:rPr>
      </w:pPr>
    </w:p>
    <w:p>
      <w:pPr>
        <w:ind w:left="260" w:right="15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 As of July 13, 2018, the number of shares outstanding of the registrant’s common stock, par value $.01 per share, was 40,255,311.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gridSpan w:val="5"/>
          </w:tcPr>
          <w:p>
            <w:pPr>
              <w:ind w:left="160"/>
              <w:spacing w:after="0"/>
              <w:rPr>
                <w:sz w:val="20"/>
                <w:szCs w:val="20"/>
                <w:color w:val="auto"/>
              </w:rPr>
            </w:pPr>
            <w:r>
              <w:rPr>
                <w:rFonts w:ascii="Arial" w:cs="Arial" w:eastAsia="Arial" w:hAnsi="Arial"/>
                <w:sz w:val="17"/>
                <w:szCs w:val="17"/>
                <w:b w:val="1"/>
                <w:bCs w:val="1"/>
                <w:color w:val="auto"/>
              </w:rPr>
              <w:t>Page</w:t>
            </w:r>
          </w:p>
        </w:tc>
      </w:tr>
      <w:tr>
        <w:trPr>
          <w:trHeight w:val="31"/>
        </w:trPr>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w:t>
            </w: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rPr>
                <w:sz w:val="20"/>
                <w:szCs w:val="20"/>
                <w:color w:val="auto"/>
              </w:rPr>
            </w:pPr>
            <w:r>
              <w:rPr>
                <w:rFonts w:ascii="Arial" w:cs="Arial" w:eastAsia="Arial" w:hAnsi="Arial"/>
                <w:sz w:val="16"/>
                <w:szCs w:val="16"/>
                <w:color w:val="0000FF"/>
              </w:rPr>
              <w:t>Consolidated Balance Sheets - June 30, 2018 (Unaudited) and December 31, 2017</w:t>
            </w: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6"/>
          </w:tcPr>
          <w:p>
            <w:pPr>
              <w:spacing w:after="0"/>
              <w:rPr>
                <w:sz w:val="20"/>
                <w:szCs w:val="20"/>
                <w:color w:val="auto"/>
              </w:rPr>
            </w:pPr>
            <w:r>
              <w:rPr>
                <w:rFonts w:ascii="Arial" w:cs="Arial" w:eastAsia="Arial" w:hAnsi="Arial"/>
                <w:sz w:val="16"/>
                <w:szCs w:val="16"/>
                <w:color w:val="0000FF"/>
              </w:rPr>
              <w:t>Consolidated Statements of Operations (Unaudited) - Three Months and Six Months Ended June 30, 2018 and 2017</w:t>
            </w:r>
          </w:p>
        </w:tc>
        <w:tc>
          <w:tcPr>
            <w:tcW w:w="440" w:type="dxa"/>
            <w:vAlign w:val="bottom"/>
            <w:gridSpan w:val="4"/>
          </w:tcPr>
          <w:p>
            <w:pPr>
              <w:jc w:val="center"/>
              <w:ind w:left="1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360" w:type="dxa"/>
            <w:vAlign w:val="bottom"/>
            <w:gridSpan w:val="15"/>
            <w:shd w:val="clear" w:color="auto" w:fill="CCEEFF"/>
          </w:tcPr>
          <w:p>
            <w:pPr>
              <w:spacing w:after="0"/>
              <w:rPr>
                <w:sz w:val="20"/>
                <w:szCs w:val="20"/>
                <w:color w:val="auto"/>
              </w:rPr>
            </w:pPr>
            <w:r>
              <w:rPr>
                <w:rFonts w:ascii="Arial" w:cs="Arial" w:eastAsia="Arial" w:hAnsi="Arial"/>
                <w:sz w:val="16"/>
                <w:szCs w:val="16"/>
                <w:color w:val="0000FF"/>
                <w:w w:val="91"/>
              </w:rPr>
              <w:t>Consolidated Statements of Comprehensive Income (Unaudited) - Three Months and Six Months Ended June 30, 2018 and 2017</w:t>
            </w:r>
          </w:p>
        </w:tc>
        <w:tc>
          <w:tcPr>
            <w:tcW w:w="130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60" w:type="dxa"/>
            <w:vAlign w:val="bottom"/>
            <w:gridSpan w:val="15"/>
          </w:tcPr>
          <w:p>
            <w:pPr>
              <w:spacing w:after="0"/>
              <w:rPr>
                <w:sz w:val="20"/>
                <w:szCs w:val="20"/>
                <w:color w:val="auto"/>
              </w:rPr>
            </w:pPr>
            <w:r>
              <w:rPr>
                <w:rFonts w:ascii="Arial" w:cs="Arial" w:eastAsia="Arial" w:hAnsi="Arial"/>
                <w:sz w:val="16"/>
                <w:szCs w:val="16"/>
                <w:color w:val="0000FF"/>
              </w:rPr>
              <w:t>Consolidated Statements of Cash Flows (Unaudited) - Six Months Ended June 30, 2018 and 2017</w:t>
            </w:r>
          </w:p>
        </w:tc>
        <w:tc>
          <w:tcPr>
            <w:tcW w:w="1300" w:type="dxa"/>
            <w:vAlign w:val="bottom"/>
          </w:tcPr>
          <w:p>
            <w:pPr>
              <w:spacing w:after="0"/>
              <w:rPr>
                <w:sz w:val="17"/>
                <w:szCs w:val="17"/>
                <w:color w:val="auto"/>
              </w:rPr>
            </w:pPr>
          </w:p>
        </w:tc>
        <w:tc>
          <w:tcPr>
            <w:tcW w:w="440" w:type="dxa"/>
            <w:vAlign w:val="bottom"/>
            <w:gridSpan w:val="4"/>
          </w:tcPr>
          <w:p>
            <w:pPr>
              <w:jc w:val="center"/>
              <w:ind w:left="150"/>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 (Unaudited)</w:t>
              </w:r>
            </w:hyperlink>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2. Management's Discussion and Analysis of Financial Condition and Results of Operations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Item 3. Quantitative and Qualitative Disclosures About Market Risk</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4">
              <w:r>
                <w:rPr>
                  <w:rFonts w:ascii="Arial" w:cs="Arial" w:eastAsia="Arial" w:hAnsi="Arial"/>
                  <w:sz w:val="16"/>
                  <w:szCs w:val="16"/>
                  <w:color w:val="0000FF"/>
                  <w:w w:val="93"/>
                </w:rPr>
                <w:t>Item 4.</w:t>
              </w:r>
            </w:hyperlink>
          </w:p>
        </w:tc>
        <w:tc>
          <w:tcPr>
            <w:tcW w:w="3940" w:type="dxa"/>
            <w:vAlign w:val="bottom"/>
            <w:gridSpan w:val="9"/>
          </w:tcPr>
          <w:p>
            <w:pPr>
              <w:ind w:left="20"/>
              <w:spacing w:after="0"/>
              <w:rPr>
                <w:rFonts w:ascii="Arial" w:cs="Arial" w:eastAsia="Arial" w:hAnsi="Arial"/>
                <w:sz w:val="16"/>
                <w:szCs w:val="16"/>
                <w:color w:val="0000FF"/>
              </w:rPr>
            </w:pPr>
            <w:hyperlink w:anchor="page44">
              <w:r>
                <w:rPr>
                  <w:rFonts w:ascii="Arial" w:cs="Arial" w:eastAsia="Arial" w:hAnsi="Arial"/>
                  <w:sz w:val="16"/>
                  <w:szCs w:val="16"/>
                  <w:color w:val="0000FF"/>
                </w:rPr>
                <w:t>Controls and Procedures</w:t>
              </w:r>
            </w:hyperlink>
          </w:p>
        </w:tc>
        <w:tc>
          <w:tcPr>
            <w:tcW w:w="5480" w:type="dxa"/>
            <w:vAlign w:val="bottom"/>
            <w:gridSpan w:val="6"/>
          </w:tcPr>
          <w:p>
            <w:pPr>
              <w:spacing w:after="0"/>
              <w:rPr>
                <w:sz w:val="17"/>
                <w:szCs w:val="17"/>
                <w:color w:val="auto"/>
              </w:rPr>
            </w:pPr>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II</w:t>
            </w: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Other Information</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4">
              <w:r>
                <w:rPr>
                  <w:rFonts w:ascii="Arial" w:cs="Arial" w:eastAsia="Arial" w:hAnsi="Arial"/>
                  <w:sz w:val="16"/>
                  <w:szCs w:val="16"/>
                  <w:color w:val="0000FF"/>
                  <w:w w:val="93"/>
                </w:rPr>
                <w:t>Item 1.</w:t>
              </w:r>
            </w:hyperlink>
          </w:p>
        </w:tc>
        <w:tc>
          <w:tcPr>
            <w:tcW w:w="9420" w:type="dxa"/>
            <w:vAlign w:val="bottom"/>
            <w:gridSpan w:val="15"/>
          </w:tcPr>
          <w:p>
            <w:pPr>
              <w:ind w:left="20"/>
              <w:spacing w:after="0"/>
              <w:rPr>
                <w:rFonts w:ascii="Arial" w:cs="Arial" w:eastAsia="Arial" w:hAnsi="Arial"/>
                <w:sz w:val="16"/>
                <w:szCs w:val="16"/>
                <w:color w:val="0000FF"/>
              </w:rPr>
            </w:pPr>
            <w:hyperlink w:anchor="page44">
              <w:r>
                <w:rPr>
                  <w:rFonts w:ascii="Arial" w:cs="Arial" w:eastAsia="Arial" w:hAnsi="Arial"/>
                  <w:sz w:val="16"/>
                  <w:szCs w:val="16"/>
                  <w:color w:val="0000FF"/>
                </w:rPr>
                <w:t>Legal Proceedings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1440" w:type="dxa"/>
            <w:vAlign w:val="bottom"/>
            <w:gridSpan w:val="6"/>
            <w:shd w:val="clear" w:color="auto" w:fill="CCEEFF"/>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Item 1A. Risk Factors</w:t>
              </w:r>
            </w:hyperlink>
          </w:p>
        </w:tc>
        <w:tc>
          <w:tcPr>
            <w:tcW w:w="8460" w:type="dxa"/>
            <w:vAlign w:val="bottom"/>
            <w:gridSpan w:val="11"/>
            <w:shd w:val="clear" w:color="auto" w:fill="CCEEFF"/>
          </w:tcPr>
          <w:p>
            <w:pPr>
              <w:spacing w:after="0"/>
              <w:rPr>
                <w:sz w:val="17"/>
                <w:szCs w:val="17"/>
                <w:color w:val="auto"/>
              </w:rPr>
            </w:pPr>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5">
              <w:r>
                <w:rPr>
                  <w:rFonts w:ascii="Arial" w:cs="Arial" w:eastAsia="Arial" w:hAnsi="Arial"/>
                  <w:sz w:val="16"/>
                  <w:szCs w:val="16"/>
                  <w:color w:val="0000FF"/>
                  <w:w w:val="93"/>
                </w:rPr>
                <w:t>Item 2.</w:t>
              </w:r>
            </w:hyperlink>
          </w:p>
        </w:tc>
        <w:tc>
          <w:tcPr>
            <w:tcW w:w="9420" w:type="dxa"/>
            <w:vAlign w:val="bottom"/>
            <w:gridSpan w:val="15"/>
          </w:tcPr>
          <w:p>
            <w:pPr>
              <w:ind w:left="20"/>
              <w:spacing w:after="0"/>
              <w:rPr>
                <w:rFonts w:ascii="Arial" w:cs="Arial" w:eastAsia="Arial" w:hAnsi="Arial"/>
                <w:sz w:val="16"/>
                <w:szCs w:val="16"/>
                <w:color w:val="0000FF"/>
              </w:rPr>
            </w:pPr>
            <w:hyperlink w:anchor="page45">
              <w:r>
                <w:rPr>
                  <w:rFonts w:ascii="Arial" w:cs="Arial" w:eastAsia="Arial" w:hAnsi="Arial"/>
                  <w:sz w:val="16"/>
                  <w:szCs w:val="16"/>
                  <w:color w:val="0000FF"/>
                </w:rPr>
                <w:t>Unregistered Sales of Equity Securities and Use of Proceeds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6">
              <w:r>
                <w:rPr>
                  <w:rFonts w:ascii="Arial" w:cs="Arial" w:eastAsia="Arial" w:hAnsi="Arial"/>
                  <w:sz w:val="16"/>
                  <w:szCs w:val="16"/>
                  <w:color w:val="0000FF"/>
                  <w:w w:val="93"/>
                </w:rPr>
                <w:t>Item 6.</w:t>
              </w:r>
            </w:hyperlink>
          </w:p>
        </w:tc>
        <w:tc>
          <w:tcPr>
            <w:tcW w:w="9420" w:type="dxa"/>
            <w:vAlign w:val="bottom"/>
            <w:gridSpan w:val="15"/>
            <w:shd w:val="clear" w:color="auto" w:fill="CCEEFF"/>
          </w:tcPr>
          <w:p>
            <w:pPr>
              <w:ind w:left="20"/>
              <w:spacing w:after="0"/>
              <w:rPr>
                <w:rFonts w:ascii="Arial" w:cs="Arial" w:eastAsia="Arial" w:hAnsi="Arial"/>
                <w:sz w:val="16"/>
                <w:szCs w:val="16"/>
                <w:color w:val="0000FF"/>
              </w:rPr>
            </w:pPr>
            <w:hyperlink w:anchor="page46">
              <w:r>
                <w:rPr>
                  <w:rFonts w:ascii="Arial" w:cs="Arial" w:eastAsia="Arial" w:hAnsi="Arial"/>
                  <w:sz w:val="16"/>
                  <w:szCs w:val="16"/>
                  <w:color w:val="0000FF"/>
                </w:rPr>
                <w:t>Exhibits</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As of June 30, 2018</w:t>
            </w: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As of December 31, 2017</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8"/>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Assets: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w w:val="98"/>
              </w:rPr>
              <w:t>Accounts and notes receivable, net of allowances of $6.2 and $5.9 in 2018 and 2017, respectively</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741.3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506.5</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Assets held for sale</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78.4</w:t>
            </w:r>
          </w:p>
        </w:tc>
      </w:tr>
      <w:tr>
        <w:trPr>
          <w:trHeight w:val="219"/>
        </w:trPr>
        <w:tc>
          <w:tcPr>
            <w:tcW w:w="7440" w:type="dxa"/>
            <w:vAlign w:val="bottom"/>
          </w:tcPr>
          <w:p>
            <w:pPr>
              <w:ind w:left="380"/>
              <w:spacing w:after="0"/>
              <w:rPr>
                <w:sz w:val="20"/>
                <w:szCs w:val="20"/>
                <w:color w:val="auto"/>
              </w:rPr>
            </w:pPr>
            <w:r>
              <w:rPr>
                <w:rFonts w:ascii="Arial" w:cs="Arial" w:eastAsia="Arial" w:hAnsi="Arial"/>
                <w:sz w:val="17"/>
                <w:szCs w:val="17"/>
                <w:color w:val="auto"/>
              </w:rPr>
              <w:t>Total current assets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1,385.8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1,137.3</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Property, plant and equipment, net of accumulated depreciation of $757.0 and $774.2 in 2018 and 2017,</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397.8</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186.8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200.5</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Other assets, net</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61.5</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2,099.4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1,891.5</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Short-term debt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32.6</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348.6</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253.6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270.3</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shd w:val="clear" w:color="auto" w:fill="CCEEFF"/>
              </w:rPr>
              <w:t>Liabilities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654.5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1,319.0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970.5</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Post-retirement benefits, other than pensions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Pensions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84.5</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129.3</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2,279.6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1,841.4</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Stockholders' equity:</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1,061.5</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1,722.8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1,575.9</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(157.4)</w:t>
            </w:r>
          </w:p>
        </w:tc>
      </w:tr>
      <w:tr>
        <w:trPr>
          <w:trHeight w:val="212"/>
        </w:trPr>
        <w:tc>
          <w:tcPr>
            <w:tcW w:w="7440" w:type="dxa"/>
            <w:vAlign w:val="bottom"/>
          </w:tcPr>
          <w:p>
            <w:pPr>
              <w:ind w:left="180"/>
              <w:spacing w:after="0"/>
              <w:rPr>
                <w:sz w:val="20"/>
                <w:szCs w:val="20"/>
                <w:color w:val="auto"/>
              </w:rPr>
            </w:pPr>
            <w:r>
              <w:rPr>
                <w:rFonts w:ascii="Arial" w:cs="Arial" w:eastAsia="Arial" w:hAnsi="Arial"/>
                <w:sz w:val="17"/>
                <w:szCs w:val="17"/>
                <w:color w:val="auto"/>
                <w:w w:val="90"/>
              </w:rPr>
              <w:t>Treasury stock, at cost, 46,920,057 shares and 45,361,145 shares as of June 30, 2018 and December 31,</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7"/>
                <w:szCs w:val="17"/>
                <w:color w:val="auto"/>
              </w:rPr>
              <w:t>2017, respectively</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(2,791.3)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(2,430.8)</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50.1</w:t>
            </w:r>
          </w:p>
        </w:tc>
      </w:tr>
      <w:tr>
        <w:trPr>
          <w:trHeight w:val="24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2,099.4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1,891.5</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6"/>
                <w:szCs w:val="16"/>
                <w:b w:val="1"/>
                <w:bCs w:val="1"/>
                <w:color w:val="auto"/>
                <w:w w:val="89"/>
              </w:rPr>
              <w:t>30,</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231"/>
        </w:trPr>
        <w:tc>
          <w:tcPr>
            <w:tcW w:w="5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2017</w:t>
            </w:r>
          </w:p>
        </w:tc>
      </w:tr>
      <w:tr>
        <w:trPr>
          <w:trHeight w:val="33"/>
        </w:trPr>
        <w:tc>
          <w:tcPr>
            <w:tcW w:w="5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1,895.6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1,343.8</w:t>
            </w:r>
          </w:p>
        </w:tc>
      </w:tr>
      <w:tr>
        <w:trPr>
          <w:trHeight w:val="27"/>
        </w:trPr>
        <w:tc>
          <w:tcPr>
            <w:tcW w:w="5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320.9</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Losses and other expenses, net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(Gain) loss, net on sale of business and related property</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assets held for sale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Income from equity method investments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200" w:type="dxa"/>
            <w:vAlign w:val="bottom"/>
          </w:tcPr>
          <w:p>
            <w:pPr>
              <w:ind w:left="480"/>
              <w:spacing w:after="0"/>
              <w:rPr>
                <w:sz w:val="20"/>
                <w:szCs w:val="20"/>
                <w:color w:val="auto"/>
              </w:rPr>
            </w:pPr>
            <w:r>
              <w:rPr>
                <w:rFonts w:ascii="Arial" w:cs="Arial" w:eastAsia="Arial" w:hAnsi="Arial"/>
                <w:sz w:val="18"/>
                <w:szCs w:val="18"/>
                <w:color w:val="auto"/>
              </w:rPr>
              <w:t>Income from continuing operations before income taxes</w:t>
            </w:r>
          </w:p>
        </w:tc>
        <w:tc>
          <w:tcPr>
            <w:tcW w:w="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220.6</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159.9</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Discontinued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w w:val="98"/>
              </w:rPr>
              <w:t>Income (loss) from discontinued operations before income taxes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20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137.6</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3.76</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97"/>
        </w:trPr>
        <w:tc>
          <w:tcPr>
            <w:tcW w:w="5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3.70</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97"/>
        </w:trPr>
        <w:tc>
          <w:tcPr>
            <w:tcW w:w="5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w:t>
            </w:r>
          </w:p>
        </w:tc>
      </w:tr>
      <w:tr>
        <w:trPr>
          <w:trHeight w:val="311"/>
        </w:trPr>
        <w:tc>
          <w:tcPr>
            <w:tcW w:w="5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42.6</w:t>
            </w:r>
          </w:p>
        </w:tc>
      </w:tr>
      <w:tr>
        <w:trPr>
          <w:trHeight w:val="27"/>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43.2</w:t>
            </w:r>
          </w:p>
        </w:tc>
      </w:tr>
      <w:tr>
        <w:trPr>
          <w:trHeight w:val="324"/>
        </w:trPr>
        <w:tc>
          <w:tcPr>
            <w:tcW w:w="5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0.94</w:t>
            </w:r>
          </w:p>
        </w:tc>
      </w:tr>
      <w:tr>
        <w:trPr>
          <w:trHeight w:val="432"/>
        </w:trPr>
        <w:tc>
          <w:tcPr>
            <w:tcW w:w="9040" w:type="dxa"/>
            <w:vAlign w:val="bottom"/>
            <w:gridSpan w:val="10"/>
          </w:tcPr>
          <w:p>
            <w:pPr>
              <w:jc w:val="center"/>
              <w:ind w:left="22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52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60"/>
          </w:cols>
          <w:pgMar w:left="280" w:top="769"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w w:val="99"/>
              </w:rPr>
              <w:t>Reclassification of foreign currency translation adjustments into earnings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pension and post-retirement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w w:val="96"/>
              </w:rPr>
              <w:t>Reclassification of pension and post-retirement benefit losses into earnings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available-for-sale marketable 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change in fair value of cash flow hedges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cash flow hedge gains into earnings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Other comprehensive (loss) income before income taxes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28.6</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187.6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4"/>
            <w:shd w:val="clear" w:color="auto" w:fill="CCEEFF"/>
          </w:tcPr>
          <w:p>
            <w:pPr>
              <w:jc w:val="right"/>
              <w:ind w:right="354"/>
              <w:spacing w:after="0"/>
              <w:rPr>
                <w:sz w:val="20"/>
                <w:szCs w:val="20"/>
                <w:color w:val="auto"/>
              </w:rPr>
            </w:pPr>
            <w:r>
              <w:rPr>
                <w:rFonts w:ascii="Arial" w:cs="Arial" w:eastAsia="Arial" w:hAnsi="Arial"/>
                <w:sz w:val="16"/>
                <w:szCs w:val="16"/>
                <w:b w:val="1"/>
                <w:bCs w:val="1"/>
                <w:color w:val="auto"/>
                <w:w w:val="97"/>
              </w:rPr>
              <w:t>For the Six Months Ended June 30,</w:t>
            </w:r>
          </w:p>
        </w:tc>
      </w:tr>
      <w:tr>
        <w:trPr>
          <w:trHeight w:val="217"/>
        </w:trPr>
        <w:tc>
          <w:tcPr>
            <w:tcW w:w="8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2017</w:t>
            </w:r>
          </w:p>
        </w:tc>
      </w:tr>
      <w:tr>
        <w:trPr>
          <w:trHeight w:val="47"/>
        </w:trPr>
        <w:tc>
          <w:tcPr>
            <w:tcW w:w="8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159.0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 of Australia property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Loss on the sale of Australia business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Loss on Brazil 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Income from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Dividend from Affiliates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2.5</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Restructuring charges, net of cash paid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Provision for bad debts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2.7</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Unrealized losses (gains) on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12.5</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32.0</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items,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Changes in assets and liabilities, net of effects of divestitures: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and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(114.1)</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81.3</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Income taxes payable and receivable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16.2</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b w:val="1"/>
                <w:bCs w:val="1"/>
                <w:color w:val="auto"/>
              </w:rPr>
              <w:t>Net cash used in operating activities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(48.3)</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7"/>
                <w:szCs w:val="17"/>
                <w:color w:val="auto"/>
              </w:rPr>
              <w:t>Proceeds from the disposal of property, plant and equipment</w:t>
            </w: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Purchases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Net proceeds from sale of business and related property</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111.8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(43.2)</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Asset securitization borrowings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200.0</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Long-term debt payments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(200.5)</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1,352.5</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Payments on credit facility</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(1,042.0)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(1,031.0)</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Repurchases of common stock</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(175.0)</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Cash dividends paid</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(36.9)</w:t>
            </w:r>
          </w:p>
        </w:tc>
      </w:tr>
      <w:tr>
        <w:trPr>
          <w:trHeight w:val="31"/>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95.4</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(Decrease) increase in cash and cash equivalents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3.9</w:t>
            </w:r>
          </w:p>
        </w:tc>
      </w:tr>
      <w:tr>
        <w:trPr>
          <w:trHeight w:val="31"/>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50.2</w:t>
            </w:r>
          </w:p>
        </w:tc>
      </w:tr>
      <w:tr>
        <w:trPr>
          <w:trHeight w:val="31"/>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61.3</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30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Interest paid</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17.1</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Income taxes paid (net of refunds)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47.8</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420"/>
          </w:cols>
          <w:pgMar w:left="240" w:top="769" w:right="239" w:bottom="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accompanying unaudited Consolidated Balance Sheet as of June 30, 2018, the accompanying unaudited Consolidated Statements of Operations for the three and six months ended June 30, 2018 and 2017, the accompanying unaudited Consolidated Statements of Comprehensive Income for the three and six months ended June 30, 2018 and 2017, and the accompanying unaudited Consolidated Statements of Cash Flows for the six months ended June 30, 2018 and 2017 should be read in conjunction with our audited consolidated financial statements and footnotes included in our Annual Report on Form 10-K for the year ended December 31, 2017.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amounts have been reclassified from the prior year presentation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w:t>
      </w:r>
      <w:r>
        <w:rPr>
          <w:rFonts w:ascii="Arial" w:cs="Arial" w:eastAsia="Arial" w:hAnsi="Arial"/>
          <w:sz w:val="18"/>
          <w:szCs w:val="18"/>
          <w:color w:val="auto"/>
        </w:rPr>
        <w:t>. The amendments in this ASU clarify the classification for eight different types of activities, including debt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extinguishment costs, proceeds from insurance claims and distributions from equity method investees. For public business entities, the standard is effective for financial statements issued for fiscal years beginning after December 15, 2017. This standard did not have a material impact on our consolidated financial statements.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adopted other new accounting standards during the first quarter of 2018. The impact of these additional standards are discussed in their respective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February 25, 2016, the FASB issued ASU No.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Lessees will need to recognize almost all leases on their balance sheet as a right-of-use asset and a lease liability. It will be critical to identify leases embedded in a contract to avoid misstating the lessee’s balance sheet. For income statement purposes, the FASB retained a dual model, requiring leases to be classified as either operating or finance. Classification will be based on criteria that are largely similar to those applied in current lease accounting, but without explicit bright lines. ASU 2016-02 is effective for public companies for annual reporting periods beginning after December 15, 2018, and interim periods within those fiscal years. As a result of the new standard, all of our leases greater than one year in duration will be recognized in our Consolidated Balance Sheets as both operating lease liabilities and right-of-use assets upon adoption of the standard. We will adopt the standard using the prospective approach. We have completed a qualitative assessment of our lease portfolio and are in the process of implementing a new system, collecting data and designing processes and controls to account for our leases in accordance with the new standard.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and applied it to all contracts using the modified retrospective method. We recognized the cumulative effect of initially applying the new revenue standard as an adjustment to the opening balance of retained earnings.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cumulative effect of the changes made to our consolidated January 1, 2018 balance sheet for the adoption of the new revenue standard was as follows (in millions):</w:t>
      </w:r>
    </w:p>
    <w:p>
      <w:pPr>
        <w:spacing w:after="0" w:line="104"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203"/>
        </w:trPr>
        <w:tc>
          <w:tcPr>
            <w:tcW w:w="54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3"/>
              </w:rPr>
              <w:t>Due to ASC</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3"/>
              </w:rPr>
              <w:t>January 1,</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89"/>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33"/>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and notes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514.8</w:t>
            </w:r>
          </w:p>
        </w:tc>
        <w:tc>
          <w:tcPr>
            <w:tcW w:w="0" w:type="dxa"/>
            <w:vAlign w:val="bottom"/>
          </w:tcPr>
          <w:p>
            <w:pPr>
              <w:spacing w:after="0"/>
              <w:rPr>
                <w:sz w:val="1"/>
                <w:szCs w:val="1"/>
                <w:color w:val="auto"/>
              </w:rPr>
            </w:pPr>
          </w:p>
        </w:tc>
      </w:tr>
      <w:tr>
        <w:trPr>
          <w:trHeight w:val="239"/>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our Consolidated Balance Sheet and Consolidated Statement of Operations was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June 30, 2018</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r>
      <w:tr>
        <w:trPr>
          <w:trHeight w:val="209"/>
        </w:trPr>
        <w:tc>
          <w:tcPr>
            <w:tcW w:w="5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Balances Without</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Adoption of ASC 606</w:t>
            </w:r>
          </w:p>
        </w:tc>
        <w:tc>
          <w:tcPr>
            <w:tcW w:w="240" w:type="dxa"/>
            <w:vAlign w:val="bottom"/>
          </w:tcPr>
          <w:p>
            <w:pPr>
              <w:spacing w:after="0"/>
              <w:rPr>
                <w:sz w:val="18"/>
                <w:szCs w:val="18"/>
                <w:color w:val="auto"/>
              </w:rPr>
            </w:pPr>
          </w:p>
        </w:tc>
        <w:tc>
          <w:tcPr>
            <w:tcW w:w="164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and notes receivable,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1,725.3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980" w:type="dxa"/>
            <w:vAlign w:val="bottom"/>
            <w:gridSpan w:val="3"/>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7"/>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92"/>
              </w:rPr>
              <w:t>For the Three Months Ended June 30, 2018</w:t>
            </w:r>
          </w:p>
        </w:tc>
      </w:tr>
      <w:tr>
        <w:trPr>
          <w:trHeight w:val="209"/>
        </w:trPr>
        <w:tc>
          <w:tcPr>
            <w:tcW w:w="5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Activity Without</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Adoption of ASC 606</w:t>
            </w:r>
          </w:p>
        </w:tc>
        <w:tc>
          <w:tcPr>
            <w:tcW w:w="240" w:type="dxa"/>
            <w:vAlign w:val="bottom"/>
          </w:tcPr>
          <w:p>
            <w:pPr>
              <w:spacing w:after="0"/>
              <w:rPr>
                <w:sz w:val="18"/>
                <w:szCs w:val="18"/>
                <w:color w:val="auto"/>
              </w:rPr>
            </w:pPr>
          </w:p>
        </w:tc>
        <w:tc>
          <w:tcPr>
            <w:tcW w:w="164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1,175.4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1,175.5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8" w:name="page9"/>
    <w:bookmarkEnd w:id="8"/>
    <w:tbl>
      <w:tblPr>
        <w:tblLayout w:type="fixed"/>
        <w:tblInd w:w="180" w:type="dxa"/>
        <w:tblCellMar>
          <w:top w:w="0" w:type="dxa"/>
          <w:left w:w="0" w:type="dxa"/>
          <w:bottom w:w="0" w:type="dxa"/>
          <w:right w:w="0" w:type="dxa"/>
        </w:tblCellMar>
      </w:tblPr>
      <w:tr>
        <w:trPr>
          <w:trHeight w:val="270"/>
        </w:trPr>
        <w:tc>
          <w:tcPr>
            <w:tcW w:w="5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6"/>
            <w:shd w:val="clear" w:color="auto" w:fill="CCEEFF"/>
          </w:tcPr>
          <w:p>
            <w:pPr>
              <w:jc w:val="center"/>
              <w:ind w:left="1139"/>
              <w:spacing w:after="0"/>
              <w:rPr>
                <w:sz w:val="20"/>
                <w:szCs w:val="20"/>
                <w:color w:val="auto"/>
              </w:rPr>
            </w:pPr>
            <w:r>
              <w:rPr>
                <w:rFonts w:ascii="Arial" w:cs="Arial" w:eastAsia="Arial" w:hAnsi="Arial"/>
                <w:sz w:val="16"/>
                <w:szCs w:val="16"/>
                <w:b w:val="1"/>
                <w:bCs w:val="1"/>
                <w:color w:val="auto"/>
                <w:w w:val="92"/>
              </w:rPr>
              <w:t>For the Six Months Ended June 30, 2018</w:t>
            </w:r>
          </w:p>
        </w:tc>
        <w:tc>
          <w:tcPr>
            <w:tcW w:w="1520" w:type="dxa"/>
            <w:vAlign w:val="bottom"/>
            <w:tcBorders>
              <w:bottom w:val="single" w:sz="8" w:color="CCEEFF"/>
            </w:tcBorders>
            <w:shd w:val="clear" w:color="auto" w:fill="CCEEFF"/>
          </w:tcPr>
          <w:p>
            <w:pPr>
              <w:spacing w:after="0"/>
              <w:rPr>
                <w:sz w:val="23"/>
                <w:szCs w:val="23"/>
                <w:color w:val="auto"/>
              </w:rPr>
            </w:pPr>
          </w:p>
        </w:tc>
      </w:tr>
      <w:tr>
        <w:trPr>
          <w:trHeight w:val="209"/>
        </w:trPr>
        <w:tc>
          <w:tcPr>
            <w:tcW w:w="5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5"/>
              </w:rPr>
              <w:t>Activity Without</w:t>
            </w: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Effect of Change</w:t>
            </w:r>
          </w:p>
        </w:tc>
      </w:tr>
      <w:tr>
        <w:trPr>
          <w:trHeight w:val="210"/>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Adoption of ASC 606</w:t>
            </w:r>
          </w:p>
        </w:tc>
        <w:tc>
          <w:tcPr>
            <w:tcW w:w="360" w:type="dxa"/>
            <w:vAlign w:val="bottom"/>
          </w:tcPr>
          <w:p>
            <w:pPr>
              <w:spacing w:after="0"/>
              <w:rPr>
                <w:sz w:val="18"/>
                <w:szCs w:val="18"/>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w w:val="97"/>
              </w:rPr>
              <w:t>Higher/(Lower)</w:t>
            </w:r>
          </w:p>
        </w:tc>
      </w:tr>
      <w:tr>
        <w:trPr>
          <w:trHeight w:val="33"/>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2,010.2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2,010.4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 of revenue. See Note 16 for additional description of our reportable business segments and the products and services being sold in each segment.</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2"/>
              </w:rPr>
              <w:t>For the Three Months Ended June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1,095.7</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69.1</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716.0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292.2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167.2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1,175.4</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1"/>
              </w:rPr>
              <w:t>For the Six Months Ended June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1,838.3</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122.2</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1,169.7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497.7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342.8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2,010.2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1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See Note 7 for more information on product warranties.</w:t>
      </w:r>
    </w:p>
    <w:p>
      <w:pPr>
        <w:spacing w:after="0" w:line="16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color w:val="auto"/>
        </w:rPr>
        <w:t xml:space="preserve">Residential Heating &amp; Cooling </w:t>
      </w:r>
      <w:r>
        <w:rPr>
          <w:rFonts w:ascii="Arial" w:cs="Arial" w:eastAsia="Arial" w:hAnsi="Arial"/>
          <w:sz w:val="17"/>
          <w:szCs w:val="17"/>
          <w:color w:val="auto"/>
        </w:rPr>
        <w:t>- We manufacture and market a broad range of furnaces, air conditioners, heat pumps, packaged heating and cooling</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PartsPlus stores or to independent distributors. For the segment, for the three and six months ended June 30, 2018, direct sales represent approximately $546.7 million and $886.3 million of revenues and sales to independent distributors represent approximately $169.3 million and $283.4 million of revenues, respectively. Given the nature of our business, customer product orders are fulfilled at a point in time and not over a period of time.</w:t>
      </w:r>
    </w:p>
    <w:p>
      <w:pPr>
        <w:spacing w:after="0" w:line="172"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b w:val="1"/>
          <w:bCs w:val="1"/>
          <w:color w:val="auto"/>
        </w:rPr>
        <w:t xml:space="preserve">Commercial Heating &amp; Cooling </w:t>
      </w:r>
      <w:r>
        <w:rPr>
          <w:rFonts w:ascii="Arial" w:cs="Arial" w:eastAsia="Arial" w:hAnsi="Arial"/>
          <w:sz w:val="18"/>
          <w:szCs w:val="18"/>
          <w:color w:val="auto"/>
        </w:rPr>
        <w:t>- In North America, we manufacture and sell unitary heating and cooling equipment used in light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34" w:right="2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t>emergency replacement and new construction markets. Revenue for the products sold is recognized at a point in time when control transfers to the customer, which is generally at time of shipment. Lennox National Account Service provides installation, service and preventive maintenance for commercial HVAC national account customers in the United States and Canada. Revenue related to service contracts is recognized as the services are performed under the contract based on the relative fair value of the services provided. In Europe, we manufacture and sell unitary products and applied systems. For the segment, for the three and six months ended June 30, 2018, equipment sales represent approximately $279.3 million and $457.2 million of revenues while $12.9 million and $40.5 million of our revenue is generated from our service business, respectively.</w:t>
      </w:r>
    </w:p>
    <w:p>
      <w:pPr>
        <w:spacing w:after="0" w:line="174"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6"/>
          <w:szCs w:val="16"/>
          <w:b w:val="1"/>
          <w:bCs w:val="1"/>
          <w:color w:val="auto"/>
        </w:rPr>
        <w:t xml:space="preserve">Refrigeration </w:t>
      </w:r>
      <w:r>
        <w:rPr>
          <w:rFonts w:ascii="Arial" w:cs="Arial" w:eastAsia="Arial" w:hAnsi="Arial"/>
          <w:sz w:val="16"/>
          <w:szCs w:val="16"/>
          <w:color w:val="auto"/>
        </w:rPr>
        <w:t>- We manufacture and market equipment for the global commercial refrigeration markets under the Heatcraft Worldwide Refrigeration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name. Our products are used in the food retail, food service, cold storage as well as non-food refrigeration markets. We sell these products to distributors, installing contractors, engineering design firms, original equipment manufacturers and end-users. Revenue for the products sold is $165.4 million and $339 million for the three and six months ended June 30, 2018 and and is recognized at a point in time when control transfers to the customer, which is generally at time of shipment. The remaining segment revenue relates to service revenues related to start-up and commissioning activities.</w:t>
      </w:r>
    </w:p>
    <w:p>
      <w:pPr>
        <w:spacing w:after="0" w:line="15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w:t>
      </w:r>
    </w:p>
    <w:p>
      <w:pPr>
        <w:spacing w:after="0" w:line="180"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Accounts payable in our Consolidated Balance Sheet. The noncurrent portion of deferred revenue is included in Other liabilities in our Consolidated Balance Sheet.</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60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5"/>
              </w:rPr>
              <w:t>$ change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66.7 %</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37"/>
        </w:trPr>
        <w:tc>
          <w:tcPr>
            <w:tcW w:w="606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33"/>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43"/>
        <w:spacing w:after="0" w:line="308" w:lineRule="auto"/>
        <w:rPr>
          <w:sz w:val="20"/>
          <w:szCs w:val="20"/>
          <w:color w:val="auto"/>
        </w:rPr>
      </w:pPr>
      <w:r>
        <w:rPr>
          <w:rFonts w:ascii="Arial" w:cs="Arial" w:eastAsia="Arial" w:hAnsi="Arial"/>
          <w:sz w:val="17"/>
          <w:szCs w:val="17"/>
          <w:color w:val="auto"/>
        </w:rPr>
        <w:t>For the three and six months ended June 30, 2018, we recognized revenue of $1.3 million and $2.9 million related to our contract liabilities at January 1, 2018, respectively. Impairment losses recognized in our receivables and contract assets were de minimis in the second quarter of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of June 30, 2018</w:t>
            </w:r>
          </w:p>
        </w:tc>
        <w:tc>
          <w:tcPr>
            <w:tcW w:w="19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As of December 31, 2017</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536.6</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inventories,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540.2</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484.2</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the carrying amount of goodwill for the first six months of 2018, in total and by segment, are summarized in the table below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 to assets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Changes in foreign</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Balance at June 30,</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Goodwill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perform our annual goodwill impairment test in the fourth quarter of each year. We continue to monitor our reporting units for indicators of impairment throughout the year to determine if a change in facts or circumstances warrants a re-evaluation of our goodwill. In the current year, as a part of the completed sale of our Australia, New Zealand and Asia business and the planned sale of our Brazil business (discussed further in Note 14 of the Notes to the Consolidated Financial Statements) we transferred $11.5 million of goodwill to assets held for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2017, the FASB issued ASU 2017-12, Derivatives and Hedging (Topic 815),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ASU 2017-12 intends to simplify the application of hedge accounting guidance and better align an entity's risk management activities and financial reporting for hedging relationships through changes to both the designation and measurement guidance for qualifying hedging relationships and the presentation of hedge results. The amendments expand and refine hedge accounting for both nonfinancial and financial risk components and align the recognition and presentation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312" w:lineRule="auto"/>
        <w:rPr>
          <w:sz w:val="20"/>
          <w:szCs w:val="20"/>
          <w:color w:val="auto"/>
        </w:rPr>
      </w:pPr>
      <w:r>
        <w:rPr>
          <w:rFonts w:ascii="Arial" w:cs="Arial" w:eastAsia="Arial" w:hAnsi="Arial"/>
          <w:sz w:val="16"/>
          <w:szCs w:val="16"/>
          <w:color w:val="auto"/>
        </w:rPr>
        <w:t>effects of the hedging instrument and the hedged item in the financial statements. We early adopted ASU No. 2017-12 during the first quarter of 2018. The adoption of ASU No. 2017-12 did not have a material impact on our consolidated results of operations, cash flows, and statement of financial position. With the early adoption of ASU No. 2017-12 we began entering into commodity futures contracts designated as cash flow hedges related to aluminum purchases.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December 2018 and November 2019,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(gains) on unsettled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40" w:lineRule="exact"/>
        <w:rPr>
          <w:sz w:val="20"/>
          <w:szCs w:val="20"/>
          <w:color w:val="auto"/>
        </w:rPr>
      </w:pPr>
    </w:p>
    <w:p>
      <w:pPr>
        <w:ind w:left="500" w:hanging="168"/>
        <w:spacing w:after="0" w:line="216" w:lineRule="auto"/>
        <w:tabs>
          <w:tab w:leader="none" w:pos="541"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Assuming commodity and foreign currency prices remain constant, we expect to reclassify $0.2 million of derivative losses into earnings within the next 12 months.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commodity futures contracts designated as cash flow hedges (in millions of pounds):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6"/>
                <w:szCs w:val="16"/>
                <w:b w:val="1"/>
                <w:bCs w:val="1"/>
                <w:color w:val="auto"/>
              </w:rPr>
              <w:t>As of June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Aluminum</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foreign exchange forward contracts designated as cash flow hedges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6"/>
                <w:szCs w:val="16"/>
                <w:b w:val="1"/>
                <w:bCs w:val="1"/>
                <w:color w:val="auto"/>
              </w:rPr>
              <w:t>As of June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Amounts (in local currency):</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207.3</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r>
      <w:tr>
        <w:trPr>
          <w:trHeight w:val="27"/>
        </w:trPr>
        <w:tc>
          <w:tcPr>
            <w:tcW w:w="76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commodity derivatives not designated as cash flow hedges, we follow the same hedging strategy as derivatives designated as cash flow hedges, except that we elect not to designate them as cash flow hedges at the inception of the arrangement. We had the following outstanding commodity futures contracts not designated as cash flow hedges (in millions of pounds):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6"/>
                <w:szCs w:val="16"/>
                <w:b w:val="1"/>
                <w:bCs w:val="1"/>
                <w:color w:val="auto"/>
              </w:rPr>
              <w:t>As of June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322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6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Aluminum</w:t>
            </w:r>
          </w:p>
        </w:tc>
        <w:tc>
          <w:tcPr>
            <w:tcW w:w="6280" w:type="dxa"/>
            <w:vAlign w:val="bottom"/>
            <w:gridSpan w:val="2"/>
          </w:tcPr>
          <w:p>
            <w:pPr>
              <w:jc w:val="right"/>
              <w:ind w:right="39"/>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486"/>
        </w:trPr>
        <w:tc>
          <w:tcPr>
            <w:tcW w:w="3220" w:type="dxa"/>
            <w:vAlign w:val="bottom"/>
          </w:tcPr>
          <w:p>
            <w:pPr>
              <w:spacing w:after="0"/>
              <w:rPr>
                <w:sz w:val="24"/>
                <w:szCs w:val="24"/>
                <w:color w:val="auto"/>
              </w:rPr>
            </w:pPr>
          </w:p>
        </w:tc>
        <w:tc>
          <w:tcPr>
            <w:tcW w:w="4440" w:type="dxa"/>
            <w:vAlign w:val="bottom"/>
          </w:tcPr>
          <w:p>
            <w:pPr>
              <w:jc w:val="right"/>
              <w:ind w:right="1770"/>
              <w:spacing w:after="0"/>
              <w:rPr>
                <w:sz w:val="20"/>
                <w:szCs w:val="20"/>
                <w:color w:val="auto"/>
              </w:rPr>
            </w:pPr>
            <w:r>
              <w:rPr>
                <w:rFonts w:ascii="Arial" w:cs="Arial" w:eastAsia="Arial" w:hAnsi="Arial"/>
                <w:sz w:val="18"/>
                <w:szCs w:val="18"/>
                <w:color w:val="auto"/>
              </w:rPr>
              <w:t>10</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color w:val="auto"/>
        </w:rPr>
        <w:t>We also had the following outstanding foreign currency forward contracts not designated as cash flow hedges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6"/>
                <w:szCs w:val="16"/>
                <w:b w:val="1"/>
                <w:bCs w:val="1"/>
                <w:color w:val="auto"/>
              </w:rPr>
              <w:t>As of June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Amounts (in local currency):</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Chinese Yuan</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Mexican Peso</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Euro</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64.4</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Canadian Dollar</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British Pound</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Singapore Dollar</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107.0</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Zealand Dollar</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Indian Rupee</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the Locations and Amounts of Derivative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provide the locations and amounts of derivative fair values in the Consolidated Balance Sheets and derivative gains and losses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 xml:space="preserve">Fair Values of Derivative Instruments </w:t>
            </w:r>
            <w:r>
              <w:rPr>
                <w:rFonts w:ascii="Arial" w:cs="Arial" w:eastAsia="Arial" w:hAnsi="Arial"/>
                <w:sz w:val="21"/>
                <w:szCs w:val="21"/>
                <w:b w:val="1"/>
                <w:bCs w:val="1"/>
                <w:color w:val="auto"/>
                <w:vertAlign w:val="superscript"/>
              </w:rPr>
              <w:t>(1)</w:t>
            </w: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31"/>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Derivatives Designated as Hedging Instruments</w:t>
            </w:r>
          </w:p>
        </w:tc>
        <w:tc>
          <w:tcPr>
            <w:tcW w:w="376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Derivatives Not Designated as Hedging Instruments</w:t>
            </w:r>
          </w:p>
        </w:tc>
      </w:tr>
      <w:tr>
        <w:trPr>
          <w:trHeight w:val="3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June 30, 2018</w:t>
            </w: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As of December 31, 2017</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40" w:hanging="187"/>
        <w:spacing w:after="0"/>
        <w:tabs>
          <w:tab w:leader="none" w:pos="24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derivative instruments are classified as Level 2 within the fair value hierarchy. See Note 17 for more information.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For the Six Months Ended June</w:t>
            </w: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Cash Flow Hedges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3"/>
          </w:tcPr>
          <w:p>
            <w:pPr>
              <w:jc w:val="center"/>
              <w:ind w:left="13"/>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r>
      <w:tr>
        <w:trPr>
          <w:trHeight w:val="33"/>
        </w:trPr>
        <w:tc>
          <w:tcPr>
            <w:tcW w:w="5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3"/>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r>
      <w:tr>
        <w:trPr>
          <w:trHeight w:val="33"/>
        </w:trPr>
        <w:tc>
          <w:tcPr>
            <w:tcW w:w="5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540" w:type="dxa"/>
            <w:vAlign w:val="bottom"/>
          </w:tcPr>
          <w:p>
            <w:pPr>
              <w:ind w:left="40"/>
              <w:spacing w:after="0" w:line="264" w:lineRule="exact"/>
              <w:rPr>
                <w:sz w:val="20"/>
                <w:szCs w:val="20"/>
                <w:color w:val="auto"/>
              </w:rPr>
            </w:pPr>
            <w:r>
              <w:rPr>
                <w:rFonts w:ascii="Arial" w:cs="Arial" w:eastAsia="Arial" w:hAnsi="Arial"/>
                <w:sz w:val="18"/>
                <w:szCs w:val="18"/>
                <w:color w:val="auto"/>
                <w:w w:val="94"/>
              </w:rPr>
              <w:t xml:space="preserve">Amount of Gain reclassified from AOCL into Income (effective portion) </w:t>
            </w:r>
            <w:r>
              <w:rPr>
                <w:rFonts w:ascii="Arial" w:cs="Arial" w:eastAsia="Arial" w:hAnsi="Arial"/>
                <w:sz w:val="25"/>
                <w:szCs w:val="25"/>
                <w:color w:val="auto"/>
                <w:w w:val="94"/>
                <w:vertAlign w:val="superscript"/>
              </w:rPr>
              <w:t>(1)</w:t>
            </w:r>
          </w:p>
        </w:tc>
        <w:tc>
          <w:tcPr>
            <w:tcW w:w="1740" w:type="dxa"/>
            <w:vAlign w:val="bottom"/>
            <w:gridSpan w:val="3"/>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Amount of Loss recognized in Net income (ineffective portion) </w:t>
            </w:r>
            <w:r>
              <w:rPr>
                <w:rFonts w:ascii="Arial" w:cs="Arial" w:eastAsia="Arial" w:hAnsi="Arial"/>
                <w:sz w:val="25"/>
                <w:szCs w:val="25"/>
                <w:color w:val="auto"/>
                <w:vertAlign w:val="superscript"/>
              </w:rPr>
              <w:t>(2)(3)</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459"/>
        </w:trPr>
        <w:tc>
          <w:tcPr>
            <w:tcW w:w="5540" w:type="dxa"/>
            <w:vAlign w:val="bottom"/>
          </w:tcPr>
          <w:p>
            <w:pPr>
              <w:spacing w:after="0"/>
              <w:rPr>
                <w:sz w:val="24"/>
                <w:szCs w:val="24"/>
                <w:color w:val="auto"/>
              </w:rPr>
            </w:pPr>
          </w:p>
        </w:tc>
        <w:tc>
          <w:tcPr>
            <w:tcW w:w="860" w:type="dxa"/>
            <w:vAlign w:val="bottom"/>
          </w:tcPr>
          <w:p>
            <w:pPr>
              <w:jc w:val="right"/>
              <w:ind w:right="513"/>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Amount of (Gain)/Loss Recognized in Net Income:</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Commodity futures contracts </w:t>
            </w:r>
            <w:r>
              <w:rPr>
                <w:rFonts w:ascii="Arial" w:cs="Arial" w:eastAsia="Arial" w:hAnsi="Arial"/>
                <w:sz w:val="25"/>
                <w:szCs w:val="25"/>
                <w:color w:val="auto"/>
                <w:vertAlign w:val="superscript"/>
              </w:rPr>
              <w:t>(2)</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Foreign currency forward contracts </w:t>
            </w:r>
            <w:r>
              <w:rPr>
                <w:rFonts w:ascii="Arial" w:cs="Arial" w:eastAsia="Arial" w:hAnsi="Arial"/>
                <w:sz w:val="25"/>
                <w:szCs w:val="25"/>
                <w:color w:val="auto"/>
                <w:vertAlign w:val="superscript"/>
              </w:rPr>
              <w:t>(2)</w:t>
            </w:r>
          </w:p>
        </w:tc>
        <w:tc>
          <w:tcPr>
            <w:tcW w:w="8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360" w:hanging="190"/>
        <w:spacing w:after="0"/>
        <w:tabs>
          <w:tab w:leader="none" w:pos="360" w:val="left"/>
        </w:tabs>
        <w:numPr>
          <w:ilvl w:val="1"/>
          <w:numId w:val="3"/>
        </w:numPr>
        <w:rPr>
          <w:rFonts w:ascii="Arial" w:cs="Arial" w:eastAsia="Arial" w:hAnsi="Arial"/>
          <w:sz w:val="23"/>
          <w:szCs w:val="23"/>
          <w:color w:val="auto"/>
          <w:vertAlign w:val="superscript"/>
        </w:rPr>
      </w:pPr>
      <w:r>
        <w:rPr>
          <w:rFonts w:ascii="Arial" w:cs="Arial" w:eastAsia="Arial" w:hAnsi="Arial"/>
          <w:sz w:val="17"/>
          <w:szCs w:val="17"/>
          <w:color w:val="auto"/>
        </w:rPr>
        <w:t>The gain was recorded in Cost of goods sold in the accompanying Consolidated Statements of Operations.</w:t>
      </w:r>
    </w:p>
    <w:p>
      <w:pPr>
        <w:spacing w:after="0" w:line="1" w:lineRule="exact"/>
        <w:rPr>
          <w:rFonts w:ascii="Arial" w:cs="Arial" w:eastAsia="Arial" w:hAnsi="Arial"/>
          <w:sz w:val="23"/>
          <w:szCs w:val="23"/>
          <w:color w:val="auto"/>
          <w:vertAlign w:val="superscript"/>
        </w:rPr>
      </w:pPr>
    </w:p>
    <w:p>
      <w:pPr>
        <w:ind w:left="360" w:hanging="190"/>
        <w:spacing w:after="0" w:line="194" w:lineRule="auto"/>
        <w:tabs>
          <w:tab w:leader="none" w:pos="360" w:val="left"/>
        </w:tabs>
        <w:numPr>
          <w:ilvl w:val="1"/>
          <w:numId w:val="3"/>
        </w:numPr>
        <w:rPr>
          <w:rFonts w:ascii="Arial" w:cs="Arial" w:eastAsia="Arial" w:hAnsi="Arial"/>
          <w:sz w:val="23"/>
          <w:szCs w:val="23"/>
          <w:color w:val="auto"/>
          <w:vertAlign w:val="superscript"/>
        </w:rPr>
      </w:pPr>
      <w:r>
        <w:rPr>
          <w:rFonts w:ascii="Arial" w:cs="Arial" w:eastAsia="Arial" w:hAnsi="Arial"/>
          <w:sz w:val="17"/>
          <w:szCs w:val="17"/>
          <w:color w:val="auto"/>
        </w:rPr>
        <w:t>The (gain)/loss was recorded in Losses and other expenses, net in the accompanying Consolidated Statements of Operations.</w:t>
      </w:r>
    </w:p>
    <w:p>
      <w:pPr>
        <w:spacing w:after="0" w:line="2" w:lineRule="exact"/>
        <w:rPr>
          <w:rFonts w:ascii="Arial" w:cs="Arial" w:eastAsia="Arial" w:hAnsi="Arial"/>
          <w:sz w:val="23"/>
          <w:szCs w:val="23"/>
          <w:color w:val="auto"/>
          <w:vertAlign w:val="superscript"/>
        </w:rPr>
      </w:pPr>
    </w:p>
    <w:p>
      <w:pPr>
        <w:ind w:left="60" w:right="400" w:firstLine="164"/>
        <w:spacing w:after="0" w:line="224" w:lineRule="auto"/>
        <w:tabs>
          <w:tab w:leader="none" w:pos="414" w:val="left"/>
        </w:tabs>
        <w:numPr>
          <w:ilvl w:val="2"/>
          <w:numId w:val="3"/>
        </w:numPr>
        <w:rPr>
          <w:rFonts w:ascii="Arial" w:cs="Arial" w:eastAsia="Arial" w:hAnsi="Arial"/>
          <w:sz w:val="23"/>
          <w:szCs w:val="23"/>
          <w:color w:val="auto"/>
          <w:vertAlign w:val="superscript"/>
        </w:rPr>
      </w:pPr>
      <w:r>
        <w:rPr>
          <w:rFonts w:ascii="Arial" w:cs="Arial" w:eastAsia="Arial" w:hAnsi="Arial"/>
          <w:sz w:val="17"/>
          <w:szCs w:val="17"/>
          <w:color w:val="auto"/>
        </w:rPr>
        <w:t>ASU 2017-12 eliminates the requirement to disclose the amount of hedge ineffectiveness prospectively because this amount is no longer separately measured and reported.</w:t>
      </w:r>
    </w:p>
    <w:p>
      <w:pPr>
        <w:spacing w:after="0" w:line="198"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As of June 30, 2018, we had approximately $0.3 million in total gross unrecognized tax benefits and of this amount, all if recognized, would be recorded through the Consolidated Statement of Operations. As of June 30, 2018, we had an insignificant amount in interest recognized in income tax expense in accordance with FASB Accounting Standards Codification (“ASC”) Topic 740.</w:t>
      </w:r>
    </w:p>
    <w:p>
      <w:pPr>
        <w:spacing w:after="0" w:line="18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are currently under examination for our U.S. federal income taxes under the Internal Revenue Service's Compliance Assurance Program for 2018, and 2017 and are subject to examination by numerous other taxing authorities in the U.S. and in jurisdictions such as France, India and Germany. We are generally no longer subject to U.S. federal, state and local, or non-U.S. income tax examinations by taxing authorities for years prior to 2011.</w:t>
      </w:r>
    </w:p>
    <w:p>
      <w:pPr>
        <w:spacing w:after="0" w:line="1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Since January 1, 2018, several states have enacted legislation effective for tax years beginning on or after January 1, 2018, including changes to tax rates and apportionment methods. The impact of these changes is immaterial.</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October 24, 2016, the FASB issued ASU No. 2016-16, </w:t>
      </w:r>
      <w:r>
        <w:rPr>
          <w:rFonts w:ascii="Arial" w:cs="Arial" w:eastAsia="Arial" w:hAnsi="Arial"/>
          <w:sz w:val="18"/>
          <w:szCs w:val="18"/>
          <w:i w:val="1"/>
          <w:iCs w:val="1"/>
          <w:color w:val="auto"/>
        </w:rPr>
        <w:t>Accounting for Income Taxes: Intra-Entity Asset Transfers of Assets Other than Inventory</w:t>
      </w:r>
      <w:r>
        <w:rPr>
          <w:rFonts w:ascii="Arial" w:cs="Arial" w:eastAsia="Arial" w:hAnsi="Arial"/>
          <w:sz w:val="18"/>
          <w:szCs w:val="18"/>
          <w:color w:val="auto"/>
        </w:rPr>
        <w:t>, which requires companies to recognize the income tax effects of intercompany sales and transfers of assets other than inventory in the period in which the transfer occurs. Prior to ASU 2016-16, companies were required to defer the income tax effects of intercompany transfers of assets until the asset had been sold to an outside party or otherwise recognized. The new guidance is effective for public business entities for annual periods beginning after December 15, 2017 and interim periods within those annual periods. The guidance requires companies to apply a modified retrospective approach with a cumulative catch-up adjustment to opening retained earnings in the period of adoption. Accordingly, we recorded a $5.1 million decrease to opening retained earnings in the period ending March 31, 2018.</w:t>
      </w:r>
    </w:p>
    <w:p>
      <w:pPr>
        <w:spacing w:after="0" w:line="189"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the new global intangible low-taxed income ("GILTI") tax rules. 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We are not currently able to reasonably estimate the effect of the new GILTI tax rules on future U.S. inclusions in taxable income as the expected future impact of this provision of the Tax Act depends on our current structure and business. Therefore, although we have considered the current effects of GILTI when estimating our annual effective tax rate, we have not made any adjustments related to potential GILTI tax in our deferred taxes and have not made a policy decision regarding whether to record deferred taxes on GILTI.</w:t>
      </w:r>
    </w:p>
    <w:p>
      <w:pPr>
        <w:spacing w:after="0" w:line="1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 xml:space="preserve">On February 14, 2018, the FASB issued ASU No. 2018-02, </w:t>
      </w:r>
      <w:r>
        <w:rPr>
          <w:rFonts w:ascii="Arial" w:cs="Arial" w:eastAsia="Arial" w:hAnsi="Arial"/>
          <w:sz w:val="16"/>
          <w:szCs w:val="16"/>
          <w:i w:val="1"/>
          <w:iCs w:val="1"/>
          <w:color w:val="auto"/>
        </w:rPr>
        <w:t>Income Statement - Reporting Comprehensive Income (Topic 220): Reclassification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Effects from Accumulated Other Comprehensive Income, </w:t>
      </w:r>
      <w:r>
        <w:rPr>
          <w:rFonts w:ascii="Arial" w:cs="Arial" w:eastAsia="Arial" w:hAnsi="Arial"/>
          <w:sz w:val="16"/>
          <w:szCs w:val="16"/>
          <w:color w:val="auto"/>
        </w:rPr>
        <w:t>which permits companies to reclassify stranded tax effects caused by 2017 tax reform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(“AOCI”) and retained earnings. We have elected to adopt ASU 2018-02 to reclassify the income tax effects of the 2017 Act from AOCI to retained earnings for the period ending March 31, 2018. Accordingly, we recorded a $22.7 million increase to opening retained earnings in the period ending March 31, 2018 to reclassify the effect of the change in the U.S. federal corporate income tax rate, including the reduction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9"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 the federal benefit associated with state taxes, on the gross deferred tax amounts and related valuation allowances at the date of enactment of the Tax Cuts and Jobs Act related to items remaining in AOCI.</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Due to the Tax Act, several applications for changes in accounting method have been filed with the IRS to accelerate deductions into the 2017 U.S. federal income tax return. As of June 30, 2018 we have recognized discrete tax benefits of $3.8 million associated with the finalization of the calculations for accounting method changes for prepaid expenses, IBNR medical expenses and depreciable asset reclassifications and repairs.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2018</w:t>
            </w:r>
          </w:p>
        </w:tc>
        <w:tc>
          <w:tcPr>
            <w:tcW w:w="19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As of December 31, 2017</w:t>
            </w:r>
          </w:p>
        </w:tc>
      </w:tr>
      <w:tr>
        <w:trPr>
          <w:trHeight w:val="33"/>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changes in product warranty liabilities related to continuing operations for the six months ended June 30, 2018 were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claims paid</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liability from assets held for sale</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Total warranty liability as of June 30, 2018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243"/>
        <w:spacing w:after="0" w:line="270"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so we may have greater financial exposure for future settlements and judgments. For the six months ended June 30, 2018 and 2017, expense for asbestos-related litigation was $1.9 million and $2.4 million, respectively, net of probable insurance recoveries, for known and future asbestos-related litigation and is recorded in Losses and other expenses, net in the Consolidated Statements of Operations. For the three months ended June 30, 2018 and 2017, expense for asbestos-related litigation was $(0.2) million and $0.7 million, respectively, net of probable insurance recoveries.</w:t>
      </w:r>
    </w:p>
    <w:p>
      <w:pPr>
        <w:spacing w:after="0" w:line="17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October 2016, we self-reported to the Securities and Exchange Commission ("SEC") and the Department of Justice ("DOJ") an alleged payment in the amount of 30,000 rubles (approximately US $475) to a Russian customs broker or official. Under the oversight of our Audit Committee, we initiated an investigation into this matter with the assistance of external legal counsel and external forensic accountants.The scope of the investigation was later expanded to include our operations in Poland and Ukraine. The investigation raised questions regarding possible irregularities with respect to non-compliance with customs documents and procedures related to these operations. We concluded our investigation and communicated our findings to the SEC and the DOJ. We fully cooperated with the SEC and the DOJ regarding this matter. The DOJ has declined to prosecute this matter.</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Lines of Credit and Financing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As of June 30, 2018</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Short-Term Debt:</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short-term debt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3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970.5</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1,004.0</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$3.8 million and $0.9 million of foreign obligations outstanding as of June 30, 2018 and December 31, 2017, respectively, that were primarily borrowings under non-committed facilities. Proceeds on these facilities were $21.3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million and $0.8 million during the six months ended June 30, 2018 and 2017, respectively. Repayments on the facilities were $15.6 million and $1.8 million during the six months ended June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June 30, 2018</w:t>
            </w: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As of December 31, 2017</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Beneficial interest transferred</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June 30, 2018 and December 31, 2017 were 2.93% and 2.60%, respectively. The unused fee is based on 101% of the maximum available amount less the beneficial interest transferred and is calculated at a 0.35% fixed rate throughout the term of the agreement. We recorded these fees in Interest expense, net in the accompanying Consolidated Statements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June 30, 2018,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August 30, 2016, we replaced an earlier credit facility with the Domestic Credit Facility, which consists of a $650.0 million unsecured revolving credit facility and a $250.0 million unsecured term loan and matures in August 2021 (the "Maturity Date"). Under our Domestic Credit Facility, we had outstanding borrowings of $701.0 million, of which $205.0 million was the term loan balance, as well as $2.9 million committed to standby letters of credit as of June 30, 2018. Subject to covenant limitations, $151.1 million was available for future borrowings. The unsecured term loan also matures on the Maturity Date and requires quarterly principal repayments of $7.5 million. The revolving credit facility includes a subfacility for swingline loans of up to $65.0 million. Additionally, at our request and subject to certain conditions, the commitments under the Domestic Credit Facility may be increased by a maximum of $350.0 million as long as existing or new lenders agree to provide such additional commitments.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6"/>
                <w:szCs w:val="16"/>
                <w:b w:val="1"/>
                <w:bCs w:val="1"/>
                <w:color w:val="auto"/>
              </w:rPr>
              <w:t>As of June 30, 2018</w:t>
            </w:r>
          </w:p>
        </w:tc>
        <w:tc>
          <w:tcPr>
            <w:tcW w:w="2340" w:type="dxa"/>
            <w:vAlign w:val="bottom"/>
          </w:tcPr>
          <w:p>
            <w:pPr>
              <w:jc w:val="right"/>
              <w:ind w:right="234"/>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66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66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7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3"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June 30, 2018,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2018, we believe we were in compliance with all covenant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 Plans: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March 10, 2017, the FASB issued ASU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ASU 2017-07 changes the income statement presentation of defined benefit plan expense by requiring separation between operating expense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(income),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ind w:left="260"/>
        <w:spacing w:after="0"/>
        <w:rPr>
          <w:sz w:val="20"/>
          <w:szCs w:val="20"/>
          <w:color w:val="auto"/>
        </w:rPr>
      </w:pPr>
      <w:r>
        <w:rPr>
          <w:rFonts w:ascii="Arial" w:cs="Arial" w:eastAsia="Arial" w:hAnsi="Arial"/>
          <w:sz w:val="18"/>
          <w:szCs w:val="18"/>
          <w:color w:val="auto"/>
        </w:rPr>
        <w:t>The components of net periodic benefit cost were as follows (in millions):</w:t>
      </w:r>
    </w:p>
    <w:p>
      <w:pPr>
        <w:spacing w:after="0" w:line="185"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37465</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100" w:lineRule="exact"/>
        <w:rPr>
          <w:sz w:val="20"/>
          <w:szCs w:val="20"/>
          <w:color w:val="auto"/>
        </w:rPr>
      </w:pPr>
    </w:p>
    <w:p>
      <w:pPr>
        <w:ind w:left="7340"/>
        <w:spacing w:after="0"/>
        <w:tabs>
          <w:tab w:leader="none" w:pos="8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52070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Benefits</w:t>
      </w:r>
    </w:p>
    <w:p>
      <w:pPr>
        <w:spacing w:after="0" w:line="39" w:lineRule="exact"/>
        <w:rPr>
          <w:sz w:val="20"/>
          <w:szCs w:val="20"/>
          <w:color w:val="auto"/>
        </w:rPr>
      </w:pPr>
    </w:p>
    <w:p>
      <w:pPr>
        <w:sectPr>
          <w:pgSz w:w="11900" w:h="16838" w:orient="portrait"/>
          <w:cols w:equalWidth="0" w:num="2">
            <w:col w:w="8900" w:space="720"/>
            <w:col w:w="18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37465</wp:posOffset>
            </wp:positionV>
            <wp:extent cx="2804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p>
      <w:pPr>
        <w:spacing w:after="0" w:line="100" w:lineRule="exact"/>
        <w:rPr>
          <w:sz w:val="20"/>
          <w:szCs w:val="20"/>
          <w:color w:val="auto"/>
        </w:rPr>
      </w:pPr>
    </w:p>
    <w:p>
      <w:pPr>
        <w:ind w:left="7340"/>
        <w:spacing w:after="0"/>
        <w:tabs>
          <w:tab w:leader="none" w:pos="8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804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52070</wp:posOffset>
            </wp:positionV>
            <wp:extent cx="1355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Other Benefits</w:t>
      </w:r>
    </w:p>
    <w:p>
      <w:pPr>
        <w:spacing w:after="0" w:line="39" w:lineRule="exact"/>
        <w:rPr>
          <w:sz w:val="20"/>
          <w:szCs w:val="20"/>
          <w:color w:val="auto"/>
        </w:rPr>
      </w:pPr>
    </w:p>
    <w:p>
      <w:pPr>
        <w:sectPr>
          <w:pgSz w:w="11900" w:h="16838" w:orient="portrait"/>
          <w:cols w:equalWidth="0" w:num="2">
            <w:col w:w="8880" w:space="720"/>
            <w:col w:w="1820"/>
          </w:cols>
          <w:pgMar w:left="240" w:top="584" w:right="239" w:bottom="1440" w:gutter="0" w:footer="0" w:header="0"/>
          <w:type w:val="continuous"/>
        </w:sectPr>
      </w:pPr>
    </w:p>
    <w:tbl>
      <w:tblPr>
        <w:tblLayout w:type="fixed"/>
        <w:tblInd w:w="40" w:type="dxa"/>
        <w:tblCellMar>
          <w:top w:w="0" w:type="dxa"/>
          <w:left w:w="0" w:type="dxa"/>
          <w:bottom w:w="0" w:type="dxa"/>
          <w:right w:w="0" w:type="dxa"/>
        </w:tblCellMar>
      </w:tblPr>
      <w:tr>
        <w:trPr>
          <w:trHeight w:val="264"/>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Settlements and curtailments</w:t>
            </w:r>
          </w:p>
        </w:tc>
        <w:tc>
          <w:tcPr>
            <w:tcW w:w="38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January 2018, we reduced our estimated long-term rate of return on plan assets for U.S. pension plans from 7.5% to 6.5%. A 25 basis point decrease in the long-term rate of return will result in a $0.7 million increase in net periodic benefit cost for U.S. pension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2010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For the Three Months Ended June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Pr>
          <w:p>
            <w:pPr>
              <w:spacing w:after="0"/>
              <w:rPr>
                <w:sz w:val="18"/>
                <w:szCs w:val="18"/>
                <w:color w:val="auto"/>
              </w:rPr>
            </w:pPr>
          </w:p>
        </w:tc>
        <w:tc>
          <w:tcPr>
            <w:tcW w:w="2660" w:type="dxa"/>
            <w:vAlign w:val="bottom"/>
            <w:gridSpan w:val="5"/>
          </w:tcPr>
          <w:p>
            <w:pPr>
              <w:jc w:val="right"/>
              <w:spacing w:after="0"/>
              <w:rPr>
                <w:sz w:val="20"/>
                <w:szCs w:val="20"/>
                <w:color w:val="auto"/>
              </w:rPr>
            </w:pPr>
            <w:r>
              <w:rPr>
                <w:rFonts w:ascii="Arial" w:cs="Arial" w:eastAsia="Arial" w:hAnsi="Arial"/>
                <w:sz w:val="16"/>
                <w:szCs w:val="16"/>
                <w:b w:val="1"/>
                <w:bCs w:val="1"/>
                <w:color w:val="auto"/>
                <w:w w:val="96"/>
              </w:rPr>
              <w:t>For the Six Months Ended June 30,</w:t>
            </w:r>
          </w:p>
        </w:tc>
      </w:tr>
      <w:tr>
        <w:trPr>
          <w:trHeight w:val="33"/>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6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All expense was recorded in our Corporate and Other business segment.</w:t>
      </w:r>
    </w:p>
    <w:p>
      <w:pPr>
        <w:spacing w:after="0" w:line="14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Our Board of Directors has authorized a total of $2.5 billion to repurchase shares of our common stock (collectively referred to as the "Share Repurchase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Plans"), including a $500 million share repurchase authorization in March 2018.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June 30, 2018, $546 million of shares may yet be repurchased under the Share Repurchase Plans.</w:t>
      </w:r>
    </w:p>
    <w:p>
      <w:pPr>
        <w:spacing w:after="0" w:line="19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February 8, 2018, the Company entered into a Fixed Dollar Accelerated Share Repurchase Transaction (the “ASR Agreement”) with MUFG Securities EMEA plc ("MUFG"), to effect an accelerated stock buyback of our common stock. Under the ASR Agreement, on February 8, 2018, we paid MUFG an initial purchase price of $150 million, and MUFG delivered to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type w:val="continuous"/>
        </w:sectPr>
      </w:pPr>
    </w:p>
    <w:bookmarkStart w:id="19" w:name="page20"/>
    <w:bookmarkEnd w:id="19"/>
    <w:p>
      <w:pPr>
        <w:spacing w:after="0" w:line="308" w:lineRule="auto"/>
        <w:rPr>
          <w:sz w:val="20"/>
          <w:szCs w:val="20"/>
          <w:color w:val="auto"/>
        </w:rPr>
      </w:pPr>
      <w:r>
        <w:rPr>
          <w:rFonts w:ascii="Arial" w:cs="Arial" w:eastAsia="Arial" w:hAnsi="Arial"/>
          <w:sz w:val="17"/>
          <w:szCs w:val="17"/>
          <w:color w:val="auto"/>
        </w:rPr>
        <w:t>common stock, representing approximately 85% of the shares expected to be purchased under the ASR Agreement. The ASR was completed in April of 2018 and MUFG delivered additional shares for a total of 0.7 million shares of common stock repurchased as part of this ASR Agreement.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repurchased 1.0 million shares for $200.2 million from open market transactions during the second quarter of 2018.</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We also repurchased 0.1 million shares for $18.6 million during the six months ended June 30, 2018 from employees who surrendered their shares to satisfy minimum tax withholding obligations upon the exercise of long-term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54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For the Three Months Ended June</w:t>
            </w:r>
          </w:p>
        </w:tc>
        <w:tc>
          <w:tcPr>
            <w:tcW w:w="236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For the Six Months Ended June</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Gains/(Losses) on cash flow</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hedges: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Commodity futures contracts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Pension and post-retirement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Selling, general and</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9"/>
              </w:rPr>
              <w:t>Foreign currency adjustments upon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color w:val="auto"/>
                <w:w w:val="96"/>
              </w:rPr>
              <w:t>sale of business or transfer to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w w:val="92"/>
              </w:rPr>
              <w:t>(Gain) loss, net on sale of business and related</w:t>
            </w: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held for sale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property or transfer to assets held for sale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w w:val="97"/>
              </w:rPr>
              <w:t>Total reclassifications from AOCL</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six months ended June 30, 2018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Gains (Losses)</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Unrealized Gains on</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Cash Flow</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Available-for-Sale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14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6"/>
                <w:szCs w:val="16"/>
                <w:b w:val="1"/>
                <w:bCs w:val="1"/>
                <w:color w:val="auto"/>
                <w:w w:val="95"/>
              </w:rPr>
              <w:t>Total AOCL</w:t>
            </w:r>
          </w:p>
        </w:tc>
      </w:tr>
      <w:tr>
        <w:trPr>
          <w:trHeight w:val="33"/>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June 30, 2018</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record restructuring charges associated with management-approved restructuring plans when we reorganize or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regarding the restructuring charges for all ongoing activities is presented in the following table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Severance and related expense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Lease termination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restructuring charges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Restructuring accruals are included in Accrued expenses in the accompanying Consolidated Balance Sheets. The table below details the activity in 2018 within the restructuring accruals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Included in</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Cash</w:t>
            </w:r>
          </w:p>
        </w:tc>
        <w:tc>
          <w:tcPr>
            <w:tcW w:w="14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Non-Cash Utilization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Balance as of June</w:t>
            </w:r>
          </w:p>
        </w:tc>
      </w:tr>
      <w:tr>
        <w:trPr>
          <w:trHeight w:val="192"/>
        </w:trPr>
        <w:tc>
          <w:tcPr>
            <w:tcW w:w="492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Earnings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b w:val="1"/>
                <w:bCs w:val="1"/>
                <w:color w:val="auto"/>
                <w:w w:val="98"/>
              </w:rPr>
              <w:t>Utilization</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and Other</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30,2018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Severance and related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accruals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New Zealand and Asia Divestiture:</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first quarter of 2018, we obtained board approval and signed an agreement with Beijer Ref AB, a Stockholm Stock Exchange-listed company, for the sale of our Australia, New Zealand and Asia business except for the Milperra property. We completed the sale to Beijer Ref AB in the second quarter of 2018. The following table summarizes the net loss recognized in connection with this divestiture: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2"/>
              </w:rPr>
              <w:t>For the Six Months Ended June</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30, 2018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(1)</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1"/>
        </w:trPr>
        <w:tc>
          <w:tcPr>
            <w:tcW w:w="8500" w:type="dxa"/>
            <w:vAlign w:val="bottom"/>
          </w:tcPr>
          <w:p>
            <w:pPr>
              <w:ind w:left="260"/>
              <w:spacing w:after="0"/>
              <w:rPr>
                <w:sz w:val="20"/>
                <w:szCs w:val="20"/>
                <w:color w:val="auto"/>
              </w:rPr>
            </w:pPr>
            <w:r>
              <w:rPr>
                <w:rFonts w:ascii="Arial" w:cs="Arial" w:eastAsia="Arial" w:hAnsi="Arial"/>
                <w:sz w:val="16"/>
                <w:szCs w:val="16"/>
                <w:color w:val="auto"/>
              </w:rPr>
              <w:t>Loss on sale of business</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12700</wp:posOffset>
            </wp:positionV>
            <wp:extent cx="14319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6" w:lineRule="exact"/>
        <w:rPr>
          <w:sz w:val="20"/>
          <w:szCs w:val="20"/>
          <w:color w:val="auto"/>
        </w:rPr>
      </w:pPr>
    </w:p>
    <w:p>
      <w:pPr>
        <w:ind w:right="140" w:firstLine="494"/>
        <w:spacing w:after="0" w:line="252" w:lineRule="auto"/>
        <w:tabs>
          <w:tab w:leader="none" w:pos="678"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$10.3 million of net assets that were written down during the quarter ended March 31, 2018 based on the expected proceeds from the sale, net of selling costs for the sale for our Australia, New Zealand and Asia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-290195</wp:posOffset>
            </wp:positionV>
            <wp:extent cx="14319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6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Brazil Divestiture:</w:t>
      </w:r>
    </w:p>
    <w:p>
      <w:pPr>
        <w:spacing w:after="0" w:line="225"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During the second quarter of 2018, we obtained board approval and signed an agreement with Elgin SA, a private Brazilian company, for the sale of our South America business. The sale is subject to Brazilian antitrust approval and is expected to close later this year.</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the assets and liabilities associated with our Brazilian businesses classified as held for sale as of June 30, 2018, which included $19.7 million of foreign currency translation losses reclassified out of AOCI.</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5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6"/>
                <w:szCs w:val="16"/>
                <w:b w:val="1"/>
                <w:bCs w:val="1"/>
                <w:color w:val="auto"/>
              </w:rPr>
              <w:t>As of June 30, 2018</w:t>
            </w:r>
          </w:p>
        </w:tc>
      </w:tr>
      <w:tr>
        <w:trPr>
          <w:trHeight w:val="233"/>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Assets held for sale</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r>
      <w:tr>
        <w:trPr>
          <w:trHeight w:val="31"/>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and notes receivable, net of allowances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Inventories, net</w:t>
            </w:r>
          </w:p>
        </w:tc>
        <w:tc>
          <w:tcPr>
            <w:tcW w:w="280" w:type="dxa"/>
            <w:vAlign w:val="bottom"/>
          </w:tcPr>
          <w:p>
            <w:pPr>
              <w:spacing w:after="0"/>
              <w:rPr>
                <w:sz w:val="19"/>
                <w:szCs w:val="19"/>
                <w:color w:val="auto"/>
              </w:rPr>
            </w:pPr>
          </w:p>
        </w:tc>
        <w:tc>
          <w:tcPr>
            <w:tcW w:w="2000" w:type="dxa"/>
            <w:vAlign w:val="bottom"/>
          </w:tcPr>
          <w:p>
            <w:pPr>
              <w:jc w:val="right"/>
              <w:ind w:right="35"/>
              <w:spacing w:after="0"/>
              <w:rPr>
                <w:sz w:val="20"/>
                <w:szCs w:val="20"/>
                <w:color w:val="auto"/>
              </w:rPr>
            </w:pPr>
            <w:r>
              <w:rPr>
                <w:rFonts w:ascii="Arial" w:cs="Arial" w:eastAsia="Arial" w:hAnsi="Arial"/>
                <w:sz w:val="17"/>
                <w:szCs w:val="17"/>
                <w:color w:val="auto"/>
              </w:rPr>
              <w:t>5.0</w:t>
            </w:r>
          </w:p>
        </w:tc>
      </w:tr>
      <w:tr>
        <w:trPr>
          <w:trHeight w:val="31"/>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w:t>
            </w:r>
          </w:p>
        </w:tc>
      </w:tr>
      <w:tr>
        <w:trPr>
          <w:trHeight w:val="284"/>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assets held for sale</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2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11.6</w:t>
            </w:r>
          </w:p>
        </w:tc>
      </w:tr>
      <w:tr>
        <w:trPr>
          <w:trHeight w:val="311"/>
        </w:trPr>
        <w:tc>
          <w:tcPr>
            <w:tcW w:w="8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39"/>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Liabilities held for sale</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1"/>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Short-term debt</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2000" w:type="dxa"/>
            <w:vAlign w:val="bottom"/>
          </w:tcPr>
          <w:p>
            <w:pPr>
              <w:jc w:val="right"/>
              <w:ind w:right="35"/>
              <w:spacing w:after="0"/>
              <w:rPr>
                <w:sz w:val="20"/>
                <w:szCs w:val="20"/>
                <w:color w:val="auto"/>
              </w:rPr>
            </w:pPr>
            <w:r>
              <w:rPr>
                <w:rFonts w:ascii="Arial" w:cs="Arial" w:eastAsia="Arial" w:hAnsi="Arial"/>
                <w:sz w:val="17"/>
                <w:szCs w:val="17"/>
                <w:color w:val="auto"/>
              </w:rPr>
              <w:t>2.2</w:t>
            </w:r>
          </w:p>
        </w:tc>
      </w:tr>
      <w:tr>
        <w:trPr>
          <w:trHeight w:val="31"/>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9"/>
                <w:szCs w:val="19"/>
                <w:color w:val="auto"/>
              </w:rPr>
            </w:pPr>
          </w:p>
        </w:tc>
        <w:tc>
          <w:tcPr>
            <w:tcW w:w="2000" w:type="dxa"/>
            <w:vAlign w:val="bottom"/>
          </w:tcPr>
          <w:p>
            <w:pPr>
              <w:jc w:val="right"/>
              <w:ind w:right="35"/>
              <w:spacing w:after="0"/>
              <w:rPr>
                <w:sz w:val="20"/>
                <w:szCs w:val="20"/>
                <w:color w:val="auto"/>
              </w:rPr>
            </w:pPr>
            <w:r>
              <w:rPr>
                <w:rFonts w:ascii="Arial" w:cs="Arial" w:eastAsia="Arial" w:hAnsi="Arial"/>
                <w:sz w:val="17"/>
                <w:szCs w:val="17"/>
                <w:color w:val="auto"/>
              </w:rPr>
              <w:t>0.1</w:t>
            </w:r>
          </w:p>
        </w:tc>
      </w:tr>
      <w:tr>
        <w:trPr>
          <w:trHeight w:val="31"/>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0.2</w:t>
            </w:r>
          </w:p>
        </w:tc>
      </w:tr>
      <w:tr>
        <w:trPr>
          <w:trHeight w:val="244"/>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Total liabilities held for sale</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2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7.4</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Based on the expected proceeds from the sale, net of selling costs, we recorded a loss on the assets held for sale of $31.4 million during the quarter ended June 30,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3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139.2</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basic</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6"/>
              </w:rPr>
              <w:t>Add: Potential effect of dilutive securities attributable to stock-based payments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43.2</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w:t>
            </w:r>
          </w:p>
        </w:tc>
      </w:tr>
      <w:tr>
        <w:trPr>
          <w:trHeight w:val="284"/>
        </w:trPr>
        <w:tc>
          <w:tcPr>
            <w:tcW w:w="6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1"/>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r>
      <w:tr>
        <w:trPr>
          <w:trHeight w:val="33"/>
        </w:trPr>
        <w:tc>
          <w:tcPr>
            <w:tcW w:w="4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Price per share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205.53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156.94</w:t>
            </w:r>
          </w:p>
        </w:tc>
      </w:tr>
      <w:tr>
        <w:trPr>
          <w:trHeight w:val="702"/>
        </w:trPr>
        <w:tc>
          <w:tcPr>
            <w:tcW w:w="4120" w:type="dxa"/>
            <w:vAlign w:val="bottom"/>
          </w:tcPr>
          <w:p>
            <w:pPr>
              <w:spacing w:after="0"/>
              <w:rPr>
                <w:sz w:val="24"/>
                <w:szCs w:val="24"/>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Reportable Business Segments: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Furnaces, air conditioners, heat pumps, packaged heating and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cooling systems, indoor air quality equipment, comfort control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Unitary heating and air conditioning equipment, applied</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systems, controls, installation and service of commercial</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heating and cooling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Central America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compressorized racks, supermarket display cases and systems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America</w:t>
            </w:r>
          </w:p>
        </w:tc>
      </w:tr>
      <w:tr>
        <w:trPr>
          <w:trHeight w:val="243"/>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bl>
    <w:p>
      <w:pPr>
        <w:jc w:val="center"/>
        <w:ind w:right="-39"/>
        <w:spacing w:after="0"/>
        <w:rPr>
          <w:sz w:val="20"/>
          <w:szCs w:val="20"/>
          <w:color w:val="auto"/>
        </w:rPr>
      </w:pPr>
      <w:r>
        <w:rPr>
          <w:rFonts w:ascii="Arial" w:cs="Arial" w:eastAsia="Arial" w:hAnsi="Arial"/>
          <w:sz w:val="17"/>
          <w:szCs w:val="17"/>
          <w:color w:val="auto"/>
        </w:rPr>
        <w:t>*Our business in the Asia Pacific area was sold in the second quarter of 2018. Refer to Note 14 for details regarding the divestiture of the business.</w:t>
      </w:r>
    </w:p>
    <w:p>
      <w:pPr>
        <w:spacing w:after="0" w:line="22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716.0</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1,073.3</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368.2</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1,175.4</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2,010.2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1,895.6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182.9</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35.7</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segment profit</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One time inventory write down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product quality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loss, net on sale of business and related property</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4"/>
              </w:rPr>
              <w:t>Items in losses (gains) and other expenses, net that are excluded from segment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60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5"/>
                <w:szCs w:val="25"/>
                <w:color w:val="auto"/>
                <w:vertAlign w:val="superscript"/>
              </w:rPr>
              <w:t>(1)</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236.2</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Contractor tax payments,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Divestiture costs,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One time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(Gain) loss, net on sale of business and related property,</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Loss on assets held for sale;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Assets by Segment</w:t>
      </w:r>
    </w:p>
    <w:p>
      <w:pPr>
        <w:spacing w:after="0" w:line="225" w:lineRule="exact"/>
        <w:rPr>
          <w:sz w:val="20"/>
          <w:szCs w:val="20"/>
          <w:color w:val="auto"/>
        </w:rPr>
      </w:pPr>
    </w:p>
    <w:p>
      <w:pPr>
        <w:jc w:val="both"/>
        <w:ind w:left="60" w:firstLine="243"/>
        <w:spacing w:after="0" w:line="259" w:lineRule="auto"/>
        <w:rPr>
          <w:sz w:val="20"/>
          <w:szCs w:val="20"/>
          <w:color w:val="auto"/>
        </w:rPr>
      </w:pPr>
      <w:r>
        <w:rPr>
          <w:rFonts w:ascii="Arial" w:cs="Arial" w:eastAsia="Arial" w:hAnsi="Arial"/>
          <w:sz w:val="18"/>
          <w:szCs w:val="18"/>
          <w:color w:val="auto"/>
        </w:rPr>
        <w:t>Except for the seasonal increase in total assets across all reportable segments, there have not been any material changes in the composition of total assets by segment since December 31, 2017; however, during the quarter we have sold our Australia, New Zealand and Asia business and reclassified assets and liabilities related to our Brazil business as Assets held for sale in our Consolidated Balance Sheet. Refer to Note 14 for details regarding divestiture of businesses.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June 30, 2018 were the same as those used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5 for more information related to our derivative instruments.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Marketable Equity Securities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following table presents the fair value of an investment in marketable equity securities, classified as Level 1 and related to publicly traded stock of a non-U.S. company, recorded in Other assets, net in the accompanying Consolidated Balance Sheets (in millions). This investment was sold as part of our divestiture of our Australia, New Zealand and Asia business. Refer to Note 14 for details regarding divestiture of the business.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marketable equity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292.4</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r>
      <w:tr>
        <w:trPr>
          <w:trHeight w:val="27"/>
        </w:trPr>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senior unsecured notes are unconditionally guaranteed by certain of our subsidiaries (the “Guarantor Subsidiaries”) and are not guaranteed by our other subsidiaries (the “Non-Guarantor Subsidiaries”). The Guarantor Subsidiaries are 100% owned, all guarantees are full and unconditional, and all guarantees are joint and several. As a result of the guarantee arrangements, we are required to present the following condensed consolidating financial statements.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condensed consolidating financial statements reflect our investments in our subsidiaries using the equity method of accounting. The principal elimination entries eliminate investments in subsidiaries and intercompany balances and transactions. Our condensed consolidating financial statements and our Guarantor Subsidiaries and Non-Guarantor Subsidiaries as of June 30, 2018 and December 31, 2017, and for the three and six months ended June 30, 2018 and 2017 are shown on the following pages.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7"/>
                <w:szCs w:val="17"/>
                <w:color w:val="auto"/>
              </w:rPr>
              <w:t>Assets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(payables) receivables,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2,420.7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2,099.4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7"/>
                <w:szCs w:val="17"/>
                <w:color w:val="auto"/>
              </w:rPr>
              <w:t>Liabilities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(receivable)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1,688.0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911.5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2,420.7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2,099.4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8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1,865.5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1,079.2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1,891.5</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1,841.4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1,865.5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June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1,057.8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1,175.4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Income (loss) from continuing operations before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Six Months Ended June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1,774.1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582.8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2,010.2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Income (loss) from continuing operations before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June 30,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115.5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2" w:right="239" w:bottom="1440" w:gutter="0" w:footer="0" w:header="0"/>
        </w:sectPr>
      </w:pPr>
    </w:p>
    <w:bookmarkStart w:id="31" w:name="page32"/>
    <w:bookmarkEnd w:id="31"/>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Six Months Ended June 30,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w w:val="99"/>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86.2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135.0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96"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businesses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19. Subsequent Event:</w:t>
      </w:r>
    </w:p>
    <w:p>
      <w:pPr>
        <w:spacing w:after="0" w:line="24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On July 19, 2018 our manufacturing facility in Marshalltown, Iowa was damaged by a tornado. The extent of damage to the facility is being assessed and we currently do not have an estimate of the financial or operational impact of the damage, including any potential insurance recoveries.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Quarterly Report on Form 10-Q, the risk factors set forth in Part I, “Item 1A. Risk Factors” in our Annual Report on Form 10-K for the year ended December 31, 2017,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16 in the Notes to the Consolidated Financial Statements.</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5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73"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color w:val="auto"/>
        </w:rPr>
        <w:t>On July 19, 2018 our manufacturing facility in Marshalltown, Iowa was damaged by a tornado. The extent of damage to the facility is being assessed and we currently do not have an estimate of the financial or operational impact of the damage, including any potential insurance recoveries.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In the second quarter of 2018, the Commercial Heating &amp; Cooling segment led our overall operational performance with a 13% increase in net sales and had $8 million in increased segment profit compared to the second quarter of 2017. The primary growth driver for this segment was volume gains. Our Residential Heating &amp; Cooling segment had a 10% increase in net sales and had $13 million in increased segment profit compared to the second quarter of 2017. This segment's profits were up largely due to higher volumes and favorable price and mix combined. Sales in our Refrigeration segment decreased by 12% due to the sale of our Australia, New Zealand and Asia business and segment profit was relatively flat compared to the the second quarter of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sales increased $73 million, or 7%, to $1,175 million in the the second quarter of 2018 compared to the the second quarter of 2017.</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 the the second quarter of 2018 increased $20 million to $195 million.</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income for the the second quarter of 2018 increased $22 million to $138 million, including the $31 million loss on assets held for sale in the the second quarter of 2018 partially offset by the benefit of $22 million of gain (loss), net on sale of business and related property.</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$3.39 per share in the the second quarter of 2018 compared to $2.71 per share in the the second quarter of 2017.</w:t>
      </w: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six months ended June 30, 2018, we returned $42 million to shareholders through dividend payments and have repurchased $350 million of common stock. We also received $112 million in proceeds from the sale of our businesses in Australia, New Zealand and Asia along with the sale of the related property.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2018 Compared to Second Quarter of 2017 -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6"/>
          </w:tcPr>
          <w:p>
            <w:pPr>
              <w:ind w:left="500"/>
              <w:spacing w:after="0"/>
              <w:rPr>
                <w:sz w:val="20"/>
                <w:szCs w:val="20"/>
                <w:color w:val="auto"/>
              </w:rPr>
            </w:pPr>
            <w:r>
              <w:rPr>
                <w:rFonts w:ascii="Arial" w:cs="Arial" w:eastAsia="Arial" w:hAnsi="Arial"/>
                <w:sz w:val="16"/>
                <w:szCs w:val="16"/>
                <w:b w:val="1"/>
                <w:bCs w:val="1"/>
                <w:color w:val="auto"/>
              </w:rPr>
              <w:t>For the Three Months Ended June 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gridSpan w:val="5"/>
            <w:vMerge w:val="continue"/>
          </w:tcPr>
          <w:p>
            <w:pPr>
              <w:spacing w:after="0"/>
              <w:rPr>
                <w:sz w:val="6"/>
                <w:szCs w:val="6"/>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Arial" w:cs="Arial" w:eastAsia="Arial" w:hAnsi="Arial"/>
                <w:sz w:val="16"/>
                <w:szCs w:val="16"/>
                <w:b w:val="1"/>
                <w:bCs w:val="1"/>
                <w:color w:val="auto"/>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1,102.1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761.3</w:t>
            </w:r>
          </w:p>
        </w:tc>
        <w:tc>
          <w:tcPr>
            <w:tcW w:w="12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175.4</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11.2 %</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16.6 %</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Net sales increased 7% in the the second quarter of 2018 compared to the the second quarter of 2017, primarily from 7% higher sales volumes, 2% from favorable price and 1% from favorable foreign currency exchange rates. These increases were partially offset by 1% lower mix and 2% related to our divested businesses in Australia, New Zealand and Asia. The Residential Heating &amp; Cooling segment delivered higher volume from increased replacement equipment, new construction business and increased parts and supplies sales. The Commercial Heating &amp; Cooling segment delivered higher volume from our North American equipment business as well as higher volume from our North American Service business. The Refrigeration sales declined due to our divested businesses in Australia, New Zealand and Asia.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Gross profit margin in the the second quarter of 2018 decreased to 30.8% compared to 30.9% in the the second quarter of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312" w:lineRule="auto"/>
        <w:rPr>
          <w:sz w:val="20"/>
          <w:szCs w:val="20"/>
          <w:color w:val="auto"/>
        </w:rPr>
      </w:pPr>
      <w:r>
        <w:rPr>
          <w:rFonts w:ascii="Arial" w:cs="Arial" w:eastAsia="Arial" w:hAnsi="Arial"/>
          <w:sz w:val="16"/>
          <w:szCs w:val="16"/>
          <w:color w:val="auto"/>
        </w:rPr>
        <w:t>We saw decreases in profit margin of 110 basis points ("bps") from higher commodity prices, 100 bps from higher freight and distribution costs, 20 bps from other costs and 10 bps from product warranties. Partially offsetting these decreases were positive margin increases of 100 bps from favorable price, 70 bps from lower material costs, 50 bps related to a product quality issue from the prior year, and 10 bps from favorable foreign currency exchange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Selling, general and administrative expenses, or SG&amp;A, was $161 million in the the second quarter of 2018 compared to $169 million in the the second quarter of 2017, and as a percentage of net sales decreased 160 bps to 13.7%. SG&amp;A decreased primarily due to decreased discretionary spending.</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the the second quarter of 2018 and 2017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Three Months Ended June</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on settled future contracts</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exchange (gains) losses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 in unrealized losses on unsettled futures contracts</w:t>
            </w:r>
          </w:p>
        </w:tc>
        <w:tc>
          <w:tcPr>
            <w:tcW w:w="82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Divestiture costs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7"/>
                <w:szCs w:val="17"/>
                <w:color w:val="auto"/>
              </w:rPr>
              <w:t>—</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Losses and other expenses, net (pre-tax)</w:t>
            </w:r>
          </w:p>
        </w:tc>
        <w:tc>
          <w:tcPr>
            <w:tcW w:w="82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 Divestiture costs related to costs incurred to sell our businesses in Australia, New Zealand, China and Brazil. Divestiture costs incurred in Q1 2018 related to the sales of the Australia and Asia business and the related property were reclassified to (Gain) loss, net on sale of business and related property in Q2 2018. See Note 14 in the Notes to the Consolidated Financial Statements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Restructuring charges were less than $1 million in the the second quarter of 2018. The charges in 2018 were primarily for projects to realign resources and enhance distribution capabilities. For additional information on our restructuring activities, refer to Note 13 in the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$5 million in the the second quarter of 2018 was relatively flat when compared to the the second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Interest expense, net of $10 million in the the second quarter of 2018 was up from $8 million in the second quarter of 2017 due to an increase in our average net borrowings and rising interest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expect our annual effective tax rate to be between 22% and 24%, excluding the impact of excess tax benefits recorded as a reduction of income taxes under ASU No. 2016-09.</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effective tax rate was 24.6% for the three months ended June 30, 2018, after the impact of excess tax benefits, compared to 30.4% for the three months ended June 30, 2017, after the impact of excess tax benefits. The rate for the three months ended June 30, 2018 is lower as compared to the three months ended June 30, 2017 primarily due to the reduced U.S. federal corporate tax rate from enactment of the Tax Cuts and Jobs Act on December 22,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2018 Compared to Second Quarter of 2017 -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the second quarter of 2018 and 2017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in the the second quarter of 2018 compared to the the second quarter of 2017. Sales volume increased by 8% and price and mix combined increased by 1%.</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the second quarter of 2018 increased $13 million compared to the the second quarter of 2017 due to $17 million from higher sales volume, $10 million from higher price and mix combined, $3 million from sourcing and engineering-led cost reductions, $2 million from lower SG&amp;A expenses, and $1 million from favorable foreign currency exchange rates. Partially offsetting these increases was $9 million of freight and costs associated with distribution investments, $8 million in higher commodity costs, and $3 million in higher other product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second quarter of 2018 and 2017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860" w:type="dxa"/>
            <w:vAlign w:val="bottom"/>
            <w:gridSpan w:val="6"/>
          </w:tcPr>
          <w:p>
            <w:pPr>
              <w:ind w:left="80"/>
              <w:spacing w:after="0"/>
              <w:rPr>
                <w:sz w:val="20"/>
                <w:szCs w:val="20"/>
                <w:color w:val="auto"/>
              </w:rPr>
            </w:pPr>
            <w:r>
              <w:rPr>
                <w:rFonts w:ascii="Arial" w:cs="Arial" w:eastAsia="Arial" w:hAnsi="Arial"/>
                <w:sz w:val="16"/>
                <w:szCs w:val="16"/>
                <w:b w:val="1"/>
                <w:bCs w:val="1"/>
                <w:color w:val="auto"/>
                <w:w w:val="96"/>
              </w:rPr>
              <w:t>For the Three Months Ended June 30,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2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5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by 13% in the second quarter of 2018 compared to the second quarter of 2017. Sales volume increased 10%, price and mix combined increased by 2%, and favorable foreign currency exchange rates contributed 1%.</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Segment profit in the second quarter of 2018 increased by $8 million compared to the second quarter of 2017 due to $8 million from higher sales volume, $4 million from higher price, and $2 million from sourcing and engineering-led cost reductions. Partially offsetting these increases was $2 million in higher commodity costs, $2 million of freight and costs associated with distribution investments, and $2 million of unfavorable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second quarter of 2018 and 2017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12% in the second quarter of 2018 compared to the second quarter of 2017. The loss of sales from the divested Asia Pacific business contributed 12%, unfavorable mix decreased sales by 2% which was partially offset by 1% higher price and 1% from favorable foreign currency exchange rates.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Segment profit was relatively flat in the second quarter of 2018 compared to the second quarter of 2017 primarily due to a benefit of $2 million from selling refrigerant allocations in Europe, $1 million from sourcing and engineering-led cost reductions, $1 million in higher price, and $1 million from favorable foreign currency exchange rates. Offsetting these increases was $2 million of unfavorable mix, $1 million in higher commodity costs, $1 million in higher freight and distribution cost, and $1 million of lost profit from the divested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were $1 million lower in the second quarter of 2018 compared to the second quarter of 2017 due to a non-recurring foreign currency hedge loss in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2018 Compared to Year-to-Date through June 30, 2017 -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6"/>
          </w:tcPr>
          <w:p>
            <w:pPr>
              <w:ind w:left="520"/>
              <w:spacing w:after="0"/>
              <w:rPr>
                <w:sz w:val="20"/>
                <w:szCs w:val="20"/>
                <w:color w:val="auto"/>
              </w:rPr>
            </w:pPr>
            <w:r>
              <w:rPr>
                <w:rFonts w:ascii="Arial" w:cs="Arial" w:eastAsia="Arial" w:hAnsi="Arial"/>
                <w:sz w:val="16"/>
                <w:szCs w:val="16"/>
                <w:b w:val="1"/>
                <w:bCs w:val="1"/>
                <w:color w:val="auto"/>
              </w:rPr>
              <w:t>For the Six Months Ended June 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gridSpan w:val="5"/>
            <w:vMerge w:val="continue"/>
          </w:tcPr>
          <w:p>
            <w:pPr>
              <w:spacing w:after="0"/>
              <w:rPr>
                <w:sz w:val="6"/>
                <w:szCs w:val="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1,343.8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248.1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236.2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12.3 %</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Net sales increased 6% in the first six months of 2018 compared to the first six months of 2016 due to a 5% increase in sales volumes, 1% from favorable price and 1% from favorable foreign currency exchange rates. These increases were partially offset by 1% related to our divested businesses in Australia, New Zealand and Asia. The Residential Heating &amp; Cooling segment delivered higher volume from increased replacement equipment, new construction business and increased parts and supplies sales. The Commercial Heating &amp; Cooling segment delivered higher volume from our North American equipment business as well as higher volume from our North American Service business. The Refrigeration sales declined due to our divested businesses in Australia, New Zealand and Asia.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Gross profit margins in the first six months of 2018 was flat at 29.1% when compared to the first six months of 2017. Our profit margin increased 100 bps from favorable price and mix combined, 90 bps from material cost savings, and 30 bps related to a product quality issue from the prior year. Offsetting these increases were decreases of 110 bps from higher commodity costs and 110 bps from freight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SG&amp;A was $317 million for the first six months of 2018 compared to $321 million for the first six months of 2017, and as a percentage of net sales, decreased 120 bps to 15.7% from 16.9%. SG&amp;A decreased due to decreased discretionary spending.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the first six months of 2018 and 2017 included the following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8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7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gains on settled future contracts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Foreign currency exchange losses</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Net change in unrealized losses on unsettled futures contracts</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expenses, net (pre-tax)</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0"/>
        </w:trPr>
        <w:tc>
          <w:tcPr>
            <w:tcW w:w="8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Restructuring charges were $1 million in the first six months of 2018. The charges in 2018 were primarily for projects to realign resources and enhance distribution capabilities. For additional information on our restructuring activities, refer to Note 13 in the Notes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$8 million in the first six months of 2018 was down from $11 million when compared to the first six months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$18 million in the first six months of 2018 increased from $16 million in the first six months of 2017 due to an increase in our average net borrowings and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ind w:firstLine="230"/>
        <w:spacing w:after="0" w:line="277" w:lineRule="auto"/>
        <w:rPr>
          <w:sz w:val="20"/>
          <w:szCs w:val="20"/>
          <w:color w:val="auto"/>
        </w:rPr>
      </w:pPr>
      <w:r>
        <w:rPr>
          <w:rFonts w:ascii="Arial" w:cs="Arial" w:eastAsia="Arial" w:hAnsi="Arial"/>
          <w:sz w:val="18"/>
          <w:szCs w:val="18"/>
          <w:color w:val="auto"/>
        </w:rPr>
        <w:t>We expect our annual effective tax rate to be between 22% and 24%, excluding the impact of excess tax benefits recorded as a reduction of income taxes under ASU No. 2016-09.</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Our effective tax rate was 22.5% for the six months ended June 30, 2018, after the impact of excess tax benefits, compared to 27.5% for the six months ended June 30, 2017, after the impact of excess tax benefits. The rate for the six months ended June 30, 2018 is lower as compared to the six months ended June 30, 2017 primarily due to the reduced U.S. federal corporate tax rate from enactment of the Tax Cuts and Jobs Act on December 22, 2017.</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2018 Compared to Year-to-Date through June 30, 2017 -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first six months of 2018 and 2017 (dollars in millions):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Six Months Ended June 30,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7"/>
        </w:trPr>
        <w:tc>
          <w:tcPr>
            <w:tcW w:w="5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sales increased by 9% in the first six months of 2018 compared to the first six months of 2017. Sales volumes increased 7%, and price increased 2%.</w:t>
      </w:r>
    </w:p>
    <w:p>
      <w:pPr>
        <w:spacing w:after="0" w:line="2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Segment profit for the first six months of 2018 increased $22 million compared to the first six months of 2017 due to the benefits of $23 million in higher sales volume, $23 million from favorable price and mix, $8 million from sourcing and engineering-led cost reductions, $1 million from lower other product costs, $1 million from improved factory productivity, and $1 million from favorable foreign currency exchange rates. Partially offsetting these increases was $18 million of freight and costs associated with distribution investments, $14 million higher commodity costs, $2 million lower income from equity method investments, and $1 million from SG&amp;A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first six months of 2018 and 2017 (dollars in millions):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Commercial Heating &amp; Cooling net sales increased by 10% in the first six months of 2018 compared to the first six months of 2017. Sales volumes increased 7%, favorable foreign currency exchange rates contributed 2%, and price increased 1%.</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first six months of 2018 increased $8 million compared to the first six months of 2017 due to the benefits of $9 million in higher sales volume, $6 million from higher price, $3 million from sourcing and engineering-led cost reductions, $2 million from lower SG&amp;A expenses, and $1 million from lower other product costs. Partially offsetting these increases was $6 million from unfavorable mix, $4 million in higher commodity costs, and $3 million of freight and costs associated with distribution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first six months of 2018 and 2017 (dollars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5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Refrigeration net sales decreased 7% in the first six months of 2018 compared to the first six months of 2017. The loss of sales from the divested Asia Pacific business contributed 7%, sales volume was lower by 2%, partially offset by 2% from favorable foreign currency exchange rates.</w:t>
      </w:r>
    </w:p>
    <w:p>
      <w:pPr>
        <w:spacing w:after="0" w:line="1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Segment profit for the first six months of 2018 decreased $3 million compared to the first six months of 2017. The decrease was driven by $3 million of unfavorable mix, $3 million from factory inefficiencies, $2 million from higher commodity costs, $1 million of lost profit from the divested Asia Pacific business, $2 million from lower sales volume, $1 million in higher freight and distribution cost, and $1 million from lower equity method investments. Partially offsetting these decreases was $3 million of sourcing and engineering-led cost reductions, a benefit of $2 million from selling refrigerant allocations in Europe, $2 million of higher price, $1 million of lower other product costs, $1 million of lower SG&amp;A expenses, and $1 million from favorable foreign currency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and other expenses decreased $1 million to $34 million in the first six months of 2018 from $35 million in the first six months of 2017 due primarily to a non-recurring foreign currency hedge loss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six months ended June 30, 2018 and 2017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95.4</w:t>
            </w: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 xml:space="preserve">Net Cash Used in Operating Activities - </w:t>
      </w:r>
      <w:r>
        <w:rPr>
          <w:rFonts w:ascii="Arial" w:cs="Arial" w:eastAsia="Arial" w:hAnsi="Arial"/>
          <w:sz w:val="18"/>
          <w:szCs w:val="18"/>
          <w:color w:val="auto"/>
        </w:rPr>
        <w:t>The net cash used in operating activities in the first three months of 2018 and 2017 reflects the seasonal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working capital requirements. The decrease in cash used in operating activities in the first six months of 2018 as compared to 2017 was mainly due to the timing of working capital payments.</w:t>
      </w:r>
    </w:p>
    <w:p>
      <w:pPr>
        <w:spacing w:after="0" w:line="18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i w:val="1"/>
          <w:iCs w:val="1"/>
          <w:color w:val="auto"/>
        </w:rPr>
        <w:t xml:space="preserve">Net Cash Provided by (Used in) Investing Activities - </w:t>
      </w:r>
      <w:r>
        <w:rPr>
          <w:rFonts w:ascii="Arial" w:cs="Arial" w:eastAsia="Arial" w:hAnsi="Arial"/>
          <w:sz w:val="16"/>
          <w:szCs w:val="16"/>
          <w:color w:val="auto"/>
        </w:rPr>
        <w:t>Capital expenditures were $43 million in the first six months of both 2018 and 2017.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in 2018 were primarily related to expansion of our manufacturing capacity and equipment and investments in systems and software to support the overall enterprise. Net proceeds of $112 million were provided by the sale of our business in the Asia Pacific area along with the related property.</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Net Cash (Used in) Provided by Financing Activities - </w:t>
      </w:r>
      <w:r>
        <w:rPr>
          <w:rFonts w:ascii="Arial" w:cs="Arial" w:eastAsia="Arial" w:hAnsi="Arial"/>
          <w:sz w:val="18"/>
          <w:szCs w:val="18"/>
          <w:color w:val="auto"/>
        </w:rPr>
        <w:t>Net cash used in financing activities in the first six months of 2018 was$62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$95 million provided by financing activities in the first six months of 2017. Cash continues to be provided by an increase in net borrowings and we continue to make share repurchases and dividend payments. During the first six months of 2018, we repurchased $350 million of shares as compared to $175 million of shares in the first six months of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We also we returned $42 million to shareholders through dividend payments. For additional information on share repurchases, refer to Note 11 in the Notes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June 30, 2018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Outstanding</w:t>
            </w:r>
          </w:p>
        </w:tc>
      </w:tr>
      <w:tr>
        <w:trPr>
          <w:trHeight w:val="210"/>
        </w:trPr>
        <w:tc>
          <w:tcPr>
            <w:tcW w:w="9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Arial" w:cs="Arial" w:eastAsia="Arial" w:hAnsi="Arial"/>
                <w:sz w:val="16"/>
                <w:szCs w:val="16"/>
                <w:b w:val="1"/>
                <w:bCs w:val="1"/>
                <w:color w:val="auto"/>
              </w:rPr>
              <w:t>Borrowings</w:t>
            </w:r>
          </w:p>
        </w:tc>
      </w:tr>
      <w:tr>
        <w:trPr>
          <w:trHeight w:val="33"/>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Foreign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30.0</w:t>
            </w: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9320" w:type="dxa"/>
            <w:vAlign w:val="bottom"/>
          </w:tcPr>
          <w:p>
            <w:pPr>
              <w:ind w:left="260"/>
              <w:spacing w:after="0"/>
              <w:rPr>
                <w:sz w:val="20"/>
                <w:szCs w:val="20"/>
                <w:color w:val="auto"/>
              </w:rPr>
            </w:pPr>
            <w:r>
              <w:rPr>
                <w:rFonts w:ascii="Arial" w:cs="Arial" w:eastAsia="Arial" w:hAnsi="Arial"/>
                <w:sz w:val="18"/>
                <w:szCs w:val="18"/>
                <w:color w:val="auto"/>
              </w:rPr>
              <w:t>Total current maturities of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290.0</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671.0</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9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1,319.0</w:t>
            </w:r>
          </w:p>
        </w:tc>
      </w:tr>
      <w:tr>
        <w:trPr>
          <w:trHeight w:val="237"/>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1,352.6</w:t>
            </w:r>
          </w:p>
        </w:tc>
      </w:tr>
      <w:tr>
        <w:trPr>
          <w:trHeight w:val="27"/>
        </w:trPr>
        <w:tc>
          <w:tcPr>
            <w:tcW w:w="9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26" w:lineRule="auto"/>
        <w:tabs>
          <w:tab w:leader="none" w:pos="218"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credit facility are $151.1 million after being reduced by the outstanding borrowings and $2.9 million in outstanding standby letters of credit. We also had $32.1 million in outstanding standby letters of credit outside of the domestic credit facility as of June 30, 2018.</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223"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maximum securitization amount ranges from $225.0 million to $380.0 million, depending on the period. The maximum capacity of the ASP is the lesser of the maximum securitization amount or 100% of the net pool balance less reserves, as defined under the ASP.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115.4% at June 30, 2018 from 95.2% at December 31, 2017.</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June 30, 2018,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believe our cash and cash equivalents of $39 million, future cash generated from operations and available future borrowings are sufficient to fund operations, planned capital expenditures, future contractual obligations, share repurchases, potential dividends and other needs in the foreseeable future. Included in our cash and cash equivalents of $39 million as of June 30, 2018 was $15.2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230"/>
        <w:spacing w:after="0" w:line="264" w:lineRule="auto"/>
        <w:rPr>
          <w:sz w:val="20"/>
          <w:szCs w:val="20"/>
          <w:color w:val="auto"/>
        </w:rPr>
      </w:pPr>
      <w:r>
        <w:rPr>
          <w:rFonts w:ascii="Arial" w:cs="Arial" w:eastAsia="Arial" w:hAnsi="Arial"/>
          <w:sz w:val="18"/>
          <w:szCs w:val="18"/>
          <w:color w:val="auto"/>
        </w:rPr>
        <w:t>Our expected capital expenditures for 2018 are $100 million. We also continue to increase shareholder value through our share repurchase programs and dividend payments, with the completion of $350 million of share repurchases in the first six months of 2018 and the declaration of $42 million of cash dividends in the first six months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credit facilities, promissory notes and leasing commitments described above, we also lease real estate and machinery and equipment pursuant to operating leases that are not capitalized on the balance sheet, including high-turnover equipment such as autos and service vehicles and short-lived equipment such as personal computers. Our operating lease commitments have not materially changed since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7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2017. Our exposure to market risk has not changed materially since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2018,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There were no changes during the quarter ended June 30, 2018 in our internal control over financial reporting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1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discussed in Part I, “Item 1A. Risk Factors” in our Annual Report on Form 10-K for the year ended December 31, 2017, which could materially affect our business, financial condition or results of operations. There have been no material changes to our risk factors from those disclosed in our 2017 Annual Report on Form 10-K.</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second quarter of 2018,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 yet be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our Share</w:t>
            </w:r>
          </w:p>
        </w:tc>
      </w:tr>
      <w:tr>
        <w:trPr>
          <w:trHeight w:val="203"/>
        </w:trPr>
        <w:tc>
          <w:tcPr>
            <w:tcW w:w="366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Plans</w:t>
            </w:r>
          </w:p>
        </w:tc>
      </w:tr>
      <w:tr>
        <w:trPr>
          <w:trHeight w:val="243"/>
        </w:trPr>
        <w:tc>
          <w:tcPr>
            <w:tcW w:w="36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fees)</w:t>
            </w:r>
          </w:p>
        </w:tc>
        <w:tc>
          <w:tcPr>
            <w:tcW w:w="2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through April 28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170,390</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197.66</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170,119</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728.5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April 29 through May 26</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755,690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199.74</w:t>
            </w:r>
          </w:p>
        </w:tc>
        <w:tc>
          <w:tcPr>
            <w:tcW w:w="22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754,139</w:t>
            </w:r>
          </w:p>
        </w:tc>
        <w:tc>
          <w:tcPr>
            <w:tcW w:w="2260" w:type="dxa"/>
            <w:vAlign w:val="bottom"/>
            <w:gridSpan w:val="2"/>
          </w:tcPr>
          <w:p>
            <w:pPr>
              <w:jc w:val="right"/>
              <w:ind w:right="19"/>
              <w:spacing w:after="0"/>
              <w:rPr>
                <w:sz w:val="20"/>
                <w:szCs w:val="20"/>
                <w:color w:val="auto"/>
              </w:rPr>
            </w:pPr>
            <w:r>
              <w:rPr>
                <w:rFonts w:ascii="Arial" w:cs="Arial" w:eastAsia="Arial" w:hAnsi="Arial"/>
                <w:sz w:val="18"/>
                <w:szCs w:val="18"/>
                <w:color w:val="auto"/>
              </w:rPr>
              <w:t>577.8</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27 through June 30</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155,848</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206.14</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155,220</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545.8</w:t>
            </w:r>
          </w:p>
        </w:tc>
      </w:tr>
      <w:tr>
        <w:trPr>
          <w:trHeight w:val="237"/>
        </w:trPr>
        <w:tc>
          <w:tcPr>
            <w:tcW w:w="36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1,081,928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1,079,478</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hanging="169"/>
        <w:spacing w:after="0" w:line="216" w:lineRule="auto"/>
        <w:tabs>
          <w:tab w:leader="none" w:pos="47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We repurchased 2,452 shares of common stock in April, May and June 2018 surrendered to LII to satisfy employee tax-withholding obligations in connection with the exercise of long-term incentive awards.</w:t>
      </w:r>
    </w:p>
    <w:p>
      <w:pPr>
        <w:spacing w:after="0" w:line="41" w:lineRule="exact"/>
        <w:rPr>
          <w:rFonts w:ascii="Arial" w:cs="Arial" w:eastAsia="Arial" w:hAnsi="Arial"/>
          <w:sz w:val="25"/>
          <w:szCs w:val="25"/>
          <w:color w:val="auto"/>
          <w:vertAlign w:val="superscript"/>
        </w:rPr>
      </w:pPr>
    </w:p>
    <w:p>
      <w:pPr>
        <w:jc w:val="both"/>
        <w:ind w:left="420" w:hanging="169"/>
        <w:spacing w:after="0" w:line="262" w:lineRule="auto"/>
        <w:tabs>
          <w:tab w:leader="none" w:pos="457"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After $150 million payment for Accelerated Share Repurchase Plan (ASR) executed in February 2018 and $200.2 million share repurchase from open market transactions during the second quarter. Final settlement of the ASR occurred in April 2018. The ASR and the stock repurchase was executed pursuant to a previously announced repurchase plan. See Note 11 in the Notes to the Consolidated Financial Statements for further details.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460" w:type="dxa"/>
            <w:vAlign w:val="bottom"/>
            <w:gridSpan w:val="29"/>
            <w:shd w:val="clear" w:color="auto" w:fill="CCEEFF"/>
          </w:tcPr>
          <w:p>
            <w:pPr>
              <w:spacing w:after="0"/>
              <w:rPr>
                <w:sz w:val="20"/>
                <w:szCs w:val="20"/>
                <w:color w:val="auto"/>
              </w:rPr>
            </w:pPr>
            <w:r>
              <w:rPr>
                <w:rFonts w:ascii="Arial" w:cs="Arial" w:eastAsia="Arial" w:hAnsi="Arial"/>
                <w:sz w:val="18"/>
                <w:szCs w:val="18"/>
                <w:color w:val="auto"/>
                <w:w w:val="97"/>
              </w:rPr>
              <w:t>Restated Certificate of Incorporation of Lennox International Inc. (“LII”) (filed as Exhibit 3.1 to LII’s Registration Statement on Form S-1</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9"/>
            <w:shd w:val="clear" w:color="auto" w:fill="CCEEFF"/>
          </w:tcPr>
          <w:p>
            <w:pPr>
              <w:spacing w:after="0"/>
              <w:rPr>
                <w:sz w:val="20"/>
                <w:szCs w:val="20"/>
                <w:color w:val="auto"/>
              </w:rPr>
            </w:pPr>
            <w:r>
              <w:rPr>
                <w:rFonts w:ascii="Arial" w:cs="Arial" w:eastAsia="Arial" w:hAnsi="Arial"/>
                <w:sz w:val="18"/>
                <w:szCs w:val="18"/>
                <w:color w:val="auto"/>
              </w:rPr>
              <w:t>(Registration Statement No. 333-75725) filed on April 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460" w:type="dxa"/>
            <w:vAlign w:val="bottom"/>
            <w:gridSpan w:val="29"/>
          </w:tcPr>
          <w:p>
            <w:pPr>
              <w:spacing w:after="0" w:line="202"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Amended and Restated Bylaws of LII (filed as Exhibit 3.1 to LII’s Current Report on Form 8-K filed on December 16, 2013 and incorporated</w:t>
              </w:r>
            </w:hyperlink>
          </w:p>
        </w:tc>
      </w:tr>
      <w:tr>
        <w:trPr>
          <w:trHeight w:val="196"/>
        </w:trPr>
        <w:tc>
          <w:tcPr>
            <w:tcW w:w="960" w:type="dxa"/>
            <w:vAlign w:val="bottom"/>
          </w:tcPr>
          <w:p>
            <w:pPr>
              <w:spacing w:after="0"/>
              <w:rPr>
                <w:sz w:val="17"/>
                <w:szCs w:val="17"/>
                <w:color w:val="auto"/>
              </w:rPr>
            </w:pPr>
          </w:p>
        </w:tc>
        <w:tc>
          <w:tcPr>
            <w:tcW w:w="102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60" w:type="dxa"/>
            <w:vAlign w:val="bottom"/>
            <w:gridSpan w:val="10"/>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460" w:type="dxa"/>
            <w:vAlign w:val="bottom"/>
            <w:gridSpan w:val="29"/>
            <w:shd w:val="clear" w:color="auto" w:fill="CCEEFF"/>
          </w:tcPr>
          <w:p>
            <w:pPr>
              <w:spacing w:after="0"/>
              <w:rPr>
                <w:sz w:val="20"/>
                <w:szCs w:val="20"/>
                <w:color w:val="auto"/>
              </w:rPr>
            </w:pPr>
            <w:r>
              <w:rPr>
                <w:rFonts w:ascii="Arial" w:cs="Arial" w:eastAsia="Arial" w:hAnsi="Arial"/>
                <w:sz w:val="18"/>
                <w:szCs w:val="18"/>
                <w:color w:val="auto"/>
                <w:w w:val="95"/>
              </w:rPr>
              <w:t>Specimen Stock Certificate for the Common Stock, par value $.01 per share, of LII (filed as Exhibit 4.1 to LII’s Amendment to Registration</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9"/>
            <w:shd w:val="clear" w:color="auto" w:fill="CCEEFF"/>
          </w:tcPr>
          <w:p>
            <w:pPr>
              <w:spacing w:after="0"/>
              <w:rPr>
                <w:sz w:val="20"/>
                <w:szCs w:val="20"/>
                <w:color w:val="auto"/>
              </w:rPr>
            </w:pPr>
            <w:r>
              <w:rPr>
                <w:rFonts w:ascii="Arial" w:cs="Arial" w:eastAsia="Arial" w:hAnsi="Arial"/>
                <w:sz w:val="18"/>
                <w:szCs w:val="18"/>
                <w:color w:val="auto"/>
              </w:rPr>
              <w:t>Statement on Form S-1/A (Registration No. 333-75725) filed on June 16,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460" w:type="dxa"/>
            <w:vAlign w:val="bottom"/>
            <w:gridSpan w:val="29"/>
          </w:tcPr>
          <w:p>
            <w:pPr>
              <w:spacing w:after="0" w:line="202"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9"/>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96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Form of First Supplemental Indenture among LII, the guarantors party thereto and U.S. Bank National Association, as trustee (filed as</w:t>
              </w:r>
            </w:hyperlink>
          </w:p>
        </w:tc>
        <w:tc>
          <w:tcPr>
            <w:tcW w:w="800" w:type="dxa"/>
            <w:vAlign w:val="bottom"/>
            <w:tcBorders>
              <w:bottom w:val="single" w:sz="8" w:color="CCEEFF"/>
            </w:tcBorders>
            <w:gridSpan w:val="17"/>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Exhibit 4.11 to LII’s Post-Effective Amendment No. 1 to Registration Statement on S-3 (Registration No. 333-155796) filed on May 3, 2010,</w:t>
              </w:r>
            </w:hyperlink>
          </w:p>
        </w:tc>
        <w:tc>
          <w:tcPr>
            <w:tcW w:w="28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and incorporated herein by reference)</w:t>
              </w:r>
              <w:r>
                <w:rPr>
                  <w:rFonts w:ascii="Arial" w:cs="Arial" w:eastAsia="Arial" w:hAnsi="Arial"/>
                  <w:sz w:val="18"/>
                  <w:szCs w:val="18"/>
                  <w:color w:val="000000"/>
                </w:rPr>
                <w:t>.</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10460" w:type="dxa"/>
            <w:vAlign w:val="bottom"/>
            <w:gridSpan w:val="29"/>
          </w:tcPr>
          <w:p>
            <w:pPr>
              <w:spacing w:after="0" w:line="202"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Second Supplemental Indenture dated as of March 28, 2011, among Heatcraft Inc., a Mississippi corporation, Heatcraft Refrigeration Products</w:t>
              </w:r>
            </w:hyperlink>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9"/>
          </w:tcPr>
          <w:p>
            <w:pPr>
              <w:spacing w:after="0" w:line="196" w:lineRule="exact"/>
              <w:rPr>
                <w:rFonts w:ascii="Arial" w:cs="Arial" w:eastAsia="Arial" w:hAnsi="Arial"/>
                <w:sz w:val="18"/>
                <w:szCs w:val="18"/>
                <w:color w:val="0000FF"/>
                <w:w w:val="95"/>
              </w:rPr>
            </w:pPr>
            <w:hyperlink r:id="rId24">
              <w:r>
                <w:rPr>
                  <w:rFonts w:ascii="Arial" w:cs="Arial" w:eastAsia="Arial" w:hAnsi="Arial"/>
                  <w:sz w:val="18"/>
                  <w:szCs w:val="18"/>
                  <w:color w:val="0000FF"/>
                  <w:w w:val="95"/>
                </w:rPr>
                <w:t>LLC, a Delaware limited liability company and Advanced Distributor Products LLC, a Delaware limited liability company (the “Guarantors”),</w:t>
              </w:r>
            </w:hyperlink>
          </w:p>
        </w:tc>
      </w:tr>
      <w:tr>
        <w:trPr>
          <w:trHeight w:val="196"/>
        </w:trPr>
        <w:tc>
          <w:tcPr>
            <w:tcW w:w="96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LII, and each other existing Guarantor under the Indenture dated as of May 3, 2010, and U.S. Bank National Association as Trustee (filed as</w:t>
              </w:r>
            </w:hyperlink>
          </w:p>
        </w:tc>
        <w:tc>
          <w:tcPr>
            <w:tcW w:w="180" w:type="dxa"/>
            <w:vAlign w:val="bottom"/>
            <w:tcBorders>
              <w:top w:val="single" w:sz="8" w:color="0000FF"/>
            </w:tcBorders>
            <w:gridSpan w:val="6"/>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9"/>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Exhibit 4.4 to LII’s Quarterly Report on Form 10-Q filed on April 26, 2011, and incorporated herein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10460" w:type="dxa"/>
            <w:vAlign w:val="bottom"/>
            <w:gridSpan w:val="29"/>
            <w:shd w:val="clear" w:color="auto" w:fill="CCEEFF"/>
          </w:tcPr>
          <w:p>
            <w:pPr>
              <w:spacing w:after="0" w:line="202"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Fourth Supplemental Indenture, dated as of December 10, 2013 among Lennox National Account Services LLC, LGL Australia (US) Inc.,</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Lennox International Inc., each other existing Guarantor under the Indenture, dated as of May 3, 2010, as subsequently supplemented, and U.S.</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Bank National Association (filed as Exhibit 4.5 to LII's Annual Report on Form 10-K filed on February 13, 2014 and incorporated herein by</w:t>
              </w:r>
            </w:hyperlink>
          </w:p>
        </w:tc>
        <w:tc>
          <w:tcPr>
            <w:tcW w:w="140" w:type="dxa"/>
            <w:vAlign w:val="bottom"/>
            <w:tcBorders>
              <w:top w:val="single" w:sz="8" w:color="CCEEFF"/>
            </w:tcBorders>
            <w:gridSpan w:val="6"/>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reference).</w:t>
              </w:r>
            </w:hyperlink>
          </w:p>
        </w:tc>
        <w:tc>
          <w:tcPr>
            <w:tcW w:w="360" w:type="dxa"/>
            <w:vAlign w:val="bottom"/>
            <w:tcBorders>
              <w:top w:val="single" w:sz="8" w:color="CCEEFF"/>
            </w:tcBorders>
            <w:gridSpan w:val="14"/>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10380" w:type="dxa"/>
            <w:vAlign w:val="bottom"/>
            <w:tcBorders>
              <w:bottom w:val="single" w:sz="8" w:color="0000FF"/>
            </w:tcBorders>
            <w:gridSpan w:val="26"/>
          </w:tcPr>
          <w:p>
            <w:pPr>
              <w:spacing w:after="0" w:line="202"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Fifth Supplemental Indenture, dated as of August 30, 2016 among LGL Europe Holding Co., each other existing Guarantor under the Indenture,</w:t>
              </w:r>
            </w:hyperlink>
          </w:p>
        </w:tc>
        <w:tc>
          <w:tcPr>
            <w:tcW w:w="8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2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dated as of May 3, 2010, as subsequently supplemented, and U.S. Bank National Association (filed as Exhibit 4.6 to LII's Quarterly Report on</w:t>
              </w:r>
            </w:hyperlink>
          </w:p>
        </w:tc>
        <w:tc>
          <w:tcPr>
            <w:tcW w:w="200" w:type="dxa"/>
            <w:vAlign w:val="bottom"/>
            <w:gridSpan w:val="9"/>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Form 10-Q filed on October 17, 2016, and incorporated by reference)</w:t>
              </w:r>
              <w:r>
                <w:rPr>
                  <w:rFonts w:ascii="Arial" w:cs="Arial" w:eastAsia="Arial" w:hAnsi="Arial"/>
                  <w:sz w:val="18"/>
                  <w:szCs w:val="18"/>
                  <w:color w:val="000000"/>
                </w:rPr>
                <w:t>.</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4.7</w:t>
            </w:r>
          </w:p>
        </w:tc>
        <w:tc>
          <w:tcPr>
            <w:tcW w:w="10460" w:type="dxa"/>
            <w:vAlign w:val="bottom"/>
            <w:gridSpan w:val="29"/>
            <w:shd w:val="clear" w:color="auto" w:fill="CCEEFF"/>
          </w:tcPr>
          <w:p>
            <w:pPr>
              <w:spacing w:after="0" w:line="202"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Sixth Supplemental Indenture, dated as of November 3, 2016, among LII, each other existing Guarantor under the Indenture, dated as of May 3,</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60" w:type="dxa"/>
            <w:vAlign w:val="bottom"/>
            <w:tcBorders>
              <w:top w:val="single" w:sz="8" w:color="0000FF"/>
            </w:tcBorders>
            <w:gridSpan w:val="25"/>
            <w:shd w:val="clear" w:color="auto" w:fill="CCEEFF"/>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2010, as subsequently supplemented, and US Bank National Association, as trustee (filed as Exhibit 4.2 to LII’s Current Report on Form 8-K</w:t>
              </w:r>
            </w:hyperlink>
          </w:p>
        </w:tc>
        <w:tc>
          <w:tcPr>
            <w:tcW w:w="100" w:type="dxa"/>
            <w:vAlign w:val="bottom"/>
            <w:tcBorders>
              <w:top w:val="single" w:sz="8" w:color="CCEEFF"/>
            </w:tcBorders>
            <w:gridSpan w:val="4"/>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filed on November 3, 2016, and incorporated by reference).</w:t>
              </w:r>
            </w:hyperlink>
          </w:p>
        </w:tc>
        <w:tc>
          <w:tcPr>
            <w:tcW w:w="300" w:type="dxa"/>
            <w:vAlign w:val="bottom"/>
            <w:tcBorders>
              <w:top w:val="single" w:sz="8" w:color="CCEEFF"/>
            </w:tcBorders>
            <w:gridSpan w:val="12"/>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4.8</w:t>
            </w:r>
          </w:p>
        </w:tc>
        <w:tc>
          <w:tcPr>
            <w:tcW w:w="9800" w:type="dxa"/>
            <w:vAlign w:val="bottom"/>
            <w:tcBorders>
              <w:bottom w:val="single" w:sz="8" w:color="0000FF"/>
            </w:tcBorders>
            <w:gridSpan w:val="13"/>
          </w:tcPr>
          <w:p>
            <w:pPr>
              <w:spacing w:after="0" w:line="202"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660" w:type="dxa"/>
            <w:vAlign w:val="bottom"/>
            <w:gridSpan w:val="1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9"/>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incorporated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034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Amendment No. 7 to Amended and Restated Receivables Purchase Agreement among LPAC Corp., as the Seller, Lennox Industries Inc., as the</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Master Servicer, Victory Receivables Corporation, as Purchaser and The Bank of Tokyo-Mitsubishi UFJ, Ltd., New York Branch, as</w:t>
              </w:r>
            </w:hyperlink>
          </w:p>
        </w:tc>
      </w:tr>
      <w:tr>
        <w:trPr>
          <w:trHeight w:val="20"/>
        </w:trPr>
        <w:tc>
          <w:tcPr>
            <w:tcW w:w="960" w:type="dxa"/>
            <w:vAlign w:val="bottom"/>
            <w:shd w:val="clear" w:color="auto" w:fill="CCEE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CCEEFF"/>
            </w:tcBorders>
            <w:gridSpan w:val="3"/>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Administrative Agent, a Liquidity Bank and a Purchaser Agent.(filed as Exhibit 10.1 to LII's Quarterly Report on Form 10-Q filed on April 23,</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2018, and incorporated by reference).</w:t>
              </w:r>
            </w:hyperlink>
          </w:p>
        </w:tc>
        <w:tc>
          <w:tcPr>
            <w:tcW w:w="160" w:type="dxa"/>
            <w:vAlign w:val="bottom"/>
            <w:tcBorders>
              <w:top w:val="single" w:sz="8" w:color="CCEEFF"/>
            </w:tcBorders>
            <w:gridSpan w:val="7"/>
            <w:shd w:val="clear" w:color="auto" w:fill="CCEEFF"/>
          </w:tcPr>
          <w:p>
            <w:pPr>
              <w:spacing w:after="0"/>
              <w:rPr>
                <w:sz w:val="17"/>
                <w:szCs w:val="17"/>
                <w:color w:val="auto"/>
              </w:rPr>
            </w:pPr>
          </w:p>
        </w:tc>
      </w:tr>
      <w:tr>
        <w:trPr>
          <w:trHeight w:val="264"/>
        </w:trPr>
        <w:tc>
          <w:tcPr>
            <w:tcW w:w="96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6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13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326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012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Second Amendment To Sixth Amended and Restated Credit Facility Agreement dated March 16,2018, among Lennox International Inc., the</w:t>
              </w:r>
            </w:hyperlink>
          </w:p>
        </w:tc>
        <w:tc>
          <w:tcPr>
            <w:tcW w:w="340" w:type="dxa"/>
            <w:vAlign w:val="bottom"/>
            <w:gridSpan w:val="1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9"/>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lenders a party thereto, and J.P.Morgan Chase Bank, N.A.,as Administrative Agent (filed as Exhibit 10.2 to LII's Quarterly Report on Form 10-Q</w:t>
              </w:r>
            </w:hyperlink>
          </w:p>
        </w:tc>
      </w:tr>
      <w:tr>
        <w:trPr>
          <w:trHeight w:val="196"/>
        </w:trPr>
        <w:tc>
          <w:tcPr>
            <w:tcW w:w="960" w:type="dxa"/>
            <w:vAlign w:val="bottom"/>
          </w:tcPr>
          <w:p>
            <w:pPr>
              <w:spacing w:after="0"/>
              <w:rPr>
                <w:sz w:val="17"/>
                <w:szCs w:val="17"/>
                <w:color w:val="auto"/>
              </w:rPr>
            </w:pPr>
          </w:p>
        </w:tc>
        <w:tc>
          <w:tcPr>
            <w:tcW w:w="1042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filed on April 23, 2018, and incorporated by reference).</w:t>
              </w:r>
            </w:hyperlink>
          </w:p>
        </w:tc>
        <w:tc>
          <w:tcPr>
            <w:tcW w:w="40" w:type="dxa"/>
            <w:vAlign w:val="bottom"/>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5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of the principal executive officer (filed herewith).</w:t>
              </w:r>
            </w:hyperlink>
          </w:p>
        </w:tc>
        <w:tc>
          <w:tcPr>
            <w:tcW w:w="5940" w:type="dxa"/>
            <w:vAlign w:val="bottom"/>
            <w:tcBorders>
              <w:bottom w:val="single" w:sz="8" w:color="CCEEFF"/>
            </w:tcBorders>
            <w:gridSpan w:val="21"/>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460" w:type="dxa"/>
            <w:vAlign w:val="bottom"/>
            <w:gridSpan w:val="29"/>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Certification of the principal financial officer (filed herewith).</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460" w:type="dxa"/>
            <w:vAlign w:val="bottom"/>
            <w:gridSpan w:val="29"/>
            <w:shd w:val="clear" w:color="auto" w:fill="CCEEFF"/>
          </w:tcPr>
          <w:p>
            <w:pPr>
              <w:spacing w:after="0" w:line="202" w:lineRule="exact"/>
              <w:rPr>
                <w:rFonts w:ascii="Arial" w:cs="Arial" w:eastAsia="Arial" w:hAnsi="Arial"/>
                <w:sz w:val="18"/>
                <w:szCs w:val="18"/>
                <w:color w:val="0000FF"/>
                <w:w w:val="97"/>
              </w:rPr>
            </w:pPr>
            <w:hyperlink w:anchor="page50">
              <w:r>
                <w:rPr>
                  <w:rFonts w:ascii="Arial" w:cs="Arial" w:eastAsia="Arial" w:hAnsi="Arial"/>
                  <w:sz w:val="18"/>
                  <w:szCs w:val="18"/>
                  <w:color w:val="0000FF"/>
                  <w:w w:val="97"/>
                </w:rPr>
                <w:t>Certification of the principal executive officer and the principal financial officer pursuant to 18 U.S.C. Section 1350 (furnished herewith).</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26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Exhibit No. (101).INS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(101).DEF XBRL Taxonomy Extension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6" w:name="page47"/>
    <w:bookmarkEnd w:id="46"/>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20"/>
          </w:cols>
          <w:pgMar w:left="240" w:top="796" w:right="11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June 30, 2018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3">
    <w:nsid w:val="5BD062C2"/>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21" Type="http://schemas.openxmlformats.org/officeDocument/2006/relationships/hyperlink" Target="http://www.sec.gov/Archives/edgar/data/1069202/000119312513474576/d644537dex31.htm" TargetMode="External"/><Relationship Id="rId22" Type="http://schemas.openxmlformats.org/officeDocument/2006/relationships/hyperlink" Target="http://www.sec.gov/Archives/edgar/data/1017609/000095012310042399/d72548exv4w3.htm" TargetMode="External"/><Relationship Id="rId23" Type="http://schemas.openxmlformats.org/officeDocument/2006/relationships/hyperlink" Target="http://www.sec.gov/Archives/edgar/data/1017609/000095012310042399/d72548exv4w11.htm" TargetMode="External"/><Relationship Id="rId24" Type="http://schemas.openxmlformats.org/officeDocument/2006/relationships/hyperlink" Target="http://www.sec.gov/Archives/edgar/data/1069202/000095012311039069/d81114exv4w4.htm" TargetMode="External"/><Relationship Id="rId25" Type="http://schemas.openxmlformats.org/officeDocument/2006/relationships/hyperlink" Target="http://www.sec.gov/Archives/edgar/data/1069202/000106920214000002/lii-ex45_20131231x10k.htm" TargetMode="External"/><Relationship Id="rId26" Type="http://schemas.openxmlformats.org/officeDocument/2006/relationships/hyperlink" Target="http://www.sec.gov/Archives/edgar/data/1069202/000106920216000024/ex46fifthsupplementalinden.htm" TargetMode="External"/><Relationship Id="rId27" Type="http://schemas.openxmlformats.org/officeDocument/2006/relationships/hyperlink" Target="http://www.sec.gov/Archives/edgar/data/1069202/000119312516758285/d284193dex42.htm" TargetMode="External"/><Relationship Id="rId28" Type="http://schemas.openxmlformats.org/officeDocument/2006/relationships/hyperlink" Target="http://www.sec.gov/Archives/edgar/data/1069202/000106920218000009/lii-ex101xamendmentno7toam.htm" TargetMode="External"/><Relationship Id="rId29" Type="http://schemas.openxmlformats.org/officeDocument/2006/relationships/hyperlink" Target="http://www.sec.gov/Archives/edgar/data/1069202/000106920218000009/lii-ex102xsecond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2019-12-28T21:09:18Z</dcterms:created>
  <dcterms:modified xsi:type="dcterms:W3CDTF">2019-12-28T21:09:18Z</dcterms:modified>
</cp:coreProperties>
</file>