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4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4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43"/>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43"/>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43"/>
        <w:spacing w:after="0"/>
        <w:rPr>
          <w:sz w:val="20"/>
          <w:szCs w:val="20"/>
          <w:color w:val="auto"/>
        </w:rPr>
      </w:pPr>
      <w:r>
        <w:rPr>
          <w:rFonts w:ascii="Arial" w:cs="Arial" w:eastAsia="Arial" w:hAnsi="Arial"/>
          <w:sz w:val="43"/>
          <w:szCs w:val="43"/>
          <w:b w:val="1"/>
          <w:bCs w:val="1"/>
          <w:color w:val="auto"/>
        </w:rPr>
        <w:t>LENNOX INTERNATIONAL INC.</w:t>
      </w:r>
    </w:p>
    <w:p>
      <w:pPr>
        <w:spacing w:after="0" w:line="50"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884"/>
          </w:cols>
          <w:pgMar w:left="436" w:top="368" w:right="5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001-15149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42-0991521</w:t>
      </w:r>
    </w:p>
    <w:p>
      <w:pPr>
        <w:spacing w:after="0" w:line="31" w:lineRule="exact"/>
        <w:rPr>
          <w:sz w:val="24"/>
          <w:szCs w:val="24"/>
          <w:color w:val="auto"/>
        </w:rPr>
      </w:pPr>
    </w:p>
    <w:p>
      <w:pPr>
        <w:sectPr>
          <w:pgSz w:w="11900" w:h="16838" w:orient="portrait"/>
          <w:cols w:equalWidth="0" w:num="3">
            <w:col w:w="4504" w:space="720"/>
            <w:col w:w="2880" w:space="720"/>
            <w:col w:w="2060"/>
          </w:cols>
          <w:pgMar w:left="436" w:top="368" w:right="57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200"/>
          </w:cols>
          <w:pgMar w:left="436" w:top="368" w:right="579" w:bottom="1440" w:gutter="0" w:footer="0" w:header="0"/>
          <w:type w:val="continuous"/>
        </w:sectPr>
      </w:pPr>
    </w:p>
    <w:p>
      <w:pPr>
        <w:spacing w:after="0" w:line="5" w:lineRule="exact"/>
        <w:rPr>
          <w:sz w:val="24"/>
          <w:szCs w:val="24"/>
          <w:color w:val="auto"/>
        </w:rPr>
      </w:pPr>
    </w:p>
    <w:p>
      <w:pPr>
        <w:jc w:val="center"/>
        <w:ind w:right="-123"/>
        <w:spacing w:after="0"/>
        <w:rPr>
          <w:sz w:val="20"/>
          <w:szCs w:val="20"/>
          <w:color w:val="auto"/>
        </w:rPr>
      </w:pPr>
      <w:r>
        <w:rPr>
          <w:rFonts w:ascii="Arial" w:cs="Arial" w:eastAsia="Arial" w:hAnsi="Arial"/>
          <w:sz w:val="18"/>
          <w:szCs w:val="18"/>
          <w:b w:val="1"/>
          <w:bCs w:val="1"/>
          <w:color w:val="auto"/>
        </w:rPr>
        <w:t>2140 Lake Park Blvd.</w:t>
      </w:r>
    </w:p>
    <w:p>
      <w:pPr>
        <w:spacing w:after="0" w:line="27" w:lineRule="exact"/>
        <w:rPr>
          <w:sz w:val="24"/>
          <w:szCs w:val="24"/>
          <w:color w:val="auto"/>
        </w:rPr>
      </w:pPr>
    </w:p>
    <w:p>
      <w:pPr>
        <w:jc w:val="center"/>
        <w:ind w:right="-123"/>
        <w:spacing w:after="0"/>
        <w:rPr>
          <w:sz w:val="20"/>
          <w:szCs w:val="20"/>
          <w:color w:val="auto"/>
        </w:rPr>
      </w:pPr>
      <w:r>
        <w:rPr>
          <w:rFonts w:ascii="Arial" w:cs="Arial" w:eastAsia="Arial" w:hAnsi="Arial"/>
          <w:sz w:val="18"/>
          <w:szCs w:val="18"/>
          <w:b w:val="1"/>
          <w:bCs w:val="1"/>
          <w:color w:val="auto"/>
        </w:rPr>
        <w:t>Richardson, Texas 75080</w:t>
      </w:r>
    </w:p>
    <w:p>
      <w:pPr>
        <w:spacing w:after="0" w:line="2" w:lineRule="exact"/>
        <w:rPr>
          <w:sz w:val="24"/>
          <w:szCs w:val="24"/>
          <w:color w:val="auto"/>
        </w:rPr>
      </w:pPr>
    </w:p>
    <w:p>
      <w:pPr>
        <w:jc w:val="center"/>
        <w:ind w:right="-123"/>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0884"/>
          </w:cols>
          <w:pgMar w:left="436" w:top="368" w:right="579" w:bottom="1440" w:gutter="0" w:footer="0" w:header="0"/>
          <w:type w:val="continuous"/>
        </w:sectPr>
      </w:pPr>
    </w:p>
    <w:p>
      <w:pPr>
        <w:spacing w:after="0" w:line="215"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John D. Torres</w:t>
      </w:r>
    </w:p>
    <w:p>
      <w:pPr>
        <w:spacing w:after="0" w:line="27"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Executive Vice President, Chief Legal Officer and Secretary</w:t>
      </w:r>
    </w:p>
    <w:p>
      <w:pPr>
        <w:spacing w:after="0" w:line="9"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(972) 497-5350</w:t>
      </w:r>
    </w:p>
    <w:p>
      <w:pPr>
        <w:spacing w:after="0" w:line="2" w:lineRule="exact"/>
        <w:rPr>
          <w:sz w:val="24"/>
          <w:szCs w:val="24"/>
          <w:color w:val="auto"/>
        </w:rPr>
      </w:pPr>
    </w:p>
    <w:p>
      <w:pPr>
        <w:jc w:val="center"/>
        <w:ind w:right="-143"/>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left="580"/>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9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84"/>
          </w:cols>
          <w:pgMar w:left="436" w:top="368" w:right="5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1—Conflict Minerals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121" w:lineRule="exact"/>
        <w:rPr>
          <w:sz w:val="20"/>
          <w:szCs w:val="20"/>
          <w:color w:val="auto"/>
        </w:rPr>
      </w:pPr>
    </w:p>
    <w:p>
      <w:pPr>
        <w:ind w:right="560" w:firstLine="440"/>
        <w:spacing w:after="0" w:line="308" w:lineRule="auto"/>
        <w:rPr>
          <w:sz w:val="20"/>
          <w:szCs w:val="20"/>
          <w:color w:val="auto"/>
        </w:rPr>
      </w:pPr>
      <w:r>
        <w:rPr>
          <w:rFonts w:ascii="Arial" w:cs="Arial" w:eastAsia="Arial" w:hAnsi="Arial"/>
          <w:sz w:val="17"/>
          <w:szCs w:val="17"/>
          <w:color w:val="auto"/>
        </w:rPr>
        <w:t>Lennox International Inc. (including its consolidated subsidiaries,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 filing this Form SD pursuant to Rule 13p-1 under the Securities Exchange Act of 1934 for the reporting period from January 1, 2021 to December 31, 2021 (the “</w:t>
      </w:r>
      <w:r>
        <w:rPr>
          <w:rFonts w:ascii="Arial" w:cs="Arial" w:eastAsia="Arial" w:hAnsi="Arial"/>
          <w:sz w:val="17"/>
          <w:szCs w:val="17"/>
          <w:b w:val="1"/>
          <w:bCs w:val="1"/>
          <w:i w:val="1"/>
          <w:iCs w:val="1"/>
          <w:color w:val="auto"/>
        </w:rPr>
        <w:t>Reporting Period</w:t>
      </w:r>
      <w:r>
        <w:rPr>
          <w:rFonts w:ascii="Arial" w:cs="Arial" w:eastAsia="Arial" w:hAnsi="Arial"/>
          <w:sz w:val="17"/>
          <w:szCs w:val="17"/>
          <w:color w:val="auto"/>
        </w:rPr>
        <w:t>”).</w:t>
      </w:r>
    </w:p>
    <w:p>
      <w:pPr>
        <w:spacing w:after="0" w:line="146"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Rule 13p-1, through Form SD, requires the disclosure of certain information if a company manufactures or contracts to manufacture products for which certain “conflict minerals” (as defined below) are necessary to the functionality or production of such products. Form SD defines “conflict minerals” as: (i)(a) columbite-tantalite (or coltan, the metal ore from which tantalum is extracted), (b) cassiterite (the metal ore from which tin is extracted), (c) gold and (d) 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Arial" w:cs="Arial" w:eastAsia="Arial" w:hAnsi="Arial"/>
          <w:sz w:val="17"/>
          <w:szCs w:val="17"/>
          <w:b w:val="1"/>
          <w:bCs w:val="1"/>
          <w:i w:val="1"/>
          <w:iCs w:val="1"/>
          <w:color w:val="auto"/>
        </w:rPr>
        <w:t>Covered Countries</w:t>
      </w:r>
      <w:r>
        <w:rPr>
          <w:rFonts w:ascii="Arial" w:cs="Arial" w:eastAsia="Arial" w:hAnsi="Arial"/>
          <w:sz w:val="17"/>
          <w:szCs w:val="17"/>
          <w:color w:val="auto"/>
        </w:rPr>
        <w:t>”).</w:t>
      </w:r>
    </w:p>
    <w:p>
      <w:pPr>
        <w:spacing w:after="0" w:line="178"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The Company’s operations may at times manufacture, or contract to manufacture, products for which conflict minerals are necessary to the functionality or production of those products (collectively, the “</w:t>
      </w:r>
      <w:r>
        <w:rPr>
          <w:rFonts w:ascii="Arial" w:cs="Arial" w:eastAsia="Arial" w:hAnsi="Arial"/>
          <w:sz w:val="16"/>
          <w:szCs w:val="16"/>
          <w:b w:val="1"/>
          <w:bCs w:val="1"/>
          <w:i w:val="1"/>
          <w:iCs w:val="1"/>
          <w:color w:val="auto"/>
        </w:rPr>
        <w:t>products</w:t>
      </w:r>
      <w:r>
        <w:rPr>
          <w:rFonts w:ascii="Arial" w:cs="Arial" w:eastAsia="Arial" w:hAnsi="Arial"/>
          <w:sz w:val="16"/>
          <w:szCs w:val="16"/>
          <w:color w:val="auto"/>
        </w:rPr>
        <w:t>”). As required by Form SD, the Company has conducted a good faith reasonable country of origin inquiry (“</w:t>
      </w:r>
      <w:r>
        <w:rPr>
          <w:rFonts w:ascii="Arial" w:cs="Arial" w:eastAsia="Arial" w:hAnsi="Arial"/>
          <w:sz w:val="16"/>
          <w:szCs w:val="16"/>
          <w:b w:val="1"/>
          <w:bCs w:val="1"/>
          <w:i w:val="1"/>
          <w:iCs w:val="1"/>
          <w:color w:val="auto"/>
        </w:rPr>
        <w:t>RCOI</w:t>
      </w:r>
      <w:r>
        <w:rPr>
          <w:rFonts w:ascii="Arial" w:cs="Arial" w:eastAsia="Arial" w:hAnsi="Arial"/>
          <w:sz w:val="16"/>
          <w:szCs w:val="16"/>
          <w:color w:val="auto"/>
        </w:rPr>
        <w:t>”) regarding the conflict minerals included in its products during the Reporting Period, which the Company refers to as the “Subject Minerals,”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its additional due diligence regarding the sources of such Subject Minerals, are contained in the Company’s Conflict Minerals Report, a copy of which is filed as Exhibit 1.01 to this Form SD, and is publicly available at http://www.lennoxinternational.com under “Terms, Conditions and Disclosures.” The content on, or accessible through, any web site referred to in this Form SD is not incorporated by reference into this Form SD unless expressly noted.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Conflict Minerals Report is included as Exhibit 1.01 to this Form SD.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48" w:lineRule="exact"/>
        <w:rPr>
          <w:sz w:val="20"/>
          <w:szCs w:val="20"/>
          <w:color w:val="auto"/>
        </w:rPr>
      </w:pPr>
    </w:p>
    <w:p>
      <w:pPr>
        <w:spacing w:after="0"/>
        <w:tabs>
          <w:tab w:leader="none" w:pos="12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Conflict Minerals Report of Lennox International Inc.</w:t>
      </w:r>
    </w:p>
    <w:p>
      <w:pPr>
        <w:sectPr>
          <w:pgSz w:w="11900" w:h="16838" w:orient="portrait"/>
          <w:cols w:equalWidth="0" w:num="1">
            <w:col w:w="11000"/>
          </w:cols>
          <w:pgMar w:left="440" w:top="270"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LENNOX INTERNATIONAL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D. Torres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John D. Torres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Executive Vice President, Chief Legal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 May 31, 2022</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 Period from January 1, 2021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229"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This Conflict Minerals Report (this “</w:t>
      </w:r>
      <w:r>
        <w:rPr>
          <w:rFonts w:ascii="Arial" w:cs="Arial" w:eastAsia="Arial" w:hAnsi="Arial"/>
          <w:sz w:val="18"/>
          <w:szCs w:val="18"/>
          <w:b w:val="1"/>
          <w:bCs w:val="1"/>
          <w:i w:val="1"/>
          <w:iCs w:val="1"/>
          <w:color w:val="auto"/>
        </w:rPr>
        <w:t>Report</w:t>
      </w:r>
      <w:r>
        <w:rPr>
          <w:rFonts w:ascii="Arial" w:cs="Arial" w:eastAsia="Arial" w:hAnsi="Arial"/>
          <w:sz w:val="18"/>
          <w:szCs w:val="18"/>
          <w:color w:val="auto"/>
        </w:rPr>
        <w:t>”) of Lennox International Inc. (including its consolidated subsidiaries,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been prepared pursuant to Rule 13p-1 and Form SD promulgated under the Securities Exchange Act of 1934 for the reporting period from January 1, 2021 to December 31, 2021 (the “</w:t>
      </w:r>
      <w:r>
        <w:rPr>
          <w:rFonts w:ascii="Arial" w:cs="Arial" w:eastAsia="Arial" w:hAnsi="Arial"/>
          <w:sz w:val="18"/>
          <w:szCs w:val="18"/>
          <w:b w:val="1"/>
          <w:bCs w:val="1"/>
          <w:i w:val="1"/>
          <w:iCs w:val="1"/>
          <w:color w:val="auto"/>
        </w:rPr>
        <w:t>Reporting Period</w:t>
      </w:r>
      <w:r>
        <w:rPr>
          <w:rFonts w:ascii="Arial" w:cs="Arial" w:eastAsia="Arial" w:hAnsi="Arial"/>
          <w:sz w:val="18"/>
          <w:szCs w:val="18"/>
          <w:color w:val="auto"/>
        </w:rPr>
        <w:t>”).</w:t>
      </w:r>
    </w:p>
    <w:p>
      <w:pPr>
        <w:spacing w:after="0" w:line="184"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color w:val="auto"/>
        </w:rPr>
        <w:t>Forward-looking statements contained in this Report are made based on known events and circumstances at the time of release and, as such, are subject in the future to unforeseen uncertainties and risks. Statements in this Report which express a belief, expectation or intention, as well as those that are not historical fact, are forward-looking statements, including statements related to the Company’s compliance efforts and expected actions identified in this Report. These forward-looking statements are subject to various risks, uncertainties and assumptions, including, among other matters, the Company’s customers’ requirements to use certain suppliers, the Company’s suppliers’ responsiveness and cooperation with the Company’s due diligence efforts, the Company’s ability to implement improvements in its conflict minerals program and the Company’s ability to identify and mitigate related risks in its supply chain. If one or more of these or other risks materialize, actual results may vary materially from those expressed. For a more complete discussion of these and other risk factors, see the Company’s other filings with the Securities and Exchange Commission (“</w:t>
      </w:r>
      <w:r>
        <w:rPr>
          <w:rFonts w:ascii="Arial" w:cs="Arial" w:eastAsia="Arial" w:hAnsi="Arial"/>
          <w:sz w:val="16"/>
          <w:szCs w:val="16"/>
          <w:b w:val="1"/>
          <w:bCs w:val="1"/>
          <w:i w:val="1"/>
          <w:iCs w:val="1"/>
          <w:color w:val="auto"/>
        </w:rPr>
        <w:t>SEC</w:t>
      </w:r>
      <w:r>
        <w:rPr>
          <w:rFonts w:ascii="Arial" w:cs="Arial" w:eastAsia="Arial" w:hAnsi="Arial"/>
          <w:sz w:val="16"/>
          <w:szCs w:val="16"/>
          <w:color w:val="auto"/>
        </w:rPr>
        <w:t>”), including its Annual Report on Form 10K for the year ended December 31, 2021 and subsequent Quarterly Reports on Form 10-Q. The Company makes these statements as of the date of this disclosure, and undertakes no obligation to update them unless otherwise required by law.</w:t>
      </w:r>
    </w:p>
    <w:p>
      <w:pPr>
        <w:spacing w:after="0" w:line="168"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Rule 13p-1, through Form SD, requires the disclosure of certain information if a company manufactures or contracts to manufacture products for which certain “conflict minerals” (as defined below) are necessary to the functionality or production of such products. Form SD defines “conflict minerals” as: (i)(a) columbite-tantalite (or coltan, the metal ore from which tantalum is extracted), (b) cassiterite (the metal ore from which tin is extracted), (c) gold and (d) 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Arial" w:cs="Arial" w:eastAsia="Arial" w:hAnsi="Arial"/>
          <w:sz w:val="17"/>
          <w:szCs w:val="17"/>
          <w:b w:val="1"/>
          <w:bCs w:val="1"/>
          <w:i w:val="1"/>
          <w:iCs w:val="1"/>
          <w:color w:val="auto"/>
        </w:rPr>
        <w:t>Covered Countries</w:t>
      </w:r>
      <w:r>
        <w:rPr>
          <w:rFonts w:ascii="Arial" w:cs="Arial" w:eastAsia="Arial" w:hAnsi="Arial"/>
          <w:sz w:val="17"/>
          <w:szCs w:val="17"/>
          <w:color w:val="auto"/>
        </w:rPr>
        <w:t>”).</w:t>
      </w:r>
    </w:p>
    <w:p>
      <w:pPr>
        <w:spacing w:after="0" w:line="178"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Company’s operations may at times manufacture, or contract to manufacture, products for which conflict minerals are necessary to the functionality or production of those products (collectively, the “</w:t>
      </w:r>
      <w:r>
        <w:rPr>
          <w:rFonts w:ascii="Arial" w:cs="Arial" w:eastAsia="Arial" w:hAnsi="Arial"/>
          <w:sz w:val="18"/>
          <w:szCs w:val="18"/>
          <w:b w:val="1"/>
          <w:bCs w:val="1"/>
          <w:i w:val="1"/>
          <w:iCs w:val="1"/>
          <w:color w:val="auto"/>
        </w:rPr>
        <w:t>products</w:t>
      </w:r>
      <w:r>
        <w:rPr>
          <w:rFonts w:ascii="Arial" w:cs="Arial" w:eastAsia="Arial" w:hAnsi="Arial"/>
          <w:sz w:val="18"/>
          <w:szCs w:val="18"/>
          <w:color w:val="auto"/>
        </w:rPr>
        <w:t>”). For the Reporting Period, the Company reasonably determined that the following product groups contain conflict minerals: furnaces, air conditioners, air handlers, heat pumps, unit coolers, condensing units, HVAC parts and accessories, indoor coils and controls.</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 Reasonable Country of Origin Inquiry and Due Diligence:</w:t>
      </w:r>
    </w:p>
    <w:p>
      <w:pPr>
        <w:spacing w:after="0" w:line="121"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As required by Form SD, the Company has conducted a good faith reasonable country of origin inquiry (“</w:t>
      </w:r>
      <w:r>
        <w:rPr>
          <w:rFonts w:ascii="Arial" w:cs="Arial" w:eastAsia="Arial" w:hAnsi="Arial"/>
          <w:sz w:val="16"/>
          <w:szCs w:val="16"/>
          <w:b w:val="1"/>
          <w:bCs w:val="1"/>
          <w:i w:val="1"/>
          <w:iCs w:val="1"/>
          <w:color w:val="auto"/>
        </w:rPr>
        <w:t>RCOI</w:t>
      </w:r>
      <w:r>
        <w:rPr>
          <w:rFonts w:ascii="Arial" w:cs="Arial" w:eastAsia="Arial" w:hAnsi="Arial"/>
          <w:sz w:val="16"/>
          <w:szCs w:val="16"/>
          <w:color w:val="auto"/>
        </w:rPr>
        <w:t>”) regarding the conflict minerals included in the products described above during the Reporting Period, which the Company refers to as the “</w:t>
      </w:r>
      <w:r>
        <w:rPr>
          <w:rFonts w:ascii="Arial" w:cs="Arial" w:eastAsia="Arial" w:hAnsi="Arial"/>
          <w:sz w:val="16"/>
          <w:szCs w:val="16"/>
          <w:b w:val="1"/>
          <w:bCs w:val="1"/>
          <w:i w:val="1"/>
          <w:iCs w:val="1"/>
          <w:color w:val="auto"/>
        </w:rPr>
        <w:t>Subject Minerals</w:t>
      </w:r>
      <w:r>
        <w:rPr>
          <w:rFonts w:ascii="Arial" w:cs="Arial" w:eastAsia="Arial" w:hAnsi="Arial"/>
          <w:sz w:val="16"/>
          <w:szCs w:val="16"/>
          <w:color w:val="auto"/>
        </w:rPr>
        <w:t>,”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the Company’s additional due diligence regarding the sources of such Subject Minerals, are contained in this Report, which is publicly available at http://www.lennoxinternational.com under “Terms, Conditions and Disclosures.” The content on, or accessible through, any web site referred to in this Report is not incorporated by reference into this Report unless expressly noted.</w:t>
      </w:r>
    </w:p>
    <w:p>
      <w:pPr>
        <w:sectPr>
          <w:pgSz w:w="11900" w:h="16838" w:orient="portrait"/>
          <w:cols w:equalWidth="0" w:num="1">
            <w:col w:w="11020"/>
          </w:cols>
          <w:pgMar w:left="440" w:top="121" w:right="439" w:bottom="1440" w:gutter="0" w:footer="0" w:header="0"/>
        </w:sectPr>
      </w:pPr>
    </w:p>
    <w:bookmarkStart w:id="4" w:name="page5"/>
    <w:bookmarkEnd w:id="4"/>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Company’s global supply chain is complex. The Company does not purchase conflict minerals directly from mines, smelters or refiners, and there are many third parties in the supply chain between the Company and the original sources of conflict minerals. In the course of its business operations, the Company may purchase materials and components containing conflict minerals, and those materials and components may, in turn, be included in the Company’s products. As a result, the Company necessarily relies on its direct material suppliers to provide information regarding the origin of any conflict minerals that are included in its products. In accordance with the Organisation for Economic Co-operation and Development’s Due Diligence Guidance for Responsible Supply Chains of Minerals from Conflict-Affected and High-Risk Areas, including the related supplements for gold, tin, tantalum and tungsten, and related guidance provided by the SEC, the Company works with its direct material suppliers to identify, where possible, the smelters and/or refiners and countries of origin of the Subject Minerals. Additionally, the Company’s standard purchase order terms require suppliers to comply with all applicable laws. The Company also is committed to increasing transparency in its supply chain regarding the origin and traceability of conflict minerals.</w:t>
      </w:r>
    </w:p>
    <w:p>
      <w:pPr>
        <w:spacing w:after="0" w:line="185"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As part of the Company’s RCOI and due diligence activities, employees of the Company’s global sourcing group identified 286 Tier 1 suppliers in its centralized Business Warehouse spend database of products during the Reporting Period that (i) were believed to possibly include conflict minerals and (ii) were used in the production of a product under product manufacturing and contract manufacturing arrangements. The Company, through a third party, contacted these 286 suppliers. Suppliers were asked to provide information regarding the sourcing of their Conflict Minerals, through the use of a Responsible Minerals Initiative (“</w:t>
      </w:r>
      <w:r>
        <w:rPr>
          <w:rFonts w:ascii="Arial" w:cs="Arial" w:eastAsia="Arial" w:hAnsi="Arial"/>
          <w:sz w:val="17"/>
          <w:szCs w:val="17"/>
          <w:b w:val="1"/>
          <w:bCs w:val="1"/>
          <w:i w:val="1"/>
          <w:iCs w:val="1"/>
          <w:color w:val="auto"/>
        </w:rPr>
        <w:t>RMI</w:t>
      </w:r>
      <w:r>
        <w:rPr>
          <w:rFonts w:ascii="Arial" w:cs="Arial" w:eastAsia="Arial" w:hAnsi="Arial"/>
          <w:sz w:val="17"/>
          <w:szCs w:val="17"/>
          <w:color w:val="auto"/>
        </w:rPr>
        <w:t>”) (formerly known as the Conflict-Free Sourcing Initiative) Conflict Minerals Reporting Template (“</w:t>
      </w:r>
      <w:r>
        <w:rPr>
          <w:rFonts w:ascii="Arial" w:cs="Arial" w:eastAsia="Arial" w:hAnsi="Arial"/>
          <w:sz w:val="17"/>
          <w:szCs w:val="17"/>
          <w:b w:val="1"/>
          <w:bCs w:val="1"/>
          <w:i w:val="1"/>
          <w:iCs w:val="1"/>
          <w:color w:val="auto"/>
        </w:rPr>
        <w:t>CMRT</w:t>
      </w:r>
      <w:r>
        <w:rPr>
          <w:rFonts w:ascii="Arial" w:cs="Arial" w:eastAsia="Arial" w:hAnsi="Arial"/>
          <w:sz w:val="17"/>
          <w:szCs w:val="17"/>
          <w:color w:val="auto"/>
        </w:rPr>
        <w:t>”) with the ultimate goal of identifying the smelters or refiners and associated mine countries of origin. Where a supplier was unable to provide a CMRT, the Company, through a third party, requested additional information from such supplier regarding its supply chain. The Company, through a third party, later sent follow-up emails to the suppliers who had not responded, and conducted additional outreach with certain suppliers who remained non-responsive, in order to remind these non-responders to respond to its requests regarding conflict minerals sourcing. The suppliers were given an April 8, 2022 deadline to respond. In total, 55% of the 286 suppliers contacted responded. Of these responding suppliers, 45% indicated that one or more of the Subject Minerals was necessary to the functionality or production of the products they supply to the Company, but such suppliers did not provide the Company with sufficient information to fully determine the facilities used to process the Subject Minerals or fully determine the countries of origin for the Subject Minerals.</w:t>
      </w:r>
    </w:p>
    <w:p>
      <w:pPr>
        <w:spacing w:after="0" w:line="18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Based on the information obtained pursuant to the RCOI and due diligence process described above, the Company does not have sufficient information, with respect to the Reporting Period, to determine the known facility/smelter or country of origin of the Subject Minerals. For the Reporting Period, the Company identified over 341 facilities/smelters, as reported by the Covered Suppliers, as potential sources of Subject Minerals. The names of these facilities/smelters are included in Annex A hereto for reference. Although the Company received responses from certain Covered Suppliers in connection with its RCOI that listed smelter or refiner names, such Covered Suppliers are unable to accurately report which specific smelters were part of the supply chain for the Subject Minerals. For example, the majority of Covered Suppliers reported their sourcing results on a company-wide basis, rather than on a product-specific basis or were unable to determine the facility/smelter and/or country of origin for the Subject Minerals. A Covered Supplier’s failure to identify a specific facility/smelter and/or country of origin at any point in its supply chain will drive an equivalent response for the Company and, therefore, the Company is unable to report any known facilities/smelters and/or countries of origin for the Subject Minerals at this time. The Company continues to implement and refine its conflict minerals program to improve its supply chain transparency by obtaining more accurate and more complete information from its suppliers.</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II. Additional Information:</w:t>
      </w:r>
    </w:p>
    <w:p>
      <w:pPr>
        <w:spacing w:after="0" w:line="12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This Report was not subjected to an independent private sector audit, as such audit was not required. The statements above are based on the information available at the time this Report was prepared, and a number of factors may change this information. The activities described above are continuing, and after December 31, 2021, the Company has continued to follow up with the suppliers described above and to verify any responses from those suppliers.</w:t>
      </w:r>
    </w:p>
    <w:p>
      <w:pPr>
        <w:sectPr>
          <w:pgSz w:w="11900" w:h="16838" w:orient="portrait"/>
          <w:cols w:equalWidth="0" w:num="1">
            <w:col w:w="11000"/>
          </w:cols>
          <w:pgMar w:left="440" w:top="274" w:right="459" w:bottom="1440" w:gutter="0" w:footer="0" w:header="0"/>
        </w:sectPr>
      </w:pPr>
    </w:p>
    <w:bookmarkStart w:id="5" w:name="page6"/>
    <w:bookmarkEnd w:id="5"/>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Within the Company’s supplier relationships, the Company seeks to manage its sourcing processes ethically, and to hold the Company and its suppliers to high standards of behavior. This means that the Company is committed to working with its suppliers to encourage responsible practices throughout the supply network. The Company expects to continue to improve its RCOI process and due diligence measures, including, but not limited to:</w:t>
      </w:r>
    </w:p>
    <w:p>
      <w:pPr>
        <w:spacing w:after="0" w:line="92" w:lineRule="exact"/>
        <w:rPr>
          <w:sz w:val="20"/>
          <w:szCs w:val="20"/>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assessing the presence of conflict minerals in its supply chain;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clearly communicating expectations with regard to transparency of supplier sourcing of conflict minerals;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increasing the response rate for RCOI process;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continuing to monitor and track the Company’s performance of risk mitigation and response rate for RCOI process; and</w:t>
      </w:r>
    </w:p>
    <w:p>
      <w:pPr>
        <w:spacing w:after="0" w:line="130" w:lineRule="exact"/>
        <w:rPr>
          <w:rFonts w:ascii="Arial" w:cs="Arial" w:eastAsia="Arial" w:hAnsi="Arial"/>
          <w:sz w:val="18"/>
          <w:szCs w:val="18"/>
          <w:color w:val="auto"/>
        </w:rPr>
      </w:pPr>
    </w:p>
    <w:p>
      <w:pPr>
        <w:ind w:left="960" w:right="44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continuing to compare RCOI results to information collected via independent conflict free smelter validation programs such as the Responsible Minerals Assurance Process assessment protocols established by the RMI.</w:t>
      </w:r>
    </w:p>
    <w:p>
      <w:pPr>
        <w:sectPr>
          <w:pgSz w:w="11900" w:h="16838" w:orient="portrait"/>
          <w:cols w:equalWidth="0" w:num="1">
            <w:col w:w="10800"/>
          </w:cols>
          <w:pgMar w:left="440" w:top="274" w:right="659" w:bottom="1440" w:gutter="0" w:footer="0" w:header="0"/>
        </w:sectPr>
      </w:pPr>
    </w:p>
    <w:bookmarkStart w:id="6" w:name="page7"/>
    <w:bookmarkEnd w:id="6"/>
    <w:p>
      <w:pPr>
        <w:jc w:val="right"/>
        <w:ind w:right="4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Gold 8853 S.p.A.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 Abington Reldan Metals,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Advanced Chemical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 African Gold Refinery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Aida Chemical Industries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Al Etihad Gold Refinery DMCC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Alexy Metals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Allgemeine Gold-und Silberscheideanstalt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Almalyk Mining and Metallurgical Complex (AMMC)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AngloGold Ashanti Corrego do Sitio Mineracao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Argor-Heraeus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Asahi Pretec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Asahi Refining Canada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Asahi Refining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Asaka Riken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Atasay Kuyumculuk Sanayi Ve Ticaret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AU Traders and Refiners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Augmont Enterprises 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Aurubis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Bangalore Refinery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Bangko Sentral ng Pilipinas (Central Bank of the Philippines)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Boliden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C. Hafner GmbH + Co. KG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C.I Metales Procesados Industriales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Caridad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CCR Refinery - Glencore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Cendres + Metaux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CGR Metalloys Pvt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Chimet S.p.A.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Chugai Mining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Daye Non-Ferrous Metals Mining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Degussa Sonne / Mond Goldhandel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Dijllah Gold Refinery FZC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DODUCO Contacts and Refining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Dowa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DSC (Do Sung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Eco-System Recycling Co., Ltd. East Plant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Eco-System Recycling Co., Ltd. North Plant</w:t>
      </w:r>
    </w:p>
    <w:p>
      <w:pPr>
        <w:sectPr>
          <w:pgSz w:w="11900" w:h="16838" w:orient="portrait"/>
          <w:cols w:equalWidth="0" w:num="1">
            <w:col w:w="10019"/>
          </w:cols>
          <w:pgMar w:left="440" w:top="270"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 Eco-System Recycling Co., Ltd. West Plant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 Emerald Jewel Industry India Limited (Unit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Emerald Jewel Industry India Limited (Unit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Emerald Jewel Industry India Limited (Unit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Emerald Jewel Industry India Limited (Unit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Emirates Gold DMCC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Fidelity Printers and Refiners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Fujairah Gold FZC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GCC Gujrat Gold Centre Pvt.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Geib Refining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Gold Coast Refinery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Gold Refinery of Zijin Mining Group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Great Wall Precious Metals Co., Ltd. of CBPM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Guangdong Jinding Gold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Guoda Safina High-Tech Environmental Refinery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Hangzhou Fuchunjiang Smelting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Heimerle + Meule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Heraeus Metals Hong Kong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Heraeus Precious Metals GmbH &amp; Co. KG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Hunan Chenzhou Mining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Hunan Guiyang yinxing Nonferrous Smelting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HwaSeong CJ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Gold Inner Mongolia Qiankun Gold and Silver Refinery Share Co.,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Gold International Precious Metal Refiners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Ishifuku Metal Industry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Istanbul Gold Refinery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Italpreziosi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JALAN &amp;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Japan Mint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Jiangxi Copper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JSC Ekaterinburg Non-Ferrous Metal Processing Plant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JSC Uralelectromed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JX Nippon Mining &amp; Metals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K.A. Rasmussen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Kaloti Precious Metals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Kazakhmys Smelting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Kazzinc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Kennecott Utah Copper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KGHM Polska Miedz Spolka Akcyjna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Kojima Chemicals Co., Ltd.</w:t>
      </w:r>
    </w:p>
    <w:p>
      <w:pPr>
        <w:sectPr>
          <w:pgSz w:w="11900" w:h="16838" w:orient="portrait"/>
          <w:cols w:equalWidth="0" w:num="1">
            <w:col w:w="10019"/>
          </w:cols>
          <w:pgMar w:left="440" w:top="274"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 Korea Zinc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 Kundan Care Products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Kyrgyzaltyn JSC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Kyshtym Copper-Electrolytic Plant ZAO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L’azurde Company For Jewelry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L’Orfebre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Lingbao Gold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Lingbao Jinyuan Tonghui Refinery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LS-NIKKO Copper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LT Metal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Luoyang Zijin Yinhui Gold Refinery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Marsam Metals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Materion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Matsuda Sangyo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MD Overseas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Metal Concentrators SA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Metallix Refining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Metalor Technologies (Hong Kong)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Metalor Technologies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Metalor Technologies (Suzhou)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Metalor Technologies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Metalor USA Refining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Metalurgica Met-Mex Penoles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Mitsubishi Materials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Mitsui Mining and Smelting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MMTC-PAMP India Pvt.,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Modeltech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Morris and Watson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Moscow Special Alloys Processing Plant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Nadir Metal Rafineri San. Ve Tic.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Navoi Mining and Metallurgical Combinat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NH Recytech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Nihon Material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Ogussa Osterreichische Gold- und Silber-Scheideanstalt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Ohura Precious Metal Industry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Gold OJSC “The Gulidov Krasnoyarsk Non-Ferrous Metals Plant” (OJSC Krastsvetmet)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Gold OJSC Novosibirsk Refinery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PAMP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Pease &amp; Curren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Penglai Penggang Gold Industry Co., Ltd.</w:t>
      </w:r>
    </w:p>
    <w:p>
      <w:pPr>
        <w:sectPr>
          <w:pgSz w:w="11900" w:h="16838" w:orient="portrait"/>
          <w:cols w:equalWidth="0" w:num="1">
            <w:col w:w="10019"/>
          </w:cols>
          <w:pgMar w:left="440" w:top="274"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 Planta Recuperadora de Metales SpA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 Prioksky Plant of Non-Ferrous Metals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PT Aneka Tambang (Persero) Tbk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PX Precinox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QG Refining,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Rand Refinery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Refinery of Seemine Gold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REMONDIS PMR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Royal Canadian Mint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SAAMP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Sabin Metal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Safimet S.p.A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SAFINA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Sai Refinery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Samduck Precious Metals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SAMWON METALS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Sancus ZFS (L’Orfebre,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SAXONIA Edelmetalle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Sellem Industries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SEMPSA Joyeria Plateria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Shandong Humon Smelting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Shandong Tiancheng Biological Gold Industrial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Shandong Zhaojin Gold &amp; Silver Refinery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Shenzhen Zhonghenglong Real Industry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Shirpur Gold Refinery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Sichuan Tianze Precious Metals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Singway Technology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SOE Shyolkovsky Factory of Secondary Precious Metals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Solar Applied Materials Technology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Sovereign Metals</w:t>
      </w:r>
    </w:p>
    <w:p>
      <w:pPr>
        <w:spacing w:after="0" w:line="9" w:lineRule="exact"/>
        <w:rPr>
          <w:sz w:val="20"/>
          <w:szCs w:val="20"/>
          <w:color w:val="auto"/>
        </w:rPr>
      </w:pPr>
    </w:p>
    <w:p>
      <w:pPr>
        <w:ind w:right="4619"/>
        <w:spacing w:after="0" w:line="250" w:lineRule="auto"/>
        <w:rPr>
          <w:sz w:val="20"/>
          <w:szCs w:val="20"/>
          <w:color w:val="auto"/>
        </w:rPr>
      </w:pPr>
      <w:r>
        <w:rPr>
          <w:rFonts w:ascii="Arial" w:cs="Arial" w:eastAsia="Arial" w:hAnsi="Arial"/>
          <w:sz w:val="18"/>
          <w:szCs w:val="18"/>
          <w:color w:val="auto"/>
        </w:rPr>
        <w:t>Gold State Research Institute Center for Physical Sciences and Technology Gold Sudan Gold Refinery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Gold Sumitomo Metal Mining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SungEel HiMetal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Super Dragon Technology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T.C.A S.p.A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Tanaka Kikinzoku Kogyo K.K.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The Refinery of Shandong Gold Mining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Tokuriki Honten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Tongling Nonferrous Metals Group Co., Ltd.</w:t>
      </w:r>
    </w:p>
    <w:p>
      <w:pPr>
        <w:sectPr>
          <w:pgSz w:w="11900" w:h="16838" w:orient="portrait"/>
          <w:cols w:equalWidth="0" w:num="1">
            <w:col w:w="10019"/>
          </w:cols>
          <w:pgMar w:left="440" w:top="274" w:right="1440"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Gold Tony Goetz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 TOO Tau-Ken-Altyn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Torecom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Umicore Precious Metals Thailand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Gold Umicore S.A. Business Unit Precious Metals Refining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Gold United Precious Metal Refining,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Valcambi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Value Trading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WEEEREFINING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Western Australian Mint (T/a The Perth Mint)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WIELAND Edelmetalle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Yamakin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Yokohama Metal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Yunnan Copper Industry Co.,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Gold Zhongyuan Gold Smelter of Zhongjin Gold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Tantalum AMG Brasil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Changsha South Tantalum Niobium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D Block Metals,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Exotech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F&amp;X Electro-Materials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FIR Metals &amp; Resource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Global Advanced Metals Aizu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Global Advanced Metals Boyertown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Tantalum Guangdong Rising Rare Metals-EO Materials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Tantalum Guangdong Zhiyuan New Material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H.C. Starck Hermsdorf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H.C. Starck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Tantalum Hengyang King Xing Lifeng New Materials Co.,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Tantalum Jiangxi Dinghai Tantalum &amp; Niobium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Jiangxi Tuohong New Raw Material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JiuJiang JinXin Nonferrous Metals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Jiujiang Tanbre Co.,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Tantalum Jiujiang Zhongao Tantalum &amp; Niobium Co.,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Tantalum KEMET Blue Metals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Metallurgical Products India Pvt.,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Mineracao Taboca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Mitsui Mining and Smelting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Ningxia Orient Tantalum Industry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NPM Silmet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QuantumClean</w:t>
      </w:r>
    </w:p>
    <w:p>
      <w:pPr>
        <w:sectPr>
          <w:pgSz w:w="11900" w:h="16838" w:orient="portrait"/>
          <w:cols w:equalWidth="0" w:num="1">
            <w:col w:w="10019"/>
          </w:cols>
          <w:pgMar w:left="440" w:top="274" w:right="1440"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Tantalum Resind Industria e Comercio Ltda.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Tantalum RFH Yancheng Jinye New Material Technology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Solikamsk Magnesium Works OAO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Taki Chemical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TANIOBIS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TANIOBIS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TANIOBIS Japan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TANIOBIS Smelting GmbH &amp; Co. KG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Telex Metals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Ulba Metallurgical Plant JSC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XinXing Haorong Electronic Material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Tantalum Yanling Jincheng Tantalum &amp; Niobium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Alpha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An Vinh Joint Stock Mineral Processing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Chenzhou Yunxiang Mining and Metallurgy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Chifeng Dajingzi Tin Industry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China Tin Group Co., Ltd.</w:t>
      </w:r>
    </w:p>
    <w:p>
      <w:pPr>
        <w:spacing w:after="0" w:line="9" w:lineRule="exact"/>
        <w:rPr>
          <w:sz w:val="20"/>
          <w:szCs w:val="20"/>
          <w:color w:val="auto"/>
        </w:rPr>
      </w:pPr>
    </w:p>
    <w:p>
      <w:pPr>
        <w:ind w:right="3619"/>
        <w:spacing w:after="0" w:line="250" w:lineRule="auto"/>
        <w:rPr>
          <w:sz w:val="20"/>
          <w:szCs w:val="20"/>
          <w:color w:val="auto"/>
        </w:rPr>
      </w:pPr>
      <w:r>
        <w:rPr>
          <w:rFonts w:ascii="Arial" w:cs="Arial" w:eastAsia="Arial" w:hAnsi="Arial"/>
          <w:sz w:val="18"/>
          <w:szCs w:val="18"/>
          <w:color w:val="auto"/>
        </w:rPr>
        <w:t>Tin CRM Fundicao De Metais E Comercio De Equipamentos Eletronicos Do Brasil Ltda Tin CRM Synergies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Tin CV Venus Inti Perkasa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Dongguan CiEXPO Environmental Engineering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Dowa</w:t>
      </w:r>
    </w:p>
    <w:p>
      <w:pPr>
        <w:spacing w:after="0" w:line="9" w:lineRule="exact"/>
        <w:rPr>
          <w:sz w:val="20"/>
          <w:szCs w:val="20"/>
          <w:color w:val="auto"/>
        </w:rPr>
      </w:pPr>
    </w:p>
    <w:p>
      <w:pPr>
        <w:ind w:right="3199"/>
        <w:spacing w:after="0" w:line="250" w:lineRule="auto"/>
        <w:rPr>
          <w:sz w:val="20"/>
          <w:szCs w:val="20"/>
          <w:color w:val="auto"/>
        </w:rPr>
      </w:pPr>
      <w:r>
        <w:rPr>
          <w:rFonts w:ascii="Arial" w:cs="Arial" w:eastAsia="Arial" w:hAnsi="Arial"/>
          <w:sz w:val="18"/>
          <w:szCs w:val="18"/>
          <w:color w:val="auto"/>
        </w:rPr>
        <w:t>Tin Electro-Mechanical Facility of the Cao Bang Minerals &amp; Metallurgy Joint Stock Company Tin EM Vinto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Tin Estanho de Rondonia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Fabrica Auricchio Industria e Comercio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Fenix Metals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Gejiu City Fuxiang Industry and Trade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Gejiu Kai Meng Industry and Trade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Gejiu Non-Ferrous Metal Processing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Gejiu Yunxin Nonferrous Electrolysis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Gejiu Zili Mining And Metallurgy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Guangdong Hanhe Non-Ferrous Metal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HuiChang Hill Tin Industry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Jiangxi New Nanshan Technology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Luna Smelter,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Ma’anshan Weitai Tin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Magnu’s Minerais Metais e Ligas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Malaysia Smelting Corporation (MSC)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Melt Metais e Ligas S.A.</w:t>
      </w:r>
    </w:p>
    <w:p>
      <w:pPr>
        <w:sectPr>
          <w:pgSz w:w="11900" w:h="16838" w:orient="portrait"/>
          <w:cols w:equalWidth="0" w:num="1">
            <w:col w:w="10019"/>
          </w:cols>
          <w:pgMar w:left="440" w:top="274" w:right="1440"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Tin Metallic Resources,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Tin Metallo Belgium N.V.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Metallo Spain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Mineracao Taboca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Minsur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Mitsubishi Materials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Modeltech Sdn Bhd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Tin Nghe Tinh Non-Ferrous Metals Joint Stock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Tin Novosibirsk Processing Plant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O.M. Manufacturing (Thailand)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O.M. Manufacturing Philippines,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Operaciones Metalurgicas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Pongpipat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Precious Minerals and Smelting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Aries Kencana Sejahtera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Artha Cipta Langgeng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ATD Makmur Mandiri Jaya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Babel Inti Perkasa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Babel Surya Alam Lestari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Bangka Serumpun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Belitung Industri Sejahtera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Bukit Timah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Cipta Persada Mulia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Masbro Alam Stania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Menara Cipta Mulia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Mitra Stania Prima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Mitra Sukses Globalindo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Panca Mega Persada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Prima Timah Utama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Rajawali Rimba Perkasa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Refined Bangka 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Sariwiguna Binasentosa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Stanindo Inti Perkasa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Sukses Inti Makmur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Timah Nusantara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Timah Tbk Kundur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Timah Tbk Mentok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Tinindo Inter Nusa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Tirus Putra Mandiri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PT Tommy Utama</w:t>
      </w:r>
    </w:p>
    <w:p>
      <w:pPr>
        <w:sectPr>
          <w:pgSz w:w="11900" w:h="16838" w:orient="portrait"/>
          <w:cols w:equalWidth="0" w:num="1">
            <w:col w:w="10019"/>
          </w:cols>
          <w:pgMar w:left="440" w:top="274" w:right="1440"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Tin Resind Industria e Comercio Ltda.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Tin Rui Da Hung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Soft Metais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Super Ligas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Thai Nguyen Mining and Metallurgy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Thaisarco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Tin Technology &amp; Refining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Tuyen Quang Non-Ferrous Metals Joint Stock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VQB Mineral and Trading Group JSC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White Solder Metalurgia e Mineracao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Yunnan Chengfeng Non-ferrous Metals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Yunnan Tin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 Yunnan Yunfan Non-ferrous Metals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A.L.M.T. TUNGSTEN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ACL Metais Eireli</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Tungsten Albasteel Industria e Comercio de Ligas Para Fundicao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Tungsten Artek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Asia Tungsten Products Vietnam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Chenzhou Diamond Tungsten Products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China Molybdenum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Chongyi Zhangyuan Tungsten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CNMC (Guangxi) PGMA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Cronimet Brasil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Fujian Ganmin RareMetal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Fujian Xinlu Tungsten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Ganzhou Haichuang Tungsten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Ganzhou Huaxing Tungsten Products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Ganzhou Jiangwu Ferrotungsten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Ganzhou Seadragon W &amp; Mo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Global Tungsten &amp; Powders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Guangdong Xianglu Tungsten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H.C. Starck Tungsten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Hunan Chenzhou Mining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Hunan Chunchang Nonferrous Metals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Hydrometallurg, JSC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Japan New Metals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Jiangwu H.C. Starck Tungsten Products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Jiangxi Gan Bei Tungsten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Jiangxi Minmetals Gao’an Non-ferrous Metals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Tungsten Jiangxi Tonggu Non-ferrous Metallurgical &amp; Chemical Co., Ltd.</w:t>
      </w:r>
    </w:p>
    <w:p>
      <w:pPr>
        <w:sectPr>
          <w:pgSz w:w="11900" w:h="16838" w:orient="portrait"/>
          <w:cols w:equalWidth="0" w:num="1">
            <w:col w:w="10019"/>
          </w:cols>
          <w:pgMar w:left="440" w:top="274" w:right="1440"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Tungsten Jiangxi Xinsheng Tungsten Industry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Tungsten Jiangxi Yaosheng Tungsten Co.,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Tungsten Jingmen Dewei GEM Tungsten Resources Recycling Co.,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Tungsten JSC “Kirovgrad Hard Alloys Plant”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Kennametal Fallon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Kennametal Huntsville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KGETS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Lianyou Metals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LLC Vostok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Malipo Haiyu Tungsten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Masan Tungsten Chemical LLC (MTC)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Moliren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Niagara Refining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NPP Tyazhmetprom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OOO “Technolom”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OOO “Technolom”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Philippine Chuangxin Industrial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TANIOBIS Smelting GmbH &amp; Co. KG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Unecha Refractory Metals Plant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Wolfram Bergbau und Hutten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Xiamen Tungsten (H.C.)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Tungsten Xiamen Tungsten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Tungsten Xinfeng Huarui Tungsten &amp; Molybdenum New Material Co., Ltd.</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2022-05-31T15:14:58Z</dcterms:created>
  <dcterms:modified xsi:type="dcterms:W3CDTF">2022-05-31T15:14:58Z</dcterms:modified>
</cp:coreProperties>
</file>