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44"/>
        <w:jc w:val="center"/>
        <w:rPr/>
      </w:pPr>
      <w:r>
        <w:rPr>
          <w:color w:val="000000"/>
        </w:rPr>
        <w:t> </w:t>
      </w: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40" w:before="0" w:after="4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Section 13 or 15(d)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of the Securities Exchange Act of 1934 </w:t>
      </w:r>
    </w:p>
    <w:p>
      <w:pPr>
        <w:pStyle w:val="TextBody"/>
        <w:bidi w:val="0"/>
        <w:spacing w:lineRule="auto" w:line="288" w:before="240" w:after="283"/>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September 16,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LENNOX INTERNATIONAL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40" w:before="0" w:after="4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42-0991521</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2140 LAKE PARK BLVD.,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RICHARDSON, Texas 75080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including zip code) </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w:t>
      </w:r>
      <w:r>
        <w:rPr>
          <w:rFonts w:ascii="Times New Roman;serif" w:hAnsi="Times New Roman;serif"/>
          <w:b/>
          <w:color w:val="000000"/>
          <w:sz w:val="18"/>
        </w:rPr>
        <w:t>972</w:t>
      </w:r>
      <w:r>
        <w:rPr>
          <w:rFonts w:ascii="Times New Roman;serif" w:hAnsi="Times New Roman;serif"/>
          <w:b/>
          <w:color w:val="000000"/>
          <w:sz w:val="20"/>
        </w:rPr>
        <w:t>)497-5000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 xml:space="preserve">General Instruction A.2. below):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10027" w:type="dxa"/>
        <w:jc w:val="left"/>
        <w:tblInd w:w="0" w:type="dxa"/>
        <w:tblLayout w:type="fixed"/>
        <w:tblCellMar>
          <w:top w:w="28" w:type="dxa"/>
          <w:left w:w="28" w:type="dxa"/>
          <w:bottom w:w="28" w:type="dxa"/>
          <w:right w:w="28" w:type="dxa"/>
        </w:tblCellMar>
      </w:tblPr>
      <w:tblGrid>
        <w:gridCol w:w="1327"/>
        <w:gridCol w:w="1160"/>
        <w:gridCol w:w="1173"/>
        <w:gridCol w:w="109"/>
        <w:gridCol w:w="109"/>
        <w:gridCol w:w="109"/>
        <w:gridCol w:w="564"/>
        <w:gridCol w:w="564"/>
        <w:gridCol w:w="566"/>
        <w:gridCol w:w="109"/>
        <w:gridCol w:w="109"/>
        <w:gridCol w:w="109"/>
        <w:gridCol w:w="1174"/>
        <w:gridCol w:w="1174"/>
        <w:gridCol w:w="1671"/>
      </w:tblGrid>
      <w:tr>
        <w:trPr/>
        <w:tc>
          <w:tcPr>
            <w:tcW w:w="132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September 16, 2026, the Compensation and Human Resources Committee (the “Committee”) of the Board of Directors of Lennox International Inc. (the “Company”) approved a new form of Long-Term Incentive Award Agreement for U.S. Employees - Vice President and Above for use under the 2019 Equity and Incentive Compensation Plan (the “Award Agreement”). The Award Agreement will be used for grants to executive officers of restricted stock units, performance share units, and stock appreciation rights. The terms of the Award Agreement are substantially similar to those in the form of award agreement previously disclosed by the Company, except for updates to the vesting and exercise schedules and retirement eligibility, as well as other administrative and conforming changes.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Award Agreement is qualified in its entirety by reference to the Award Agreement, which is attached as Exhibit 10.1 to this Current Report on Form 8-K and incorporated by reference herein.</w:t>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tbl>
      <w:tblPr>
        <w:tblW w:w="1395" w:type="dxa"/>
        <w:jc w:val="center"/>
        <w:tblInd w:w="0" w:type="dxa"/>
        <w:tblLayout w:type="fixed"/>
        <w:tblCellMar>
          <w:top w:w="28" w:type="dxa"/>
          <w:left w:w="28" w:type="dxa"/>
          <w:bottom w:w="28" w:type="dxa"/>
          <w:right w:w="28" w:type="dxa"/>
        </w:tblCellMar>
      </w:tblPr>
      <w:tblGrid>
        <w:gridCol w:w="141"/>
        <w:gridCol w:w="124"/>
        <w:gridCol w:w="124"/>
        <w:gridCol w:w="294"/>
        <w:gridCol w:w="294"/>
        <w:gridCol w:w="41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Exhibits.</w:t>
            </w:r>
          </w:p>
        </w:tc>
      </w:tr>
    </w:tbl>
    <w:tbl>
      <w:tblPr>
        <w:tblW w:w="10205" w:type="dxa"/>
        <w:jc w:val="center"/>
        <w:tblInd w:w="0" w:type="dxa"/>
        <w:tblLayout w:type="fixed"/>
        <w:tblCellMar>
          <w:top w:w="28" w:type="dxa"/>
          <w:left w:w="28" w:type="dxa"/>
          <w:bottom w:w="28" w:type="dxa"/>
          <w:right w:w="28" w:type="dxa"/>
        </w:tblCellMar>
      </w:tblPr>
      <w:tblGrid>
        <w:gridCol w:w="408"/>
        <w:gridCol w:w="358"/>
        <w:gridCol w:w="360"/>
        <w:gridCol w:w="109"/>
        <w:gridCol w:w="109"/>
        <w:gridCol w:w="109"/>
        <w:gridCol w:w="2560"/>
        <w:gridCol w:w="2560"/>
        <w:gridCol w:w="3632"/>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w:t>
            </w:r>
          </w:p>
          <w:p>
            <w:pPr>
              <w:pStyle w:val="TableContents"/>
              <w:bidi w:val="0"/>
              <w:spacing w:lineRule="auto" w:line="240" w:before="0" w:after="0"/>
              <w:jc w:val="left"/>
              <w:rPr>
                <w:rFonts w:ascii="Times New Roman;serif" w:hAnsi="Times New Roman;serif"/>
                <w:b/>
                <w:color w:val="000000"/>
                <w:sz w:val="22"/>
                <w:u w:val="single"/>
              </w:rPr>
            </w:pPr>
            <w:r>
              <w:rPr>
                <w:rFonts w:ascii="Times New Roman;serif" w:hAnsi="Times New Roman;serif"/>
                <w:b/>
                <w:color w:val="000000"/>
                <w:sz w:val="22"/>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usvplti.htm">
              <w:r>
                <w:rPr>
                  <w:rStyle w:val="InternetLink"/>
                  <w:rFonts w:ascii="Times New Roman;serif" w:hAnsi="Times New Roman;serif"/>
                  <w:b w:val="false"/>
                  <w:color w:val="000080"/>
                  <w:sz w:val="22"/>
                  <w:u w:val="single"/>
                </w:rPr>
                <w:t xml:space="preserve">Form of Long-Term Incentive Award Agreement for U.S. Employees - Vice President and Above (for use under the 2019 Incentive Plan) </w:t>
              </w:r>
            </w:hyperlink>
            <w:hyperlink w:anchor="ex101usvplti.htm">
              <w:r>
                <w:rPr>
                  <w:rStyle w:val="InternetLink"/>
                  <w:rFonts w:ascii="Times New Roman;serif" w:hAnsi="Times New Roman;serif"/>
                  <w:b w:val="false"/>
                  <w:color w:val="000080"/>
                  <w:sz w:val="22"/>
                  <w:u w:val="single"/>
                </w:rPr>
                <w:t xml:space="preserve">(Sept 2026 version) </w:t>
              </w:r>
            </w:hyperlink>
            <w:hyperlink w:anchor="ex101usvplti.htm">
              <w:r>
                <w:rPr>
                  <w:rStyle w:val="InternetLink"/>
                  <w:rFonts w:ascii="Times New Roman;serif" w:hAnsi="Times New Roman;serif"/>
                  <w:b w:val="false"/>
                  <w:color w:val="000080"/>
                  <w:sz w:val="22"/>
                  <w:u w:val="single"/>
                </w:rPr>
                <w:t>(filed herewith).</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for the cover page of this Current Report on Form 8-K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64"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264" w:after="283"/>
        <w:ind w:left="0" w:right="0" w:firstLine="5220"/>
        <w:jc w:val="left"/>
        <w:rPr>
          <w:rFonts w:ascii="Times New Roman;serif" w:hAnsi="Times New Roman;serif"/>
          <w:b/>
          <w:color w:val="000000"/>
          <w:sz w:val="20"/>
        </w:rPr>
      </w:pPr>
      <w:r>
        <w:rPr>
          <w:rFonts w:ascii="Times New Roman;serif" w:hAnsi="Times New Roman;serif"/>
          <w:b/>
          <w:color w:val="000000"/>
          <w:sz w:val="20"/>
        </w:rPr>
        <w:t>LENNOX INTERNATIONAL INC.</w:t>
      </w:r>
    </w:p>
    <w:tbl>
      <w:tblPr>
        <w:tblW w:w="3640" w:type="dxa"/>
        <w:jc w:val="right"/>
        <w:tblInd w:w="0" w:type="dxa"/>
        <w:tblLayout w:type="fixed"/>
        <w:tblCellMar>
          <w:top w:w="28" w:type="dxa"/>
          <w:left w:w="28" w:type="dxa"/>
          <w:bottom w:w="28" w:type="dxa"/>
          <w:right w:w="28" w:type="dxa"/>
        </w:tblCellMar>
      </w:tblPr>
      <w:tblGrid>
        <w:gridCol w:w="311"/>
        <w:gridCol w:w="273"/>
        <w:gridCol w:w="273"/>
        <w:gridCol w:w="273"/>
        <w:gridCol w:w="273"/>
        <w:gridCol w:w="273"/>
        <w:gridCol w:w="575"/>
        <w:gridCol w:w="575"/>
        <w:gridCol w:w="814"/>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18, 2026</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 Jennifer S. Perry</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Jennifer S. Perry</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Assistant Secretary</w:t>
            </w:r>
          </w:p>
        </w:tc>
      </w:tr>
    </w:tbl>
    <w:p>
      <w:pPr>
        <w:pStyle w:val="TextBody"/>
        <w:bidi w:val="0"/>
        <w:ind w:left="0" w:right="0" w:firstLine="52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3"/>
        </w:rPr>
      </w:pPr>
      <w:r>
        <w:rPr>
          <w:rFonts w:ascii="Times New Roman;serif" w:hAnsi="Times New Roman;serif"/>
          <w:b/>
          <w:color w:val="000000"/>
          <w:sz w:val="23"/>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LENNOX INTERNATIONAL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Long-Term Incentive Award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U.S. Employees – Vice President and Above</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AGREEMENT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is made as of ______________ (the “</w:t>
      </w:r>
      <w:r>
        <w:rPr>
          <w:rFonts w:ascii="Times New Roman;serif" w:hAnsi="Times New Roman;serif"/>
          <w:b/>
          <w:color w:val="000000"/>
          <w:sz w:val="24"/>
          <w:u w:val="single"/>
        </w:rPr>
        <w:t>Date of Grant</w:t>
      </w:r>
      <w:r>
        <w:rPr>
          <w:color w:val="000000"/>
        </w:rPr>
        <w:t>”</w:t>
      </w:r>
      <w:r>
        <w:rPr>
          <w:rFonts w:ascii="Times New Roman;serif" w:hAnsi="Times New Roman;serif"/>
          <w:b w:val="false"/>
          <w:color w:val="000000"/>
          <w:sz w:val="24"/>
        </w:rPr>
        <w:t>), by and between Lennox International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__________ (“</w:t>
      </w:r>
      <w:r>
        <w:rPr>
          <w:rFonts w:ascii="Times New Roman;serif" w:hAnsi="Times New Roman;serif"/>
          <w:b/>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The Company has adopted the Lennox International Inc. 2019 Equity and Incentive Compensation Plan (as amended and restated from time to time, the “</w:t>
      </w:r>
      <w:r>
        <w:rPr>
          <w:rFonts w:ascii="Times New Roman;serif" w:hAnsi="Times New Roman;serif"/>
          <w:b/>
          <w:color w:val="000000"/>
          <w:sz w:val="24"/>
          <w:u w:val="single"/>
        </w:rPr>
        <w:t>Plan</w:t>
      </w:r>
      <w:r>
        <w:rPr>
          <w:color w:val="000000"/>
        </w:rPr>
        <w:t>”</w:t>
      </w:r>
      <w:r>
        <w:rPr>
          <w:rFonts w:ascii="Times New Roman;serif" w:hAnsi="Times New Roman;serif"/>
          <w:b w:val="false"/>
          <w:color w:val="000000"/>
          <w:sz w:val="24"/>
        </w:rPr>
        <w:t>), the terms of which are incorporated by reference and made a part of this Agreement, for the benefit of eligible employees, Directors, and certain other service providers of the Company and its Subsidiaries (together, “</w:t>
      </w:r>
      <w:r>
        <w:rPr>
          <w:rFonts w:ascii="Times New Roman;serif" w:hAnsi="Times New Roman;serif"/>
          <w:b/>
          <w:color w:val="000000"/>
          <w:sz w:val="24"/>
          <w:u w:val="single"/>
        </w:rPr>
        <w:t>LII</w:t>
      </w:r>
      <w:r>
        <w:rPr>
          <w:color w:val="000000"/>
        </w:rPr>
        <w:t>”</w:t>
      </w:r>
      <w:r>
        <w:rPr>
          <w:rFonts w:ascii="Times New Roman;serif" w:hAnsi="Times New Roman;serif"/>
          <w:b w:val="false"/>
          <w:color w:val="000000"/>
          <w:sz w:val="24"/>
        </w:rPr>
        <w:t>). Capitalized terms used and not otherwise defined in this Agreement have the meanings set forth in the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Plan, the Committee, which has responsibility for administering the Plan, has determined that it is in the interest of the Company and its Stockholders to make the awards described in this Agreement in order to increase Participant’s personal interest in the continued success and progress of the Company, to foster and enhance the long-term profitability of the Company for the benefit of its Stockholders by offering the incentive of long-term rewards, and to encourage Participant to remain in the employ of LII.</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Participant therefore agree as follows: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rPr>
        <w:t>Grant of Awards</w:t>
      </w:r>
      <w:r>
        <w:rPr>
          <w:rFonts w:ascii="Times New Roman;serif" w:hAnsi="Times New Roman;serif"/>
          <w:b w:val="false"/>
          <w:color w:val="000000"/>
          <w:sz w:val="24"/>
        </w:rPr>
        <w:t>. Subject to and upon the terms of this Agreement and the Plan, the Company grants to Participant on the Date of Grant: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PSU Award</w:t>
      </w:r>
      <w:r>
        <w:rPr>
          <w:color w:val="000000"/>
        </w:rPr>
        <w:t xml:space="preserve"> – </w:t>
      </w:r>
      <w:r>
        <w:rPr>
          <w:rFonts w:ascii="Times New Roman;serif" w:hAnsi="Times New Roman;serif"/>
          <w:b w:val="false"/>
          <w:color w:val="000000"/>
          <w:sz w:val="24"/>
        </w:rPr>
        <w:t>for the performance period beginning on January 1, 20__ and ending on December 31, 20__ (the “</w:t>
      </w:r>
      <w:r>
        <w:rPr>
          <w:rFonts w:ascii="Times New Roman;serif" w:hAnsi="Times New Roman;serif"/>
          <w:b/>
          <w:color w:val="000000"/>
          <w:sz w:val="24"/>
          <w:u w:val="single"/>
        </w:rPr>
        <w:t>PSU Performance Period</w:t>
      </w:r>
      <w:r>
        <w:rPr>
          <w:color w:val="000000"/>
        </w:rPr>
        <w:t>”</w:t>
      </w:r>
      <w:r>
        <w:rPr>
          <w:rFonts w:ascii="Times New Roman;serif" w:hAnsi="Times New Roman;serif"/>
          <w:b w:val="false"/>
          <w:color w:val="000000"/>
          <w:sz w:val="24"/>
        </w:rPr>
        <w:t>), an award of _________ performance share units (“</w:t>
      </w:r>
      <w:r>
        <w:rPr>
          <w:rFonts w:ascii="Times New Roman;serif" w:hAnsi="Times New Roman;serif"/>
          <w:b/>
          <w:color w:val="000000"/>
          <w:sz w:val="24"/>
          <w:u w:val="single"/>
        </w:rPr>
        <w:t>PSUs</w:t>
      </w:r>
      <w:r>
        <w:rPr>
          <w:color w:val="000000"/>
        </w:rPr>
        <w:t xml:space="preserve">” </w:t>
      </w:r>
      <w:r>
        <w:rPr>
          <w:rFonts w:ascii="Times New Roman;serif" w:hAnsi="Times New Roman;serif"/>
          <w:b w:val="false"/>
          <w:color w:val="000000"/>
          <w:sz w:val="24"/>
        </w:rPr>
        <w:t>and any such award, the “</w:t>
      </w:r>
      <w:r>
        <w:rPr>
          <w:rFonts w:ascii="Times New Roman;serif" w:hAnsi="Times New Roman;serif"/>
          <w:b/>
          <w:color w:val="000000"/>
          <w:sz w:val="24"/>
          <w:u w:val="single"/>
        </w:rPr>
        <w:t>PSU Award</w:t>
      </w:r>
      <w:r>
        <w:rPr>
          <w:color w:val="000000"/>
        </w:rPr>
        <w:t>”</w:t>
      </w:r>
      <w:r>
        <w:rPr>
          <w:rFonts w:ascii="Times New Roman;serif" w:hAnsi="Times New Roman;serif"/>
          <w:b w:val="false"/>
          <w:color w:val="000000"/>
          <w:sz w:val="24"/>
        </w:rPr>
        <w:t xml:space="preserve">). Subject to the degree of attainment of the performance goals approved by the Committee and set forth on </w:t>
      </w:r>
      <w:r>
        <w:rPr>
          <w:rFonts w:ascii="Times New Roman;serif" w:hAnsi="Times New Roman;serif"/>
          <w:b/>
          <w:color w:val="000000"/>
          <w:sz w:val="24"/>
          <w:u w:val="single"/>
        </w:rPr>
        <w:t>Schedule A</w:t>
      </w:r>
      <w:r>
        <w:rPr>
          <w:color w:val="000000"/>
        </w:rPr>
        <w:t xml:space="preserve"> </w:t>
      </w:r>
      <w:r>
        <w:rPr>
          <w:rFonts w:ascii="Times New Roman;serif" w:hAnsi="Times New Roman;serif"/>
          <w:b w:val="false"/>
          <w:color w:val="000000"/>
          <w:sz w:val="24"/>
        </w:rPr>
        <w:t>hereto (the “</w:t>
      </w:r>
      <w:r>
        <w:rPr>
          <w:rFonts w:ascii="Times New Roman;serif" w:hAnsi="Times New Roman;serif"/>
          <w:b/>
          <w:color w:val="000000"/>
          <w:sz w:val="24"/>
          <w:u w:val="single"/>
        </w:rPr>
        <w:t>Performance Goals</w:t>
      </w:r>
      <w:r>
        <w:rPr>
          <w:color w:val="000000"/>
        </w:rPr>
        <w:t>”</w:t>
      </w:r>
      <w:r>
        <w:rPr>
          <w:rFonts w:ascii="Times New Roman;serif" w:hAnsi="Times New Roman;serif"/>
          <w:b w:val="false"/>
          <w:color w:val="000000"/>
          <w:sz w:val="24"/>
        </w:rPr>
        <w:t>), Participant may earn from 0% to 200% of the PSUs;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RSU Award</w:t>
      </w:r>
      <w:r>
        <w:rPr>
          <w:color w:val="000000"/>
        </w:rPr>
        <w:t xml:space="preserve"> – </w:t>
      </w:r>
      <w:r>
        <w:rPr>
          <w:rFonts w:ascii="Times New Roman;serif" w:hAnsi="Times New Roman;serif"/>
          <w:b w:val="false"/>
          <w:color w:val="000000"/>
          <w:sz w:val="24"/>
        </w:rPr>
        <w:t>an award of __________ service-based Restricted Stock Units (“</w:t>
      </w:r>
      <w:r>
        <w:rPr>
          <w:rFonts w:ascii="Times New Roman;serif" w:hAnsi="Times New Roman;serif"/>
          <w:b/>
          <w:color w:val="000000"/>
          <w:sz w:val="24"/>
          <w:u w:val="single"/>
        </w:rPr>
        <w:t>RSUs</w:t>
      </w:r>
      <w:r>
        <w:rPr>
          <w:color w:val="000000"/>
        </w:rPr>
        <w:t xml:space="preserve">” </w:t>
      </w:r>
      <w:r>
        <w:rPr>
          <w:rFonts w:ascii="Times New Roman;serif" w:hAnsi="Times New Roman;serif"/>
          <w:b w:val="false"/>
          <w:color w:val="000000"/>
          <w:sz w:val="24"/>
        </w:rPr>
        <w:t>and any such award, the “</w:t>
      </w:r>
      <w:r>
        <w:rPr>
          <w:rFonts w:ascii="Times New Roman;serif" w:hAnsi="Times New Roman;serif"/>
          <w:b/>
          <w:color w:val="000000"/>
          <w:sz w:val="24"/>
          <w:u w:val="single"/>
        </w:rPr>
        <w:t>RSU Award</w:t>
      </w:r>
      <w:r>
        <w:rPr>
          <w:color w:val="000000"/>
        </w:rPr>
        <w:t>”</w:t>
      </w:r>
      <w:r>
        <w:rPr>
          <w:rFonts w:ascii="Times New Roman;serif" w:hAnsi="Times New Roman;serif"/>
          <w:b w:val="false"/>
          <w:color w:val="000000"/>
          <w:sz w:val="24"/>
        </w:rPr>
        <w: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SAR Award</w:t>
      </w:r>
      <w:r>
        <w:rPr>
          <w:color w:val="000000"/>
        </w:rPr>
        <w:t xml:space="preserve"> – </w:t>
      </w:r>
      <w:r>
        <w:rPr>
          <w:rFonts w:ascii="Times New Roman;serif" w:hAnsi="Times New Roman;serif"/>
          <w:b w:val="false"/>
          <w:color w:val="000000"/>
          <w:sz w:val="24"/>
        </w:rPr>
        <w:t>an award of ___________ Stock Appreciation Rights (“</w:t>
      </w:r>
      <w:r>
        <w:rPr>
          <w:rFonts w:ascii="Times New Roman;serif" w:hAnsi="Times New Roman;serif"/>
          <w:b/>
          <w:color w:val="000000"/>
          <w:sz w:val="24"/>
          <w:u w:val="single"/>
        </w:rPr>
        <w:t>SARs</w:t>
      </w:r>
      <w:r>
        <w:rPr>
          <w:color w:val="000000"/>
        </w:rPr>
        <w:t xml:space="preserve">” </w:t>
      </w:r>
      <w:r>
        <w:rPr>
          <w:rFonts w:ascii="Times New Roman;serif" w:hAnsi="Times New Roman;serif"/>
          <w:b w:val="false"/>
          <w:color w:val="000000"/>
          <w:sz w:val="24"/>
        </w:rPr>
        <w:t>and any such award, the “</w:t>
      </w:r>
      <w:r>
        <w:rPr>
          <w:rFonts w:ascii="Times New Roman;serif" w:hAnsi="Times New Roman;serif"/>
          <w:b/>
          <w:color w:val="000000"/>
          <w:sz w:val="24"/>
          <w:u w:val="single"/>
        </w:rPr>
        <w:t>SAR Award</w:t>
      </w:r>
      <w:r>
        <w:rPr>
          <w:color w:val="000000"/>
        </w:rPr>
        <w:t>”</w:t>
      </w:r>
      <w:r>
        <w:rPr>
          <w:rFonts w:ascii="Times New Roman;serif" w:hAnsi="Times New Roman;serif"/>
          <w:b w:val="false"/>
          <w:color w:val="000000"/>
          <w:sz w:val="24"/>
        </w:rPr>
        <w:t>) with a Base Price of $___ per SAR. The SAR Award shall be exercisable, to the extent vested, for the period beginning on the Date of Grant and ending on ______________, the tenth anniversary of the Date of Grant (the “</w:t>
      </w:r>
      <w:r>
        <w:rPr>
          <w:rFonts w:ascii="Times New Roman;serif" w:hAnsi="Times New Roman;serif"/>
          <w:b/>
          <w:color w:val="000000"/>
          <w:sz w:val="24"/>
          <w:u w:val="single"/>
        </w:rPr>
        <w:t>SAR Exercise Period</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ind w:left="0" w:right="0" w:firstLine="709"/>
        <w:jc w:val="both"/>
        <w:rPr/>
      </w:pPr>
      <w:r>
        <w:rPr>
          <w:rFonts w:ascii="Times New Roman;serif" w:hAnsi="Times New Roman;serif"/>
          <w:b w:val="false"/>
          <w:color w:val="000000"/>
          <w:sz w:val="24"/>
        </w:rPr>
        <w:t>2.    </w:t>
      </w:r>
      <w:r>
        <w:rPr>
          <w:rFonts w:ascii="Times New Roman;serif" w:hAnsi="Times New Roman;serif"/>
          <w:b/>
          <w:color w:val="000000"/>
          <w:sz w:val="24"/>
        </w:rPr>
        <w:t>Restrictions on Transfer</w:t>
      </w:r>
      <w:r>
        <w:rPr>
          <w:rFonts w:ascii="Times New Roman;serif" w:hAnsi="Times New Roman;serif"/>
          <w:b w:val="false"/>
          <w:color w:val="000000"/>
          <w:sz w:val="24"/>
        </w:rPr>
        <w:t>. Subject to Section 15 of the Plan, neither the awards evidenced hereby nor any interest therein or in the Common Shares underlying such awards shall be transferable prior to settlement other than by will or pursuant to the laws of descent and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Approved Form September 16, 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Approved Form September 16, 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3.    </w:t>
      </w:r>
      <w:r>
        <w:rPr>
          <w:rFonts w:ascii="Times New Roman;serif" w:hAnsi="Times New Roman;serif"/>
          <w:b/>
          <w:color w:val="000000"/>
          <w:sz w:val="24"/>
        </w:rPr>
        <w:t>Conditions for Vesting</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Participant’s compliance with the terms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PSU Award</w:t>
      </w:r>
      <w:r>
        <w:rPr>
          <w:color w:val="000000"/>
        </w:rPr>
        <w:t xml:space="preserve"> – </w:t>
      </w:r>
      <w:r>
        <w:rPr>
          <w:rFonts w:ascii="Times New Roman;serif" w:hAnsi="Times New Roman;serif"/>
          <w:b w:val="false"/>
          <w:color w:val="000000"/>
          <w:sz w:val="24"/>
        </w:rPr>
        <w:t>The PSU Award will vest on the last day of the PSU Performance Period based on the extent that the Performance Goals for the PSUs are achieved for the PSU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RSU Award</w:t>
      </w:r>
      <w:r>
        <w:rPr>
          <w:color w:val="000000"/>
        </w:rPr>
        <w:t xml:space="preserve"> – </w:t>
      </w:r>
      <w:r>
        <w:rPr>
          <w:rFonts w:ascii="Times New Roman;serif" w:hAnsi="Times New Roman;serif"/>
          <w:b w:val="false"/>
          <w:color w:val="000000"/>
          <w:sz w:val="24"/>
        </w:rPr>
        <w:t>The RSU Award will vest in accordance with the schedule below (each, an “</w:t>
      </w:r>
      <w:r>
        <w:rPr>
          <w:rFonts w:ascii="Times New Roman;serif" w:hAnsi="Times New Roman;serif"/>
          <w:b/>
          <w:color w:val="000000"/>
          <w:sz w:val="24"/>
          <w:u w:val="single"/>
        </w:rPr>
        <w:t>RSU Vesting Date</w:t>
      </w:r>
      <w:r>
        <w:rPr>
          <w:color w:val="000000"/>
        </w:rPr>
        <w:t xml:space="preserve">” </w:t>
      </w:r>
      <w:r>
        <w:rPr>
          <w:rFonts w:ascii="Times New Roman;serif" w:hAnsi="Times New Roman;serif"/>
          <w:b w:val="false"/>
          <w:color w:val="000000"/>
          <w:sz w:val="24"/>
        </w:rPr>
        <w:t>and the period from the Date of Grant until each RSU Vesting Date, an “</w:t>
      </w:r>
      <w:r>
        <w:rPr>
          <w:rFonts w:ascii="Times New Roman;serif" w:hAnsi="Times New Roman;serif"/>
          <w:b/>
          <w:color w:val="000000"/>
          <w:sz w:val="24"/>
          <w:u w:val="single"/>
        </w:rPr>
        <w:t>RSU Restriction Period</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4"/>
          <w:u w:val="single"/>
        </w:rPr>
        <w:t>RSU Vesting Date</w:t>
      </w:r>
      <w:r>
        <w:rPr>
          <w:color w:val="000000"/>
        </w:rPr>
        <w:t>    </w:t>
      </w:r>
      <w:r>
        <w:rPr>
          <w:rFonts w:ascii="Times New Roman;serif" w:hAnsi="Times New Roman;serif"/>
          <w:b/>
          <w:color w:val="000000"/>
          <w:sz w:val="24"/>
          <w:u w:val="single"/>
        </w:rPr>
        <w:t>RSUs Vested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______________    33 1/3%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    66 2/3%</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    100%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SAR Award</w:t>
      </w:r>
      <w:r>
        <w:rPr>
          <w:color w:val="000000"/>
        </w:rPr>
        <w:t xml:space="preserve"> – </w:t>
      </w:r>
      <w:r>
        <w:rPr>
          <w:rFonts w:ascii="Times New Roman;serif" w:hAnsi="Times New Roman;serif"/>
          <w:b w:val="false"/>
          <w:color w:val="000000"/>
          <w:sz w:val="24"/>
        </w:rPr>
        <w:t>The SAR Award will vest on ______________ (the “</w:t>
      </w:r>
      <w:r>
        <w:rPr>
          <w:rFonts w:ascii="Times New Roman;serif" w:hAnsi="Times New Roman;serif"/>
          <w:b/>
          <w:color w:val="000000"/>
          <w:sz w:val="24"/>
          <w:u w:val="single"/>
        </w:rPr>
        <w:t>SAR Vesting Date</w:t>
      </w:r>
      <w:r>
        <w:rPr>
          <w:color w:val="000000"/>
        </w:rPr>
        <w:t xml:space="preserve">” </w:t>
      </w:r>
      <w:r>
        <w:rPr>
          <w:rFonts w:ascii="Times New Roman;serif" w:hAnsi="Times New Roman;serif"/>
          <w:b w:val="false"/>
          <w:color w:val="000000"/>
          <w:sz w:val="24"/>
        </w:rPr>
        <w:t>and the period from the Date of Grant until the SAR Vesting Date, the “</w:t>
      </w:r>
      <w:r>
        <w:rPr>
          <w:rFonts w:ascii="Times New Roman;serif" w:hAnsi="Times New Roman;serif"/>
          <w:b/>
          <w:color w:val="000000"/>
          <w:sz w:val="24"/>
          <w:u w:val="single"/>
        </w:rPr>
        <w:t>SAR Vesting Period</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09"/>
        <w:jc w:val="both"/>
        <w:rPr/>
      </w:pPr>
      <w:r>
        <w:rPr/>
      </w:r>
    </w:p>
    <w:p>
      <w:pPr>
        <w:pStyle w:val="TextBody"/>
        <w:bidi w:val="0"/>
        <w:spacing w:lineRule="auto" w:line="288" w:before="0" w:after="0"/>
        <w:ind w:left="0" w:right="0" w:firstLine="709"/>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Forfeiture</w:t>
      </w:r>
      <w:r>
        <w:rPr>
          <w:rFonts w:ascii="Times New Roman;serif" w:hAnsi="Times New Roman;serif"/>
          <w:b w:val="false"/>
          <w:color w:val="000000"/>
          <w:sz w:val="24"/>
        </w:rPr>
        <w:t>. Any PSU Award, RSU Award (or portion thereof), or SAR Award that does not become vested as described in this Section 3 will be forfeited, including, except as provided in Section 4 or Section 5, if Participant ceases to be continuously employed with LII prior to the end of the PSU Performance Period, an applicable RSU Restriction Period, or the SAR Vesting Period, respectively.</w:t>
      </w:r>
    </w:p>
    <w:p>
      <w:pPr>
        <w:pStyle w:val="TextBody"/>
        <w:bidi w:val="0"/>
        <w:spacing w:before="0" w:after="0"/>
        <w:ind w:left="0" w:right="0" w:firstLine="709"/>
        <w:jc w:val="both"/>
        <w:rPr/>
      </w:pPr>
      <w:r>
        <w:rPr/>
      </w:r>
    </w:p>
    <w:p>
      <w:pPr>
        <w:pStyle w:val="TextBody"/>
        <w:bidi w:val="0"/>
        <w:spacing w:lineRule="auto" w:line="288" w:before="0" w:after="0"/>
        <w:ind w:left="0" w:right="0" w:firstLine="709"/>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Non-Trading Days</w:t>
      </w:r>
      <w:r>
        <w:rPr>
          <w:rFonts w:ascii="Times New Roman;serif" w:hAnsi="Times New Roman;serif"/>
          <w:b w:val="false"/>
          <w:color w:val="000000"/>
          <w:sz w:val="24"/>
        </w:rPr>
        <w:t>. If an RSU Vesting Date or SAR Vesting Date is not a day on which Common Shares are traded on a U.S. national securities exchange or quoted in an inter-dealer quotation system, then the RSU Vesting Date or SAR Vesting Date, as applicable, will be the preceding day on which sales of Common Shares were reported.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rPr>
        <w:t>Termination of Employment</w:t>
      </w:r>
      <w:r>
        <w:rPr>
          <w:rFonts w:ascii="Times New Roman;serif" w:hAnsi="Times New Roman;serif"/>
          <w:b w:val="false"/>
          <w:color w:val="000000"/>
          <w:sz w:val="24"/>
        </w:rPr>
        <w:t>. Unless otherwise determined by the Committee in its sole discretion, and except as otherwise provided in Section 5, the PSU Award, the RSU Award, and the SAR Award will be subject to vesting or cancellation in connection with the events specified below:</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If, prior to the end of the PSU Performance Period, any RSU Restriction Period, or the SAR Exercise Period (as applicable), Participant violates Section 11 of this Agreement or is terminated by LII for Cause (as defined in any applicable employment agreement between LII and Participant or, in the absence of any such employment agreement, as defined in Section 5 below), then,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5"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immediately after LII becomes aware of a violation of Section 11 or Participant’s termination, the PSU Award, the SAR Award (whether vested or unvested), and the unvested portion of the RSU Award, as applicable, will be cancelled.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If, prior to the end of the PSU Performance Period, any RSU Restriction Period, or the SAR Exercise Period (as applicable), Participant terminates employment with LII voluntarily, with or without Good Reason, or Participant’s employment with LII is terminated by LII not for Cause, then, (i) immediately after Participant’s termination, the PSU Award, the unvested portion of the RSU Award, and any unvested SAR Awards, if applicable, will be cancelled, and (ii) immediately after Participant’s termination, any vested SARs, if applicable, will continue to be exercisable until the earlier of the end of the SAR Exercise Period and 90 days following Participant’s termination.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prior to the end of the PSU Performance Period, any RSU Restriction Period, or the SAR Exercise Period (as applicable), a retirement-eligible Participant terminates employment with LII, then (x) Participant will vest in a pro rata amount of the unvested PSU Award based upon the portion of the PSU Performance Period during which Participant served as an employee of LII and the Company’s attainment of its performance goals in accordance with the Performance Goals, determined at the end of the PSU Performance Period, and the remainder of the PSU Award will be cancelled, (y) Participant will vest in a pro rata amount of the RSU Award based upon the portion of the three-year vesting period during which Participant served as an employee of LII, minus the portion of the RSU Award that has already vested, and the remainder of the RSU Award will be cancelled, and (z) the Participant will vest in a pro rata amount of the unvested SAR Award based on the portion of the SAR Vesting Period during which Participant served as an employee of LII, the remainder of the SAR Award will be cancelled, and any vested SARs will continue to be exercisable for the remainder of the SAR Exercise Period. For purposes of this Section 4(c), a “retirement-eligible Participant” is a Participant meeting one of the following qualifications: (i) Participant is at least 65 years of age, (ii) Participant is at least 60 years of age and has achieved at least 10 years of service with LII, or (iii) the number of years of service Participant has achieved with LII plus Participant’s age equals at least 75.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If, prior to the end of the PSU Performance Period, any RSU Restriction Period, or the SAR Exercise Period (as applicable), Participant dies or incurs a Disability, then (i) Participant, or in the event of Participant’s death, Participant’s beneficiary, will vest in a pro rata amount of the unvested PSU Award based upon the portion of the PSU Performance Period during which Participant served as an employee of LII and the Company’s attainment of its performance goals in accordance with the Performance Goals (as determined in the sole discretion of the Committee), determined as of the date of death or Disability, and the remainder of the PSU Award will be cancelled, (ii) Participant, or in the event of Participant’s death, Participant’s beneficiary, will vest in a pro rata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5780"/>
                <wp:effectExtent l="0" t="0" r="0" b="0"/>
                <wp:wrapNone/>
                <wp:docPr id="6"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RSU Award based upon the portion of the three-year vesting period during which Participant served as an employee of LII, determined as of the date of death or Disability, minus the portion of the RSU Award that has already vested, and the remainder of the RSU Award will be cancelled, and (iii) Participant, or in the event of Participant’s death, Participant’s beneficiary, will vest in a pro rata amount of the unvested SAR Award based upon the portion of the SAR Vesting Period during which Participant served as an employee of LII, determined as of the date of death or Disability, the remainder of the SAR Award will be cancelled, and any vested SARs will continue to be exercisable for the remainder of the SAR Exercise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this Agreement, “Disability” means permanently disabled (completely unable to perform Participant’s duties as determined by the long-term disability insurer for the benefit plan of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5.    Change in Control</w:t>
      </w:r>
      <w:r>
        <w:rPr>
          <w:rFonts w:ascii="Times New Roman;serif" w:hAnsi="Times New Roman;serif"/>
          <w:b w:val="false"/>
          <w:color w:val="000000"/>
          <w:sz w:val="24"/>
        </w:rPr>
        <w:t>. Section 12(b) of the Plan shall not apply to the PSU Award, the RSU Award, or the SAR Award. Instead, the PSU Award, the RSU Award, and the SAR Award, to the extent outstanding and unvested at the relevant times, will be subject to the vesting terms and conditions set forth in this Section 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Failure to Provide Qualifying Replacement Award</w:t>
      </w:r>
      <w:r>
        <w:rPr>
          <w:rFonts w:ascii="Times New Roman;serif" w:hAnsi="Times New Roman;serif"/>
          <w:b w:val="false"/>
          <w:color w:val="000000"/>
          <w:sz w:val="24"/>
        </w:rPr>
        <w:t xml:space="preserve">. In the event of a Change in Control, except to the extent that a Qualifying Replacement Award is provided to Participant to continue, replace, or assume the PSU Award, the SAR Award, or the unvested portion of the RSU Award, then these awards, as applicable, will fully vest (and, with respect to the SAR Award, become exercisable) immediately prior to (and contingent upon) the Change in Control;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PSU Award will vest at the Change in Control Performance Level.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Qualifying Termination Following a Change in Control</w:t>
      </w:r>
      <w:r>
        <w:rPr>
          <w:rFonts w:ascii="Times New Roman;serif" w:hAnsi="Times New Roman;serif"/>
          <w:b w:val="false"/>
          <w:color w:val="000000"/>
          <w:sz w:val="24"/>
        </w:rPr>
        <w:t xml:space="preserve">. If Participant experiences a Qualifying Termination, any Qualifying Replacement Award will fully vest and (to the extent applicable) become exercisable upon Participant’s Qualifying Termination;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Qualifying Replacement Award of stock options or stock appreciation rights will remain exercisable until the earlier of (i) the date that is 90 days after the date of the Qualifying Termination and (ii) the date on which such award would have expired had Participant remained continuously employed.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For purposes of this Section 5, the following capitalized terms shall have the following meanings:</w:t>
      </w:r>
    </w:p>
    <w:p>
      <w:pPr>
        <w:pStyle w:val="TextBody"/>
        <w:bidi w:val="0"/>
        <w:spacing w:before="0" w:after="0"/>
        <w:ind w:left="0" w:right="0" w:firstLine="720"/>
        <w:jc w:val="both"/>
        <w:rPr/>
      </w:pPr>
      <w:r>
        <w:rPr/>
      </w:r>
    </w:p>
    <w:p>
      <w:pPr>
        <w:pStyle w:val="TextBody"/>
        <w:bidi w:val="0"/>
        <w:spacing w:lineRule="auto" w:line="288"/>
        <w:ind w:left="0" w:right="0" w:firstLine="567"/>
        <w:jc w:val="both"/>
        <w:rPr/>
      </w:pPr>
      <w:r>
        <w:rPr>
          <w:rFonts w:ascii="Times New Roman;serif" w:hAnsi="Times New Roman;serif"/>
          <w:b w:val="false"/>
          <w:color w:val="000000"/>
          <w:sz w:val="24"/>
        </w:rPr>
        <w:t>(i)    “</w:t>
      </w:r>
      <w:r>
        <w:rPr>
          <w:rFonts w:ascii="Times New Roman;serif" w:hAnsi="Times New Roman;serif"/>
          <w:b/>
          <w:color w:val="000000"/>
          <w:sz w:val="24"/>
          <w:u w:val="single"/>
        </w:rPr>
        <w:t>Cause</w:t>
      </w:r>
      <w:r>
        <w:rPr>
          <w:color w:val="000000"/>
        </w:rPr>
        <w:t xml:space="preserve">” </w:t>
      </w:r>
      <w:r>
        <w:rPr>
          <w:rFonts w:ascii="Times New Roman;serif" w:hAnsi="Times New Roman;serif"/>
          <w:b w:val="false"/>
          <w:color w:val="000000"/>
          <w:sz w:val="24"/>
        </w:rPr>
        <w:t xml:space="preserve">means: (A) any violation by Participant of the Company’s material written policies as they may exist or be created or modified and made available to Participant from time to time in the future, including, as examples and not as a limitation of the policies to which Participant may be subject, those policies prohibiting discrimination in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5780"/>
                <wp:effectExtent l="0" t="0" r="0" b="0"/>
                <wp:wrapNone/>
                <wp:docPr id="7" name="Frame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workplace, including the prohibition of harassment, on the ground of race, sex, religion, age or any other prohibited basis; (B) Participant’s conviction of, or plea of guilty or nolo contendere to, a crime that constitutes a felony (or state law equivalent) or a crime involving moral turpitude; (C) the commission by Participant of any theft, embezzlement, or other material act of dishonesty related to Participant’s employment; (D) any intentional or grossly negligent action or omission to act by Participant which breaches any material covenant, agreement, condition, or obligation contained in this Agreement or in any material agreement to which Participant and the Company are parties; or (E) Participant’s engagement in intentional or negligent misconduct that has a direct, substantial, and adverse effect on the Company’s reputation.</w:t>
      </w:r>
    </w:p>
    <w:p>
      <w:pPr>
        <w:pStyle w:val="TextBody"/>
        <w:bidi w:val="0"/>
        <w:spacing w:before="0" w:after="0"/>
        <w:ind w:left="0" w:right="0" w:firstLine="567"/>
        <w:jc w:val="both"/>
        <w:rPr/>
      </w:pPr>
      <w:r>
        <w:rPr/>
      </w:r>
    </w:p>
    <w:p>
      <w:pPr>
        <w:pStyle w:val="TextBody"/>
        <w:bidi w:val="0"/>
        <w:spacing w:lineRule="auto" w:line="288" w:before="0" w:after="0"/>
        <w:ind w:left="0" w:right="0" w:firstLine="567"/>
        <w:jc w:val="both"/>
        <w:rPr/>
      </w:pPr>
      <w:r>
        <w:rPr>
          <w:rFonts w:ascii="Times New Roman;serif" w:hAnsi="Times New Roman;serif"/>
          <w:b w:val="false"/>
          <w:color w:val="000000"/>
          <w:sz w:val="24"/>
        </w:rPr>
        <w:t>(ii)    “</w:t>
      </w:r>
      <w:r>
        <w:rPr>
          <w:rFonts w:ascii="Times New Roman;serif" w:hAnsi="Times New Roman;serif"/>
          <w:b/>
          <w:color w:val="000000"/>
          <w:sz w:val="24"/>
          <w:u w:val="single"/>
        </w:rPr>
        <w:t>Change in Control Performance Level</w:t>
      </w:r>
      <w:r>
        <w:rPr>
          <w:color w:val="000000"/>
        </w:rPr>
        <w:t xml:space="preserve">” </w:t>
      </w:r>
      <w:r>
        <w:rPr>
          <w:rFonts w:ascii="Times New Roman;serif" w:hAnsi="Times New Roman;serif"/>
          <w:b w:val="false"/>
          <w:color w:val="000000"/>
          <w:sz w:val="24"/>
        </w:rPr>
        <w:t>means, with respect to the PSU Award, the level of achievement of the Performance Goals determined in accordance with the following rules as reasonably applied by the Committee (as constituted immediately before the Change in Control):</w:t>
      </w:r>
    </w:p>
    <w:p>
      <w:pPr>
        <w:pStyle w:val="TextBody"/>
        <w:bidi w:val="0"/>
        <w:spacing w:before="0" w:after="0"/>
        <w:ind w:left="0" w:right="0" w:firstLine="567"/>
        <w:jc w:val="both"/>
        <w:rPr/>
      </w:pPr>
      <w:r>
        <w:rPr/>
      </w:r>
    </w:p>
    <w:p>
      <w:pPr>
        <w:pStyle w:val="TextBody"/>
        <w:bidi w:val="0"/>
        <w:spacing w:lineRule="auto" w:line="288" w:before="0" w:after="0"/>
        <w:ind w:left="0" w:right="0" w:firstLine="1192"/>
        <w:jc w:val="both"/>
        <w:rPr>
          <w:rFonts w:ascii="Times New Roman;serif" w:hAnsi="Times New Roman;serif"/>
          <w:b w:val="false"/>
          <w:color w:val="000000"/>
          <w:sz w:val="24"/>
        </w:rPr>
      </w:pPr>
      <w:r>
        <w:rPr>
          <w:rFonts w:ascii="Times New Roman;serif" w:hAnsi="Times New Roman;serif"/>
          <w:b w:val="false"/>
          <w:color w:val="000000"/>
          <w:sz w:val="24"/>
        </w:rPr>
        <w:t>(A)    if the full PSU Performance Period has been completed as of the date of the Change in Control, the “Change in Control Performance Level” for the PSU Award shall be determined based on the actual achievement of the Performance Goals for such full PSU Performance Period; and</w:t>
      </w:r>
    </w:p>
    <w:p>
      <w:pPr>
        <w:pStyle w:val="TextBody"/>
        <w:bidi w:val="0"/>
        <w:spacing w:before="0" w:after="0"/>
        <w:ind w:left="0" w:right="0" w:firstLine="1192"/>
        <w:jc w:val="both"/>
        <w:rPr/>
      </w:pPr>
      <w:r>
        <w:rPr/>
      </w:r>
    </w:p>
    <w:p>
      <w:pPr>
        <w:pStyle w:val="TextBody"/>
        <w:bidi w:val="0"/>
        <w:spacing w:lineRule="auto" w:line="288" w:before="0" w:after="0"/>
        <w:ind w:left="0" w:right="0" w:firstLine="1192"/>
        <w:jc w:val="both"/>
        <w:rPr>
          <w:rFonts w:ascii="Times New Roman;serif" w:hAnsi="Times New Roman;serif"/>
          <w:b w:val="false"/>
          <w:color w:val="000000"/>
          <w:sz w:val="24"/>
        </w:rPr>
      </w:pPr>
      <w:r>
        <w:rPr>
          <w:rFonts w:ascii="Times New Roman;serif" w:hAnsi="Times New Roman;serif"/>
          <w:b w:val="false"/>
          <w:color w:val="000000"/>
          <w:sz w:val="24"/>
        </w:rPr>
        <w:t>(B)    if the full PSU Performance Period for the PSU Award has not been completed as of the date of the Change in Control, then: (1) if the PSU Performance Period can be adequately partitioned into separate fiscal year periods, the “Change in Control Performance Level” for the PSU Award will be determined based on (x) the greater of the “target” performance level or the actual performance level for any such fiscal year period that has been completed as of the date of the Change in Control, and (y) the “target” performance level for any such fiscal year period that has not been completed as of the date of the Change in Control; and (2) if the PSU Performance Period cannot be adequately partitioned into separate fiscal year periods, the “Change in Control Performance Level” for the PSU Award shall be the “target” performance level.</w:t>
      </w:r>
    </w:p>
    <w:p>
      <w:pPr>
        <w:pStyle w:val="TextBody"/>
        <w:bidi w:val="0"/>
        <w:spacing w:before="0" w:after="0"/>
        <w:ind w:left="0" w:right="0" w:firstLine="1192"/>
        <w:jc w:val="both"/>
        <w:rPr/>
      </w:pPr>
      <w:r>
        <w:rPr/>
      </w:r>
    </w:p>
    <w:p>
      <w:pPr>
        <w:pStyle w:val="TextBody"/>
        <w:bidi w:val="0"/>
        <w:spacing w:lineRule="auto" w:line="288"/>
        <w:ind w:left="0" w:right="0" w:firstLine="567"/>
        <w:jc w:val="both"/>
        <w:rPr/>
      </w:pPr>
      <w:r>
        <w:rPr>
          <w:rFonts w:ascii="Times New Roman;serif" w:hAnsi="Times New Roman;serif"/>
          <w:b w:val="false"/>
          <w:color w:val="000000"/>
          <w:sz w:val="24"/>
        </w:rPr>
        <w:t>(iii)    “</w:t>
      </w:r>
      <w:r>
        <w:rPr>
          <w:rFonts w:ascii="Times New Roman;serif" w:hAnsi="Times New Roman;serif"/>
          <w:b/>
          <w:color w:val="000000"/>
          <w:sz w:val="24"/>
          <w:u w:val="single"/>
        </w:rPr>
        <w:t>Good Reason</w:t>
      </w:r>
      <w:r>
        <w:rPr>
          <w:color w:val="000000"/>
        </w:rPr>
        <w:t xml:space="preserve">” </w:t>
      </w:r>
      <w:r>
        <w:rPr>
          <w:rFonts w:ascii="Times New Roman;serif" w:hAnsi="Times New Roman;serif"/>
          <w:b w:val="false"/>
          <w:color w:val="000000"/>
          <w:sz w:val="24"/>
        </w:rPr>
        <w:t xml:space="preserve">means, in the absence of prior consent of Participant: (A) any material diminution in Participant’s duties, authorities, or responsibilities; (B) any reduction in Participant’s annual base salary, target short-term cash incentive bonus, or target annual long-term incentive awards; (C) the relocation of the principal place of Participant’s employment by more than fifty (50) miles from the Company’s headquarters, which, as of the date hereof, is in Richardson, Texas; or (D) in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5780"/>
                <wp:effectExtent l="0" t="0" r="0" b="0"/>
                <wp:wrapNone/>
                <wp:docPr id="8" name="Frame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the event that Participant is serving as a member of the Board immediately prior to the Change in Control, any failure to reelect Participant as a member of the Board, unless such reelection would be prohibited by the Company’s Bylaws as in effect immediately prior to the Change in Control;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Participant’s termination of employment will not be deemed to be for Good Reason unless (x) Participant has notified the Company in writing describing the occurrence of one or more Good Reason events within 90 days of such occurrence, (y) the Company fails to cure such Good Reason event within 30 days after its receipt of such written notice, and (z) Participant’s termination of employment occurs within 180 days after the occurrence of the applicable Good Reason event.</w:t>
      </w:r>
    </w:p>
    <w:p>
      <w:pPr>
        <w:pStyle w:val="TextBody"/>
        <w:bidi w:val="0"/>
        <w:spacing w:before="0" w:after="0"/>
        <w:ind w:left="0" w:right="0" w:firstLine="567"/>
        <w:jc w:val="both"/>
        <w:rPr/>
      </w:pPr>
      <w:r>
        <w:rPr/>
      </w:r>
    </w:p>
    <w:p>
      <w:pPr>
        <w:pStyle w:val="TextBody"/>
        <w:bidi w:val="0"/>
        <w:spacing w:lineRule="auto" w:line="288" w:before="0" w:after="0"/>
        <w:ind w:left="0" w:right="0" w:firstLine="567"/>
        <w:jc w:val="both"/>
        <w:rPr/>
      </w:pPr>
      <w:r>
        <w:rPr>
          <w:rFonts w:ascii="Times New Roman;serif" w:hAnsi="Times New Roman;serif"/>
          <w:b w:val="false"/>
          <w:color w:val="000000"/>
          <w:sz w:val="24"/>
        </w:rPr>
        <w:t>(iv)    “</w:t>
      </w:r>
      <w:r>
        <w:rPr>
          <w:rFonts w:ascii="Times New Roman;serif" w:hAnsi="Times New Roman;serif"/>
          <w:b/>
          <w:color w:val="000000"/>
          <w:sz w:val="24"/>
          <w:u w:val="single"/>
        </w:rPr>
        <w:t>Qualifying Replacement Award</w:t>
      </w:r>
      <w:r>
        <w:rPr>
          <w:color w:val="000000"/>
        </w:rPr>
        <w:t xml:space="preserve">” </w:t>
      </w:r>
      <w:r>
        <w:rPr>
          <w:rFonts w:ascii="Times New Roman;serif" w:hAnsi="Times New Roman;serif"/>
          <w:b w:val="false"/>
          <w:color w:val="000000"/>
          <w:sz w:val="24"/>
        </w:rPr>
        <w:t xml:space="preserve">means a Replacement Award that meets all of the following conditions, as determined by the Committee, as constituted immediately before the Change in Control, in its sole discretion: (A) if the original award is the PSU Award, the Replacement Award is an award of service-based restricted share units; (B) if the original award is the RSU Award or the SAR Award, the Replacement Award is an award of the same type as the original award;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for such purpose, an award of stock options will be deemed to be of the same type as an award of stock appreciation rights, and vice versa; (C) the Replacement Award has a value at least equal to the value of the original award (which, in the case of the PSU Award, will be based on the Change in Control Performance Level); (D) the Replacement Award relates to publicly traded equity securities of the Company or its successor in the Change in Control or another entity that is affiliated with the Company or its successor following the Change in Control; (E) if Participant is subject to U.S. federal income tax under the Code, the tax consequences of the Replacement Award to Participant under the Code are not less favorable to Participant than the tax consequences of the original award; and (F) the other terms and conditions of the Replacement Award (including the terms related to vesting and exercisability, as applicable) are not less favorable to Participant than the terms and conditions of the original award (including the provisions that would apply in the event of a subsequent termination of employment or change in control).</w:t>
      </w:r>
    </w:p>
    <w:p>
      <w:pPr>
        <w:pStyle w:val="TextBody"/>
        <w:bidi w:val="0"/>
        <w:spacing w:before="0" w:after="0"/>
        <w:ind w:left="0" w:right="0" w:firstLine="567"/>
        <w:jc w:val="both"/>
        <w:rPr/>
      </w:pPr>
      <w:r>
        <w:rPr/>
      </w:r>
    </w:p>
    <w:p>
      <w:pPr>
        <w:pStyle w:val="TextBody"/>
        <w:bidi w:val="0"/>
        <w:spacing w:lineRule="auto" w:line="288" w:before="0" w:after="0"/>
        <w:ind w:left="0" w:right="0" w:firstLine="567"/>
        <w:jc w:val="both"/>
        <w:rPr/>
      </w:pPr>
      <w:r>
        <w:rPr>
          <w:rFonts w:ascii="Times New Roman;serif" w:hAnsi="Times New Roman;serif"/>
          <w:b w:val="false"/>
          <w:color w:val="000000"/>
          <w:sz w:val="24"/>
        </w:rPr>
        <w:t>(v)    “</w:t>
      </w:r>
      <w:r>
        <w:rPr>
          <w:rFonts w:ascii="Times New Roman;serif" w:hAnsi="Times New Roman;serif"/>
          <w:b/>
          <w:color w:val="000000"/>
          <w:sz w:val="24"/>
          <w:u w:val="single"/>
        </w:rPr>
        <w:t>Qualifying Termination</w:t>
      </w:r>
      <w:r>
        <w:rPr>
          <w:color w:val="000000"/>
        </w:rPr>
        <w:t xml:space="preserve">” </w:t>
      </w:r>
      <w:r>
        <w:rPr>
          <w:rFonts w:ascii="Times New Roman;serif" w:hAnsi="Times New Roman;serif"/>
          <w:b w:val="false"/>
          <w:color w:val="000000"/>
          <w:sz w:val="24"/>
        </w:rPr>
        <w:t>means, with respect to all Participants, the termination of Participant’s employment with the Company and/or its Subsidiaries as a result of a termination by the Company (other than due to Cause, Disability, or the Participant’s death) and, with respect to the Chief Executive Officer or an Executive Vice President of LII, a termination for Good Reason, within two years after the date on which a Change in Control occurs.</w:t>
      </w:r>
    </w:p>
    <w:p>
      <w:pPr>
        <w:pStyle w:val="TextBody"/>
        <w:bidi w:val="0"/>
        <w:ind w:left="0" w:right="0" w:firstLine="567"/>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780"/>
                <wp:effectExtent l="0" t="0" r="0" b="0"/>
                <wp:wrapNone/>
                <wp:docPr id="9" name="Frame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567"/>
        <w:jc w:val="both"/>
        <w:rPr/>
      </w:pPr>
      <w:r>
        <w:rPr>
          <w:rFonts w:ascii="Times New Roman;serif" w:hAnsi="Times New Roman;serif"/>
          <w:b w:val="false"/>
          <w:color w:val="000000"/>
          <w:sz w:val="24"/>
        </w:rPr>
        <w:t>(vi)    “</w:t>
      </w:r>
      <w:r>
        <w:rPr>
          <w:rFonts w:ascii="Times New Roman;serif" w:hAnsi="Times New Roman;serif"/>
          <w:b/>
          <w:color w:val="000000"/>
          <w:sz w:val="24"/>
          <w:u w:val="single"/>
        </w:rPr>
        <w:t>Replacement Award</w:t>
      </w:r>
      <w:r>
        <w:rPr>
          <w:color w:val="000000"/>
        </w:rPr>
        <w:t xml:space="preserve">” </w:t>
      </w:r>
      <w:r>
        <w:rPr>
          <w:rFonts w:ascii="Times New Roman;serif" w:hAnsi="Times New Roman;serif"/>
          <w:b w:val="false"/>
          <w:color w:val="000000"/>
          <w:sz w:val="24"/>
        </w:rPr>
        <w:t>means an award representing a continuation, replacement, or assumption of the PSU Award, the SAR Award, or the unvested portion of the RSU Award, as applicable. A Replacement Award may be granted only to the extent it does not result in the original award or the Replacement Award failing to comply with or be exempt from Section 409A of the Code.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rPr>
        <w:t>PSU Payment Timing</w:t>
      </w:r>
      <w:r>
        <w:rPr>
          <w:rFonts w:ascii="Times New Roman;serif" w:hAnsi="Times New Roman;serif"/>
          <w:b w:val="false"/>
          <w:color w:val="000000"/>
          <w:sz w:val="24"/>
        </w:rPr>
        <w:t>. Except as otherwise provided in Section 5, following the end of the PSU Performance Period the Committee will determine and certify achievement of the Performance Goals. To the extent that any of the Performance Goals are achieved and certified by the Committee, vested PSUs will be paid on March 15th following the end of the PSU Performance Period. Notwithstanding the foregoing, in the event of Participant’s death or Disability, the vested PSUs shall be paid within 2 ½ months of such event. Vested PSUs will be paid in the form of one Common Share for each vested PSU.</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rPr>
        <w:t>RSU Payment Timing</w:t>
      </w:r>
      <w:r>
        <w:rPr>
          <w:rFonts w:ascii="Times New Roman;serif" w:hAnsi="Times New Roman;serif"/>
          <w:b w:val="false"/>
          <w:color w:val="000000"/>
          <w:sz w:val="24"/>
        </w:rPr>
        <w:t>. Vested RSUs will be paid within 30 days following the applicable RSU Vesting Date. Notwithstanding the foregoing, in the event of Participant’s death or Disability, the vested RSUs shall be paid within thirty (30) days of such event. Vested RSUs will be paid in the form of one Common Share for each vested RSU.</w:t>
      </w:r>
    </w:p>
    <w:p>
      <w:pPr>
        <w:pStyle w:val="TextBody"/>
        <w:bidi w:val="0"/>
        <w:spacing w:before="0" w:after="0"/>
        <w:ind w:left="0" w:right="0" w:firstLine="720"/>
        <w:jc w:val="both"/>
        <w:rPr/>
      </w:pPr>
      <w:r>
        <w:rPr/>
      </w:r>
    </w:p>
    <w:p>
      <w:pPr>
        <w:pStyle w:val="TextBody"/>
        <w:bidi w:val="0"/>
        <w:spacing w:lineRule="auto" w:line="288" w:before="0" w:after="0"/>
        <w:ind w:left="0" w:right="0" w:firstLine="709"/>
        <w:jc w:val="both"/>
        <w:rPr/>
      </w:pPr>
      <w:r>
        <w:rPr>
          <w:rFonts w:ascii="Times New Roman;serif" w:hAnsi="Times New Roman;serif"/>
          <w:b w:val="false"/>
          <w:color w:val="000000"/>
          <w:sz w:val="24"/>
        </w:rPr>
        <w:t>8.    </w:t>
      </w:r>
      <w:r>
        <w:rPr>
          <w:rFonts w:ascii="Times New Roman;serif" w:hAnsi="Times New Roman;serif"/>
          <w:b/>
          <w:color w:val="000000"/>
          <w:sz w:val="24"/>
        </w:rPr>
        <w:t>Exercise of SARs and SARs Payment Timing</w:t>
      </w:r>
      <w:r>
        <w:rPr>
          <w:rFonts w:ascii="Times New Roman;serif" w:hAnsi="Times New Roman;serif"/>
          <w:b w:val="false"/>
          <w:color w:val="000000"/>
          <w:sz w:val="24"/>
        </w:rPr>
        <w:t>. Vested SARs may be exercised in whole or part at any time until expiration, unless terminated earlier pursuant to this Agreement. Within 30 days of the date of exercise, the Company will deliver to Participant for each vested SAR that is being exercised (“</w:t>
      </w:r>
      <w:r>
        <w:rPr>
          <w:rFonts w:ascii="Times New Roman;serif" w:hAnsi="Times New Roman;serif"/>
          <w:b/>
          <w:color w:val="000000"/>
          <w:sz w:val="24"/>
          <w:u w:val="single"/>
        </w:rPr>
        <w:t>Exercised SAR</w:t>
      </w:r>
      <w:r>
        <w:rPr>
          <w:color w:val="000000"/>
        </w:rPr>
        <w:t>”</w:t>
      </w:r>
      <w:r>
        <w:rPr>
          <w:rFonts w:ascii="Times New Roman;serif" w:hAnsi="Times New Roman;serif"/>
          <w:b w:val="false"/>
          <w:color w:val="000000"/>
          <w:sz w:val="24"/>
        </w:rPr>
        <w:t>) a number of Common Shares equal in value to the excess (if any) of the Exercise Date Value over the Base Price of the SAR; provided that the aggregate number of Common Shares so determined for all Exercised SARs covered by such exercise will be rounded down to the nearest whole Common Share. If on the last day of the SAR Exercise Period (or, if earlier, the last day of the 90-day period following termination, if Section 4(b) or Section 5(b) applies) (i) the fair market value of a Common Share exceeds the Base Price of the SAR, (ii) Participant has not exercised the vested SARs, and (iii) the SAR Award has not otherwise been cancelled, then the vested SARs will be deemed to have been exercised by Participant as of such day, and the Company will settle the Exercised SARs in accordance with this Section 8.</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rPr>
        <w:t>Withholding for Taxes</w:t>
      </w:r>
      <w:r>
        <w:rPr>
          <w:rFonts w:ascii="Times New Roman;serif" w:hAnsi="Times New Roman;serif"/>
          <w:b w:val="false"/>
          <w:color w:val="000000"/>
          <w:sz w:val="24"/>
        </w:rPr>
        <w:t xml:space="preserve">. To the extent that the Company is required to withhold federal, state, local, or foreign taxes or other amounts in connection with the delivery to Participant of Common Shares or any other payment to Participant or any other payment or vesting event under this Agreement, and the amounts available to the Company for such withholding are insufficient, it shall be a condition to the obligation of the Company to make any such delivery or payment that Participant make arrangements satisfactory to the Company for payment of the balance of such taxes or other amounts required to be withheld. Unless otherwise determined by the Committee, such withholding requirement shall be satisfied by retention by the Company of a portion of the Common Shares to be delivered to Participant. The shares so retained shall be credited against such withholding requirement at the fair market value of such Common Shares on the date the applicable benefit is to be included in Participant’s income. In no event will the fair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5780"/>
                <wp:effectExtent l="0" t="0" r="0" b="0"/>
                <wp:wrapNone/>
                <wp:docPr id="10"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market value of the Common Shares to be withheld and/or delivered pursuant to this Section 9 to satisfy applicable withholding taxes exceed the minimum amount of taxes required to be withheld.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rPr>
        <w:t>Adjustments</w:t>
      </w:r>
      <w:r>
        <w:rPr>
          <w:rFonts w:ascii="Times New Roman;serif" w:hAnsi="Times New Roman;serif"/>
          <w:b w:val="false"/>
          <w:color w:val="000000"/>
          <w:sz w:val="24"/>
        </w:rPr>
        <w:t>. The number of Common Shares subject to each award granted hereunder and the other terms and conditions of the grants evidenced by this Agreement are subject to adjustment as provided in Section 11 of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rPr>
        <w:t>Protective Covenants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Noncompete Obligations</w:t>
      </w:r>
      <w:r>
        <w:rPr>
          <w:rFonts w:ascii="Times New Roman;serif" w:hAnsi="Times New Roman;serif"/>
          <w:b w:val="false"/>
          <w:color w:val="000000"/>
          <w:sz w:val="24"/>
        </w:rPr>
        <w:t>. For one year following the effective date of Participant’s termination of employment with LII (the “</w:t>
      </w:r>
      <w:r>
        <w:rPr>
          <w:rFonts w:ascii="Times New Roman;serif" w:hAnsi="Times New Roman;serif"/>
          <w:b/>
          <w:color w:val="000000"/>
          <w:sz w:val="24"/>
          <w:u w:val="single"/>
        </w:rPr>
        <w:t>Termination Date</w:t>
      </w:r>
      <w:r>
        <w:rPr>
          <w:color w:val="000000"/>
        </w:rPr>
        <w:t>”</w:t>
      </w:r>
      <w:r>
        <w:rPr>
          <w:rFonts w:ascii="Times New Roman;serif" w:hAnsi="Times New Roman;serif"/>
          <w:b w:val="false"/>
          <w:color w:val="000000"/>
          <w:sz w:val="24"/>
        </w:rPr>
        <w:t xml:space="preserve">), unless this restriction is prohibited by applicable law, Participant will not participate in any way in any activities within the same geographic area where Participant had responsibility to conduct business activity prior to the Termination Date, on behalf of a business that provides products or services that are the same or similar to products or services offered or planned by LII as of the Termination Date.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Nonsolicitation Obligations</w:t>
      </w:r>
      <w:r>
        <w:rPr>
          <w:rFonts w:ascii="Times New Roman;serif" w:hAnsi="Times New Roman;serif"/>
          <w:b w:val="false"/>
          <w:color w:val="000000"/>
          <w:sz w:val="24"/>
        </w:rPr>
        <w:t>. For one year following the Termination Date, Participant will not, directly or indirectly: (i) solicit, recruit, or hire any person who is an LII employee as of the Termination Date; or (ii) solicit or induce any customer, supplier, or distributor as of the Termination Date to cease or reduce doing business with LII, or divert an LII business opportunity.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Remedies</w:t>
      </w:r>
      <w:r>
        <w:rPr>
          <w:rFonts w:ascii="Times New Roman;serif" w:hAnsi="Times New Roman;serif"/>
          <w:b w:val="false"/>
          <w:color w:val="000000"/>
          <w:sz w:val="24"/>
        </w:rPr>
        <w:t>. If Participant violates Section 11(a) or (b), unless prohibited by applicable law, (i) Participant’s unvested and vested PSU Awards, RSU Awards, and SAR Awards will be immediately rescinded and the Participant will forfeit any rights he or she has with respect thereto; and (ii) Participant must pay LII on demand an amount equal to the sum of the pre-tax gains received from: (x) PSU Awards and RSU Awards that vested</w:t>
      </w:r>
      <w:r>
        <w:rPr>
          <w:color w:val="000000"/>
        </w:rPr>
        <w:t xml:space="preserve"> </w:t>
      </w:r>
      <w:r>
        <w:rPr>
          <w:rFonts w:ascii="Times New Roman;serif" w:hAnsi="Times New Roman;serif"/>
          <w:b w:val="false"/>
          <w:color w:val="000000"/>
          <w:sz w:val="24"/>
        </w:rPr>
        <w:t xml:space="preserve">under this Agreement in the two year period prior to the Termination Date and (y) SAR Awards exercised under this Agreement in the period beginning two years prior to the Termination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Further, if Participant violates Section 11(a) or (b), LII will be irreparably harmed and entitled to specific performance, injunctive relief, attorneys’ fees, and costs incurred in obtaining relief, and any other remedy available at law or equity.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Consent</w:t>
      </w:r>
      <w:r>
        <w:rPr>
          <w:rFonts w:ascii="Times New Roman;serif" w:hAnsi="Times New Roman;serif"/>
          <w:b w:val="false"/>
          <w:color w:val="000000"/>
          <w:sz w:val="24"/>
        </w:rPr>
        <w:t xml:space="preserve">. Participant may engage in activities otherwise restricted by this Section 11 with the written consent of LII’s Chief Executive Officer if Participant is a Vice President or Executive Vice President, or with the written consent of the independent members of the Board of Directors if Participant is the Chief Executive Officer.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rPr>
        <w:t>No Stockholder Rights</w:t>
      </w:r>
      <w:r>
        <w:rPr>
          <w:rFonts w:ascii="Times New Roman;serif" w:hAnsi="Times New Roman;serif"/>
          <w:b w:val="false"/>
          <w:color w:val="000000"/>
          <w:sz w:val="24"/>
        </w:rPr>
        <w:t>. Participant will not be deemed for any purpose, including voting rights and dividends or dividend equivalents, to be, or to have any of the rights of, a Stockholder with respect to any Common Shares as to which the PSU Award, the RSU Award, or the SAR Award relate until such shares are issued or transferred to Participant by the Company. The existence of this Agreement will not affect the right or power of LII or its Stockholders to accomplish any corporate act.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5780"/>
                <wp:effectExtent l="0" t="0" r="0" b="0"/>
                <wp:wrapNone/>
                <wp:docPr id="11" name="Frame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rPr>
        <w:t>Restrictions Imposed by Law</w:t>
      </w:r>
      <w:r>
        <w:rPr>
          <w:rFonts w:ascii="Times New Roman;serif" w:hAnsi="Times New Roman;serif"/>
          <w:b w:val="false"/>
          <w:color w:val="000000"/>
          <w:sz w:val="24"/>
        </w:rPr>
        <w:t>. Participant agrees that LII will not be obligated to deliver any Common Shares if LII determines that such delivery would violate any applicable law or any rule or regulation of any governmental authority or any rule or regulation of, or agreement of the Company with, any securities exchange or association upon which the Common Shares may be listed or quoted. LII will not be obligated to take any affirmative action to cause the delivery of Common Shares to comply with any such law, rule, regulation, or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rPr>
        <w:t>Compliance with Section 409A of the Code</w:t>
      </w:r>
      <w:r>
        <w:rPr>
          <w:rFonts w:ascii="Times New Roman;serif" w:hAnsi="Times New Roman;serif"/>
          <w:b w:val="false"/>
          <w:color w:val="000000"/>
          <w:sz w:val="24"/>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Participant). If, at the time of Participant’s separation from service (within the meaning of Section 409A of the Code), (a) Participant will be a specified employee (within the meaning of Section 409A of the Code and using the identification methodology selected by the Company from time to time) and (b) the Company makes a good faith determination that an amount payable hereunder the timing of which is triggered by such separation from service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15.    </w:t>
      </w:r>
      <w:r>
        <w:rPr>
          <w:rFonts w:ascii="Times New Roman;serif" w:hAnsi="Times New Roman;serif"/>
          <w:b/>
          <w:color w:val="000000"/>
          <w:sz w:val="24"/>
        </w:rPr>
        <w:t>No Right to Future Awards</w:t>
      </w:r>
      <w:r>
        <w:rPr>
          <w:rFonts w:ascii="Times New Roman;serif" w:hAnsi="Times New Roman;serif"/>
          <w:b w:val="false"/>
          <w:color w:val="000000"/>
          <w:sz w:val="24"/>
        </w:rPr>
        <w:t>. The grants of the awards under this Agreement to Participant are voluntary, discretionary awards being made on a one-time basis and they do not constitute commitments to make any future awards. The grants of the awards and any payments made hereunder will not be considered salary or other compensation for purposes of any severance pay or similar allowance, except as otherwise required by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16.    </w:t>
      </w:r>
      <w:r>
        <w:rPr>
          <w:rFonts w:ascii="Times New Roman;serif" w:hAnsi="Times New Roman;serif"/>
          <w:b/>
          <w:color w:val="000000"/>
          <w:sz w:val="24"/>
        </w:rPr>
        <w:t>Notice</w:t>
      </w:r>
      <w:r>
        <w:rPr>
          <w:rFonts w:ascii="Times New Roman;serif" w:hAnsi="Times New Roman;serif"/>
          <w:b w:val="false"/>
          <w:color w:val="000000"/>
          <w:sz w:val="24"/>
        </w:rPr>
        <w:t>. Unless LII notifies Participant in writing of a different procedure, any notice or other communication to LII with respect to this Agreement must be in writing and delivered personally or by first class mail, postage prepaid, to the following address:</w:t>
      </w:r>
    </w:p>
    <w:p>
      <w:pPr>
        <w:pStyle w:val="TextBody"/>
        <w:bidi w:val="0"/>
        <w:spacing w:before="0" w:after="0"/>
        <w:jc w:val="both"/>
        <w:rPr/>
      </w:pPr>
      <w:r>
        <w:rPr/>
      </w:r>
    </w:p>
    <w:p>
      <w:pPr>
        <w:pStyle w:val="TextBody"/>
        <w:bidi w:val="0"/>
        <w:spacing w:lineRule="auto" w:line="288" w:before="0" w:after="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Lennox International Inc.</w:t>
      </w:r>
    </w:p>
    <w:p>
      <w:pPr>
        <w:pStyle w:val="TextBody"/>
        <w:bidi w:val="0"/>
        <w:spacing w:lineRule="auto" w:line="288" w:before="0" w:after="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c/o Corporate Secretary</w:t>
      </w:r>
    </w:p>
    <w:p>
      <w:pPr>
        <w:pStyle w:val="TextBody"/>
        <w:bidi w:val="0"/>
        <w:spacing w:lineRule="auto" w:line="288" w:before="0" w:after="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2140 Lake Park Boulevard</w:t>
      </w:r>
    </w:p>
    <w:p>
      <w:pPr>
        <w:pStyle w:val="TextBody"/>
        <w:bidi w:val="0"/>
        <w:spacing w:lineRule="auto" w:line="288" w:before="0" w:after="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Richardson, Texas 75080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notice or other communication to Participant with respect to this Agreement must be in writing and delivered personally, or sent electronically to Participant or by first class mail, postage prepaid, to Participant’s address as listed in the records of the Company on the Date of Grant, unless LII has received written notification from Participant of a change of address.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5780"/>
                <wp:effectExtent l="0" t="0" r="0" b="0"/>
                <wp:wrapNone/>
                <wp:docPr id="12" name="Frame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9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9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17.    </w:t>
      </w:r>
      <w:r>
        <w:rPr>
          <w:rFonts w:ascii="Times New Roman;serif" w:hAnsi="Times New Roman;serif"/>
          <w:b/>
          <w:color w:val="000000"/>
          <w:sz w:val="24"/>
        </w:rPr>
        <w:t>Amendment</w:t>
      </w:r>
      <w:r>
        <w:rPr>
          <w:rFonts w:ascii="Times New Roman;serif" w:hAnsi="Times New Roman;serif"/>
          <w:b w:val="false"/>
          <w:color w:val="000000"/>
          <w:sz w:val="24"/>
        </w:rPr>
        <w:t>. This Agreement may be supplemented or amended from time to time as approved by the Committee as contemplated by the Plan. Participant’s consent shall not be required to an amendment that is deemed necessary by the Company to ensure compliance with Section 409A of the Code or Section 10D of the Exchange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rPr>
        <w:t>Participant Employment</w:t>
      </w:r>
      <w:r>
        <w:rPr>
          <w:rFonts w:ascii="Times New Roman;serif" w:hAnsi="Times New Roman;serif"/>
          <w:b w:val="false"/>
          <w:color w:val="000000"/>
          <w:sz w:val="24"/>
        </w:rPr>
        <w:t>. Nothing contained in this Agreement, and no action of LII or the Committee, will confer or be construed to confer on Participant any right to continue in the employ of LII or interfere in any way with the right of LII to terminate Participant’s employment at any time, with or without Cause, subject, however, to the provisions of any employment agreement between Participant and LII.</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19.    </w:t>
      </w:r>
      <w:r>
        <w:rPr>
          <w:rFonts w:ascii="Times New Roman;serif" w:hAnsi="Times New Roman;serif"/>
          <w:b/>
          <w:color w:val="000000"/>
          <w:sz w:val="24"/>
        </w:rPr>
        <w:t>Governing Law</w:t>
      </w:r>
      <w:r>
        <w:rPr>
          <w:rFonts w:ascii="Times New Roman;serif" w:hAnsi="Times New Roman;serif"/>
          <w:b w:val="false"/>
          <w:color w:val="000000"/>
          <w:sz w:val="24"/>
        </w:rPr>
        <w:t>. This Agreement is governed by Delaware law. Any dispute arising out of or related to this Agreement, or any breach or alleged breach hereof, will be exclusively decided by a state or federal court in the State of Texas in the County of Dallas. Participant irrevocably waives Participant’s right, if any, to have any disputes between Participant and the Company arising out of or related to this Agreement decided in any jurisdiction or venue other than a state or federal court in the State of Texas in the County of Dallas. Participant hereby irrevocably consents to the personal jurisdiction of the state courts in the State of Texas in the County of Dallas for the purposes of any action arising out of or related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20.    </w:t>
      </w:r>
      <w:r>
        <w:rPr>
          <w:rFonts w:ascii="Times New Roman;serif" w:hAnsi="Times New Roman;serif"/>
          <w:b/>
          <w:color w:val="000000"/>
          <w:sz w:val="24"/>
        </w:rPr>
        <w:t>Construction</w:t>
      </w:r>
      <w:r>
        <w:rPr>
          <w:rFonts w:ascii="Times New Roman;serif" w:hAnsi="Times New Roman;serif"/>
          <w:b w:val="false"/>
          <w:color w:val="000000"/>
          <w:sz w:val="24"/>
        </w:rPr>
        <w:t xml:space="preserve">. This Agreement is entered into, and the PSU Award, RSU Award, and SAR Award are granted, pursuant to the Plan and are governed by and construed in accordance with the Plan and the administrative interpretations adopted under the Plan. In the event of any inconsistency between the terms of the Plan and this Agreement, the terms of the Plan will control. Notwithstanding anything in this Agreement to the contrary, Participant acknowledges and agrees that this Agreement and the awards described herein are subject to the terms and conditions of the Company’s clawback policy as may be in effect from time to time (if 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21.    </w:t>
      </w:r>
      <w:r>
        <w:rPr>
          <w:rFonts w:ascii="Times New Roman;serif" w:hAnsi="Times New Roman;serif"/>
          <w:b/>
          <w:color w:val="000000"/>
          <w:sz w:val="24"/>
        </w:rPr>
        <w:t>Severability and Reformation</w:t>
      </w:r>
      <w:r>
        <w:rPr>
          <w:rFonts w:ascii="Times New Roman;serif" w:hAnsi="Times New Roman;serif"/>
          <w:b w:val="false"/>
          <w:color w:val="000000"/>
          <w:sz w:val="24"/>
        </w:rPr>
        <w:t>. If any restriction or covenant in this Agreement is deemed by a court of competent jurisdiction to be unreasonable or unenforceable as written, the court may modify any unreasonable or unenforceable element of the restriction or covenant to make it reasonable and enforceable or enforce it only to the extent it is reasonable and enforceable. If the court determines that any restriction or covenant in this Agreement is wholly or partially invalid or unenforceable, the remainder of the restrictions or covenants will be given full effect.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22.    </w:t>
      </w:r>
      <w:r>
        <w:rPr>
          <w:rFonts w:ascii="Times New Roman;serif" w:hAnsi="Times New Roman;serif"/>
          <w:b/>
          <w:color w:val="000000"/>
          <w:sz w:val="24"/>
        </w:rPr>
        <w:t>Entire Agreement</w:t>
      </w:r>
      <w:r>
        <w:rPr>
          <w:rFonts w:ascii="Times New Roman;serif" w:hAnsi="Times New Roman;serif"/>
          <w:b w:val="false"/>
          <w:color w:val="000000"/>
          <w:sz w:val="24"/>
        </w:rPr>
        <w:t xml:space="preserve">. This Agreement contains the entire agreement between the parties with respect to the PSU Award, the RSU Award, and the SAR Award. If Participant has a written employment agreement or change in control agreement which contains provisions that conflict with this Agreement, the terms of the employment agreement or change in control agreement will control.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23.    </w:t>
      </w:r>
      <w:r>
        <w:rPr>
          <w:rFonts w:ascii="Times New Roman;serif" w:hAnsi="Times New Roman;serif"/>
          <w:b/>
          <w:color w:val="000000"/>
          <w:sz w:val="24"/>
        </w:rPr>
        <w:t>Electronic Delivery</w:t>
      </w:r>
      <w:r>
        <w:rPr>
          <w:rFonts w:ascii="Times New Roman;serif" w:hAnsi="Times New Roman;serif"/>
          <w:b w:val="false"/>
          <w:color w:val="000000"/>
          <w:sz w:val="24"/>
        </w:rPr>
        <w:t xml:space="preserve">. The Participant consents to the delivery of any documents related to the awards granted hereunder by electronic means and agrees to participate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5780"/>
                <wp:effectExtent l="0" t="0" r="0" b="0"/>
                <wp:wrapNone/>
                <wp:docPr id="13" name="Frame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10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10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through an on-line or electronic system established and maintained by the Company or another third party designated by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24.    </w:t>
      </w:r>
      <w:r>
        <w:rPr>
          <w:rFonts w:ascii="Times New Roman;serif" w:hAnsi="Times New Roman;serif"/>
          <w:b/>
          <w:color w:val="000000"/>
          <w:sz w:val="24"/>
        </w:rPr>
        <w:t>Participant Acceptance</w:t>
      </w:r>
      <w:r>
        <w:rPr>
          <w:rFonts w:ascii="Times New Roman;serif" w:hAnsi="Times New Roman;serif"/>
          <w:b w:val="false"/>
          <w:color w:val="000000"/>
          <w:sz w:val="24"/>
        </w:rPr>
        <w:t>. Participant must accept the terms and conditions of this Agreement by electronic signature or by signing in the space below and returning a signed copy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25.    </w:t>
      </w:r>
      <w:r>
        <w:rPr>
          <w:rFonts w:ascii="Times New Roman;serif" w:hAnsi="Times New Roman;serif"/>
          <w:b/>
          <w:color w:val="000000"/>
          <w:sz w:val="24"/>
        </w:rPr>
        <w:t>No-Waiver.</w:t>
      </w:r>
      <w:r>
        <w:rPr>
          <w:color w:val="000000"/>
        </w:rPr>
        <w:t xml:space="preserve"> </w:t>
      </w:r>
      <w:r>
        <w:rPr>
          <w:rFonts w:ascii="Times New Roman;serif" w:hAnsi="Times New Roman;serif"/>
          <w:b w:val="false"/>
          <w:color w:val="000000"/>
          <w:sz w:val="24"/>
        </w:rPr>
        <w:t>Any waiver by the Company of a breach of any provision of this Agreement will not operate or be construed as waiver of any subsequent breach.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26.    </w:t>
      </w:r>
      <w:r>
        <w:rPr>
          <w:rFonts w:ascii="Times New Roman;serif" w:hAnsi="Times New Roman;serif"/>
          <w:b/>
          <w:color w:val="000000"/>
          <w:sz w:val="24"/>
        </w:rPr>
        <w:t>Other Entities Protected</w:t>
      </w:r>
      <w:r>
        <w:rPr>
          <w:rFonts w:ascii="Times New Roman;serif" w:hAnsi="Times New Roman;serif"/>
          <w:b w:val="false"/>
          <w:color w:val="000000"/>
          <w:sz w:val="24"/>
        </w:rPr>
        <w:t>. This Agreement, including the restrictions on Participant’s activities apply to any subsidiary, affiliate, successor, and assign of LII to which Participant provides services or about which Participant receives Confidential Information. LII has the right to assign this Agreement at its sole election without the need for further notice to or consent by Participant. Accordingly, this Agreement will inure to the benefit of, and may be enforced by, any and all successors and assigns of LII, including without limitation by asset assignment, stock sale, merger, consolidation, or other corporate reorganization, and will be binding on Participant, Participant’s executors, administrators, personal representatives, or other successors in interest. Participant further agrees that Participant’s rights are personal and may not be assigned or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27.    </w:t>
      </w:r>
      <w:r>
        <w:rPr>
          <w:rFonts w:ascii="Times New Roman;serif" w:hAnsi="Times New Roman;serif"/>
          <w:b/>
          <w:color w:val="000000"/>
          <w:sz w:val="24"/>
        </w:rPr>
        <w:t>Acknowledgement</w:t>
      </w:r>
      <w:r>
        <w:rPr>
          <w:rFonts w:ascii="Times New Roman;serif" w:hAnsi="Times New Roman;serif"/>
          <w:b w:val="false"/>
          <w:color w:val="000000"/>
          <w:sz w:val="24"/>
        </w:rPr>
        <w:t>. Participant acknowledges that Participant (a) has received a copy of the Plan, (b) has had an opportunity to review the terms of this Agreement and the Plan, (c) understands the terms and conditions of this Agreement and the Plan, and (d) agrees to such terms and conditions.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ACCEPTED: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Signed: _________________________________________</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4"/>
        </w:rPr>
        <w:t xml:space="preserve">«First» «Last»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Date: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5780"/>
                <wp:effectExtent l="0" t="0" r="0" b="0"/>
                <wp:wrapNone/>
                <wp:docPr id="14" name="Frame1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11          Approved Form September 16, 2026</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11          Approved Form September 16, 2026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11"/>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before="0" w:after="0"/>
        <w:ind w:left="0" w:right="0" w:hanging="11"/>
        <w:jc w:val="center"/>
        <w:rPr/>
      </w:pPr>
      <w:r>
        <w:rPr/>
      </w:r>
    </w:p>
    <w:p>
      <w:pPr>
        <w:pStyle w:val="TextBody"/>
        <w:bidi w:val="0"/>
        <w:spacing w:lineRule="auto" w:line="288" w:before="0" w:after="0"/>
        <w:ind w:left="0" w:right="0" w:hanging="11"/>
        <w:jc w:val="center"/>
        <w:rPr>
          <w:rFonts w:ascii="Times New Roman;serif" w:hAnsi="Times New Roman;serif"/>
          <w:b/>
          <w:color w:val="000000"/>
          <w:sz w:val="24"/>
        </w:rPr>
      </w:pPr>
      <w:r>
        <w:rPr>
          <w:rFonts w:ascii="Times New Roman;serif" w:hAnsi="Times New Roman;serif"/>
          <w:b/>
          <w:color w:val="000000"/>
          <w:sz w:val="24"/>
        </w:rPr>
        <w:t>Performance Goals</w:t>
      </w:r>
    </w:p>
    <w:p>
      <w:pPr>
        <w:pStyle w:val="TextBody"/>
        <w:bidi w:val="0"/>
        <w:spacing w:lineRule="auto" w:line="288" w:before="0" w:after="0"/>
        <w:ind w:left="0" w:right="0" w:hanging="11"/>
        <w:jc w:val="center"/>
        <w:rPr>
          <w:rFonts w:ascii="Times New Roman;serif" w:hAnsi="Times New Roman;serif"/>
          <w:b/>
          <w:color w:val="000000"/>
          <w:sz w:val="24"/>
        </w:rPr>
      </w:pPr>
      <w:r>
        <w:rPr>
          <w:rFonts w:ascii="Times New Roman;serif" w:hAnsi="Times New Roman;serif"/>
          <w:b/>
          <w:color w:val="000000"/>
          <w:sz w:val="24"/>
        </w:rPr>
        <w:t>PSU Performance Period: January 1, 20__ – December 31, 20__</w:t>
      </w:r>
    </w:p>
    <w:p>
      <w:pPr>
        <w:pStyle w:val="TextBody"/>
        <w:bidi w:val="0"/>
        <w:spacing w:before="0" w:after="0"/>
        <w:ind w:left="0" w:right="0" w:hanging="11"/>
        <w:jc w:val="center"/>
        <w:rPr/>
      </w:pPr>
      <w:r>
        <w:rPr/>
      </w:r>
    </w:p>
    <w:p>
      <w:pPr>
        <w:pStyle w:val="TextBody"/>
        <w:bidi w:val="0"/>
        <w:spacing w:lineRule="auto" w:line="288" w:before="0" w:after="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Overview</w:t>
      </w:r>
      <w:r>
        <w:rPr>
          <w:rFonts w:ascii="Times New Roman;serif" w:hAnsi="Times New Roman;serif"/>
          <w:b w:val="false"/>
          <w:color w:val="000000"/>
          <w:sz w:val="24"/>
        </w:rPr>
        <w:t>. The actual number of Common Shares delivered to the Participant in settlement of the PSUs earned under the Long-Term Incentive Award Agreement between the Company and Participant (the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xml:space="preserve">) will be determined by the Committee in its reasonable discretion following the end of the PSU Performance Period based on actual performance results against the performance goals described below, subject to Section 4 and Section 5 of the Agreement. Any PSUs not earned will be canceled and forfeited. Capitalized terms used in this Statement of Performance Goals that are not specifically defined in this Statement of Performance Goals have the meanings assigned to them in the Agreement.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Metrics</w:t>
      </w:r>
      <w:r>
        <w:rPr>
          <w:rFonts w:ascii="Times New Roman;serif" w:hAnsi="Times New Roman;serif"/>
          <w:b w:val="false"/>
          <w:color w:val="000000"/>
          <w:sz w:val="24"/>
        </w:rPr>
        <w:t>. 50% of the PSU Award will be earned based upon achievement of Company core net income compound annual growth rate (CAGR) over the three year PSU Performance Period (“</w:t>
      </w:r>
      <w:r>
        <w:rPr>
          <w:rFonts w:ascii="Times New Roman;serif" w:hAnsi="Times New Roman;serif"/>
          <w:b/>
          <w:color w:val="000000"/>
          <w:sz w:val="24"/>
          <w:u w:val="single"/>
        </w:rPr>
        <w:t>Core Net Income</w:t>
      </w:r>
      <w:r>
        <w:rPr>
          <w:color w:val="000000"/>
        </w:rPr>
        <w:t>”</w:t>
      </w:r>
      <w:r>
        <w:rPr>
          <w:rFonts w:ascii="Times New Roman;serif" w:hAnsi="Times New Roman;serif"/>
          <w:b w:val="false"/>
          <w:color w:val="000000"/>
          <w:sz w:val="24"/>
        </w:rPr>
        <w:t>), and 50% of the PSU Award will be earned based upon achievement of Company average return on invested capital for each of the years in the three-year PSU Performance Period (“</w:t>
      </w:r>
      <w:r>
        <w:rPr>
          <w:rFonts w:ascii="Times New Roman;serif" w:hAnsi="Times New Roman;serif"/>
          <w:b/>
          <w:color w:val="000000"/>
          <w:sz w:val="24"/>
          <w:u w:val="single"/>
        </w:rPr>
        <w:t>ROIC</w:t>
      </w:r>
      <w:r>
        <w:rPr>
          <w:color w:val="000000"/>
        </w:rPr>
        <w:t>”</w:t>
      </w:r>
      <w:r>
        <w:rPr>
          <w:rFonts w:ascii="Times New Roman;serif" w:hAnsi="Times New Roman;serif"/>
          <w:b w:val="false"/>
          <w:color w:val="000000"/>
          <w:sz w:val="24"/>
        </w:rPr>
        <w:t>).</w:t>
      </w:r>
    </w:p>
    <w:p>
      <w:pPr>
        <w:pStyle w:val="TextBody"/>
        <w:bidi w:val="0"/>
        <w:spacing w:before="0" w:after="0"/>
        <w:ind w:left="0" w:right="0" w:hanging="567"/>
        <w:jc w:val="both"/>
        <w:rPr/>
      </w:pPr>
      <w:r>
        <w:rPr/>
      </w:r>
    </w:p>
    <w:p>
      <w:pPr>
        <w:pStyle w:val="TextBody"/>
        <w:bidi w:val="0"/>
        <w:spacing w:lineRule="auto" w:line="288" w:before="0" w:after="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Performance Matrix</w:t>
      </w:r>
      <w:r>
        <w:rPr>
          <w:rFonts w:ascii="Times New Roman;serif" w:hAnsi="Times New Roman;serif"/>
          <w:b w:val="false"/>
          <w:color w:val="000000"/>
          <w:sz w:val="24"/>
        </w:rPr>
        <w:t>. From 0% to 200% of the PSUs will be earned based on achievement of the Core Net Income and ROIC performance goals during the PSU Performance Period as follows:</w:t>
      </w:r>
    </w:p>
    <w:p>
      <w:pPr>
        <w:pStyle w:val="TextBody"/>
        <w:bidi w:val="0"/>
        <w:spacing w:before="0" w:after="0"/>
        <w:jc w:val="both"/>
        <w:rPr/>
      </w:pPr>
      <w:r>
        <w:rPr/>
      </w:r>
    </w:p>
    <w:tbl>
      <w:tblPr>
        <w:tblW w:w="6151" w:type="dxa"/>
        <w:jc w:val="left"/>
        <w:tblInd w:w="0" w:type="dxa"/>
        <w:tblLayout w:type="fixed"/>
        <w:tblCellMar>
          <w:top w:w="28" w:type="dxa"/>
          <w:left w:w="28" w:type="dxa"/>
          <w:bottom w:w="28" w:type="dxa"/>
          <w:right w:w="28" w:type="dxa"/>
        </w:tblCellMar>
      </w:tblPr>
      <w:tblGrid>
        <w:gridCol w:w="1069"/>
        <w:gridCol w:w="934"/>
        <w:gridCol w:w="936"/>
        <w:gridCol w:w="385"/>
        <w:gridCol w:w="385"/>
        <w:gridCol w:w="386"/>
        <w:gridCol w:w="285"/>
        <w:gridCol w:w="285"/>
        <w:gridCol w:w="285"/>
        <w:gridCol w:w="345"/>
        <w:gridCol w:w="345"/>
        <w:gridCol w:w="511"/>
      </w:tblGrid>
      <w:tr>
        <w:trPr/>
        <w:tc>
          <w:tcPr>
            <w:tcW w:w="106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151"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PSU Award – Performance Goals</w:t>
            </w:r>
          </w:p>
        </w:tc>
      </w:tr>
      <w:tr>
        <w:trPr/>
        <w:tc>
          <w:tcPr>
            <w:tcW w:w="293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Performance Level</w:t>
            </w:r>
          </w:p>
        </w:tc>
        <w:tc>
          <w:tcPr>
            <w:tcW w:w="1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Threshold</w:t>
            </w:r>
          </w:p>
        </w:tc>
        <w:tc>
          <w:tcPr>
            <w:tcW w:w="8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Target</w:t>
            </w:r>
          </w:p>
        </w:tc>
        <w:tc>
          <w:tcPr>
            <w:tcW w:w="120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Maximum</w:t>
            </w:r>
          </w:p>
        </w:tc>
      </w:tr>
      <w:tr>
        <w:trPr/>
        <w:tc>
          <w:tcPr>
            <w:tcW w:w="29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Percentage of PSUs Earned</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c>
          <w:tcPr>
            <w:tcW w:w="120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r>
      <w:tr>
        <w:trPr/>
        <w:tc>
          <w:tcPr>
            <w:tcW w:w="29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Core Net Income CAGR</w:t>
            </w:r>
          </w:p>
        </w:tc>
        <w:tc>
          <w:tcPr>
            <w:tcW w:w="115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ROIC Average</w:t>
            </w:r>
          </w:p>
        </w:tc>
        <w:tc>
          <w:tcPr>
            <w:tcW w:w="11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Core Net Income or ROIC for the PSU Performance Period falls between two performance levels set forth in the performance matrix above, the number of PSUs earned with respect to such performance metric will be determined based on straight-line mathematical interpolation (rounded down to the nearest whole number of PSUs). If Core Net Income or ROIC for the PSU Performance Period falls below the “Threshold” level set forth in the performance matrix above, no PSUs shall become earned with respect to that metric.</w:t>
      </w:r>
    </w:p>
    <w:p>
      <w:pPr>
        <w:pStyle w:val="TextBody"/>
        <w:bidi w:val="0"/>
        <w:ind w:left="0" w:right="0" w:hanging="11"/>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1040"/>
                <wp:effectExtent l="0" t="0" r="0" b="0"/>
                <wp:wrapNone/>
                <wp:docPr id="15" name="Frame1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12          Approved Form September 16, 2026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12          Approved Form September 16,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6122</Words>
  <Characters>31617</Characters>
  <CharactersWithSpaces>37972</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