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ind w:left="0" w:right="0" w:firstLine="495"/>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64" w:before="0" w:after="0"/>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30, 2026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64" w:before="0" w:after="0"/>
        <w:jc w:val="center"/>
        <w:rPr>
          <w:rFonts w:ascii="Times New Roman;serif" w:hAnsi="Times New Roman;serif"/>
          <w:b/>
          <w:color w:val="000000"/>
          <w:sz w:val="24"/>
        </w:rPr>
      </w:pPr>
      <w:r>
        <w:rPr>
          <w:rFonts w:ascii="Times New Roman;serif" w:hAnsi="Times New Roman;serif"/>
          <w:b/>
          <w:color w:val="000000"/>
          <w:sz w:val="24"/>
        </w:rPr>
        <w:t xml:space="preserve">For the transition period from _____to ______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001-15149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w:t>
      </w:r>
    </w:p>
    <w:p>
      <w:pPr>
        <w:pStyle w:val="TextBody"/>
        <w:bidi w:val="0"/>
        <w:spacing w:lineRule="auto" w:line="288" w:before="100" w:after="283"/>
        <w:jc w:val="center"/>
        <w:rPr/>
      </w:pPr>
      <w:r>
        <w:rPr>
          <w:rFonts w:ascii="Times New Roman;serif" w:hAnsi="Times New Roman;serif"/>
          <w:b/>
          <w:color w:val="000000"/>
          <w:sz w:val="44"/>
        </w:rPr>
        <w:t>LENNOX INTERNATIONAL INC</w:t>
      </w:r>
      <w:r>
        <w:rPr>
          <w:rFonts w:ascii="Times New Roman;serif" w:hAnsi="Times New Roman;serif"/>
          <w:b/>
          <w:color w:val="000000"/>
          <w:sz w:val="4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Incorporated pursuant to the laws of the State of Delaware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Internal Revenue Service Employer Identification No. 42-0991521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2140 LAKE PARK BLVD., RICHARDSON, Texas, 75080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(972) 497-5000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 </w:t>
      </w:r>
    </w:p>
    <w:p>
      <w:pPr>
        <w:pStyle w:val="TextBody"/>
        <w:bidi w:val="0"/>
        <w:spacing w:lineRule="auto" w:line="288" w:before="0" w:after="0"/>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49" w:type="dxa"/>
        <w:jc w:val="center"/>
        <w:tblInd w:w="0" w:type="dxa"/>
        <w:tblLayout w:type="fixed"/>
        <w:tblCellMar>
          <w:top w:w="28" w:type="dxa"/>
          <w:left w:w="28" w:type="dxa"/>
          <w:bottom w:w="28" w:type="dxa"/>
          <w:right w:w="28" w:type="dxa"/>
        </w:tblCellMar>
      </w:tblPr>
      <w:tblGrid>
        <w:gridCol w:w="1312"/>
        <w:gridCol w:w="1152"/>
        <w:gridCol w:w="1166"/>
        <w:gridCol w:w="564"/>
        <w:gridCol w:w="564"/>
        <w:gridCol w:w="566"/>
        <w:gridCol w:w="1118"/>
        <w:gridCol w:w="1118"/>
        <w:gridCol w:w="1589"/>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LII</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60" w:after="283"/>
        <w:ind w:left="0" w:right="0" w:firstLine="27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27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6"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457"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ind w:left="0" w:right="0" w:firstLine="27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As of July 22, 2026, the number of shares outstanding of the registrant’s common stock, par value $0.01 per share, was 34,560,675.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LENNOX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9871" w:type="dxa"/>
        <w:jc w:val="center"/>
        <w:tblInd w:w="0" w:type="dxa"/>
        <w:tblLayout w:type="fixed"/>
        <w:tblCellMar>
          <w:top w:w="28" w:type="dxa"/>
          <w:left w:w="28" w:type="dxa"/>
          <w:bottom w:w="28" w:type="dxa"/>
          <w:right w:w="28" w:type="dxa"/>
        </w:tblCellMar>
      </w:tblPr>
      <w:tblGrid>
        <w:gridCol w:w="233"/>
        <w:gridCol w:w="205"/>
        <w:gridCol w:w="207"/>
        <w:gridCol w:w="2881"/>
        <w:gridCol w:w="2881"/>
        <w:gridCol w:w="2893"/>
        <w:gridCol w:w="167"/>
        <w:gridCol w:w="167"/>
        <w:gridCol w:w="23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Page</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w:t>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0">
              <w:r>
                <w:rPr>
                  <w:rStyle w:val="InternetLink"/>
                  <w:rFonts w:ascii="Times New Roman;serif" w:hAnsi="Times New Roman;serif"/>
                  <w:b w:val="false"/>
                  <w:color w:val="0000FF"/>
                  <w:sz w:val="18"/>
                  <w:u w:val="single"/>
                </w:rPr>
                <w:t>Financial Information</w:t>
              </w:r>
            </w:hyperlink>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18"/>
                <w:u w:val="single"/>
              </w:rPr>
              <w:t xml:space="preserve">Item 1. </w:t>
            </w:r>
            <w:hyperlink w:anchor="i816d1302fdb3447885d5a185c2925bd5_13">
              <w:r>
                <w:rPr>
                  <w:rStyle w:val="InternetLink"/>
                  <w:rFonts w:ascii="Times New Roman;serif" w:hAnsi="Times New Roman;serif"/>
                  <w:b w:val="false"/>
                  <w:color w:val="000080"/>
                  <w:sz w:val="18"/>
                  <w:u w:val="single"/>
                </w:rPr>
                <w:t>Financial</w:t>
              </w:r>
            </w:hyperlink>
            <w:r>
              <w:rPr>
                <w:rFonts w:ascii="Times New Roman;serif" w:hAnsi="Times New Roman;serif"/>
                <w:b w:val="false"/>
                <w:color w:val="0000FF"/>
                <w:sz w:val="18"/>
                <w:u w:val="single"/>
              </w:rPr>
              <w:t xml:space="preserve"> Statements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Consolidated Balance Sheets - June 30, 2026 (Unaudited) and December 31, 2025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6">
              <w:r>
                <w:rPr>
                  <w:rStyle w:val="InternetLink"/>
                  <w:rFonts w:ascii="Times New Roman;serif" w:hAnsi="Times New Roman;serif"/>
                  <w:b w:val="false"/>
                  <w:color w:val="0000FF"/>
                  <w:sz w:val="20"/>
                  <w:u w:val="single"/>
                </w:rPr>
                <w:t>1</w:t>
              </w:r>
            </w:hyperlink>
          </w:p>
        </w:tc>
      </w:tr>
      <w:tr>
        <w:trPr/>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Consolidated Statements of Operations (Unaudited) - Three and Six Months Ended June 30, 2026 and 2025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9">
              <w:r>
                <w:rPr>
                  <w:rStyle w:val="InternetLink"/>
                  <w:rFonts w:ascii="Times New Roman;serif" w:hAnsi="Times New Roman;serif"/>
                  <w:b w:val="false"/>
                  <w:color w:val="0000FF"/>
                  <w:sz w:val="20"/>
                  <w:u w:val="single"/>
                </w:rPr>
                <w:t>2</w:t>
              </w:r>
            </w:hyperlink>
          </w:p>
        </w:tc>
      </w:tr>
      <w:tr>
        <w:trPr/>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Consolidated Statements of Comprehensive Income (Unaudited) - Three and Six Months Ended June 30, 2026 and 2025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Consolidated Statements of Stockholders' Equity (Unaudited) - Three and Six Months Ended June 30, 2026 and 2025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25">
              <w:r>
                <w:rPr>
                  <w:rStyle w:val="InternetLink"/>
                  <w:rFonts w:ascii="Times New Roman;serif" w:hAnsi="Times New Roman;serif"/>
                  <w:b w:val="false"/>
                  <w:color w:val="0000FF"/>
                  <w:sz w:val="20"/>
                  <w:u w:val="single"/>
                </w:rPr>
                <w:t>4</w:t>
              </w:r>
            </w:hyperlink>
          </w:p>
        </w:tc>
      </w:tr>
      <w:tr>
        <w:trPr/>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Consolidated Statements of Cash Flows (Unaudited) - Six Months Ended June 30, 2026 and 2025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31">
              <w:r>
                <w:rPr>
                  <w:rStyle w:val="InternetLink"/>
                  <w:rFonts w:ascii="Times New Roman;serif" w:hAnsi="Times New Roman;serif"/>
                  <w:b w:val="false"/>
                  <w:color w:val="0000FF"/>
                  <w:sz w:val="20"/>
                  <w:u w:val="single"/>
                </w:rPr>
                <w:t>6</w:t>
              </w:r>
            </w:hyperlink>
          </w:p>
        </w:tc>
      </w:tr>
      <w:tr>
        <w:trPr/>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34">
              <w:r>
                <w:rPr>
                  <w:rStyle w:val="InternetLink"/>
                  <w:rFonts w:ascii="Times New Roman;serif" w:hAnsi="Times New Roman;serif"/>
                  <w:b w:val="false"/>
                  <w:color w:val="0000FF"/>
                  <w:sz w:val="18"/>
                  <w:u w:val="single"/>
                </w:rPr>
                <w:t>Notes to Consolidated 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34">
              <w:r>
                <w:rPr>
                  <w:rStyle w:val="InternetLink"/>
                  <w:rFonts w:ascii="Times New Roman;serif" w:hAnsi="Times New Roman;serif"/>
                  <w:b w:val="false"/>
                  <w:color w:val="0000FF"/>
                  <w:sz w:val="20"/>
                  <w:u w:val="single"/>
                </w:rPr>
                <w:t>7</w:t>
              </w:r>
            </w:hyperlink>
          </w:p>
        </w:tc>
      </w:tr>
      <w:tr>
        <w:trPr/>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00">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00">
              <w:r>
                <w:rPr>
                  <w:rStyle w:val="InternetLink"/>
                  <w:rFonts w:ascii="Times New Roman;serif" w:hAnsi="Times New Roman;serif"/>
                  <w:b w:val="false"/>
                  <w:color w:val="0000FF"/>
                  <w:sz w:val="20"/>
                  <w:u w:val="single"/>
                </w:rPr>
                <w:t>21</w:t>
              </w:r>
            </w:hyperlink>
          </w:p>
        </w:tc>
      </w:tr>
      <w:tr>
        <w:trPr/>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30">
              <w:r>
                <w:rPr>
                  <w:rStyle w:val="InternetLink"/>
                  <w:rFonts w:ascii="Times New Roman;serif" w:hAnsi="Times New Roman;serif"/>
                  <w:b w:val="false"/>
                  <w:color w:val="0000FF"/>
                  <w:sz w:val="18"/>
                  <w:u w:val="single"/>
                </w:rPr>
                <w:t>Item 3. 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30">
              <w:r>
                <w:rPr>
                  <w:rStyle w:val="InternetLink"/>
                  <w:rFonts w:ascii="Times New Roman;serif" w:hAnsi="Times New Roman;serif"/>
                  <w:b w:val="false"/>
                  <w:color w:val="0000FF"/>
                  <w:sz w:val="20"/>
                  <w:u w:val="single"/>
                </w:rPr>
                <w:t>29</w:t>
              </w:r>
            </w:hyperlink>
          </w:p>
        </w:tc>
      </w:tr>
      <w:tr>
        <w:trPr/>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33">
              <w:r>
                <w:rPr>
                  <w:rStyle w:val="InternetLink"/>
                  <w:rFonts w:ascii="Times New Roman;serif" w:hAnsi="Times New Roman;serif"/>
                  <w:b w:val="false"/>
                  <w:color w:val="0000FF"/>
                  <w:sz w:val="18"/>
                  <w:u w:val="single"/>
                </w:rPr>
                <w:t>Item 4. 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33">
              <w:r>
                <w:rPr>
                  <w:rStyle w:val="InternetLink"/>
                  <w:rFonts w:ascii="Times New Roman;serif" w:hAnsi="Times New Roman;serif"/>
                  <w:b w:val="false"/>
                  <w:color w:val="0000FF"/>
                  <w:sz w:val="20"/>
                  <w:u w:val="single"/>
                </w:rPr>
                <w:t>30</w:t>
              </w:r>
            </w:hyperlink>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II</w:t>
            </w:r>
          </w:p>
        </w:tc>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36">
              <w:r>
                <w:rPr>
                  <w:rStyle w:val="InternetLink"/>
                  <w:rFonts w:ascii="Times New Roman;serif" w:hAnsi="Times New Roman;serif"/>
                  <w:b w:val="false"/>
                  <w:color w:val="0000FF"/>
                  <w:sz w:val="18"/>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39">
              <w:r>
                <w:rPr>
                  <w:rStyle w:val="InternetLink"/>
                  <w:rFonts w:ascii="Times New Roman;serif" w:hAnsi="Times New Roman;serif"/>
                  <w:b w:val="false"/>
                  <w:color w:val="0000FF"/>
                  <w:sz w:val="18"/>
                  <w:u w:val="single"/>
                </w:rPr>
                <w:t>Item 1. 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39">
              <w:r>
                <w:rPr>
                  <w:rStyle w:val="InternetLink"/>
                  <w:rFonts w:ascii="Times New Roman;serif" w:hAnsi="Times New Roman;serif"/>
                  <w:b w:val="false"/>
                  <w:color w:val="0000FF"/>
                  <w:sz w:val="20"/>
                  <w:u w:val="single"/>
                </w:rPr>
                <w:t>30</w:t>
              </w:r>
            </w:hyperlink>
          </w:p>
        </w:tc>
      </w:tr>
      <w:tr>
        <w:trPr/>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42">
              <w:r>
                <w:rPr>
                  <w:rStyle w:val="InternetLink"/>
                  <w:rFonts w:ascii="Times New Roman;serif" w:hAnsi="Times New Roman;serif"/>
                  <w:b w:val="false"/>
                  <w:color w:val="0000FF"/>
                  <w:sz w:val="18"/>
                  <w:u w:val="single"/>
                </w:rPr>
                <w:t>Item 1A. 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42">
              <w:r>
                <w:rPr>
                  <w:rStyle w:val="InternetLink"/>
                  <w:rFonts w:ascii="Times New Roman;serif" w:hAnsi="Times New Roman;serif"/>
                  <w:b w:val="false"/>
                  <w:color w:val="0000FF"/>
                  <w:sz w:val="20"/>
                  <w:u w:val="single"/>
                </w:rPr>
                <w:t>30</w:t>
              </w:r>
            </w:hyperlink>
          </w:p>
        </w:tc>
      </w:tr>
      <w:tr>
        <w:trPr/>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45">
              <w:r>
                <w:rPr>
                  <w:rStyle w:val="InternetLink"/>
                  <w:rFonts w:ascii="Times New Roman;serif" w:hAnsi="Times New Roman;serif"/>
                  <w:b w:val="false"/>
                  <w:color w:val="0000FF"/>
                  <w:sz w:val="18"/>
                  <w:u w:val="single"/>
                </w:rPr>
                <w:t>Item 2. 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45">
              <w:r>
                <w:rPr>
                  <w:rStyle w:val="InternetLink"/>
                  <w:rFonts w:ascii="Times New Roman;serif" w:hAnsi="Times New Roman;serif"/>
                  <w:b w:val="false"/>
                  <w:color w:val="0000FF"/>
                  <w:sz w:val="20"/>
                  <w:u w:val="single"/>
                </w:rPr>
                <w:t>31</w:t>
              </w:r>
            </w:hyperlink>
          </w:p>
        </w:tc>
      </w:tr>
      <w:tr>
        <w:trPr/>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48">
              <w:r>
                <w:rPr>
                  <w:rStyle w:val="InternetLink"/>
                  <w:rFonts w:ascii="Times New Roman;serif" w:hAnsi="Times New Roman;serif"/>
                  <w:b w:val="false"/>
                  <w:color w:val="0000FF"/>
                  <w:sz w:val="18"/>
                  <w:u w:val="single"/>
                </w:rPr>
                <w:t>Item 5.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48">
              <w:r>
                <w:rPr>
                  <w:rStyle w:val="InternetLink"/>
                  <w:rFonts w:ascii="Times New Roman;serif" w:hAnsi="Times New Roman;serif"/>
                  <w:b w:val="false"/>
                  <w:color w:val="0000FF"/>
                  <w:sz w:val="20"/>
                  <w:u w:val="single"/>
                </w:rPr>
                <w:t>31</w:t>
              </w:r>
            </w:hyperlink>
          </w:p>
        </w:tc>
      </w:tr>
      <w:tr>
        <w:trPr/>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16d1302fdb3447885d5a185c2925bd5_154">
              <w:r>
                <w:rPr>
                  <w:rStyle w:val="InternetLink"/>
                  <w:rFonts w:ascii="Times New Roman;serif" w:hAnsi="Times New Roman;serif"/>
                  <w:b w:val="false"/>
                  <w:color w:val="0000FF"/>
                  <w:sz w:val="18"/>
                  <w:u w:val="single"/>
                </w:rPr>
                <w:t>Item 6. 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16d1302fdb3447885d5a185c2925bd5_154">
              <w:r>
                <w:rPr>
                  <w:rStyle w:val="InternetLink"/>
                  <w:rFonts w:ascii="Times New Roman;serif" w:hAnsi="Times New Roman;serif"/>
                  <w:b w:val="false"/>
                  <w:color w:val="0000FF"/>
                  <w:sz w:val="20"/>
                  <w:u w:val="single"/>
                </w:rPr>
                <w:t>32</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 -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 </w:t>
      </w:r>
      <w:r>
        <w:rPr>
          <w:rFonts w:ascii="Times New Roman;serif" w:hAnsi="Times New Roman;serif"/>
          <w:b/>
          <w:i/>
          <w:color w:val="000000"/>
          <w:sz w:val="20"/>
        </w:rPr>
        <w:t xml:space="preserve">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LENNOX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709"/>
        <w:gridCol w:w="2061"/>
        <w:gridCol w:w="2076"/>
        <w:gridCol w:w="263"/>
        <w:gridCol w:w="976"/>
        <w:gridCol w:w="136"/>
        <w:gridCol w:w="109"/>
        <w:gridCol w:w="109"/>
        <w:gridCol w:w="109"/>
        <w:gridCol w:w="304"/>
        <w:gridCol w:w="1127"/>
        <w:gridCol w:w="226"/>
      </w:tblGrid>
      <w:tr>
        <w:trPr/>
        <w:tc>
          <w:tcPr>
            <w:tcW w:w="2709"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(Amounts in millions, except shares and par values)</w:t>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6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Current Assets: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investments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Accounts and notes receivable, net of allowances of $7.9 and $8.5 in 2026 and 2025, respectively</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net</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2,257.8 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1,903.8 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equivalents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 of accumulated depreciation of $1,088.0 and $1,043.9 in 2026 and 2025, respectively</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 from operating leases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Intangible assets, net of accumulated amortization of $46.7 and $38.3 in 2026 and 2025, respectively</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net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4,545.0</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1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4,081.8</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Current Liabilities: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maturities of long-term debt</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operating lease liabilities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1,438.8 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1,191.8 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w:t>
            </w:r>
          </w:p>
        </w:tc>
        <w:tc>
          <w:tcPr>
            <w:tcW w:w="12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3,247.8</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2,918.7</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Stockholders' equity:</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Preferred stock, $0.01 par value, 25,000,000 shares authorized, no shares issued or outstanding</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Common stock, $0.01 par value, 200,000,000 shares authorized, 87,170,197 shares issued</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Treasury stock, at cost, 52,611,203 shares and 52,374,147 shares for 2026 and 2025, respectively</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(5,085.5)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(4,923.4)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stockholders' equity</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1,297.2</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1,163.1</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and stockholders' equity</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4,545.0</w:t>
            </w: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4,081.8</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LENNOX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12"/>
        <w:gridCol w:w="1287"/>
        <w:gridCol w:w="1297"/>
        <w:gridCol w:w="246"/>
        <w:gridCol w:w="912"/>
        <w:gridCol w:w="127"/>
        <w:gridCol w:w="127"/>
        <w:gridCol w:w="127"/>
        <w:gridCol w:w="127"/>
        <w:gridCol w:w="246"/>
        <w:gridCol w:w="912"/>
        <w:gridCol w:w="127"/>
        <w:gridCol w:w="109"/>
        <w:gridCol w:w="109"/>
        <w:gridCol w:w="109"/>
        <w:gridCol w:w="231"/>
        <w:gridCol w:w="857"/>
        <w:gridCol w:w="119"/>
        <w:gridCol w:w="119"/>
        <w:gridCol w:w="119"/>
        <w:gridCol w:w="119"/>
        <w:gridCol w:w="231"/>
        <w:gridCol w:w="857"/>
        <w:gridCol w:w="179"/>
      </w:tblGrid>
      <w:tr>
        <w:trPr/>
        <w:tc>
          <w:tcPr>
            <w:tcW w:w="151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(Amounts in millions, except per share data)</w:t>
            </w:r>
          </w:p>
        </w:tc>
        <w:tc>
          <w:tcPr>
            <w:tcW w:w="2951"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951"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1,545.3</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1,500.9</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2,680.4</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2,573.5</w:t>
            </w:r>
            <w:r>
              <w:rPr>
                <w:color w:val="000000"/>
              </w:rPr>
              <w:t>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Operating Expenses: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(gains) and other expenses, net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equity method investments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518.5</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517.0</w:t>
            </w: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settlements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before income taxes</w:t>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269.0</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273.9</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386.2</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403.5</w:t>
            </w: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Earnings per share – Basic</w:t>
            </w:r>
            <w:r>
              <w:rPr>
                <w:rFonts w:ascii="Times New Roman;serif" w:hAnsi="Times New Roman;serif"/>
                <w:b/>
                <w:i/>
                <w:color w:val="000000"/>
                <w:sz w:val="12"/>
              </w:rPr>
              <w:t>(1)</w:t>
            </w:r>
            <w:r>
              <w:rPr>
                <w:rFonts w:ascii="Times New Roman;serif" w:hAnsi="Times New Roman;serif"/>
                <w:b/>
                <w:i/>
                <w:color w:val="000000"/>
                <w:sz w:val="18"/>
              </w:rPr>
              <w:t>:</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Earnings per share – Diluted</w:t>
            </w:r>
            <w:r>
              <w:rPr>
                <w:rFonts w:ascii="Times New Roman;serif" w:hAnsi="Times New Roman;serif"/>
                <w:b/>
                <w:i/>
                <w:color w:val="000000"/>
                <w:sz w:val="12"/>
              </w:rPr>
              <w:t>(1)</w:t>
            </w:r>
            <w:r>
              <w:rPr>
                <w:rFonts w:ascii="Times New Roman;serif" w:hAnsi="Times New Roman;serif"/>
                <w:b/>
                <w:i/>
                <w:color w:val="000000"/>
                <w:sz w:val="18"/>
              </w:rPr>
              <w:t>:</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 - Basic</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 - Diluted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5"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Amounts may not recalculate due to rounding.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LENNOX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90"/>
        <w:gridCol w:w="1417"/>
        <w:gridCol w:w="1363"/>
        <w:gridCol w:w="260"/>
        <w:gridCol w:w="778"/>
        <w:gridCol w:w="133"/>
        <w:gridCol w:w="133"/>
        <w:gridCol w:w="133"/>
        <w:gridCol w:w="133"/>
        <w:gridCol w:w="260"/>
        <w:gridCol w:w="778"/>
        <w:gridCol w:w="133"/>
        <w:gridCol w:w="109"/>
        <w:gridCol w:w="109"/>
        <w:gridCol w:w="109"/>
        <w:gridCol w:w="246"/>
        <w:gridCol w:w="738"/>
        <w:gridCol w:w="127"/>
        <w:gridCol w:w="127"/>
        <w:gridCol w:w="127"/>
        <w:gridCol w:w="127"/>
        <w:gridCol w:w="246"/>
        <w:gridCol w:w="738"/>
        <w:gridCol w:w="191"/>
      </w:tblGrid>
      <w:tr>
        <w:trPr/>
        <w:tc>
          <w:tcPr>
            <w:tcW w:w="169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(Amounts in millions)</w:t>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269.0</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273.9</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386.2</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403.5</w:t>
            </w: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comprehensive income (loss):</w:t>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pension and post-retirement liabilities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pension and post-retirement benefit losses into earnings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settlements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fair value of cash flow hedges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cash flow hedge gains into earnings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taxes</w:t>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benefit </w:t>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 net of tax</w:t>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256.8</w:t>
            </w:r>
            <w:r>
              <w:rPr>
                <w:color w:val="000000"/>
              </w:rPr>
              <w:t>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293.1</w:t>
            </w:r>
            <w:r>
              <w:rPr>
                <w:color w:val="000000"/>
              </w:rPr>
              <w:t>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376.1</w:t>
            </w:r>
            <w:r>
              <w:rPr>
                <w:color w:val="000000"/>
              </w:rPr>
              <w:t>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435.8</w:t>
            </w:r>
            <w:r>
              <w:rPr>
                <w:color w:val="000000"/>
              </w:rPr>
              <w:t>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LENNOX INTERNATIONAL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2026 and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data)</w:t>
      </w:r>
    </w:p>
    <w:tbl>
      <w:tblPr>
        <w:tblW w:w="10406" w:type="dxa"/>
        <w:jc w:val="center"/>
        <w:tblInd w:w="0" w:type="dxa"/>
        <w:tblLayout w:type="fixed"/>
        <w:tblCellMar>
          <w:top w:w="28" w:type="dxa"/>
          <w:left w:w="28" w:type="dxa"/>
          <w:bottom w:w="28" w:type="dxa"/>
          <w:right w:w="28" w:type="dxa"/>
        </w:tblCellMar>
      </w:tblPr>
      <w:tblGrid>
        <w:gridCol w:w="678"/>
        <w:gridCol w:w="201"/>
        <w:gridCol w:w="202"/>
        <w:gridCol w:w="109"/>
        <w:gridCol w:w="109"/>
        <w:gridCol w:w="109"/>
        <w:gridCol w:w="215"/>
        <w:gridCol w:w="430"/>
        <w:gridCol w:w="121"/>
        <w:gridCol w:w="109"/>
        <w:gridCol w:w="109"/>
        <w:gridCol w:w="109"/>
        <w:gridCol w:w="196"/>
        <w:gridCol w:w="706"/>
        <w:gridCol w:w="109"/>
        <w:gridCol w:w="109"/>
        <w:gridCol w:w="109"/>
        <w:gridCol w:w="109"/>
        <w:gridCol w:w="196"/>
        <w:gridCol w:w="706"/>
        <w:gridCol w:w="109"/>
        <w:gridCol w:w="109"/>
        <w:gridCol w:w="109"/>
        <w:gridCol w:w="109"/>
        <w:gridCol w:w="303"/>
        <w:gridCol w:w="744"/>
        <w:gridCol w:w="169"/>
        <w:gridCol w:w="109"/>
        <w:gridCol w:w="109"/>
        <w:gridCol w:w="109"/>
        <w:gridCol w:w="240"/>
        <w:gridCol w:w="241"/>
        <w:gridCol w:w="196"/>
        <w:gridCol w:w="109"/>
        <w:gridCol w:w="109"/>
        <w:gridCol w:w="109"/>
        <w:gridCol w:w="196"/>
        <w:gridCol w:w="706"/>
        <w:gridCol w:w="109"/>
        <w:gridCol w:w="109"/>
        <w:gridCol w:w="109"/>
        <w:gridCol w:w="109"/>
        <w:gridCol w:w="209"/>
        <w:gridCol w:w="754"/>
        <w:gridCol w:w="118"/>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7"/>
              </w:rPr>
            </w:pPr>
            <w:r>
              <w:rPr>
                <w:rFonts w:ascii="Times New Roman;serif" w:hAnsi="Times New Roman;serif"/>
                <w:b/>
                <w:i/>
                <w:color w:val="000000"/>
                <w:sz w:val="17"/>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0.9</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1,249.7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4,963.0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(48.0)</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52.4</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(4,951.7)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1,213.9</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Dividends, $1.36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common stock under 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shares reissued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0.9</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1,255.3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5,185.1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(58.6)</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52.6</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(5,085.5)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1,297.2</w:t>
            </w: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78" w:type="dxa"/>
        <w:jc w:val="center"/>
        <w:tblInd w:w="0" w:type="dxa"/>
        <w:tblLayout w:type="fixed"/>
        <w:tblCellMar>
          <w:top w:w="28" w:type="dxa"/>
          <w:left w:w="28" w:type="dxa"/>
          <w:bottom w:w="28" w:type="dxa"/>
          <w:right w:w="28" w:type="dxa"/>
        </w:tblCellMar>
      </w:tblPr>
      <w:tblGrid>
        <w:gridCol w:w="768"/>
        <w:gridCol w:w="201"/>
        <w:gridCol w:w="202"/>
        <w:gridCol w:w="109"/>
        <w:gridCol w:w="109"/>
        <w:gridCol w:w="109"/>
        <w:gridCol w:w="215"/>
        <w:gridCol w:w="430"/>
        <w:gridCol w:w="121"/>
        <w:gridCol w:w="109"/>
        <w:gridCol w:w="109"/>
        <w:gridCol w:w="109"/>
        <w:gridCol w:w="196"/>
        <w:gridCol w:w="706"/>
        <w:gridCol w:w="109"/>
        <w:gridCol w:w="109"/>
        <w:gridCol w:w="109"/>
        <w:gridCol w:w="109"/>
        <w:gridCol w:w="196"/>
        <w:gridCol w:w="706"/>
        <w:gridCol w:w="109"/>
        <w:gridCol w:w="109"/>
        <w:gridCol w:w="109"/>
        <w:gridCol w:w="109"/>
        <w:gridCol w:w="303"/>
        <w:gridCol w:w="744"/>
        <w:gridCol w:w="169"/>
        <w:gridCol w:w="109"/>
        <w:gridCol w:w="109"/>
        <w:gridCol w:w="109"/>
        <w:gridCol w:w="240"/>
        <w:gridCol w:w="241"/>
        <w:gridCol w:w="196"/>
        <w:gridCol w:w="109"/>
        <w:gridCol w:w="109"/>
        <w:gridCol w:w="109"/>
        <w:gridCol w:w="196"/>
        <w:gridCol w:w="706"/>
        <w:gridCol w:w="109"/>
        <w:gridCol w:w="109"/>
        <w:gridCol w:w="109"/>
        <w:gridCol w:w="109"/>
        <w:gridCol w:w="208"/>
        <w:gridCol w:w="752"/>
        <w:gridCol w:w="166"/>
      </w:tblGrid>
      <w:tr>
        <w:trPr/>
        <w:tc>
          <w:tcPr>
            <w:tcW w:w="7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Stockholders'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7"/>
              </w:rPr>
            </w:pPr>
            <w:r>
              <w:rPr>
                <w:rFonts w:ascii="Times New Roman;serif" w:hAnsi="Times New Roman;serif"/>
                <w:b/>
                <w:i/>
                <w:color w:val="000000"/>
                <w:sz w:val="17"/>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0.9</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1,219.0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4,351.5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(80.6)</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51.7</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(4,517.1)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973.7</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Dividends, $1.30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 and post-retirement liability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shares reissued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0.9</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1,228.3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4,579.6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(61.4)</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52.0</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(4,729.4)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1,018.0</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LENNOX INTERNATIONAL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2026 and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data)</w:t>
      </w:r>
    </w:p>
    <w:tbl>
      <w:tblPr>
        <w:tblW w:w="10205" w:type="dxa"/>
        <w:jc w:val="center"/>
        <w:tblInd w:w="0" w:type="dxa"/>
        <w:tblLayout w:type="fixed"/>
        <w:tblCellMar>
          <w:top w:w="28" w:type="dxa"/>
          <w:left w:w="28" w:type="dxa"/>
          <w:bottom w:w="28" w:type="dxa"/>
          <w:right w:w="28" w:type="dxa"/>
        </w:tblCellMar>
      </w:tblPr>
      <w:tblGrid>
        <w:gridCol w:w="680"/>
        <w:gridCol w:w="203"/>
        <w:gridCol w:w="204"/>
        <w:gridCol w:w="109"/>
        <w:gridCol w:w="109"/>
        <w:gridCol w:w="109"/>
        <w:gridCol w:w="215"/>
        <w:gridCol w:w="430"/>
        <w:gridCol w:w="121"/>
        <w:gridCol w:w="109"/>
        <w:gridCol w:w="109"/>
        <w:gridCol w:w="109"/>
        <w:gridCol w:w="196"/>
        <w:gridCol w:w="707"/>
        <w:gridCol w:w="109"/>
        <w:gridCol w:w="109"/>
        <w:gridCol w:w="109"/>
        <w:gridCol w:w="109"/>
        <w:gridCol w:w="196"/>
        <w:gridCol w:w="706"/>
        <w:gridCol w:w="109"/>
        <w:gridCol w:w="109"/>
        <w:gridCol w:w="109"/>
        <w:gridCol w:w="109"/>
        <w:gridCol w:w="303"/>
        <w:gridCol w:w="746"/>
        <w:gridCol w:w="169"/>
        <w:gridCol w:w="109"/>
        <w:gridCol w:w="109"/>
        <w:gridCol w:w="109"/>
        <w:gridCol w:w="240"/>
        <w:gridCol w:w="241"/>
        <w:gridCol w:w="196"/>
        <w:gridCol w:w="109"/>
        <w:gridCol w:w="109"/>
        <w:gridCol w:w="109"/>
        <w:gridCol w:w="196"/>
        <w:gridCol w:w="706"/>
        <w:gridCol w:w="109"/>
        <w:gridCol w:w="109"/>
        <w:gridCol w:w="109"/>
        <w:gridCol w:w="109"/>
        <w:gridCol w:w="208"/>
        <w:gridCol w:w="753"/>
        <w:gridCol w:w="173"/>
      </w:tblGrid>
      <w:tr>
        <w:trPr/>
        <w:tc>
          <w:tcPr>
            <w:tcW w:w="6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Stockholders' Equity</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7"/>
              </w:rPr>
            </w:pPr>
            <w:r>
              <w:rPr>
                <w:rFonts w:ascii="Times New Roman;serif" w:hAnsi="Times New Roman;serif"/>
                <w:b/>
                <w:i/>
                <w:color w:val="000000"/>
                <w:sz w:val="17"/>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0.9</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1,243.0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4,891.1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(48.5)</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52.4</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(4,923.4)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1,163.1</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Dividends, $2.66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common stock under 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shares reissued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0.9</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1,255.3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5,185.1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(58.6)</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52.6</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(5,085.5)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1,297.2</w:t>
            </w:r>
            <w:r>
              <w:rPr>
                <w:color w:val="000000"/>
              </w:rPr>
              <w:t>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79"/>
        <w:gridCol w:w="202"/>
        <w:gridCol w:w="203"/>
        <w:gridCol w:w="109"/>
        <w:gridCol w:w="109"/>
        <w:gridCol w:w="109"/>
        <w:gridCol w:w="215"/>
        <w:gridCol w:w="431"/>
        <w:gridCol w:w="121"/>
        <w:gridCol w:w="109"/>
        <w:gridCol w:w="109"/>
        <w:gridCol w:w="109"/>
        <w:gridCol w:w="196"/>
        <w:gridCol w:w="707"/>
        <w:gridCol w:w="109"/>
        <w:gridCol w:w="109"/>
        <w:gridCol w:w="109"/>
        <w:gridCol w:w="109"/>
        <w:gridCol w:w="196"/>
        <w:gridCol w:w="706"/>
        <w:gridCol w:w="109"/>
        <w:gridCol w:w="109"/>
        <w:gridCol w:w="109"/>
        <w:gridCol w:w="109"/>
        <w:gridCol w:w="304"/>
        <w:gridCol w:w="746"/>
        <w:gridCol w:w="169"/>
        <w:gridCol w:w="109"/>
        <w:gridCol w:w="109"/>
        <w:gridCol w:w="109"/>
        <w:gridCol w:w="240"/>
        <w:gridCol w:w="241"/>
        <w:gridCol w:w="196"/>
        <w:gridCol w:w="109"/>
        <w:gridCol w:w="109"/>
        <w:gridCol w:w="109"/>
        <w:gridCol w:w="196"/>
        <w:gridCol w:w="706"/>
        <w:gridCol w:w="109"/>
        <w:gridCol w:w="109"/>
        <w:gridCol w:w="109"/>
        <w:gridCol w:w="109"/>
        <w:gridCol w:w="208"/>
        <w:gridCol w:w="753"/>
        <w:gridCol w:w="174"/>
      </w:tblGrid>
      <w:tr>
        <w:trPr/>
        <w:tc>
          <w:tcPr>
            <w:tcW w:w="6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Stockholders' Equity</w:t>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7"/>
              </w:rPr>
            </w:pPr>
            <w:r>
              <w:rPr>
                <w:rFonts w:ascii="Times New Roman;serif" w:hAnsi="Times New Roman;serif"/>
                <w:b/>
                <w:i/>
                <w:color w:val="000000"/>
                <w:sz w:val="17"/>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0.9</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1,213.3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4,262.7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(93.7)</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51.6</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(4,421.1)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962.1</w:t>
            </w: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Dividends, $2.45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shares reissued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0.9</w:t>
            </w: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1,228.3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4,579.6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(61.4)</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52.0</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(4,729.4)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1,018.0</w:t>
            </w: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LENNOX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808" w:type="dxa"/>
        <w:jc w:val="center"/>
        <w:tblInd w:w="0" w:type="dxa"/>
        <w:tblLayout w:type="fixed"/>
        <w:tblCellMar>
          <w:top w:w="28" w:type="dxa"/>
          <w:left w:w="28" w:type="dxa"/>
          <w:bottom w:w="28" w:type="dxa"/>
          <w:right w:w="28" w:type="dxa"/>
        </w:tblCellMar>
      </w:tblPr>
      <w:tblGrid>
        <w:gridCol w:w="2435"/>
        <w:gridCol w:w="2136"/>
        <w:gridCol w:w="2149"/>
        <w:gridCol w:w="290"/>
        <w:gridCol w:w="848"/>
        <w:gridCol w:w="150"/>
        <w:gridCol w:w="150"/>
        <w:gridCol w:w="150"/>
        <w:gridCol w:w="150"/>
        <w:gridCol w:w="290"/>
        <w:gridCol w:w="848"/>
        <w:gridCol w:w="212"/>
      </w:tblGrid>
      <w:tr>
        <w:trPr/>
        <w:tc>
          <w:tcPr>
            <w:tcW w:w="2435"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(Amounts in millions)</w:t>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 the Six Months Ended June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Cash flows from operating activities:</w:t>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from equity method investments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losses (gains), net on derivative contracts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expense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contributions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 net of effects of acquisitions and divestitures: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and notes receivable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 and receivable,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Leases,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net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operating activities</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188.1</w:t>
            </w: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51.0</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Cash flows from investing activities: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the disposal of property, plant and equipment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net of cash</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proceeds from investments and other</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(90.1)</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(51.6)</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Cash flows from financing activities: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 borrowings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 payments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debt arrangements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deferred financing costs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employee stock purchases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 to satisfy employee withholding tax obligations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dividends paid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financing activities</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(76.1)</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(368.2)</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(decrease) in cash, cash equivalents and restricted cash</w:t>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(368.8)</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rates on cash, cash equivalents and restricted cash equivalents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end of period</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70.3</w:t>
            </w: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49.2</w:t>
            </w: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 of refunds)</w:t>
            </w:r>
          </w:p>
        </w:tc>
        <w:tc>
          <w:tcPr>
            <w:tcW w:w="29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113.5 </w:t>
            </w:r>
          </w:p>
        </w:tc>
        <w:tc>
          <w:tcPr>
            <w:tcW w:w="1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44.0 </w:t>
            </w:r>
          </w:p>
        </w:tc>
        <w:tc>
          <w:tcPr>
            <w:tcW w:w="2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LENNOX INTERNATIONAL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General:</w:t>
      </w:r>
    </w:p>
    <w:p>
      <w:pPr>
        <w:pStyle w:val="TextBody"/>
        <w:bidi w:val="0"/>
        <w:spacing w:before="0" w:after="0"/>
        <w:ind w:left="0" w:right="0" w:firstLine="49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References in this Quarterly Report on Form 10-Q to "we", "our", "us", "LII" or the "Company" refer to Lennox International Inc. and its subsidiaries, unless the context requires otherwise.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Balance Sheet as of June 30, 2026, the accompanying unaudited Consolidated Statements of Operations, Comprehensive Income, and Stockholders' Equity, for the three and six months ended June 30, 2026 and 2025 and accompanying unaudited Consolidated Statements of Cash Flows for the six months ended June 30, 2026 and 2025 should be read in conjunction with our audited consolidated financial statements and footnotes included in our Annual Report on Form 10-K for the year ended December 31, 2025.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for all comparable prior periods presented have been retrospectively adjusted to reflect the prior-year change in method of accounting for certain inventories from last-in-first-out ("LIFO") to first-in, first-out ("FIFO").</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Reportable Business Segments:</w:t>
      </w:r>
    </w:p>
    <w:p>
      <w:pPr>
        <w:pStyle w:val="TextBody"/>
        <w:bidi w:val="0"/>
        <w:spacing w:before="0" w:after="0"/>
        <w:ind w:left="0" w:right="0" w:firstLine="49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operate in two reportable business segments of the heating, ventilation, air conditioning and refrigeration (“HVACR”) industry. Our segments are organized primarily by the nature of the products and services we provide. The following table describes each segment:</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73"/>
        <w:gridCol w:w="327"/>
        <w:gridCol w:w="331"/>
        <w:gridCol w:w="109"/>
        <w:gridCol w:w="109"/>
        <w:gridCol w:w="109"/>
        <w:gridCol w:w="1538"/>
        <w:gridCol w:w="1421"/>
        <w:gridCol w:w="1280"/>
        <w:gridCol w:w="109"/>
        <w:gridCol w:w="109"/>
        <w:gridCol w:w="109"/>
        <w:gridCol w:w="955"/>
        <w:gridCol w:w="955"/>
        <w:gridCol w:w="959"/>
        <w:gridCol w:w="109"/>
        <w:gridCol w:w="109"/>
        <w:gridCol w:w="109"/>
        <w:gridCol w:w="316"/>
        <w:gridCol w:w="316"/>
        <w:gridCol w:w="453"/>
      </w:tblGrid>
      <w:tr>
        <w:trPr/>
        <w:tc>
          <w:tcPr>
            <w:tcW w:w="3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or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Markets Served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Areas</w:t>
            </w:r>
          </w:p>
        </w:tc>
      </w:tr>
      <w:tr>
        <w:trPr/>
        <w:tc>
          <w:tcPr>
            <w:tcW w:w="10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Home Comfort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Furnaces, air conditioners, heat pumps, packaged heating and cooling systems, indoor air quality equipment, comfort control products, replacement parts and supplies, water heaters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Replacement;</w:t>
              <w:br/>
              <w:t>Residential Parts and Supplies;</w:t>
              <w:br/>
              <w:t>Residential New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br/>
              <w:t>Canada</w:t>
            </w:r>
          </w:p>
        </w:tc>
      </w:tr>
      <w:tr>
        <w:trPr/>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Building Climate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Unitary heating and air conditioning equipment, applied systems, controls, installation and service of commercial heating and cooling equipment, variable refrigerant flow commercial products, curb, curb adapters, drop box diffusers, HVAC recycling and salvage service, condensing units, unit coolers, fluid coolers, air cooled condensers, air handlers, process chillers, controls, compressorized racks, replacement parts and supplies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Commercial;</w:t>
              <w:br/>
              <w:t>Commercial Parts and Supplies;</w:t>
              <w:br/>
              <w:t>Food Preservation; Non-Food Industry; Cold Storage and Light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br/>
              <w:t>Canada</w:t>
            </w:r>
          </w:p>
        </w:tc>
      </w:tr>
      <w:tr>
        <w:trPr/>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use segment profit or loss as the primary measure of profitability to evaluate operating performance and to allocate capital resources. We define segment profit or loss as a segment’s income or loss from continuing operations before interest and income taxes included in the accompanying Consolidated Statements of Operations, excluding certain items. The reconciliation in the table below details the items excluded.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Any intercompany sales and associated profit (and any other intercompany items) are eliminated from segment results. There were no significant intercompany eliminations for the periods presented.</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uses segment profit or loss from operations, excluding certain items, to allocate resources (including employees, financial, or capital resources) for each segment predominantly in the annual budget and forecasting process. The chief operating decision maker considers budget-to-actual variances in segment profit or loss on a monthly basis when evaluating segment performance and making decisions about allocating resources to the segments.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is Alok Maskara, Chief Executive Officer.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Key financial information for each segment is shown below (in millions): </w:t>
      </w:r>
    </w:p>
    <w:tbl>
      <w:tblPr>
        <w:tblW w:w="9590" w:type="dxa"/>
        <w:jc w:val="left"/>
        <w:tblInd w:w="0" w:type="dxa"/>
        <w:tblLayout w:type="fixed"/>
        <w:tblCellMar>
          <w:top w:w="28" w:type="dxa"/>
          <w:left w:w="28" w:type="dxa"/>
          <w:bottom w:w="28" w:type="dxa"/>
          <w:right w:w="28" w:type="dxa"/>
        </w:tblCellMar>
      </w:tblPr>
      <w:tblGrid>
        <w:gridCol w:w="1083"/>
        <w:gridCol w:w="956"/>
        <w:gridCol w:w="960"/>
        <w:gridCol w:w="428"/>
        <w:gridCol w:w="1555"/>
        <w:gridCol w:w="221"/>
        <w:gridCol w:w="109"/>
        <w:gridCol w:w="109"/>
        <w:gridCol w:w="109"/>
        <w:gridCol w:w="537"/>
        <w:gridCol w:w="1570"/>
        <w:gridCol w:w="277"/>
        <w:gridCol w:w="109"/>
        <w:gridCol w:w="109"/>
        <w:gridCol w:w="109"/>
        <w:gridCol w:w="109"/>
        <w:gridCol w:w="109"/>
        <w:gridCol w:w="211"/>
        <w:gridCol w:w="76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Comfort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 Climate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w:t>
            </w:r>
          </w:p>
        </w:tc>
        <w:tc>
          <w:tcPr>
            <w:tcW w:w="2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w:t>
            </w:r>
            <w:r>
              <w:rPr>
                <w:rFonts w:ascii="Times New Roman;serif" w:hAnsi="Times New Roman;serif"/>
                <w:b w:val="false"/>
                <w:color w:val="000000"/>
                <w:sz w:val="13"/>
              </w:rPr>
              <w:t>(2)</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profit</w:t>
            </w:r>
            <w:r>
              <w:rPr>
                <w:rFonts w:ascii="Times New Roman;serif" w:hAnsi="Times New Roman;serif"/>
                <w:b/>
                <w:color w:val="000000"/>
                <w:sz w:val="13"/>
              </w:rPr>
              <w:t>(3)</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2025</w:t>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w:t>
            </w:r>
            <w:r>
              <w:rPr>
                <w:rFonts w:ascii="Times New Roman;serif" w:hAnsi="Times New Roman;serif"/>
                <w:b w:val="false"/>
                <w:color w:val="000000"/>
                <w:sz w:val="13"/>
              </w:rPr>
              <w:t>(2)</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profit</w:t>
            </w:r>
            <w:r>
              <w:rPr>
                <w:rFonts w:ascii="Times New Roman;serif" w:hAnsi="Times New Roman;serif"/>
                <w:b/>
                <w:color w:val="000000"/>
                <w:sz w:val="13"/>
              </w:rPr>
              <w:t>(3)</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9590" w:type="dxa"/>
        <w:jc w:val="left"/>
        <w:tblInd w:w="0" w:type="dxa"/>
        <w:tblLayout w:type="fixed"/>
        <w:tblCellMar>
          <w:top w:w="28" w:type="dxa"/>
          <w:left w:w="28" w:type="dxa"/>
          <w:bottom w:w="28" w:type="dxa"/>
          <w:right w:w="28" w:type="dxa"/>
        </w:tblCellMar>
      </w:tblPr>
      <w:tblGrid>
        <w:gridCol w:w="1083"/>
        <w:gridCol w:w="956"/>
        <w:gridCol w:w="960"/>
        <w:gridCol w:w="428"/>
        <w:gridCol w:w="1555"/>
        <w:gridCol w:w="221"/>
        <w:gridCol w:w="109"/>
        <w:gridCol w:w="109"/>
        <w:gridCol w:w="109"/>
        <w:gridCol w:w="463"/>
        <w:gridCol w:w="1682"/>
        <w:gridCol w:w="239"/>
        <w:gridCol w:w="109"/>
        <w:gridCol w:w="109"/>
        <w:gridCol w:w="109"/>
        <w:gridCol w:w="109"/>
        <w:gridCol w:w="109"/>
        <w:gridCol w:w="211"/>
        <w:gridCol w:w="76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Comfort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 Climate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w:t>
            </w:r>
            <w:r>
              <w:rPr>
                <w:rFonts w:ascii="Times New Roman;serif" w:hAnsi="Times New Roman;serif"/>
                <w:b w:val="false"/>
                <w:color w:val="000000"/>
                <w:sz w:val="13"/>
              </w:rPr>
              <w:t>(2)</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profit</w:t>
            </w:r>
            <w:r>
              <w:rPr>
                <w:rFonts w:ascii="Times New Roman;serif" w:hAnsi="Times New Roman;serif"/>
                <w:b/>
                <w:color w:val="000000"/>
                <w:sz w:val="13"/>
              </w:rPr>
              <w:t>(3)</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2025</w:t>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sales</w:t>
            </w:r>
            <w:r>
              <w:rPr>
                <w:rFonts w:ascii="Times New Roman;serif" w:hAnsi="Times New Roman;serif"/>
                <w:b w:val="false"/>
                <w:color w:val="000000"/>
                <w:sz w:val="13"/>
              </w:rPr>
              <w:t>(1)</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w:t>
            </w:r>
            <w:r>
              <w:rPr>
                <w:rFonts w:ascii="Times New Roman;serif" w:hAnsi="Times New Roman;serif"/>
                <w:b w:val="false"/>
                <w:color w:val="000000"/>
                <w:sz w:val="13"/>
              </w:rPr>
              <w:t>(2)</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profit</w:t>
            </w:r>
            <w:r>
              <w:rPr>
                <w:rFonts w:ascii="Times New Roman;serif" w:hAnsi="Times New Roman;serif"/>
                <w:b/>
                <w:color w:val="000000"/>
                <w:sz w:val="13"/>
              </w:rPr>
              <w:t>(3)</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On a consolidated basis, no revenue from transactions with a single customer were 10% or greater of our consolidated net sales for any of the periods presented.</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(income) expense is primarily comprised of income from equity method investments and (gains) losses and other expenses, net.</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We define segment profit as a segment's operating income included in the accompanying Consolidated Statements of Operations, excluding:</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Restructuring charges,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 xml:space="preserve">Loss (gain) on sale from previous dispositions. </w:t>
      </w:r>
    </w:p>
    <w:p>
      <w:pPr>
        <w:pStyle w:val="TextBody"/>
        <w:bidi w:val="0"/>
        <w:spacing w:before="0" w:after="0"/>
        <w:jc w:val="both"/>
        <w:rPr/>
      </w:pPr>
      <w:r>
        <w:rPr/>
      </w:r>
    </w:p>
    <w:p>
      <w:pPr>
        <w:pStyle w:val="TextBody"/>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The reconciliations of segment profit to Operating income and Net income before income taxes are presented below (in millions):</w:t>
      </w:r>
    </w:p>
    <w:tbl>
      <w:tblPr>
        <w:tblW w:w="10205" w:type="dxa"/>
        <w:jc w:val="left"/>
        <w:tblInd w:w="0" w:type="dxa"/>
        <w:tblLayout w:type="fixed"/>
        <w:tblCellMar>
          <w:top w:w="28" w:type="dxa"/>
          <w:left w:w="28" w:type="dxa"/>
          <w:bottom w:w="28" w:type="dxa"/>
          <w:right w:w="28" w:type="dxa"/>
        </w:tblCellMar>
      </w:tblPr>
      <w:tblGrid>
        <w:gridCol w:w="1496"/>
        <w:gridCol w:w="1289"/>
        <w:gridCol w:w="1285"/>
        <w:gridCol w:w="281"/>
        <w:gridCol w:w="843"/>
        <w:gridCol w:w="144"/>
        <w:gridCol w:w="144"/>
        <w:gridCol w:w="144"/>
        <w:gridCol w:w="144"/>
        <w:gridCol w:w="281"/>
        <w:gridCol w:w="843"/>
        <w:gridCol w:w="144"/>
        <w:gridCol w:w="109"/>
        <w:gridCol w:w="109"/>
        <w:gridCol w:w="109"/>
        <w:gridCol w:w="262"/>
        <w:gridCol w:w="785"/>
        <w:gridCol w:w="135"/>
        <w:gridCol w:w="135"/>
        <w:gridCol w:w="135"/>
        <w:gridCol w:w="135"/>
        <w:gridCol w:w="262"/>
        <w:gridCol w:w="785"/>
        <w:gridCol w:w="206"/>
      </w:tblGrid>
      <w:tr>
        <w:trPr/>
        <w:tc>
          <w:tcPr>
            <w:tcW w:w="14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segment profit</w:t>
            </w:r>
            <w:r>
              <w:rPr>
                <w:rFonts w:ascii="Times New Roman;serif" w:hAnsi="Times New Roman;serif"/>
                <w:b/>
                <w:color w:val="000000"/>
                <w:sz w:val="13"/>
              </w:rPr>
              <w:t>(1)</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Operating income:</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from previous dispositions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 expenses</w:t>
            </w:r>
            <w:r>
              <w:rPr>
                <w:rFonts w:ascii="Times New Roman;serif" w:hAnsi="Times New Roman;serif"/>
                <w:b w:val="false"/>
                <w:color w:val="000000"/>
                <w:sz w:val="13"/>
              </w:rPr>
              <w:t>(2)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w:t>
            </w:r>
            <w:r>
              <w:rPr>
                <w:color w:val="000000"/>
              </w:rPr>
              <w:t>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w:t>
            </w:r>
            <w:r>
              <w:rPr>
                <w:color w:val="000000"/>
              </w:rPr>
              <w:t>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518.5</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517.0</w:t>
            </w: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net income before income taxes: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settlements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before income taxes</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339.6</w:t>
            </w:r>
            <w:r>
              <w:rPr>
                <w:color w:val="000000"/>
              </w:rPr>
              <w:t>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340.0</w:t>
            </w:r>
            <w:r>
              <w:rPr>
                <w:color w:val="000000"/>
              </w:rPr>
              <w:t>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486.5</w:t>
            </w:r>
            <w:r>
              <w:rPr>
                <w:color w:val="000000"/>
              </w:rPr>
              <w:t>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500.8</w:t>
            </w:r>
            <w:r>
              <w:rPr>
                <w:color w:val="000000"/>
              </w:rPr>
              <w:t>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We define segment profit as a segment's operating income (loss) included in the accompanying Consolidated Statements of Operations, excluding:</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Restructuring charges,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Loss (gain) on sale from previous dispositions.</w:t>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Corporate and other expenses include unallocated corporate costs related to corporate administrative functions such as tax, treasury, accounting, internal audit, legal and human resources. </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Total assets by segment are shown below (in millions) as of: </w:t>
      </w:r>
    </w:p>
    <w:tbl>
      <w:tblPr>
        <w:tblW w:w="6221" w:type="dxa"/>
        <w:jc w:val="left"/>
        <w:tblInd w:w="0" w:type="dxa"/>
        <w:tblLayout w:type="fixed"/>
        <w:tblCellMar>
          <w:top w:w="28" w:type="dxa"/>
          <w:left w:w="28" w:type="dxa"/>
          <w:bottom w:w="28" w:type="dxa"/>
          <w:right w:w="28" w:type="dxa"/>
        </w:tblCellMar>
      </w:tblPr>
      <w:tblGrid>
        <w:gridCol w:w="1137"/>
        <w:gridCol w:w="1004"/>
        <w:gridCol w:w="1009"/>
        <w:gridCol w:w="224"/>
        <w:gridCol w:w="815"/>
        <w:gridCol w:w="116"/>
        <w:gridCol w:w="109"/>
        <w:gridCol w:w="109"/>
        <w:gridCol w:w="109"/>
        <w:gridCol w:w="296"/>
        <w:gridCol w:w="1077"/>
        <w:gridCol w:w="216"/>
      </w:tblGrid>
      <w:tr>
        <w:trPr/>
        <w:tc>
          <w:tcPr>
            <w:tcW w:w="113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Comfort Solutions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Climate Solutions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from reportable segments</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3,717.4 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4,081.8 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assets in the Corporate and Other primarily consist of cash, property, plant and equipment, short-term investments, and deferred tax assets. Assets recorded in the operating segments represent those assets directly associated with those segments.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capital expenditures by segment are shown below (in millions):</w:t>
      </w:r>
    </w:p>
    <w:tbl>
      <w:tblPr>
        <w:tblW w:w="10205" w:type="dxa"/>
        <w:jc w:val="left"/>
        <w:tblInd w:w="0" w:type="dxa"/>
        <w:tblLayout w:type="fixed"/>
        <w:tblCellMar>
          <w:top w:w="28" w:type="dxa"/>
          <w:left w:w="28" w:type="dxa"/>
          <w:bottom w:w="28" w:type="dxa"/>
          <w:right w:w="28" w:type="dxa"/>
        </w:tblCellMar>
      </w:tblPr>
      <w:tblGrid>
        <w:gridCol w:w="1487"/>
        <w:gridCol w:w="1307"/>
        <w:gridCol w:w="1309"/>
        <w:gridCol w:w="314"/>
        <w:gridCol w:w="761"/>
        <w:gridCol w:w="161"/>
        <w:gridCol w:w="161"/>
        <w:gridCol w:w="161"/>
        <w:gridCol w:w="161"/>
        <w:gridCol w:w="314"/>
        <w:gridCol w:w="761"/>
        <w:gridCol w:w="161"/>
        <w:gridCol w:w="109"/>
        <w:gridCol w:w="109"/>
        <w:gridCol w:w="109"/>
        <w:gridCol w:w="291"/>
        <w:gridCol w:w="707"/>
        <w:gridCol w:w="150"/>
        <w:gridCol w:w="150"/>
        <w:gridCol w:w="150"/>
        <w:gridCol w:w="150"/>
        <w:gridCol w:w="291"/>
        <w:gridCol w:w="707"/>
        <w:gridCol w:w="224"/>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Comfort Solutions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Climate Solutions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 from reportable segments</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expenditures </w:t>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by segment are shown below (in millions):</w:t>
      </w:r>
    </w:p>
    <w:tbl>
      <w:tblPr>
        <w:tblW w:w="10205" w:type="dxa"/>
        <w:jc w:val="left"/>
        <w:tblInd w:w="0" w:type="dxa"/>
        <w:tblLayout w:type="fixed"/>
        <w:tblCellMar>
          <w:top w:w="28" w:type="dxa"/>
          <w:left w:w="28" w:type="dxa"/>
          <w:bottom w:w="28" w:type="dxa"/>
          <w:right w:w="28" w:type="dxa"/>
        </w:tblCellMar>
      </w:tblPr>
      <w:tblGrid>
        <w:gridCol w:w="1574"/>
        <w:gridCol w:w="1382"/>
        <w:gridCol w:w="1388"/>
        <w:gridCol w:w="300"/>
        <w:gridCol w:w="727"/>
        <w:gridCol w:w="154"/>
        <w:gridCol w:w="154"/>
        <w:gridCol w:w="154"/>
        <w:gridCol w:w="154"/>
        <w:gridCol w:w="300"/>
        <w:gridCol w:w="727"/>
        <w:gridCol w:w="154"/>
        <w:gridCol w:w="109"/>
        <w:gridCol w:w="109"/>
        <w:gridCol w:w="109"/>
        <w:gridCol w:w="280"/>
        <w:gridCol w:w="680"/>
        <w:gridCol w:w="144"/>
        <w:gridCol w:w="144"/>
        <w:gridCol w:w="144"/>
        <w:gridCol w:w="144"/>
        <w:gridCol w:w="280"/>
        <w:gridCol w:w="680"/>
        <w:gridCol w:w="214"/>
      </w:tblGrid>
      <w:tr>
        <w:trPr/>
        <w:tc>
          <w:tcPr>
            <w:tcW w:w="15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Comfort Solutions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Climate Solutions</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from reportable segments</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income from equity method investments is shown below (in millions):</w:t>
      </w:r>
    </w:p>
    <w:tbl>
      <w:tblPr>
        <w:tblW w:w="10205" w:type="dxa"/>
        <w:jc w:val="left"/>
        <w:tblInd w:w="0" w:type="dxa"/>
        <w:tblLayout w:type="fixed"/>
        <w:tblCellMar>
          <w:top w:w="28" w:type="dxa"/>
          <w:left w:w="28" w:type="dxa"/>
          <w:bottom w:w="28" w:type="dxa"/>
          <w:right w:w="28" w:type="dxa"/>
        </w:tblCellMar>
      </w:tblPr>
      <w:tblGrid>
        <w:gridCol w:w="1704"/>
        <w:gridCol w:w="1495"/>
        <w:gridCol w:w="1505"/>
        <w:gridCol w:w="302"/>
        <w:gridCol w:w="669"/>
        <w:gridCol w:w="156"/>
        <w:gridCol w:w="156"/>
        <w:gridCol w:w="156"/>
        <w:gridCol w:w="156"/>
        <w:gridCol w:w="302"/>
        <w:gridCol w:w="582"/>
        <w:gridCol w:w="156"/>
        <w:gridCol w:w="109"/>
        <w:gridCol w:w="109"/>
        <w:gridCol w:w="109"/>
        <w:gridCol w:w="293"/>
        <w:gridCol w:w="564"/>
        <w:gridCol w:w="151"/>
        <w:gridCol w:w="151"/>
        <w:gridCol w:w="151"/>
        <w:gridCol w:w="151"/>
        <w:gridCol w:w="293"/>
        <w:gridCol w:w="564"/>
        <w:gridCol w:w="221"/>
      </w:tblGrid>
      <w:tr>
        <w:trPr/>
        <w:tc>
          <w:tcPr>
            <w:tcW w:w="170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from Equity Method Investments: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Comfort Solutions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Climate Solutions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income from equity method investments from reportable segments</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equity method investments</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for each major geographic area in which we operate, based on the domicile of our operations, are shown below (in millions) as of:</w:t>
      </w:r>
    </w:p>
    <w:tbl>
      <w:tblPr>
        <w:tblW w:w="6911" w:type="dxa"/>
        <w:jc w:val="left"/>
        <w:tblInd w:w="0" w:type="dxa"/>
        <w:tblLayout w:type="fixed"/>
        <w:tblCellMar>
          <w:top w:w="28" w:type="dxa"/>
          <w:left w:w="28" w:type="dxa"/>
          <w:bottom w:w="28" w:type="dxa"/>
          <w:right w:w="28" w:type="dxa"/>
        </w:tblCellMar>
      </w:tblPr>
      <w:tblGrid>
        <w:gridCol w:w="1233"/>
        <w:gridCol w:w="1084"/>
        <w:gridCol w:w="1087"/>
        <w:gridCol w:w="260"/>
        <w:gridCol w:w="760"/>
        <w:gridCol w:w="134"/>
        <w:gridCol w:w="109"/>
        <w:gridCol w:w="109"/>
        <w:gridCol w:w="109"/>
        <w:gridCol w:w="348"/>
        <w:gridCol w:w="1017"/>
        <w:gridCol w:w="180"/>
        <w:gridCol w:w="109"/>
        <w:gridCol w:w="109"/>
        <w:gridCol w:w="109"/>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Earnings Per Share: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computations of basic and diluted earnings per share were as follows (in millions, except per share data):</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1640"/>
        <w:gridCol w:w="1442"/>
        <w:gridCol w:w="1458"/>
        <w:gridCol w:w="256"/>
        <w:gridCol w:w="767"/>
        <w:gridCol w:w="131"/>
        <w:gridCol w:w="131"/>
        <w:gridCol w:w="131"/>
        <w:gridCol w:w="131"/>
        <w:gridCol w:w="256"/>
        <w:gridCol w:w="767"/>
        <w:gridCol w:w="131"/>
        <w:gridCol w:w="109"/>
        <w:gridCol w:w="109"/>
        <w:gridCol w:w="109"/>
        <w:gridCol w:w="243"/>
        <w:gridCol w:w="729"/>
        <w:gridCol w:w="126"/>
        <w:gridCol w:w="126"/>
        <w:gridCol w:w="126"/>
        <w:gridCol w:w="126"/>
        <w:gridCol w:w="243"/>
        <w:gridCol w:w="729"/>
        <w:gridCol w:w="189"/>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269.0</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273.9</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386.2</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403.5</w:t>
            </w: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 – basic</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Potential effect of dilutive securities attributable to stock-based payments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 – diluted</w:t>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w:t>
            </w: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Earnings per share – Basic</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Earnings per share – Diluted</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Amounts may not recalculate due to rounding.</w:t>
      </w:r>
    </w:p>
    <w:p>
      <w:pPr>
        <w:pStyle w:val="TextBody"/>
        <w:bidi w:val="0"/>
        <w:spacing w:before="0" w:after="0"/>
        <w:ind w:left="0" w:right="0" w:hanging="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there were no material stock appreciation rights or restricted stock units outstanding that were not included in the diluted earnings per share calculation as the assumed exercise of such rights would have been anti-dilutive.</w:t>
      </w:r>
    </w:p>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8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Commitments and Contingencies: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lease agreements contain renewal options; however, we do not recognize right-of-use assets or lease liabilities for renewal periods unless it is determined that we are reasonably certain of renewing the lease at inception or when a triggering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of a lease under Accounting Standards Codification ("ASC") 842 and therefore are accounted for under ASC 842.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w:t>
      </w:r>
      <w:r>
        <w:rPr>
          <w:rFonts w:ascii="Times New Roman;serif" w:hAnsi="Times New Roman;serif"/>
          <w:b w:val="false"/>
          <w:color w:val="000000"/>
          <w:sz w:val="20"/>
          <w:shd w:fill="FFFFFF" w:val="clear"/>
        </w:rPr>
        <w:t>cremental borrowing rate. To estimate our specific incremental borrowing rates over various periods (ranging from 1-year through 30-years), a comparable market yield curve consistent with our credit quality was calibrated to our publicly outstanding debt instruments.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shd w:fill="FFFFFF" w:val="clear"/>
        </w:rPr>
        <w:t>We lease certain real and personal property under non-cancelable operating leases. Approximately</w:t>
      </w:r>
      <w:r>
        <w:rPr>
          <w:color w:val="000000"/>
        </w:rPr>
        <w:t xml:space="preserve"> </w:t>
      </w:r>
      <w:r>
        <w:rPr>
          <w:rFonts w:ascii="Times New Roman;serif" w:hAnsi="Times New Roman;serif"/>
          <w:b w:val="false"/>
          <w:color w:val="000000"/>
          <w:sz w:val="20"/>
        </w:rPr>
        <w:t>83% of</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ur right-of-use assets and lease liabilities relate to our leases of real estate with the remaining amounts primarily relating to our leases of IT equipment, fleet vehicles and manufacturing and distribution equipment.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 Warranties and Product Related Contingencies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Liabilities for estimated product warranty costs are included in the following captions on the accompanying Consolidated Balance Sheets (in millions) as of:</w:t>
      </w:r>
    </w:p>
    <w:tbl>
      <w:tblPr>
        <w:tblW w:w="5216" w:type="dxa"/>
        <w:jc w:val="left"/>
        <w:tblInd w:w="0" w:type="dxa"/>
        <w:tblLayout w:type="fixed"/>
        <w:tblCellMar>
          <w:top w:w="28" w:type="dxa"/>
          <w:left w:w="28" w:type="dxa"/>
          <w:bottom w:w="28" w:type="dxa"/>
          <w:right w:w="28" w:type="dxa"/>
        </w:tblCellMar>
      </w:tblPr>
      <w:tblGrid>
        <w:gridCol w:w="777"/>
        <w:gridCol w:w="681"/>
        <w:gridCol w:w="687"/>
        <w:gridCol w:w="256"/>
        <w:gridCol w:w="767"/>
        <w:gridCol w:w="132"/>
        <w:gridCol w:w="109"/>
        <w:gridCol w:w="109"/>
        <w:gridCol w:w="109"/>
        <w:gridCol w:w="337"/>
        <w:gridCol w:w="1007"/>
        <w:gridCol w:w="245"/>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warranty liability</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167.2</w:t>
            </w:r>
            <w:r>
              <w:rPr>
                <w:color w:val="000000"/>
              </w:rPr>
              <w:t>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changes in product warranty liabilities for the six months ended June 30, 2026 were as follows (in millions):</w:t>
      </w:r>
    </w:p>
    <w:tbl>
      <w:tblPr>
        <w:tblW w:w="5961" w:type="dxa"/>
        <w:jc w:val="left"/>
        <w:tblInd w:w="0" w:type="dxa"/>
        <w:tblLayout w:type="fixed"/>
        <w:tblCellMar>
          <w:top w:w="28" w:type="dxa"/>
          <w:left w:w="28" w:type="dxa"/>
          <w:bottom w:w="28" w:type="dxa"/>
          <w:right w:w="28" w:type="dxa"/>
        </w:tblCellMar>
      </w:tblPr>
      <w:tblGrid>
        <w:gridCol w:w="1796"/>
        <w:gridCol w:w="1582"/>
        <w:gridCol w:w="1587"/>
        <w:gridCol w:w="211"/>
        <w:gridCol w:w="631"/>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warranty liability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resulting from issuance of new warranties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 associated with pre-existing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foreign currency translation rates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warranty liability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Antitrust Class Action</w:t>
      </w:r>
    </w:p>
    <w:p>
      <w:pPr>
        <w:pStyle w:val="TextBody"/>
        <w:bidi w:val="0"/>
        <w:spacing w:before="0" w:after="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20, 2026, seven HVAC equipment manufacturers (and certain of their affiliated companies), including the Company, were named as defendants in a complaint filed in the U.S. District Court for the Eastern District of Michigan on behalf of a putative class that alleges violations of Section 1 of the Sherman Antitrust Act of 1890, as amended, and certain state laws. Additional class action complaints were filed in April 2026 in the same court, based on similar allegations. The cases were consolidated under the caption In re HVAC Equipment Antitrust Litigation, No. 2:26-cv-10949 (E.D. Mich.). On July 10, 2026, the plaintiffs filed three amended, consolidated class-action complaints. </w:t>
      </w:r>
    </w:p>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complaints allege that the defendants conspired to fix, raise, maintain, and/or stabilize prices of HVAC equipment. The alleged class is defined as including all persons who purchased HVAC equipment in the U.S. during the period from January 1, 2020 to the present which was manufactured by one or more defendants for end use in a residential or commercial building. The complaints seek to recover an unspecified amount of damages, injunctive relief, and attorneys’ fees on behalf of the putative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disputes these allegations and plans to vigorously defend itself. At this stage of the antitrust litigation, the Company cannot reasonably estimate the range of possible loss, if any, or the timing, outcome, or consequence of this litigation. An adverse outcome in this litigation could have a material adverse impact on the Company’s business, financial position,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Litigation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are involved in a number of other claims and lawsuits incidental to the operation of our businesses. Insurance coverages are maintained and estimated costs are recorded for such claims and lawsuits, including costs to settle other claims and lawsuits, based on experience involving similar matters and specific facts known.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Stock Repurchases: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authorized a total of $5.0 billion to repurchase shares of our common stock (collectively referred to as the "Share Repurchase Plans"), including a $1.0 billion share repurchase authorization in May 2025. The Share Repurchase Plans allow us to repurchase shares from time to time in open market transactions and in privately negotiated transactions based on business, market, applicable legal requirements and other considerations. Such repurchases may also be made in compliance with Rule 10b5-1 trading plans entered into by us, which would permit common stock to be repurchased when we might otherwise be precluded from doing so under insider trading laws or self-imposed trading restrictions. The Share Repurchase Plans do not require the repurchase of a specific number of shares and may be terminated at any time. As of June 30, 2026, $857.7 million was available for repurchase under the Share Repurchase Plans.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repurchased 260,627 and 299,627 shares, at an aggregate cost, inclusive of fees, of $131.9 million and $151.9 million respectively.</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Revenue Recognition:</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disaggregates our revenue by business segment by geography which provides information as to the major source of revenue. See Note 2 for additional information on our reportable business segments and the products and services sold in each segment. </w:t>
      </w:r>
    </w:p>
    <w:p>
      <w:pPr>
        <w:pStyle w:val="TextBody"/>
        <w:bidi w:val="0"/>
        <w:spacing w:before="0" w:after="0"/>
        <w:ind w:left="0" w:right="0" w:firstLine="270"/>
        <w:jc w:val="both"/>
        <w:rPr/>
      </w:pPr>
      <w:r>
        <w:rPr/>
      </w:r>
    </w:p>
    <w:tbl>
      <w:tblPr>
        <w:tblW w:w="8836" w:type="dxa"/>
        <w:jc w:val="left"/>
        <w:tblInd w:w="0" w:type="dxa"/>
        <w:tblLayout w:type="fixed"/>
        <w:tblCellMar>
          <w:top w:w="28" w:type="dxa"/>
          <w:left w:w="28" w:type="dxa"/>
          <w:bottom w:w="28" w:type="dxa"/>
          <w:right w:w="28" w:type="dxa"/>
        </w:tblCellMar>
      </w:tblPr>
      <w:tblGrid>
        <w:gridCol w:w="858"/>
        <w:gridCol w:w="753"/>
        <w:gridCol w:w="758"/>
        <w:gridCol w:w="449"/>
        <w:gridCol w:w="1344"/>
        <w:gridCol w:w="232"/>
        <w:gridCol w:w="141"/>
        <w:gridCol w:w="141"/>
        <w:gridCol w:w="141"/>
        <w:gridCol w:w="482"/>
        <w:gridCol w:w="1444"/>
        <w:gridCol w:w="249"/>
        <w:gridCol w:w="141"/>
        <w:gridCol w:w="141"/>
        <w:gridCol w:w="141"/>
        <w:gridCol w:w="141"/>
        <w:gridCol w:w="109"/>
        <w:gridCol w:w="215"/>
        <w:gridCol w:w="798"/>
        <w:gridCol w:w="158"/>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(Amounts in millions)</w:t>
            </w:r>
          </w:p>
        </w:tc>
        <w:tc>
          <w:tcPr>
            <w:tcW w:w="5187" w:type="dxa"/>
            <w:gridSpan w:val="1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 2026</w:t>
            </w:r>
          </w:p>
        </w:tc>
        <w:tc>
          <w:tcPr>
            <w:tcW w:w="1280" w:type="dxa"/>
            <w:gridSpan w:val="4"/>
            <w:tcBorders/>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Primary Geographic Markets</w:t>
            </w:r>
          </w:p>
        </w:tc>
        <w:tc>
          <w:tcPr>
            <w:tcW w:w="20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Home Comfort Solutions</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Climate Solutions</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935.6</w:t>
            </w:r>
            <w:r>
              <w:rPr>
                <w:color w:val="000000"/>
              </w:rPr>
              <w:t> </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609.7</w:t>
            </w:r>
            <w:r>
              <w:rPr>
                <w:color w:val="000000"/>
              </w:rPr>
              <w:t>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1,545.3</w:t>
            </w: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779" w:type="dxa"/>
        <w:jc w:val="left"/>
        <w:tblInd w:w="0" w:type="dxa"/>
        <w:tblLayout w:type="fixed"/>
        <w:tblCellMar>
          <w:top w:w="28" w:type="dxa"/>
          <w:left w:w="28" w:type="dxa"/>
          <w:bottom w:w="28" w:type="dxa"/>
          <w:right w:w="28" w:type="dxa"/>
        </w:tblCellMar>
      </w:tblPr>
      <w:tblGrid>
        <w:gridCol w:w="857"/>
        <w:gridCol w:w="754"/>
        <w:gridCol w:w="758"/>
        <w:gridCol w:w="387"/>
        <w:gridCol w:w="1438"/>
        <w:gridCol w:w="199"/>
        <w:gridCol w:w="133"/>
        <w:gridCol w:w="133"/>
        <w:gridCol w:w="133"/>
        <w:gridCol w:w="482"/>
        <w:gridCol w:w="1445"/>
        <w:gridCol w:w="248"/>
        <w:gridCol w:w="133"/>
        <w:gridCol w:w="133"/>
        <w:gridCol w:w="133"/>
        <w:gridCol w:w="133"/>
        <w:gridCol w:w="109"/>
        <w:gridCol w:w="215"/>
        <w:gridCol w:w="798"/>
        <w:gridCol w:w="158"/>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1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 2025</w:t>
            </w:r>
          </w:p>
        </w:tc>
        <w:tc>
          <w:tcPr>
            <w:tcW w:w="1280" w:type="dxa"/>
            <w:gridSpan w:val="4"/>
            <w:tcBorders/>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Primary Geographic Markets</w:t>
            </w:r>
          </w:p>
        </w:tc>
        <w:tc>
          <w:tcPr>
            <w:tcW w:w="20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Home Comfort Solutions</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Climate Solutions</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1,009.3</w:t>
            </w:r>
            <w:r>
              <w:rPr>
                <w:color w:val="000000"/>
              </w:rPr>
              <w:t>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491.6</w:t>
            </w:r>
            <w:r>
              <w:rPr>
                <w:color w:val="000000"/>
              </w:rPr>
              <w:t>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1,500.9</w:t>
            </w: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tbl>
      <w:tblPr>
        <w:tblW w:w="8681" w:type="dxa"/>
        <w:jc w:val="left"/>
        <w:tblInd w:w="0" w:type="dxa"/>
        <w:tblLayout w:type="fixed"/>
        <w:tblCellMar>
          <w:top w:w="28" w:type="dxa"/>
          <w:left w:w="28" w:type="dxa"/>
          <w:bottom w:w="28" w:type="dxa"/>
          <w:right w:w="28" w:type="dxa"/>
        </w:tblCellMar>
      </w:tblPr>
      <w:tblGrid>
        <w:gridCol w:w="858"/>
        <w:gridCol w:w="753"/>
        <w:gridCol w:w="758"/>
        <w:gridCol w:w="387"/>
        <w:gridCol w:w="1437"/>
        <w:gridCol w:w="200"/>
        <w:gridCol w:w="119"/>
        <w:gridCol w:w="119"/>
        <w:gridCol w:w="119"/>
        <w:gridCol w:w="416"/>
        <w:gridCol w:w="1544"/>
        <w:gridCol w:w="215"/>
        <w:gridCol w:w="119"/>
        <w:gridCol w:w="119"/>
        <w:gridCol w:w="119"/>
        <w:gridCol w:w="119"/>
        <w:gridCol w:w="109"/>
        <w:gridCol w:w="215"/>
        <w:gridCol w:w="798"/>
        <w:gridCol w:w="158"/>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(Amounts in millions)</w:t>
            </w:r>
          </w:p>
        </w:tc>
        <w:tc>
          <w:tcPr>
            <w:tcW w:w="5032" w:type="dxa"/>
            <w:gridSpan w:val="1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 2026</w:t>
            </w:r>
          </w:p>
        </w:tc>
        <w:tc>
          <w:tcPr>
            <w:tcW w:w="1280" w:type="dxa"/>
            <w:gridSpan w:val="4"/>
            <w:tcBorders/>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Primary Geographic Markets</w:t>
            </w:r>
          </w:p>
        </w:tc>
        <w:tc>
          <w:tcPr>
            <w:tcW w:w="20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Home Comfort Solutions</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Climate Solutions</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1,585.6</w:t>
            </w:r>
            <w:r>
              <w:rPr>
                <w:color w:val="000000"/>
              </w:rPr>
              <w:t>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1,094.8</w:t>
            </w:r>
            <w:r>
              <w:rPr>
                <w:color w:val="000000"/>
              </w:rPr>
              <w:t>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2,680.4</w:t>
            </w: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723" w:type="dxa"/>
        <w:jc w:val="left"/>
        <w:tblInd w:w="0" w:type="dxa"/>
        <w:tblLayout w:type="fixed"/>
        <w:tblCellMar>
          <w:top w:w="28" w:type="dxa"/>
          <w:left w:w="28" w:type="dxa"/>
          <w:bottom w:w="28" w:type="dxa"/>
          <w:right w:w="28" w:type="dxa"/>
        </w:tblCellMar>
      </w:tblPr>
      <w:tblGrid>
        <w:gridCol w:w="858"/>
        <w:gridCol w:w="753"/>
        <w:gridCol w:w="758"/>
        <w:gridCol w:w="387"/>
        <w:gridCol w:w="1438"/>
        <w:gridCol w:w="200"/>
        <w:gridCol w:w="125"/>
        <w:gridCol w:w="125"/>
        <w:gridCol w:w="125"/>
        <w:gridCol w:w="481"/>
        <w:gridCol w:w="1445"/>
        <w:gridCol w:w="248"/>
        <w:gridCol w:w="125"/>
        <w:gridCol w:w="125"/>
        <w:gridCol w:w="125"/>
        <w:gridCol w:w="125"/>
        <w:gridCol w:w="109"/>
        <w:gridCol w:w="215"/>
        <w:gridCol w:w="798"/>
        <w:gridCol w:w="158"/>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(Amounts in millions)</w:t>
            </w:r>
          </w:p>
        </w:tc>
        <w:tc>
          <w:tcPr>
            <w:tcW w:w="5074" w:type="dxa"/>
            <w:gridSpan w:val="1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 2025</w:t>
            </w:r>
          </w:p>
        </w:tc>
        <w:tc>
          <w:tcPr>
            <w:tcW w:w="1280" w:type="dxa"/>
            <w:gridSpan w:val="4"/>
            <w:tcBorders/>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Primary Geographic Markets</w:t>
            </w:r>
          </w:p>
        </w:tc>
        <w:tc>
          <w:tcPr>
            <w:tcW w:w="20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Home Comfort Solutions</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Building Climate Solutions</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1,730.7</w:t>
            </w:r>
            <w:r>
              <w:rPr>
                <w:color w:val="000000"/>
              </w:rPr>
              <w:t>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842.8</w:t>
            </w:r>
            <w:r>
              <w:rPr>
                <w:color w:val="000000"/>
              </w:rPr>
              <w:t>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2,573.5</w:t>
            </w: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pStyle w:val="TextBody"/>
        <w:bidi w:val="0"/>
        <w:spacing w:lineRule="auto" w:line="288" w:before="0" w:after="0"/>
        <w:ind w:left="0" w:right="0" w:firstLine="270"/>
        <w:jc w:val="both"/>
        <w:rPr/>
      </w:pPr>
      <w:r>
        <w:rPr>
          <w:rFonts w:ascii="Times New Roman;serif" w:hAnsi="Times New Roman;serif"/>
          <w:b/>
          <w:color w:val="000000"/>
          <w:sz w:val="20"/>
        </w:rPr>
        <w:t xml:space="preserve">Home Comfort Solutions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We manufacture and market a broad range of furnaces, air conditioners, heat pumps, packaged heating and cooling 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June 30, 2026 and 2025, direct sales represented 73%</w:t>
      </w:r>
      <w:r>
        <w:rPr>
          <w:color w:val="000000"/>
          <w:shd w:fill="FFFFFF" w:val="clear"/>
        </w:rPr>
        <w:t xml:space="preserve">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d 74% of revenues, respectively, and sales to independent distributors represented the remainder. For the six months ended June 30, 2026 and 2025, direct sales represented 73%</w:t>
      </w:r>
      <w:r>
        <w:rPr>
          <w:color w:val="000000"/>
          <w:shd w:fill="FFFFFF" w:val="clear"/>
        </w:rPr>
        <w:t xml:space="preserve">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d 74% of revenues, respectively, and sales to independent distributors represented the remainder. Given the nature of our business, customer product orders are fulfilled at a point in time and not over a period of time.</w:t>
      </w:r>
    </w:p>
    <w:p>
      <w:pPr>
        <w:pStyle w:val="TextBody"/>
        <w:bidi w:val="0"/>
        <w:spacing w:before="0" w:after="0"/>
        <w:jc w:val="left"/>
        <w:rPr/>
      </w:pPr>
      <w:r>
        <w:rPr/>
      </w:r>
    </w:p>
    <w:p>
      <w:pPr>
        <w:pStyle w:val="TextBody"/>
        <w:bidi w:val="0"/>
        <w:spacing w:lineRule="auto" w:line="288" w:before="0" w:after="0"/>
        <w:ind w:left="0" w:right="0" w:firstLine="270"/>
        <w:jc w:val="both"/>
        <w:rPr/>
      </w:pPr>
      <w:r>
        <w:rPr>
          <w:rFonts w:ascii="Times New Roman;serif" w:hAnsi="Times New Roman;serif"/>
          <w:b/>
          <w:color w:val="000000"/>
          <w:sz w:val="20"/>
        </w:rPr>
        <w:t>Building Climate Solutions</w:t>
      </w:r>
      <w:r>
        <w:rPr>
          <w:color w:val="000000"/>
        </w:rPr>
        <w:t xml:space="preserve"> </w:t>
      </w:r>
      <w:r>
        <w:rPr>
          <w:rFonts w:ascii="Times New Roman;serif" w:hAnsi="Times New Roman;serif"/>
          <w:b w:val="false"/>
          <w:color w:val="000000"/>
          <w:sz w:val="20"/>
        </w:rPr>
        <w:t>- In North America, we manufacture and sell unitary heating and cooling equipment used in light commercial 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We also provide installation, service and preventive maintenance for HVAC national account customers in the United States and Canada; manufacture curb, curb adapters, drop box diffusers; offer HVAC recycling and salvage services; and focus on multi-family HVAC replacement for expired mechanical assets. Revenue related to service contracts is recognized as the services are performed under the contract based on the relative fair value of the services provided. For the three months ended June 30, 2026 and 2025, equipment sales repr</w:t>
      </w:r>
      <w:r>
        <w:rPr>
          <w:rFonts w:ascii="Times New Roman;serif" w:hAnsi="Times New Roman;serif"/>
          <w:b w:val="false"/>
          <w:color w:val="000000"/>
          <w:sz w:val="20"/>
          <w:shd w:fill="FFFFFF" w:val="clear"/>
        </w:rPr>
        <w:t>esen</w:t>
      </w:r>
      <w:r>
        <w:rPr>
          <w:rFonts w:ascii="Times New Roman;serif" w:hAnsi="Times New Roman;serif"/>
          <w:b w:val="false"/>
          <w:color w:val="000000"/>
          <w:sz w:val="20"/>
        </w:rPr>
        <w:t>ted 84% a</w:t>
      </w:r>
      <w:r>
        <w:rPr>
          <w:rFonts w:ascii="Times New Roman;serif" w:hAnsi="Times New Roman;serif"/>
          <w:b w:val="false"/>
          <w:color w:val="000000"/>
          <w:sz w:val="20"/>
          <w:shd w:fill="FFFFFF" w:val="clear"/>
        </w:rPr>
        <w:t>nd</w:t>
      </w:r>
      <w:r>
        <w:rPr>
          <w:color w:val="000000"/>
        </w:rPr>
        <w:t xml:space="preserve"> </w:t>
      </w:r>
      <w:r>
        <w:rPr>
          <w:rFonts w:ascii="Times New Roman;serif" w:hAnsi="Times New Roman;serif"/>
          <w:b w:val="false"/>
          <w:color w:val="000000"/>
          <w:sz w:val="20"/>
        </w:rPr>
        <w:t>81% of revenues, respectively, and the remainder of our revenue was generated from our service business. For the six months ended June 30, 2026 and 2025, equipment sales repr</w:t>
      </w:r>
      <w:r>
        <w:rPr>
          <w:rFonts w:ascii="Times New Roman;serif" w:hAnsi="Times New Roman;serif"/>
          <w:b w:val="false"/>
          <w:color w:val="000000"/>
          <w:sz w:val="20"/>
          <w:shd w:fill="FFFFFF" w:val="clear"/>
        </w:rPr>
        <w:t>esen</w:t>
      </w:r>
      <w:r>
        <w:rPr>
          <w:rFonts w:ascii="Times New Roman;serif" w:hAnsi="Times New Roman;serif"/>
          <w:b w:val="false"/>
          <w:color w:val="000000"/>
          <w:sz w:val="20"/>
        </w:rPr>
        <w:t xml:space="preserve">ted </w:t>
      </w:r>
      <w:r>
        <w:rPr>
          <w:rFonts w:ascii="Times New Roman;serif" w:hAnsi="Times New Roman;serif"/>
          <w:b w:val="false"/>
          <w:color w:val="000000"/>
          <w:sz w:val="20"/>
          <w:shd w:fill="FFFFFF" w:val="clear"/>
        </w:rPr>
        <w:t>83%</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20"/>
          <w:shd w:fill="FFFFFF" w:val="clear"/>
        </w:rPr>
        <w:t>nd</w:t>
      </w:r>
      <w:r>
        <w:rPr>
          <w:color w:val="000000"/>
        </w:rPr>
        <w:t xml:space="preserve"> </w:t>
      </w:r>
      <w:r>
        <w:rPr>
          <w:rFonts w:ascii="Times New Roman;serif" w:hAnsi="Times New Roman;serif"/>
          <w:b w:val="false"/>
          <w:color w:val="000000"/>
          <w:sz w:val="20"/>
        </w:rPr>
        <w:t xml:space="preserve">80% of revenues, respectively, and the remainder of our revenue was generated from our service business.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color w:val="000000"/>
          <w:sz w:val="20"/>
        </w:rPr>
        <w:t>Contract Liabilities</w:t>
      </w:r>
      <w:r>
        <w:rPr>
          <w:color w:val="000000"/>
        </w:rPr>
        <w:t xml:space="preserve"> </w:t>
      </w:r>
      <w:r>
        <w:rPr>
          <w:rFonts w:ascii="Times New Roman;serif" w:hAnsi="Times New Roman;serif"/>
          <w:b w:val="false"/>
          <w:color w:val="000000"/>
          <w:sz w:val="20"/>
        </w:rPr>
        <w:t>- Our contract liabilities consist of advance payments and deferred revenue. Net contract liabilities consisted of the following (in millions) as of:</w:t>
      </w:r>
    </w:p>
    <w:p>
      <w:pPr>
        <w:pStyle w:val="TextBody"/>
        <w:bidi w:val="0"/>
        <w:spacing w:before="0" w:after="0"/>
        <w:ind w:left="0" w:right="0" w:firstLine="270"/>
        <w:jc w:val="both"/>
        <w:rPr/>
      </w:pPr>
      <w:r>
        <w:rPr/>
      </w:r>
    </w:p>
    <w:tbl>
      <w:tblPr>
        <w:tblW w:w="6191" w:type="dxa"/>
        <w:jc w:val="left"/>
        <w:tblInd w:w="0" w:type="dxa"/>
        <w:tblLayout w:type="fixed"/>
        <w:tblCellMar>
          <w:top w:w="28" w:type="dxa"/>
          <w:left w:w="28" w:type="dxa"/>
          <w:bottom w:w="28" w:type="dxa"/>
          <w:right w:w="28" w:type="dxa"/>
        </w:tblCellMar>
      </w:tblPr>
      <w:tblGrid>
        <w:gridCol w:w="971"/>
        <w:gridCol w:w="854"/>
        <w:gridCol w:w="859"/>
        <w:gridCol w:w="269"/>
        <w:gridCol w:w="747"/>
        <w:gridCol w:w="139"/>
        <w:gridCol w:w="109"/>
        <w:gridCol w:w="109"/>
        <w:gridCol w:w="109"/>
        <w:gridCol w:w="360"/>
        <w:gridCol w:w="999"/>
        <w:gridCol w:w="185"/>
        <w:gridCol w:w="109"/>
        <w:gridCol w:w="109"/>
        <w:gridCol w:w="109"/>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current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noncurrent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For the three months ended June 30, 2026 and 2025, we recognized revenue of</w:t>
      </w:r>
      <w:r>
        <w:rPr>
          <w:color w:val="000000"/>
          <w:shd w:fill="FFFFFF" w:val="clear"/>
        </w:rPr>
        <w:t xml:space="preserve"> </w:t>
      </w:r>
      <w:r>
        <w:rPr>
          <w:rFonts w:ascii="Times New Roman;serif" w:hAnsi="Times New Roman;serif"/>
          <w:b w:val="false"/>
          <w:color w:val="000000"/>
          <w:sz w:val="20"/>
          <w:shd w:fill="FFFFFF" w:val="clear"/>
        </w:rPr>
        <w:t xml:space="preserve">$2.3 million </w:t>
      </w:r>
      <w:r>
        <w:rPr>
          <w:rFonts w:ascii="Times New Roman;serif" w:hAnsi="Times New Roman;serif"/>
          <w:b w:val="false"/>
          <w:color w:val="000000"/>
          <w:sz w:val="20"/>
        </w:rPr>
        <w:t>and $0.8 million and for the six months ended June 30, 2026 and 2025, we recognized revenue of $3.0 million and $3.1 million related to our contract liabilities at January 1, 2026 and 2025, respectively. Impairment losses recognized in our receivables and contract assets were de minimis in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Other Financial Statement Details: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are as follows (in millions) as of:</w:t>
      </w:r>
    </w:p>
    <w:tbl>
      <w:tblPr>
        <w:tblW w:w="5275" w:type="dxa"/>
        <w:jc w:val="left"/>
        <w:tblInd w:w="0" w:type="dxa"/>
        <w:tblLayout w:type="fixed"/>
        <w:tblCellMar>
          <w:top w:w="28" w:type="dxa"/>
          <w:left w:w="28" w:type="dxa"/>
          <w:bottom w:w="28" w:type="dxa"/>
          <w:right w:w="28" w:type="dxa"/>
        </w:tblCellMar>
      </w:tblPr>
      <w:tblGrid>
        <w:gridCol w:w="799"/>
        <w:gridCol w:w="701"/>
        <w:gridCol w:w="704"/>
        <w:gridCol w:w="221"/>
        <w:gridCol w:w="820"/>
        <w:gridCol w:w="114"/>
        <w:gridCol w:w="109"/>
        <w:gridCol w:w="109"/>
        <w:gridCol w:w="109"/>
        <w:gridCol w:w="292"/>
        <w:gridCol w:w="1084"/>
        <w:gridCol w:w="213"/>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Raw materials and parts</w:t>
            </w:r>
            <w:r>
              <w:rPr>
                <w:rFonts w:ascii="Times New Roman;serif" w:hAnsi="Times New Roman;serif"/>
                <w:b w:val="false"/>
                <w:color w:val="000000"/>
                <w:sz w:val="13"/>
              </w:rPr>
              <w:t>(1)</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inventories, net</w:t>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1,152.4</w:t>
            </w:r>
            <w:r>
              <w:rPr>
                <w:color w:val="000000"/>
              </w:rPr>
              <w:t> </w:t>
            </w:r>
          </w:p>
        </w:tc>
        <w:tc>
          <w:tcPr>
            <w:tcW w:w="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1,152.6</w:t>
            </w:r>
            <w:r>
              <w:rPr>
                <w:color w:val="000000"/>
              </w:rPr>
              <w:t> </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Raw materials and parts includes materials for production and finished goods parts held for sale.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in 2026, in total and by segment, are summarized in the table below (in millions):</w:t>
      </w:r>
    </w:p>
    <w:tbl>
      <w:tblPr>
        <w:tblW w:w="9510" w:type="dxa"/>
        <w:jc w:val="left"/>
        <w:tblInd w:w="0" w:type="dxa"/>
        <w:tblLayout w:type="fixed"/>
        <w:tblCellMar>
          <w:top w:w="28" w:type="dxa"/>
          <w:left w:w="28" w:type="dxa"/>
          <w:bottom w:w="28" w:type="dxa"/>
          <w:right w:w="28" w:type="dxa"/>
        </w:tblCellMar>
      </w:tblPr>
      <w:tblGrid>
        <w:gridCol w:w="879"/>
        <w:gridCol w:w="774"/>
        <w:gridCol w:w="776"/>
        <w:gridCol w:w="575"/>
        <w:gridCol w:w="1722"/>
        <w:gridCol w:w="298"/>
        <w:gridCol w:w="109"/>
        <w:gridCol w:w="109"/>
        <w:gridCol w:w="109"/>
        <w:gridCol w:w="388"/>
        <w:gridCol w:w="775"/>
        <w:gridCol w:w="201"/>
        <w:gridCol w:w="109"/>
        <w:gridCol w:w="109"/>
        <w:gridCol w:w="109"/>
        <w:gridCol w:w="109"/>
        <w:gridCol w:w="109"/>
        <w:gridCol w:w="476"/>
        <w:gridCol w:w="1426"/>
        <w:gridCol w:w="348"/>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Goodwill</w:t>
            </w:r>
          </w:p>
          <w:p>
            <w:pPr>
              <w:pStyle w:val="TableContents"/>
              <w:bidi w:val="0"/>
              <w:spacing w:lineRule="auto" w:line="240" w:before="0" w:after="0"/>
              <w:jc w:val="center"/>
              <w:rPr/>
            </w:pPr>
            <w:r>
              <w:rPr>
                <w:color w:val="000000"/>
              </w:rPr>
              <w:t>   </w:t>
            </w:r>
            <w:r>
              <w:rPr>
                <w:rFonts w:ascii="Times New Roman;serif" w:hAnsi="Times New Roman;serif"/>
                <w:b/>
                <w:color w:val="000000"/>
                <w:sz w:val="18"/>
              </w:rPr>
              <w:t>Adjustment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Balance as of June 30, 2026</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Comfort Solutions</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Building Climate Solutions</w:t>
            </w:r>
            <w:r>
              <w:rPr>
                <w:color w:val="000000"/>
              </w:rPr>
              <w:t xml:space="preserve"> </w:t>
            </w:r>
          </w:p>
        </w:tc>
        <w:tc>
          <w:tcPr>
            <w:tcW w:w="22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Goodwill</w:t>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497.2</w:t>
            </w:r>
            <w:r>
              <w:rPr>
                <w:color w:val="000000"/>
              </w:rPr>
              <w:t> </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503.7</w:t>
            </w:r>
            <w:r>
              <w:rPr>
                <w:color w:val="000000"/>
              </w:rPr>
              <w:t> </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As discussed in Note 13, an update to our purchase price allocation of Duro Dyne and Supco resulted in a $6.5 million increase in goodwill.</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monitor our reporting units for indicators of impairment throughout the year to determine if a change in facts or circumstances warrants a re-evaluation of our goodwill. We have not recorded any goodwill impairments for the six months ended June 30, 2026 or in any periods presented.</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Objectives and Strategies for Using Derivative Instruments</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Commodity Price Risk - </w:t>
      </w:r>
      <w:r>
        <w:rPr>
          <w:rFonts w:ascii="Times New Roman;serif" w:hAnsi="Times New Roman;serif"/>
          <w:b w:val="false"/>
          <w:color w:val="000000"/>
          <w:sz w:val="20"/>
        </w:rPr>
        <w:t xml:space="preserve">We utilize a cash flow hedging program to mitigate our exposure to volatility in the prices of metal commodities used in our 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Interest Rate Risk - </w:t>
      </w:r>
      <w:r>
        <w:rPr>
          <w:rFonts w:ascii="Times New Roman;serif" w:hAnsi="Times New Roman;serif"/>
          <w:b w:val="false"/>
          <w:color w:val="000000"/>
          <w:sz w:val="20"/>
        </w:rPr>
        <w:t>A portion of our debt may bear interest at variable rates, and as a result, we are subject to variability in the cash paid for interest. To mitigate a portion of that risk, we may choose to engage in an interest rate swap hedging strategy to eliminate the variability of interest payment cash flows. We are not currently hedged against interest rate risk.</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Foreign Currency Risk - </w:t>
      </w:r>
      <w:r>
        <w:rPr>
          <w:rFonts w:ascii="Times New Roman;serif" w:hAnsi="Times New Roman;serif"/>
          <w:b w:val="false"/>
          <w:color w:val="000000"/>
          <w:sz w:val="20"/>
        </w:rPr>
        <w:t>Foreign currency exchange rate movements create a degree of risk by affecting the U.S. dollar value of assets and liabilities arising in foreign currencies. We seek to mitigate the impact of currency exchange rate movements on certain short-term transactions by periodically entering into foreign currency forward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We have foreign exchange forward contracts and commodity futures contracts designated as cash flow hedges that are scheduled to mature throug</w:t>
      </w:r>
      <w:r>
        <w:rPr>
          <w:rFonts w:ascii="Times New Roman;serif" w:hAnsi="Times New Roman;serif"/>
          <w:b w:val="false"/>
          <w:color w:val="000000"/>
          <w:sz w:val="20"/>
          <w:shd w:fill="FFFFFF" w:val="clear"/>
        </w:rPr>
        <w:t xml:space="preserve">h December 2027. </w:t>
      </w:r>
      <w:r>
        <w:rPr>
          <w:rFonts w:ascii="Times New Roman;serif" w:hAnsi="Times New Roman;serif"/>
          <w:b w:val="false"/>
          <w:color w:val="000000"/>
          <w:sz w:val="20"/>
        </w:rPr>
        <w:t xml:space="preserve">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7510" w:type="dxa"/>
        <w:jc w:val="left"/>
        <w:tblInd w:w="0" w:type="dxa"/>
        <w:tblLayout w:type="fixed"/>
        <w:tblCellMar>
          <w:top w:w="28" w:type="dxa"/>
          <w:left w:w="28" w:type="dxa"/>
          <w:bottom w:w="28" w:type="dxa"/>
          <w:right w:w="28" w:type="dxa"/>
        </w:tblCellMar>
      </w:tblPr>
      <w:tblGrid>
        <w:gridCol w:w="1606"/>
        <w:gridCol w:w="1412"/>
        <w:gridCol w:w="1421"/>
        <w:gridCol w:w="269"/>
        <w:gridCol w:w="747"/>
        <w:gridCol w:w="139"/>
        <w:gridCol w:w="109"/>
        <w:gridCol w:w="109"/>
        <w:gridCol w:w="109"/>
        <w:gridCol w:w="352"/>
        <w:gridCol w:w="980"/>
        <w:gridCol w:w="25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net on unsettled contracts</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Unrealized gains, net included in AOCL, net of tax </w:t>
            </w:r>
            <w:r>
              <w:rPr>
                <w:rFonts w:ascii="Times New Roman;serif" w:hAnsi="Times New Roman;serif"/>
                <w:b w:val="false"/>
                <w:color w:val="000000"/>
                <w:sz w:val="13"/>
              </w:rPr>
              <w:t>(1)</w:t>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Assuming commodity prices and foreign currency exchange rates remain constant, we expect to reclassify $10.2 million of derivative gain as of June 30, 2026 into earnings within the next 12 months.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before="0" w:after="0"/>
        <w:ind w:left="0" w:right="0" w:firstLine="49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tbl>
      <w:tblPr>
        <w:tblW w:w="9245" w:type="dxa"/>
        <w:jc w:val="left"/>
        <w:tblInd w:w="0" w:type="dxa"/>
        <w:tblLayout w:type="fixed"/>
        <w:tblCellMar>
          <w:top w:w="28" w:type="dxa"/>
          <w:left w:w="28" w:type="dxa"/>
          <w:bottom w:w="28" w:type="dxa"/>
          <w:right w:w="28" w:type="dxa"/>
        </w:tblCellMar>
      </w:tblPr>
      <w:tblGrid>
        <w:gridCol w:w="1087"/>
        <w:gridCol w:w="954"/>
        <w:gridCol w:w="959"/>
        <w:gridCol w:w="361"/>
        <w:gridCol w:w="695"/>
        <w:gridCol w:w="186"/>
        <w:gridCol w:w="186"/>
        <w:gridCol w:w="186"/>
        <w:gridCol w:w="186"/>
        <w:gridCol w:w="361"/>
        <w:gridCol w:w="695"/>
        <w:gridCol w:w="186"/>
        <w:gridCol w:w="109"/>
        <w:gridCol w:w="109"/>
        <w:gridCol w:w="109"/>
        <w:gridCol w:w="298"/>
        <w:gridCol w:w="723"/>
        <w:gridCol w:w="154"/>
        <w:gridCol w:w="154"/>
        <w:gridCol w:w="154"/>
        <w:gridCol w:w="154"/>
        <w:gridCol w:w="298"/>
        <w:gridCol w:w="723"/>
        <w:gridCol w:w="218"/>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Pension Benefit Plans:</w:t>
      </w:r>
    </w:p>
    <w:p>
      <w:pPr>
        <w:pStyle w:val="TextBody"/>
        <w:bidi w:val="0"/>
        <w:spacing w:before="0" w:after="0"/>
        <w:jc w:val="both"/>
        <w:rPr/>
      </w:pPr>
      <w:r>
        <w:rPr/>
      </w:r>
    </w:p>
    <w:p>
      <w:pPr>
        <w:pStyle w:val="TextBody"/>
        <w:bidi w:val="0"/>
        <w:spacing w:lineRule="auto" w:line="288" w:before="0" w:after="2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for pension benefits were as follows (in millions):</w:t>
      </w:r>
    </w:p>
    <w:tbl>
      <w:tblPr>
        <w:tblW w:w="9080" w:type="dxa"/>
        <w:jc w:val="left"/>
        <w:tblInd w:w="0" w:type="dxa"/>
        <w:tblLayout w:type="fixed"/>
        <w:tblCellMar>
          <w:top w:w="28" w:type="dxa"/>
          <w:left w:w="28" w:type="dxa"/>
          <w:bottom w:w="28" w:type="dxa"/>
          <w:right w:w="28" w:type="dxa"/>
        </w:tblCellMar>
      </w:tblPr>
      <w:tblGrid>
        <w:gridCol w:w="1025"/>
        <w:gridCol w:w="901"/>
        <w:gridCol w:w="909"/>
        <w:gridCol w:w="355"/>
        <w:gridCol w:w="708"/>
        <w:gridCol w:w="183"/>
        <w:gridCol w:w="183"/>
        <w:gridCol w:w="183"/>
        <w:gridCol w:w="183"/>
        <w:gridCol w:w="355"/>
        <w:gridCol w:w="708"/>
        <w:gridCol w:w="183"/>
        <w:gridCol w:w="109"/>
        <w:gridCol w:w="109"/>
        <w:gridCol w:w="109"/>
        <w:gridCol w:w="327"/>
        <w:gridCol w:w="654"/>
        <w:gridCol w:w="169"/>
        <w:gridCol w:w="169"/>
        <w:gridCol w:w="169"/>
        <w:gridCol w:w="169"/>
        <w:gridCol w:w="327"/>
        <w:gridCol w:w="654"/>
        <w:gridCol w:w="239"/>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actuarial loss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and curtailments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periodic benefit cost</w:t>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approximately $5.3 million in total gross unrecognized tax benefits. If recognized, $5.3 million would be recorded through the Consolidated Statements of Operations. </w:t>
      </w:r>
    </w:p>
    <w:p>
      <w:pPr>
        <w:pStyle w:val="TextBody"/>
        <w:bidi w:val="0"/>
        <w:spacing w:before="0" w:after="0"/>
        <w:ind w:left="0" w:right="0" w:firstLine="270"/>
        <w:jc w:val="both"/>
        <w:rPr/>
      </w:pPr>
      <w:r>
        <w:rPr/>
      </w:r>
    </w:p>
    <w:p>
      <w:pPr>
        <w:pStyle w:val="TextBody"/>
        <w:bidi w:val="0"/>
        <w:spacing w:lineRule="auto" w:line="26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Our effective tax rate was 20.8% for the three months ended June 30, 2026 compared to 19.4% for the three months ended June 30, 2025. The increase in rate is primarily due to higher income in higher tax jurisdictions.</w:t>
      </w:r>
    </w:p>
    <w:p>
      <w:pPr>
        <w:pStyle w:val="TextBody"/>
        <w:bidi w:val="0"/>
        <w:spacing w:before="0" w:after="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Internal Revenue Service is currently auditing certain aspects of our U.S. federal income tax returns for 2021 and 2022, including cross border transactions. There are also ongoing U.S. state and local audits and other foreign audits covering fiscal years 2019 through 2024. We are generally no longer subject to U.S. federal, state and local, or non-U.S. income tax examinations by taxing authorities for years prior to 2019. We believe that the positions taken on our tax returns are more likely than not to prevail on technical merits and that adequate amounts have been reserved for these audits. However, final resolution of ongoing audits could result in settlements or judgments in excess of our reserves, and such settlements or judgments could have a material adverse impact on our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Lines of Credit and Financing Arrangements:</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outstanding debt obligations and their classification in the accompanying Consolidated Balance Sheets (in millions) as of:</w:t>
      </w:r>
    </w:p>
    <w:p>
      <w:pPr>
        <w:pStyle w:val="TextBody"/>
        <w:bidi w:val="0"/>
        <w:spacing w:before="0" w:after="0"/>
        <w:ind w:left="0" w:right="0" w:firstLine="270"/>
        <w:jc w:val="left"/>
        <w:rPr/>
      </w:pPr>
      <w:r>
        <w:rPr/>
      </w:r>
    </w:p>
    <w:tbl>
      <w:tblPr>
        <w:tblW w:w="6790" w:type="dxa"/>
        <w:jc w:val="left"/>
        <w:tblInd w:w="0" w:type="dxa"/>
        <w:tblLayout w:type="fixed"/>
        <w:tblCellMar>
          <w:top w:w="28" w:type="dxa"/>
          <w:left w:w="28" w:type="dxa"/>
          <w:bottom w:w="28" w:type="dxa"/>
          <w:right w:w="28" w:type="dxa"/>
        </w:tblCellMar>
      </w:tblPr>
      <w:tblGrid>
        <w:gridCol w:w="1348"/>
        <w:gridCol w:w="1182"/>
        <w:gridCol w:w="1189"/>
        <w:gridCol w:w="221"/>
        <w:gridCol w:w="820"/>
        <w:gridCol w:w="114"/>
        <w:gridCol w:w="109"/>
        <w:gridCol w:w="109"/>
        <w:gridCol w:w="109"/>
        <w:gridCol w:w="292"/>
        <w:gridCol w:w="1084"/>
        <w:gridCol w:w="213"/>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Commercial paper</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maturities of long-term debt:</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Total current maturities of long-term debt</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1,581.3</w:t>
            </w:r>
            <w:r>
              <w:rPr>
                <w:color w:val="000000"/>
              </w:rPr>
              <w:t>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1,388.4</w:t>
            </w:r>
            <w:r>
              <w:rPr>
                <w:color w:val="000000"/>
              </w:rPr>
              <w:t>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Paper Program</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utilize a commercial paper program (the “Program”)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were $412.0 million CP Notes outstanding under the Program as of June 30, 2026.</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weighted average borrowing rate on the Program was as follows as of:</w:t>
      </w:r>
    </w:p>
    <w:tbl>
      <w:tblPr>
        <w:tblW w:w="5891" w:type="dxa"/>
        <w:jc w:val="left"/>
        <w:tblInd w:w="0" w:type="dxa"/>
        <w:tblLayout w:type="fixed"/>
        <w:tblCellMar>
          <w:top w:w="28" w:type="dxa"/>
          <w:left w:w="28" w:type="dxa"/>
          <w:bottom w:w="28" w:type="dxa"/>
          <w:right w:w="28" w:type="dxa"/>
        </w:tblCellMar>
      </w:tblPr>
      <w:tblGrid>
        <w:gridCol w:w="1021"/>
        <w:gridCol w:w="898"/>
        <w:gridCol w:w="901"/>
        <w:gridCol w:w="257"/>
        <w:gridCol w:w="257"/>
        <w:gridCol w:w="640"/>
        <w:gridCol w:w="109"/>
        <w:gridCol w:w="109"/>
        <w:gridCol w:w="109"/>
        <w:gridCol w:w="323"/>
        <w:gridCol w:w="323"/>
        <w:gridCol w:w="94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borrowing rate</w:t>
            </w:r>
          </w:p>
        </w:tc>
        <w:tc>
          <w:tcPr>
            <w:tcW w:w="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before="0" w:after="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October 16, 2025, we entered into a Term Credit Agreement (the “Term Credit Agreement”) with Wells Fargo Bank, National Association, as administrative agent, and the other lenders party thereto. We borrowed $300.0 million pursuant to the Term Credit Agreement and used the net proceeds to repay existing borrowings under the Credit Agreement (as defined below). The Term Credit Agreement matures on October 16, 2027. Loans under the Term Credit Agreement bear interest at our election at a rate per annum equal to (i) a forward-looking term rate based on the secured overnight financing rate for the applicable interest period ("Term SOFR"), plus an applicable margin ranging between 0.90% and 1.025% per annum depending on our long-term unsecured debt rating, or (ii) the highest of the Wells Fargo Bank, National Association prime rate, the Federal Funds rate plus 0.50%, and Term SOFR for a one month tenor in effect on such day plus 1.00%, plus an applicable margin ranging between 0.00% and 0.025% per annum depending on our long-term unsecured debt rating.</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Term Credit Agreement contains customary covenants and events of default that are substantially similar to the existing covenants and events of default in our Credit Agreement.</w:t>
      </w:r>
    </w:p>
    <w:p>
      <w:pPr>
        <w:pStyle w:val="TextBody"/>
        <w:bidi w:val="0"/>
        <w:spacing w:before="0" w:after="0"/>
        <w:ind w:left="0" w:right="0" w:firstLine="270"/>
        <w:jc w:val="both"/>
        <w:rPr/>
      </w:pPr>
      <w:r>
        <w:rPr/>
      </w:r>
    </w:p>
    <w:tbl>
      <w:tblPr>
        <w:tblW w:w="5891" w:type="dxa"/>
        <w:jc w:val="left"/>
        <w:tblInd w:w="0" w:type="dxa"/>
        <w:tblLayout w:type="fixed"/>
        <w:tblCellMar>
          <w:top w:w="28" w:type="dxa"/>
          <w:left w:w="28" w:type="dxa"/>
          <w:bottom w:w="28" w:type="dxa"/>
          <w:right w:w="28" w:type="dxa"/>
        </w:tblCellMar>
      </w:tblPr>
      <w:tblGrid>
        <w:gridCol w:w="1021"/>
        <w:gridCol w:w="898"/>
        <w:gridCol w:w="901"/>
        <w:gridCol w:w="257"/>
        <w:gridCol w:w="257"/>
        <w:gridCol w:w="640"/>
        <w:gridCol w:w="109"/>
        <w:gridCol w:w="109"/>
        <w:gridCol w:w="109"/>
        <w:gridCol w:w="323"/>
        <w:gridCol w:w="323"/>
        <w:gridCol w:w="94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borrowing rate</w:t>
            </w:r>
          </w:p>
        </w:tc>
        <w:tc>
          <w:tcPr>
            <w:tcW w:w="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ind w:left="0" w:right="0" w:firstLine="49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9, 2025, we entered into an Amendment and Restatement Agreement (the "Credit Agreement") to our existing unsecured revolving credit facility with JPMorgan Chase Bank, N.A., as administrative agent, and the other lenders party thereto. The Credit Agreement decreased our total revolving commitments from $1.1 billion to $1.0 billion with an option to increase the revolving commitments by up to $350 million at our request, subject to the terms and conditions of the Credit Agreement. The Credit Agreement also extended the maturity date of the revolving commitments from July 2026 to May 2030. We had no outstanding borrowings and $1.7 million committed to standby letters of credit as of June 30, 2026. Subject to covenant limitations, $586.3 million was available for future borrowings after taking into consideration outstanding borrowings under our Program. Availability under the Credit Agreement is reduced by borrowings under the Program. The Credit Agreement includes a subfacility for swingline loans up to $65.0 million. Maturity of the Credit Agreement may be extended by the lenders pursuant to two one-year extension options that we may request under the Credit Agreement.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weighted average borrowing rate on the Credit Agreement was as follows as of:</w:t>
      </w:r>
    </w:p>
    <w:tbl>
      <w:tblPr>
        <w:tblW w:w="5891" w:type="dxa"/>
        <w:jc w:val="left"/>
        <w:tblInd w:w="0" w:type="dxa"/>
        <w:tblLayout w:type="fixed"/>
        <w:tblCellMar>
          <w:top w:w="28" w:type="dxa"/>
          <w:left w:w="28" w:type="dxa"/>
          <w:bottom w:w="28" w:type="dxa"/>
          <w:right w:w="28" w:type="dxa"/>
        </w:tblCellMar>
      </w:tblPr>
      <w:tblGrid>
        <w:gridCol w:w="1021"/>
        <w:gridCol w:w="898"/>
        <w:gridCol w:w="901"/>
        <w:gridCol w:w="257"/>
        <w:gridCol w:w="257"/>
        <w:gridCol w:w="640"/>
        <w:gridCol w:w="109"/>
        <w:gridCol w:w="109"/>
        <w:gridCol w:w="109"/>
        <w:gridCol w:w="323"/>
        <w:gridCol w:w="323"/>
        <w:gridCol w:w="94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borrowing rate</w:t>
            </w:r>
          </w:p>
        </w:tc>
        <w:tc>
          <w:tcPr>
            <w:tcW w:w="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Credit Agreement and the Term Credit Agreement (the "Credit Facilities") are guaranteed by certain of our subsidiaries (the "Guarantor Subsidiaries") and contain customary covenants applicable to us and our subsidiaries including limitations on indebtedness, liens, dividends, stock repurchases, mergers, and sales of all or substantially all of our assets. In addition, the Credit Facilities each contain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Credit Facilities contain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Facilities could occur if:</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fail to pay any principal or interest when due on any other indebtedness or receivables securitization exceeding $75.0 million;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Each of our major debt agreements contains provisions by which a default under one agreement causes a default in the others (a cross default). If a cross default under our Credit Facilities or our senior unsecured notes were to occur, it could have a wider impact on our liquidity than might otherwise occur from a default of a single debt instrument or lease commitment.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If any event of default occurs and is continuing, the administrative agent, or lenders with a majority of the aggregate commitments may require the administrative agent to terminate our right to borrow under our Credit Agreement and accelerate amounts due under our Credit Facilities (except for a bankruptcy event of default, in which case such amounts will automatically become due and payable and the lenders’ commitments will automatically terminate).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currently in compliance with all covenant requirements.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before="0" w:after="0"/>
        <w:ind w:left="0" w:right="0" w:firstLine="49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we issued $500.0 million of senior unsecured notes, which will mature in September 2028 (the "2028 Notes") with interest being paid semi-annually in March and September at 5.50%. In July 2020, we issued $300.0 million of senior unsecured notes, which will mature on August 1, 2027 (the "2027 Notes," and collectively with the 2028 Notes, the "Notes") with interest being paid semi-annually in February and August at 1.70% per annum. On August 1, 2025, we repaid upon maturity $300.0 million of senior unsecured notes originally issued in 2020.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the Guarantor Subsidiaries. The indenture governing the Notes contains covenants that,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Comprehensive Income (Loss):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items reclassified from AOCL to Net income in the accompanying Consolidated Statements of Operations (in millions):</w:t>
      </w:r>
    </w:p>
    <w:tbl>
      <w:tblPr>
        <w:tblW w:w="10205" w:type="dxa"/>
        <w:jc w:val="left"/>
        <w:tblInd w:w="0" w:type="dxa"/>
        <w:tblLayout w:type="fixed"/>
        <w:tblCellMar>
          <w:top w:w="28" w:type="dxa"/>
          <w:left w:w="28" w:type="dxa"/>
          <w:bottom w:w="28" w:type="dxa"/>
          <w:right w:w="28" w:type="dxa"/>
        </w:tblCellMar>
      </w:tblPr>
      <w:tblGrid>
        <w:gridCol w:w="1076"/>
        <w:gridCol w:w="533"/>
        <w:gridCol w:w="537"/>
        <w:gridCol w:w="109"/>
        <w:gridCol w:w="109"/>
        <w:gridCol w:w="109"/>
        <w:gridCol w:w="250"/>
        <w:gridCol w:w="606"/>
        <w:gridCol w:w="129"/>
        <w:gridCol w:w="129"/>
        <w:gridCol w:w="129"/>
        <w:gridCol w:w="129"/>
        <w:gridCol w:w="250"/>
        <w:gridCol w:w="530"/>
        <w:gridCol w:w="129"/>
        <w:gridCol w:w="109"/>
        <w:gridCol w:w="109"/>
        <w:gridCol w:w="109"/>
        <w:gridCol w:w="241"/>
        <w:gridCol w:w="603"/>
        <w:gridCol w:w="124"/>
        <w:gridCol w:w="124"/>
        <w:gridCol w:w="124"/>
        <w:gridCol w:w="124"/>
        <w:gridCol w:w="241"/>
        <w:gridCol w:w="511"/>
        <w:gridCol w:w="124"/>
        <w:gridCol w:w="109"/>
        <w:gridCol w:w="109"/>
        <w:gridCol w:w="109"/>
        <w:gridCol w:w="752"/>
        <w:gridCol w:w="752"/>
        <w:gridCol w:w="1077"/>
      </w:tblGrid>
      <w:tr>
        <w:trPr/>
        <w:tc>
          <w:tcPr>
            <w:tcW w:w="107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Affected Line Item(s) in the Consolidated Statements of Operations</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Gains (Losses)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Losses and other expenses, net</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Defined Benefit Plan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settlements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reclassifications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changes in AOCL, by component (net of tax), for the six months ended June 30, 2026 (in millions):</w:t>
      </w:r>
    </w:p>
    <w:tbl>
      <w:tblPr>
        <w:tblW w:w="10205" w:type="dxa"/>
        <w:jc w:val="left"/>
        <w:tblInd w:w="0" w:type="dxa"/>
        <w:tblLayout w:type="fixed"/>
        <w:tblCellMar>
          <w:top w:w="28" w:type="dxa"/>
          <w:left w:w="28" w:type="dxa"/>
          <w:bottom w:w="28" w:type="dxa"/>
          <w:right w:w="28" w:type="dxa"/>
        </w:tblCellMar>
      </w:tblPr>
      <w:tblGrid>
        <w:gridCol w:w="787"/>
        <w:gridCol w:w="580"/>
        <w:gridCol w:w="582"/>
        <w:gridCol w:w="109"/>
        <w:gridCol w:w="109"/>
        <w:gridCol w:w="109"/>
        <w:gridCol w:w="290"/>
        <w:gridCol w:w="724"/>
        <w:gridCol w:w="149"/>
        <w:gridCol w:w="109"/>
        <w:gridCol w:w="109"/>
        <w:gridCol w:w="109"/>
        <w:gridCol w:w="544"/>
        <w:gridCol w:w="1088"/>
        <w:gridCol w:w="282"/>
        <w:gridCol w:w="109"/>
        <w:gridCol w:w="109"/>
        <w:gridCol w:w="109"/>
        <w:gridCol w:w="278"/>
        <w:gridCol w:w="721"/>
        <w:gridCol w:w="143"/>
        <w:gridCol w:w="109"/>
        <w:gridCol w:w="109"/>
        <w:gridCol w:w="109"/>
        <w:gridCol w:w="366"/>
        <w:gridCol w:w="912"/>
        <w:gridCol w:w="190"/>
        <w:gridCol w:w="109"/>
        <w:gridCol w:w="109"/>
        <w:gridCol w:w="109"/>
        <w:gridCol w:w="216"/>
        <w:gridCol w:w="551"/>
        <w:gridCol w:w="167"/>
      </w:tblGrid>
      <w:tr>
        <w:trPr/>
        <w:tc>
          <w:tcPr>
            <w:tcW w:w="78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 of Equity Method Investments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Pension Plan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AOCL</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(46.8)</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(48.5)</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(46.8)</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(58.6)</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methodologies used to determine the fair value of our financial assets and liabilities as of June 30, 2026 were the same as those used as of December 31, 2025.</w:t>
      </w:r>
    </w:p>
    <w:p>
      <w:pPr>
        <w:pStyle w:val="TextBody"/>
        <w:bidi w:val="0"/>
        <w:spacing w:lineRule="auto" w:line="288" w:before="0" w:after="0"/>
        <w:ind w:left="0" w:right="0" w:firstLine="270"/>
        <w:jc w:val="both"/>
        <w:rPr>
          <w:rFonts w:ascii="Times New Roman;serif" w:hAnsi="Times New Roman;serif"/>
          <w:b/>
          <w:i/>
          <w:color w:val="000000"/>
          <w:sz w:val="20"/>
        </w:rPr>
      </w:pPr>
      <w:r>
        <w:rPr>
          <w:rFonts w:ascii="Times New Roman;serif" w:hAnsi="Times New Roman;serif"/>
          <w:b/>
          <w:i/>
          <w:color w:val="000000"/>
          <w:sz w:val="20"/>
        </w:rPr>
        <w:t>Assets and Liabilities Carried at Fair Value on a Recurring Basis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Other Fair Value Disclosures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Short-term investments, Accounts and notes receivable, net, Accounts payable, and Short-term debt approximate fair value due to the short maturities of these instruments. The carrying amount of our Credit Facilities and CP Notes in Long-term debt also approximates fair value due to its variable-rate characteristics.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tbl>
      <w:tblPr>
        <w:tblW w:w="5066" w:type="dxa"/>
        <w:jc w:val="left"/>
        <w:tblInd w:w="0" w:type="dxa"/>
        <w:tblLayout w:type="fixed"/>
        <w:tblCellMar>
          <w:top w:w="28" w:type="dxa"/>
          <w:left w:w="28" w:type="dxa"/>
          <w:bottom w:w="28" w:type="dxa"/>
          <w:right w:w="28" w:type="dxa"/>
        </w:tblCellMar>
      </w:tblPr>
      <w:tblGrid>
        <w:gridCol w:w="721"/>
        <w:gridCol w:w="635"/>
        <w:gridCol w:w="639"/>
        <w:gridCol w:w="260"/>
        <w:gridCol w:w="760"/>
        <w:gridCol w:w="134"/>
        <w:gridCol w:w="109"/>
        <w:gridCol w:w="109"/>
        <w:gridCol w:w="109"/>
        <w:gridCol w:w="342"/>
        <w:gridCol w:w="999"/>
        <w:gridCol w:w="249"/>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Prior Year Acquisitions: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Duro Dyne and Supco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shd w:fill="FFFFFF" w:val="clear"/>
        </w:rPr>
        <w:t xml:space="preserve">In October 2025, we completed the acquisition of Duro Dyne and Supco, a robust portfolio of HVAC parts and supplies that complement our existing residential and commercial offerings. Under the terms of the purchase agreement, a final working capital adjustment was completed in the first quarter of 2026. This working capital adjustment resulted in a </w:t>
      </w:r>
      <w:r>
        <w:rPr>
          <w:rFonts w:ascii="Times New Roman;serif" w:hAnsi="Times New Roman;serif"/>
          <w:b w:val="false"/>
          <w:color w:val="000000"/>
          <w:sz w:val="20"/>
        </w:rPr>
        <w:t>$2.3 million</w:t>
      </w:r>
      <w:r>
        <w:rPr>
          <w:color w:val="000000"/>
          <w:shd w:fill="FFFFFF" w:val="clear"/>
        </w:rPr>
        <w:t xml:space="preserve"> </w:t>
      </w:r>
      <w:r>
        <w:rPr>
          <w:rFonts w:ascii="Times New Roman;serif" w:hAnsi="Times New Roman;serif"/>
          <w:b w:val="false"/>
          <w:color w:val="000000"/>
          <w:sz w:val="20"/>
          <w:shd w:fill="FFFFFF" w:val="clear"/>
        </w:rPr>
        <w:t>increase in the purchase price. Additionally, during the first quarter of 2026 we made certain purchase price adjustments. The following table details the purchase price adjustments that were made during the first quarter of 2026 (in millions)</w:t>
      </w:r>
      <w:r>
        <w:rPr>
          <w:rFonts w:ascii="Times New Roman;serif" w:hAnsi="Times New Roman;serif"/>
          <w:b w:val="false"/>
          <w:color w:val="000000"/>
          <w:sz w:val="20"/>
        </w:rPr>
        <w:t>:</w:t>
      </w:r>
    </w:p>
    <w:tbl>
      <w:tblPr>
        <w:tblW w:w="6819" w:type="dxa"/>
        <w:jc w:val="left"/>
        <w:tblInd w:w="0" w:type="dxa"/>
        <w:tblLayout w:type="fixed"/>
        <w:tblCellMar>
          <w:top w:w="28" w:type="dxa"/>
          <w:left w:w="28" w:type="dxa"/>
          <w:bottom w:w="28" w:type="dxa"/>
          <w:right w:w="28" w:type="dxa"/>
        </w:tblCellMar>
      </w:tblPr>
      <w:tblGrid>
        <w:gridCol w:w="863"/>
        <w:gridCol w:w="759"/>
        <w:gridCol w:w="762"/>
        <w:gridCol w:w="348"/>
        <w:gridCol w:w="1017"/>
        <w:gridCol w:w="180"/>
        <w:gridCol w:w="109"/>
        <w:gridCol w:w="109"/>
        <w:gridCol w:w="109"/>
        <w:gridCol w:w="295"/>
        <w:gridCol w:w="588"/>
        <w:gridCol w:w="153"/>
        <w:gridCol w:w="109"/>
        <w:gridCol w:w="109"/>
        <w:gridCol w:w="109"/>
        <w:gridCol w:w="258"/>
        <w:gridCol w:w="754"/>
        <w:gridCol w:w="188"/>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tangible assets acquired</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Intangible assets acquired</w:t>
            </w:r>
            <w:r>
              <w:rPr>
                <w:rFonts w:ascii="Times New Roman;serif" w:hAnsi="Times New Roman;serif"/>
                <w:b w:val="false"/>
                <w:color w:val="000000"/>
                <w:sz w:val="13"/>
              </w:rPr>
              <w:t>(1)</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w:t>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intangible assets acquired were estimated using the income approach through a discounted cash flow analysis. The estimates are based on inputs that are not observable in the market, and therefore represent non-recurring Level 3 inputs.</w:t>
      </w:r>
    </w:p>
    <w:p>
      <w:pPr>
        <w:pStyle w:val="TextBody"/>
        <w:bidi w:val="0"/>
        <w:spacing w:before="0" w:after="0"/>
        <w:ind w:left="0" w:right="0" w:hanging="18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shd w:fill="FFFFFF" w:val="clear"/>
        </w:rPr>
        <w:t xml:space="preserve">The Company has substantially completed the purchase price allocation for the acquisition of Duro Dyne and Supco. While management believes the allocation is effectively complete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purchase price allocation remains subject to adjustment as additional information becomes available during the measurement period, which may extend up to one year from the acquisition date in accordance with ASC 805.</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Acquisition – Heat Controller</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July 13, 2026, the Company completed the previously announced acquisition of Dusk Acquisition II Corporation and its subsidiaries Heat Controller, LLC and Aitons Equipment ULC (collectively, "Heat Controller"). Heat Controller serves distributors across North America and strengthens the Company's ability to serve small and mid-size HVAC distributors by expanding access to differentiated equipment offerings while creating new opportunities to broaden Lennox's share in the North American HVAC market. Excluding cash received at the closing, the purchase price for the acquisition was $205.0 million. We used cash on hand and available borrowing capacity to fund the purchase price. The purchase price is subject to final adjustments for net working capital. The financial results of Heat Controller will be included beginning in the third quarter of 2026. </w:t>
      </w:r>
    </w:p>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Due to the timing of this transaction, the allocation of the purchase price has not yet been finalized.</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Item 2. </w:t>
      </w:r>
      <w:r>
        <w:rPr>
          <w:rFonts w:ascii="Times New Roman;serif" w:hAnsi="Times New Roman;serif"/>
          <w:b/>
          <w:i/>
          <w:color w:val="000000"/>
          <w:sz w:val="20"/>
        </w:rPr>
        <w:t xml:space="preserve">Management's Discussion and Analysis of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and Section 21E of the Securities Exchange Act of 1934 (the "Exchange Act"),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specific uncertainties discussed elsewhere in this Quarterly Report on Form 10-Q, the risk factors set forth in Part I, “Item 1A. Risk Factors” in our Annual Report on Form 10-K for the year ended December 31, 2025,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two reportable business segments of the HVACR industry, Home Comfort Solutions and Building Climate Solutions. For more detailed information regarding our reportable segments, see Note 2 in the Notes to the Consolidated Financial Statements.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and tariffs through a combination of pricing actions, vendor contracts, improved production efficiency, and cost reduction initiatives. We also partially mitigate volatility in the prices of these commodities by entering into futures contracts and fixed forward contracts.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Results for the second quarter of 2026 were mixed as our Home Comfort Solutions segment faced volume headwinds driven by market softness. Overall our net sales increased 3% and our segment profit was relatively flat as compared to prior year. For our Home Comfort Solutions segment, net sales decreased 7% and segment profit decreased $30 million. For our Building Climate Solutions segment, net sales increased 24% and segment profit increased $35 million.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Financial Highlights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sales of $1,545 million in the second quarter of 2026 reflected a 3% increase as compared to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income in the second quarter of 2026 increased $6 million to $355 million as favorable mix and price were partially offset by lower sales volumes, higher product costs and higher freight and distribution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Net income for the second quarter of 2026 was $269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Diluted earnings per share was $7.72 per share in the second quarter of 2026 as compared to $7.71 per share in the same period in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six months ended June 30, 2026, we returned $91 million to shareholders through dividend payments and repurchased $151 million of common stock through our share repurchase program.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Throughout 2025 and 2026, the U.S. government implemented new tariff measures under various authorities, including the International Emergency Economic Powers Act ("IEEPA") and Sections 122, 232, and 301 of the Trade Expansion Act of 1962.</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U.S. Supreme Court ruled against tariffs imposed under IEEPA, and U.S. Customs and Border Protection is now processing valid court-ordered IEEPA refunds. The ruling did not repeal Section 232 tariffs on steel, copper, and aluminum or Section 301 tariffs on covered Chinese HVAC imports. </w:t>
      </w:r>
    </w:p>
    <w:p>
      <w:pPr>
        <w:pStyle w:val="TextBody"/>
        <w:bidi w:val="0"/>
        <w:spacing w:before="0" w:after="0"/>
        <w:ind w:left="0" w:right="0" w:firstLine="270"/>
        <w:jc w:val="both"/>
        <w:rPr/>
      </w:pPr>
      <w:r>
        <w:rPr/>
      </w:r>
    </w:p>
    <w:p>
      <w:pPr>
        <w:pStyle w:val="TextBody"/>
        <w:bidi w:val="0"/>
        <w:spacing w:lineRule="auto" w:line="276"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Following this ruling, the U.S. presidential administration imposed a temporary surcharge, known as Section 122, which applied a 10% global tariff on most imported products, effective through July 24, 2026. The temporary surcharge was replaced by a new Section 301 forced labor tariffs framework of 10% or 12.5%, covering imports from 60 trading partners. Section 232 articles and qualifying USMCA goods are excluded from this new framework. Section 232 tariffs also continued to evolve, with modifications implemented in April and June 2026. The Company is evaluating the potential impact of all tariff actions on future material costs and sourcing decisions.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2025 - Consolidated Results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financial results, including information presented as a percentage of net sales:</w:t>
      </w:r>
    </w:p>
    <w:tbl>
      <w:tblPr>
        <w:tblW w:w="10205" w:type="dxa"/>
        <w:jc w:val="left"/>
        <w:tblInd w:w="0" w:type="dxa"/>
        <w:tblLayout w:type="fixed"/>
        <w:tblCellMar>
          <w:top w:w="28" w:type="dxa"/>
          <w:left w:w="28" w:type="dxa"/>
          <w:bottom w:w="28" w:type="dxa"/>
          <w:right w:w="28" w:type="dxa"/>
        </w:tblCellMar>
      </w:tblPr>
      <w:tblGrid>
        <w:gridCol w:w="1302"/>
        <w:gridCol w:w="1141"/>
        <w:gridCol w:w="1137"/>
        <w:gridCol w:w="211"/>
        <w:gridCol w:w="781"/>
        <w:gridCol w:w="109"/>
        <w:gridCol w:w="109"/>
        <w:gridCol w:w="109"/>
        <w:gridCol w:w="109"/>
        <w:gridCol w:w="211"/>
        <w:gridCol w:w="781"/>
        <w:gridCol w:w="109"/>
        <w:gridCol w:w="109"/>
        <w:gridCol w:w="109"/>
        <w:gridCol w:w="109"/>
        <w:gridCol w:w="317"/>
        <w:gridCol w:w="299"/>
        <w:gridCol w:w="589"/>
        <w:gridCol w:w="109"/>
        <w:gridCol w:w="109"/>
        <w:gridCol w:w="109"/>
        <w:gridCol w:w="315"/>
        <w:gridCol w:w="316"/>
        <w:gridCol w:w="301"/>
        <w:gridCol w:w="109"/>
        <w:gridCol w:w="109"/>
        <w:gridCol w:w="109"/>
        <w:gridCol w:w="315"/>
        <w:gridCol w:w="316"/>
        <w:gridCol w:w="347"/>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br/>
              <w:t>Change</w:t>
              <w:br/>
              <w:t>Fav/(Unfav)</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Sales</w:t>
            </w:r>
          </w:p>
        </w:tc>
      </w:tr>
      <w:tr>
        <w:trPr/>
        <w:tc>
          <w:tcPr>
            <w:tcW w:w="3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5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w:t>
            </w:r>
            <w:r>
              <w:rPr>
                <w:color w:val="000000"/>
              </w:rPr>
              <w:t> </w:t>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second quarter of 2026 increased 3% as compared to the same period in 2025 primarily due to a 3% increase from favorable mix and price and a 4% increase in sales volumes from completed acquisitions, which were partially offset by a 4% decrease in sales volumes. </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margins in the second quarter of 2026 increased 40 basis points ("bps") to 34.9% as compared to 34.5% in the same period in 2025. Gross margins increased 120 bps from favorable mix and price and 40 bps from sales volumes from completed acquisitions, which were partially offset by 80 bps from higher product costs, primarily reflecting inflation and factory under absorption, net of $30 million in tariff refunds, and 40 bps from higher freight and distribution inflation and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ind w:left="0" w:right="0" w:firstLine="40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("SG&amp;A") increased $10 million to $183 million in the second quarter of 2026 as compared to $173 million in the same period in 2025, primarily attributable to higher discretionary and employee-related costs and the acquisition of Duro Dyne and Supco in the fourth quarter of 2025.</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Losses (Gains) and Other Expenses, Net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Losses (gains) and other expenses, net for the second quarter of 2026 and 2025 included the following (in millions):</w:t>
      </w:r>
    </w:p>
    <w:tbl>
      <w:tblPr>
        <w:tblW w:w="7919" w:type="dxa"/>
        <w:jc w:val="left"/>
        <w:tblInd w:w="0" w:type="dxa"/>
        <w:tblLayout w:type="fixed"/>
        <w:tblCellMar>
          <w:top w:w="28" w:type="dxa"/>
          <w:left w:w="28" w:type="dxa"/>
          <w:bottom w:w="28" w:type="dxa"/>
          <w:right w:w="28" w:type="dxa"/>
        </w:tblCellMar>
      </w:tblPr>
      <w:tblGrid>
        <w:gridCol w:w="1421"/>
        <w:gridCol w:w="1252"/>
        <w:gridCol w:w="1256"/>
        <w:gridCol w:w="346"/>
        <w:gridCol w:w="667"/>
        <w:gridCol w:w="179"/>
        <w:gridCol w:w="179"/>
        <w:gridCol w:w="179"/>
        <w:gridCol w:w="179"/>
        <w:gridCol w:w="346"/>
        <w:gridCol w:w="790"/>
        <w:gridCol w:w="179"/>
        <w:gridCol w:w="109"/>
        <w:gridCol w:w="109"/>
        <w:gridCol w:w="109"/>
        <w:gridCol w:w="109"/>
        <w:gridCol w:w="109"/>
        <w:gridCol w:w="401"/>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exchange losses (gains)</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disposal of fixed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Special litigation charges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expenses, net (pre-tax)</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from Equity Method Investments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over which we do not exercise control but have significant influence are accounted for using the equity method of accounting. Income from equity method investments was de minimis in the second quarter of 2026, consistent with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Expense, net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increased to $15 million in the second quarter of 2026 from $8 million in the same period in 2025 primarily due to increased borrowings on our commercial paper facility and our term loan agreement entered into in October of 2025.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effective tax rate was 20.8% for the second quarter of 2026 as compared to 19.4% in the same period in 2025. The increase in the rate is primarily due to higher income in higher tax jurisdictions.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Second Quarter of 2026 Compared to Second Quarter of 2025 - Results by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Comfort Solutions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Home Comfort Solutions segment's net sales and profit for the second quarter of 2026 and 2025 (dollars in millions):</w:t>
      </w:r>
    </w:p>
    <w:tbl>
      <w:tblPr>
        <w:tblW w:w="6845" w:type="dxa"/>
        <w:jc w:val="left"/>
        <w:tblInd w:w="0" w:type="dxa"/>
        <w:tblLayout w:type="fixed"/>
        <w:tblCellMar>
          <w:top w:w="28" w:type="dxa"/>
          <w:left w:w="28" w:type="dxa"/>
          <w:bottom w:w="28" w:type="dxa"/>
          <w:right w:w="28" w:type="dxa"/>
        </w:tblCellMar>
      </w:tblPr>
      <w:tblGrid>
        <w:gridCol w:w="446"/>
        <w:gridCol w:w="390"/>
        <w:gridCol w:w="394"/>
        <w:gridCol w:w="240"/>
        <w:gridCol w:w="701"/>
        <w:gridCol w:w="308"/>
        <w:gridCol w:w="124"/>
        <w:gridCol w:w="124"/>
        <w:gridCol w:w="124"/>
        <w:gridCol w:w="240"/>
        <w:gridCol w:w="872"/>
        <w:gridCol w:w="308"/>
        <w:gridCol w:w="109"/>
        <w:gridCol w:w="109"/>
        <w:gridCol w:w="109"/>
        <w:gridCol w:w="211"/>
        <w:gridCol w:w="586"/>
        <w:gridCol w:w="109"/>
        <w:gridCol w:w="109"/>
        <w:gridCol w:w="109"/>
        <w:gridCol w:w="109"/>
        <w:gridCol w:w="218"/>
        <w:gridCol w:w="218"/>
        <w:gridCol w:w="578"/>
      </w:tblGrid>
      <w:tr>
        <w:trPr/>
        <w:tc>
          <w:tcPr>
            <w:tcW w:w="4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935.6 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decreased 7% in the second quarter of 2026 as compared to the same period in 2025 primarily due to a 12% decrease in sales volumes, which was partially offset by a 3% increase from favorable mix and price and a 2% increase in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volumes from completed acquisitions.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Segment profit in the second quarter of 2026 decreased $30 million as compared to the same period in 2025, primarily due to lower sales volumes, which resulted in a $49 million profit headwind, $3 million from increased freight and distribution costs, $2 million from product cost inflation and lower factory absorption, net of $25 million in tariff refunds, and $8 million from miscellaneous other costs. These impacts were partially offset by a $24 million benefit from favorable mix and price, $5 million from completed acquisitions, and $3 million from SG&amp;A improvement.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Building Climate Solutions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Building Climate Solutions segment's net sales and profit for the second quarter of 2026 and 2025 (dollars in millions):</w:t>
      </w:r>
    </w:p>
    <w:tbl>
      <w:tblPr>
        <w:tblW w:w="6837" w:type="dxa"/>
        <w:jc w:val="left"/>
        <w:tblInd w:w="0" w:type="dxa"/>
        <w:tblLayout w:type="fixed"/>
        <w:tblCellMar>
          <w:top w:w="28" w:type="dxa"/>
          <w:left w:w="28" w:type="dxa"/>
          <w:bottom w:w="28" w:type="dxa"/>
          <w:right w:w="28" w:type="dxa"/>
        </w:tblCellMar>
      </w:tblPr>
      <w:tblGrid>
        <w:gridCol w:w="446"/>
        <w:gridCol w:w="390"/>
        <w:gridCol w:w="394"/>
        <w:gridCol w:w="254"/>
        <w:gridCol w:w="743"/>
        <w:gridCol w:w="327"/>
        <w:gridCol w:w="131"/>
        <w:gridCol w:w="131"/>
        <w:gridCol w:w="131"/>
        <w:gridCol w:w="254"/>
        <w:gridCol w:w="743"/>
        <w:gridCol w:w="327"/>
        <w:gridCol w:w="109"/>
        <w:gridCol w:w="109"/>
        <w:gridCol w:w="109"/>
        <w:gridCol w:w="211"/>
        <w:gridCol w:w="616"/>
        <w:gridCol w:w="109"/>
        <w:gridCol w:w="109"/>
        <w:gridCol w:w="109"/>
        <w:gridCol w:w="109"/>
        <w:gridCol w:w="199"/>
        <w:gridCol w:w="199"/>
        <w:gridCol w:w="578"/>
      </w:tblGrid>
      <w:tr>
        <w:trPr/>
        <w:tc>
          <w:tcPr>
            <w:tcW w:w="4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firstLine="27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Difference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24% in the second quarter of 2026 as compared to the same period in 2025 primarily due to a 12% increase in sales volumes, a 9% increase in sales volumes from completed acquisitions, and 3% from favorable mix and price.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Segment profit in the second quarter of 2026 increased $35 million as compared to the same period in 2025 primarily due to $23 million profit benefit from higher sales volumes, $15 million increase from favorable mix and price, and $11 million profit benefit from sales volumes from completed acquisitions, which were partially offset by $9 million in product cost inflation and lower factory absorption, net of $5 million in tariff refunds, and $5 million from other costs.</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Year-to-Date through June 30, 2026 Compared to Year-to-Date through June 30, 2025 - Consolidated Results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financial results, including information presented as a percentage of net sales:</w:t>
      </w:r>
    </w:p>
    <w:tbl>
      <w:tblPr>
        <w:tblW w:w="10205" w:type="dxa"/>
        <w:jc w:val="left"/>
        <w:tblInd w:w="0" w:type="dxa"/>
        <w:tblLayout w:type="fixed"/>
        <w:tblCellMar>
          <w:top w:w="28" w:type="dxa"/>
          <w:left w:w="28" w:type="dxa"/>
          <w:bottom w:w="28" w:type="dxa"/>
          <w:right w:w="28" w:type="dxa"/>
        </w:tblCellMar>
      </w:tblPr>
      <w:tblGrid>
        <w:gridCol w:w="1240"/>
        <w:gridCol w:w="1086"/>
        <w:gridCol w:w="1053"/>
        <w:gridCol w:w="211"/>
        <w:gridCol w:w="781"/>
        <w:gridCol w:w="109"/>
        <w:gridCol w:w="109"/>
        <w:gridCol w:w="109"/>
        <w:gridCol w:w="109"/>
        <w:gridCol w:w="211"/>
        <w:gridCol w:w="781"/>
        <w:gridCol w:w="109"/>
        <w:gridCol w:w="109"/>
        <w:gridCol w:w="109"/>
        <w:gridCol w:w="109"/>
        <w:gridCol w:w="427"/>
        <w:gridCol w:w="403"/>
        <w:gridCol w:w="573"/>
        <w:gridCol w:w="109"/>
        <w:gridCol w:w="109"/>
        <w:gridCol w:w="109"/>
        <w:gridCol w:w="315"/>
        <w:gridCol w:w="316"/>
        <w:gridCol w:w="301"/>
        <w:gridCol w:w="109"/>
        <w:gridCol w:w="109"/>
        <w:gridCol w:w="109"/>
        <w:gridCol w:w="315"/>
        <w:gridCol w:w="316"/>
        <w:gridCol w:w="350"/>
      </w:tblGrid>
      <w:tr>
        <w:trPr/>
        <w:tc>
          <w:tcPr>
            <w:tcW w:w="124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br/>
              <w:t>Change</w:t>
              <w:br/>
              <w:t>Fav/(Unfav)</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Sales</w:t>
            </w:r>
          </w:p>
        </w:tc>
      </w:tr>
      <w:tr>
        <w:trPr/>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and other expenses,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4% for the six months ended June 30, 2026 as compared to the same period in 2025, primarily due to a 5% increase from favorable mix and price and a 5% increase in sales volumes from completed acquisitions, which were partially offset by a 6% decrease in sales volumes. </w:t>
      </w:r>
    </w:p>
    <w:p>
      <w:pPr>
        <w:pStyle w:val="TextBody"/>
        <w:bidi w:val="0"/>
        <w:spacing w:lineRule="auto" w:line="288" w:before="0" w:after="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margins for the six months ended June 30, 2026 decreased 20 bps to 33.2% as compared to 33.4% in the same period in 2025. Gross margins decreased 170 bps from higher product costs, primarily reflecting inflation and factory under absorption, net of $30 million in tariff refunds, 40 bps from higher freight and distribution costs, and 20 bps from miscellaneous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costs, which were partially offset by 180 bps from favorable mix and price and 30 bps from completed acquisitions.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SG&amp;A increased $24 million to $368 million for the six months ended June 30, 2026 as compared to $345 million in the same period in 2025 primarily attributable to higher discretionary and employee-related costs and the acquisition of Duro Dyne and Supco in the fourth quarter of 2025. As a percentage of net sales, SG&amp;A increased 30 bps to 13.7% from 13.4%.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Losses (Gains) and Other Expenses, Net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Losses (gains) and other expenses, net for the six months ended June 30, 2026 and 2025 included the following (in millions):</w:t>
      </w:r>
    </w:p>
    <w:tbl>
      <w:tblPr>
        <w:tblW w:w="7458" w:type="dxa"/>
        <w:jc w:val="left"/>
        <w:tblInd w:w="0" w:type="dxa"/>
        <w:tblLayout w:type="fixed"/>
        <w:tblCellMar>
          <w:top w:w="28" w:type="dxa"/>
          <w:left w:w="28" w:type="dxa"/>
          <w:bottom w:w="28" w:type="dxa"/>
          <w:right w:w="28" w:type="dxa"/>
        </w:tblCellMar>
      </w:tblPr>
      <w:tblGrid>
        <w:gridCol w:w="1421"/>
        <w:gridCol w:w="1252"/>
        <w:gridCol w:w="1256"/>
        <w:gridCol w:w="322"/>
        <w:gridCol w:w="621"/>
        <w:gridCol w:w="166"/>
        <w:gridCol w:w="166"/>
        <w:gridCol w:w="166"/>
        <w:gridCol w:w="166"/>
        <w:gridCol w:w="322"/>
        <w:gridCol w:w="735"/>
        <w:gridCol w:w="166"/>
        <w:gridCol w:w="109"/>
        <w:gridCol w:w="109"/>
        <w:gridCol w:w="109"/>
        <w:gridCol w:w="109"/>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losses (gains)</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fixed assets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loss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litigation charges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and other expenses, net (pre-tax)</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from Equity Method Investments</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over which we do not exercise control but have significant influence are accounted for using the equity method of accounting. Income from equity method investments decreased slightly to $1 million for the six months ended June 30, 2026 as compared to $3 million the same period in 2025.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Expense, net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increased $15 million for the six months ended June 30, 2026 to $30 million as compared to $15 million in the same period in 2025 primarily due to increased borrowings on our commercial paper facility and our term loan agreement entered into in October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both"/>
        <w:rPr/>
      </w:pPr>
      <w:r>
        <w:rPr/>
      </w:r>
    </w:p>
    <w:p>
      <w:pPr>
        <w:pStyle w:val="TextBody"/>
        <w:bidi w:val="0"/>
        <w:spacing w:lineRule="auto" w:line="26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Our effective tax rate was 20.6% for the six months ended June 30, 2026 as compared to 19.4% in the same period in 2025. The increase in the rate was primarily due to higher income in higher tax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Year-to-Date through June 30, 2026 Compared to Year-to-Date through June 30, 2025 - Results by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Comfort Solutions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Home Comfort Solutions segment's net sales and profit for the six months ended June 30, 2026 and 2025 (dollars in millions):</w:t>
      </w:r>
    </w:p>
    <w:p>
      <w:pPr>
        <w:pStyle w:val="TextBody"/>
        <w:bidi w:val="0"/>
        <w:spacing w:before="0" w:after="0"/>
        <w:ind w:left="0" w:right="0" w:firstLine="270"/>
        <w:jc w:val="both"/>
        <w:rPr/>
      </w:pPr>
      <w:r>
        <w:rPr/>
      </w:r>
    </w:p>
    <w:tbl>
      <w:tblPr>
        <w:tblW w:w="6740" w:type="dxa"/>
        <w:jc w:val="left"/>
        <w:tblInd w:w="0" w:type="dxa"/>
        <w:tblLayout w:type="fixed"/>
        <w:tblCellMar>
          <w:top w:w="28" w:type="dxa"/>
          <w:left w:w="28" w:type="dxa"/>
          <w:bottom w:w="28" w:type="dxa"/>
          <w:right w:w="28" w:type="dxa"/>
        </w:tblCellMar>
      </w:tblPr>
      <w:tblGrid>
        <w:gridCol w:w="446"/>
        <w:gridCol w:w="390"/>
        <w:gridCol w:w="394"/>
        <w:gridCol w:w="211"/>
        <w:gridCol w:w="769"/>
        <w:gridCol w:w="272"/>
        <w:gridCol w:w="109"/>
        <w:gridCol w:w="109"/>
        <w:gridCol w:w="109"/>
        <w:gridCol w:w="211"/>
        <w:gridCol w:w="769"/>
        <w:gridCol w:w="272"/>
        <w:gridCol w:w="109"/>
        <w:gridCol w:w="109"/>
        <w:gridCol w:w="109"/>
        <w:gridCol w:w="211"/>
        <w:gridCol w:w="691"/>
        <w:gridCol w:w="109"/>
        <w:gridCol w:w="109"/>
        <w:gridCol w:w="109"/>
        <w:gridCol w:w="109"/>
        <w:gridCol w:w="218"/>
        <w:gridCol w:w="218"/>
        <w:gridCol w:w="578"/>
      </w:tblGrid>
      <w:tr>
        <w:trPr/>
        <w:tc>
          <w:tcPr>
            <w:tcW w:w="4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1,730.7 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decreased 8% for the six months ended June 30, 2026 as compared to the same period in 2025 primarily due to a 16% decrease in sales volumes, which was partially offset by a 6% increase from favorable mix and price and a 2% increase in sales volumes from completed acquisitions.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Segment profit for the first six months of 2026 decreased by $68 million as compared to the same period in 2025, primarily due to lower sales volumes, which resulted in $104 million profit headwind, $25 million from product cost inflation and lower factory absorption, net of $25 million in tariff refunds, $4 million from higher freight and distribution and $8 million from miscellaneous costs. These impacts were partially offset by a $65 million benefit from favorable mix and price and $8 million from completed acquisitions.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Building Climate Solutions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Building Climate Solutions segment's net sales and profit for the six months ended June 30, 2026 and 2025 (dollars in millions):</w:t>
      </w:r>
    </w:p>
    <w:p>
      <w:pPr>
        <w:pStyle w:val="TextBody"/>
        <w:bidi w:val="0"/>
        <w:spacing w:before="0" w:after="0"/>
        <w:ind w:left="0" w:right="0" w:firstLine="270"/>
        <w:jc w:val="both"/>
        <w:rPr/>
      </w:pPr>
      <w:r>
        <w:rPr/>
      </w:r>
    </w:p>
    <w:tbl>
      <w:tblPr>
        <w:tblW w:w="6626" w:type="dxa"/>
        <w:jc w:val="left"/>
        <w:tblInd w:w="0" w:type="dxa"/>
        <w:tblLayout w:type="fixed"/>
        <w:tblCellMar>
          <w:top w:w="28" w:type="dxa"/>
          <w:left w:w="28" w:type="dxa"/>
          <w:bottom w:w="28" w:type="dxa"/>
          <w:right w:w="28" w:type="dxa"/>
        </w:tblCellMar>
      </w:tblPr>
      <w:tblGrid>
        <w:gridCol w:w="446"/>
        <w:gridCol w:w="390"/>
        <w:gridCol w:w="394"/>
        <w:gridCol w:w="223"/>
        <w:gridCol w:w="812"/>
        <w:gridCol w:w="287"/>
        <w:gridCol w:w="115"/>
        <w:gridCol w:w="115"/>
        <w:gridCol w:w="115"/>
        <w:gridCol w:w="223"/>
        <w:gridCol w:w="653"/>
        <w:gridCol w:w="287"/>
        <w:gridCol w:w="109"/>
        <w:gridCol w:w="109"/>
        <w:gridCol w:w="109"/>
        <w:gridCol w:w="211"/>
        <w:gridCol w:w="616"/>
        <w:gridCol w:w="109"/>
        <w:gridCol w:w="109"/>
        <w:gridCol w:w="109"/>
        <w:gridCol w:w="109"/>
        <w:gridCol w:w="199"/>
        <w:gridCol w:w="199"/>
        <w:gridCol w:w="578"/>
      </w:tblGrid>
      <w:tr>
        <w:trPr/>
        <w:tc>
          <w:tcPr>
            <w:tcW w:w="4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30% for the six months ended June 30, 2026 as compared to the same period in 2025 primarily due to a 14% increase in sales volumes, a 10% increase in sales volumes from completed acquisitions, and 6% from favorable mix and price.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Segment profit for the first six months of 2026 increased $72 million as compared to the same period in 2025 primarily due to $47 million profit benefit from higher sales volumes, $37 million increase from favorable mix and price, and $18 million profit benefit from sales volumes from completed acquisitions, which were partially offset by $17 million from product cost inflation and lower factory absorption, net of $5 million in tariff refunds, $8 million in increased SG&amp;A costs, and $5 million from freight and distribution costs.</w:t>
      </w:r>
    </w:p>
    <w:p>
      <w:pPr>
        <w:pStyle w:val="TextBody"/>
        <w:bidi w:val="0"/>
        <w:spacing w:before="0" w:after="0"/>
        <w:ind w:left="0" w:right="0" w:firstLine="270"/>
        <w:jc w:val="both"/>
        <w:rPr/>
      </w:pPr>
      <w:r>
        <w:rPr/>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Statement of Cash Flows</w:t>
      </w:r>
    </w:p>
    <w:p>
      <w:pPr>
        <w:pStyle w:val="TextBody"/>
        <w:bidi w:val="0"/>
        <w:spacing w:before="0" w:after="0"/>
        <w:ind w:left="0" w:right="0" w:firstLine="40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activity for the six months ended June 30, 2026 and 2025 (in millions):</w:t>
      </w:r>
    </w:p>
    <w:tbl>
      <w:tblPr>
        <w:tblW w:w="6341" w:type="dxa"/>
        <w:jc w:val="left"/>
        <w:tblInd w:w="0" w:type="dxa"/>
        <w:tblLayout w:type="fixed"/>
        <w:tblCellMar>
          <w:top w:w="28" w:type="dxa"/>
          <w:left w:w="28" w:type="dxa"/>
          <w:bottom w:w="28" w:type="dxa"/>
          <w:right w:w="28" w:type="dxa"/>
        </w:tblCellMar>
      </w:tblPr>
      <w:tblGrid>
        <w:gridCol w:w="1254"/>
        <w:gridCol w:w="1104"/>
        <w:gridCol w:w="1107"/>
        <w:gridCol w:w="284"/>
        <w:gridCol w:w="829"/>
        <w:gridCol w:w="146"/>
        <w:gridCol w:w="146"/>
        <w:gridCol w:w="146"/>
        <w:gridCol w:w="146"/>
        <w:gridCol w:w="284"/>
        <w:gridCol w:w="688"/>
        <w:gridCol w:w="207"/>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Net Cash Provided By Operating Activities -</w:t>
      </w:r>
      <w:r>
        <w:rPr>
          <w:color w:val="000000"/>
        </w:rPr>
        <w:t xml:space="preserve"> </w:t>
      </w:r>
      <w:r>
        <w:rPr>
          <w:rFonts w:ascii="Times New Roman;serif" w:hAnsi="Times New Roman;serif"/>
          <w:b w:val="false"/>
          <w:color w:val="000000"/>
          <w:sz w:val="20"/>
        </w:rPr>
        <w:t xml:space="preserve">The change in net cash provided by operating activities for the six months ended June 30, 2026 compared to the net cash provided by operating activities for the same period in 2025 is primarily due to favorable working capital changes.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Net Cash Used In Investing Activities - </w:t>
      </w:r>
      <w:r>
        <w:rPr>
          <w:rFonts w:ascii="Times New Roman;serif" w:hAnsi="Times New Roman;serif"/>
          <w:b w:val="false"/>
          <w:color w:val="000000"/>
          <w:sz w:val="20"/>
        </w:rPr>
        <w:t>Capital expenditures were $91 million for the six months ended June 30, 2026 compared to $54 million in the same period of 2025. The increase in capital expenditures was primarily driven by strategic investments in land and buildings that will support future product innovation centers.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i/>
          <w:color w:val="000000"/>
          <w:sz w:val="20"/>
        </w:rPr>
        <w:t xml:space="preserve">Net Cash Used In Financing Activities - </w:t>
      </w:r>
      <w:r>
        <w:rPr>
          <w:rFonts w:ascii="Times New Roman;serif" w:hAnsi="Times New Roman;serif"/>
          <w:b w:val="false"/>
          <w:color w:val="000000"/>
          <w:sz w:val="20"/>
        </w:rPr>
        <w:t xml:space="preserve">Net cash used in financing activities for the six months ended June 30, 2026 decreased to $76 million as compared to $368 million used during the same period of 2025. The change was primarily due to changes in net borrowings and repayments of long-term debt and repurchases of common stock through our share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program. We repurchased $151 million of shares for the six months ended June 30, 2026 and returned $91 million to shareholders through dividend payments.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 Position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details our lines of credit and financing arrangements as of June 30, 2026 (in millions): </w:t>
      </w:r>
    </w:p>
    <w:tbl>
      <w:tblPr>
        <w:tblW w:w="5850" w:type="dxa"/>
        <w:jc w:val="left"/>
        <w:tblInd w:w="0" w:type="dxa"/>
        <w:tblLayout w:type="fixed"/>
        <w:tblCellMar>
          <w:top w:w="28" w:type="dxa"/>
          <w:left w:w="28" w:type="dxa"/>
          <w:bottom w:w="28" w:type="dxa"/>
          <w:right w:w="28" w:type="dxa"/>
        </w:tblCellMar>
      </w:tblPr>
      <w:tblGrid>
        <w:gridCol w:w="1371"/>
        <w:gridCol w:w="1201"/>
        <w:gridCol w:w="1208"/>
        <w:gridCol w:w="381"/>
        <w:gridCol w:w="1411"/>
        <w:gridCol w:w="278"/>
      </w:tblGrid>
      <w:tr>
        <w:trPr/>
        <w:tc>
          <w:tcPr>
            <w:tcW w:w="137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Borrowings</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Commercial paper:</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maturities of long-term debt:</w:t>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maturities of long-term debt</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Term Loan</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long-term debt</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1,149.2 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1,581.3</w:t>
            </w:r>
            <w:r>
              <w:rPr>
                <w:color w:val="000000"/>
              </w:rPr>
              <w:t>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Commercial Paper Program</w:t>
      </w:r>
    </w:p>
    <w:p>
      <w:pPr>
        <w:pStyle w:val="TextBody"/>
        <w:bidi w:val="0"/>
        <w:spacing w:before="0" w:after="0"/>
        <w:ind w:left="0" w:right="0" w:firstLine="270"/>
        <w:jc w:val="both"/>
        <w:rPr/>
      </w:pPr>
      <w:r>
        <w:rPr/>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utilize a commercial paper program (the "Program")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are $412.0 million CP Notes outstanding under the Program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ind w:left="0" w:right="0" w:firstLine="495"/>
        <w:jc w:val="both"/>
        <w:rPr/>
      </w:pPr>
      <w:r>
        <w:rPr/>
      </w:r>
    </w:p>
    <w:p>
      <w:pPr>
        <w:pStyle w:val="TextBody"/>
        <w:bidi w:val="0"/>
        <w:spacing w:lineRule="auto" w:line="276" w:before="0" w:after="0"/>
        <w:ind w:left="0" w:right="0" w:firstLine="270"/>
        <w:jc w:val="both"/>
        <w:rPr/>
      </w:pPr>
      <w:r>
        <w:rPr>
          <w:rFonts w:ascii="Times New Roman;serif" w:hAnsi="Times New Roman;serif"/>
          <w:b w:val="false"/>
          <w:color w:val="000000"/>
          <w:sz w:val="20"/>
        </w:rPr>
        <w:t>On May 9, 2025, we entered into an Amendment and Restatement Agreement (the "Credit Agreement") to our existing unsecured revolving credit facility with JPMorgan Chase Bank, N.A., as administrative agent, and the other lenders party thereto. The Credit Agreement decreased our total revolving commitments from $1.1 billion to</w:t>
      </w:r>
      <w:r>
        <w:rPr>
          <w:color w:val="000000"/>
          <w:shd w:fill="FFFFFF" w:val="clear"/>
        </w:rPr>
        <w:t xml:space="preserve"> </w:t>
      </w:r>
      <w:r>
        <w:rPr>
          <w:rFonts w:ascii="Times New Roman;serif" w:hAnsi="Times New Roman;serif"/>
          <w:b w:val="false"/>
          <w:color w:val="000000"/>
          <w:sz w:val="20"/>
          <w:shd w:fill="FFFFFF" w:val="clear"/>
        </w:rPr>
        <w:t xml:space="preserve">$1.0 billion </w:t>
      </w:r>
      <w:r>
        <w:rPr>
          <w:rFonts w:ascii="Times New Roman;serif" w:hAnsi="Times New Roman;serif"/>
          <w:b w:val="false"/>
          <w:color w:val="000000"/>
          <w:sz w:val="20"/>
        </w:rPr>
        <w:t>with an option to increase the revolving commitments by up to $350 million at our request, subject to the terms and conditions of the Credit Agreement. The Credit Agreement also extended the maturity date of the revolving commitments from July 2026 to May 2030. We had no outstanding borrowings and $1.7 million committed to standby letters of credit as of June 30, 2026. Subject to covenant limitations, $586.3 million was available for future borrowings after taking into consideration outstanding borrowings under our Program. Availability under the Credit Agreement is reduced by borrowings under the Program. The Credit Agreement includes a subfacility for swingline loans up to $65.0 million. Maturity of the Credit Agreement may be extended by the lenders pursuant to two one-year extension options that we may request under the Credit Agreement.</w:t>
      </w:r>
    </w:p>
    <w:p>
      <w:pPr>
        <w:pStyle w:val="TextBody"/>
        <w:bidi w:val="0"/>
        <w:spacing w:before="60" w:after="283"/>
        <w:ind w:left="0" w:right="0" w:hanging="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before="0" w:after="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16, 2025, we entered into a Term Credit Agreement (the “Term Credit Agreement”) with Wells Fargo Bank, National Association, as administrative agent, and the other lenders party thereto. We borrowed $300.0 million pursuant to the Term Credit Agreement and used the net proceeds to repay existing borrowings under the Credit Agreement. The Term Credit Agreement matures on October 16, 2027. Loans under the Term Credit Agreement bear interest at our election at a rate per annum equal to (i) a forward-looking term rate based on the secured overnight financing rate for the applicable interest period ("Term SOFR"), plus an applicable margin ranging between 0.90% and 1.025% per annum depending on our long-term unsecured debt rating, or (ii) the highest of the Wells Fargo Bank, National Association prime rate, the Federal Funds rate plus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0.50%, and Term SOFR for a one month tenor in effect on such day plus 1.00%, plus an applicable margin ranging between 0.00% and 0.025% per annum depending on our long-term unsecured debt rating.</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Term Credit Agreement contains customary covenants and events of default that are substantially similar to the existing covenants and events of default in our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before="0" w:after="0"/>
        <w:ind w:left="0" w:right="0" w:firstLine="49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we issued $500.0 million of senior unsecured notes, which will mature in September 2028 (the "2028 Notes") with interest being paid semi-annually in March and September at 5.50%. In July 2020, we issued $300.0 million of senior unsecured notes, which will mature on August 1, 2027 (the "2027 Notes," and collectively with the 2028 Notes, the "Notes") with interest being paid semi-annually in February and August at 1.70% per annum. On August 1, 2025, we repaid upon maturity $300.0 million of senior unsecured notes originally issued in 2020.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Credit Agreement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Leverage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55% at June 30, 2026, as compared to 54% at December 31, 2025.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our senior credit ratings were Baa1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cash and cash equivalents of $51.5 million, future cash generated from operations and available borrowing capacity are sufficient to fund operations, planned capital expenditures, future contractual obligations, potential share repurchases and dividends, and other needs in the foreseeable future. In July 2026, we acquired Heat Controller for approximately $205 million. For more information, see Note 14 in the Notes to the Consolidated Financial Statements. Included in our cash and cash equivalents of $51.5 million as of June 30, 2026 was $21.8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Guarantees Related to Our Debt Obligations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senior unsecured notes were issued by Lennox International Inc. ("Parent") and are unconditionally guaranteed by the Guarantor Subsidiaries (and together with Lennox International Inc., the “Obligor Group”). The Guarantor Subsidiaries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100% owned and consolidated, all guarantees are full and unconditional, and all guarantees are joint and several.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and is not intended to present the financial position or results of operations of the Obligor Group in accordance with U.S. GAAP.</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combined Parent and Guarantor Subsidiaries financial information is presented as of June 30, 2026 and December 31, 2025 and for the six months ended June 30, 2026 (in millions):</w:t>
      </w:r>
    </w:p>
    <w:p>
      <w:pPr>
        <w:pStyle w:val="TextBody"/>
        <w:bidi w:val="0"/>
        <w:spacing w:before="0" w:after="0"/>
        <w:ind w:left="0" w:right="0" w:firstLine="270"/>
        <w:jc w:val="both"/>
        <w:rPr/>
      </w:pPr>
      <w:r>
        <w:rPr/>
      </w:r>
    </w:p>
    <w:tbl>
      <w:tblPr>
        <w:tblW w:w="9746" w:type="dxa"/>
        <w:jc w:val="left"/>
        <w:tblInd w:w="0" w:type="dxa"/>
        <w:tblLayout w:type="fixed"/>
        <w:tblCellMar>
          <w:top w:w="28" w:type="dxa"/>
          <w:left w:w="28" w:type="dxa"/>
          <w:bottom w:w="28" w:type="dxa"/>
          <w:right w:w="28" w:type="dxa"/>
        </w:tblCellMar>
      </w:tblPr>
      <w:tblGrid>
        <w:gridCol w:w="1329"/>
        <w:gridCol w:w="1168"/>
        <w:gridCol w:w="1178"/>
        <w:gridCol w:w="500"/>
        <w:gridCol w:w="1821"/>
        <w:gridCol w:w="259"/>
        <w:gridCol w:w="109"/>
        <w:gridCol w:w="109"/>
        <w:gridCol w:w="109"/>
        <w:gridCol w:w="589"/>
        <w:gridCol w:w="2145"/>
        <w:gridCol w:w="430"/>
      </w:tblGrid>
      <w:tr>
        <w:trPr/>
        <w:tc>
          <w:tcPr>
            <w:tcW w:w="132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2,045.7 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1,676.4 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non-Guarantor Subsidiaries</w:t>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5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2,581.6 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5,113.8 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no off-balance sheet arrangements that we believe may have a material current or future effect on our financial condition, liquidity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information regarding our commitments and contingencies, see Note 4 in the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were no recent accounting pronouncements that are expected to have a material impact on our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quantitative and qualitative disclosures about market risk affecting LII, see "Quantitative and Qualitative Disclosures About Market Risk" in Item 7A of Part II of our Annual Report on Form 10-K for the fiscal year ended December 31, 2025. Our exposure to market risk has not changed materially since December 31, 2025.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Item 4. </w:t>
      </w:r>
      <w:r>
        <w:rPr>
          <w:rFonts w:ascii="Times New Roman;serif" w:hAnsi="Times New Roman;serif"/>
          <w:b/>
          <w:i/>
          <w:color w:val="000000"/>
          <w:sz w:val="20"/>
        </w:rPr>
        <w:t xml:space="preserve">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2026,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materially affected, or are reasonably likely to materially affect, our internal control over financial reporting.</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Antitrust Class Actions</w:t>
      </w:r>
    </w:p>
    <w:p>
      <w:pPr>
        <w:pStyle w:val="TextBody"/>
        <w:bidi w:val="0"/>
        <w:spacing w:before="0" w:after="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20, 2026, seven HVAC equipment manufacturers (and certain of their affiliated companies), including the Company, were named as defendants in a complaint filed in the U.S. District Court for the Eastern District of Michigan on behalf of a putative class that alleges violations of Section 1 of the Sherman Antitrust Act of 1890, as amended, and certain state laws. Additional class action complaints were filed in April 2026 in the same court, based on similar allegations. The cases were consolidated under the caption In re HVAC Equipment Antitrust Litigation, No. 2:26-cv-10949 (E.D. Mich.). On July 10, 2026, the plaintiffs filed three amended, consolidated class-action complaints. </w:t>
      </w:r>
    </w:p>
    <w:p>
      <w:pPr>
        <w:pStyle w:val="TextBody"/>
        <w:bidi w:val="0"/>
        <w:spacing w:before="0" w:after="0"/>
        <w:jc w:val="left"/>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complaints allege that the defendants conspired to fix, raise, maintain, and/or stabilize prices of HVAC equipment. The alleged class is defined as including all persons who purchased HVAC equipment in the U.S. during the period from January 1, 2020 to the present which was manufactured by one or more defendants for end use in a residential or commercial building. The complaints seek to recover an unspecified amount of damages, injunctive relief, and attorneys’ fees on behalf of the putative class.</w:t>
      </w:r>
    </w:p>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disputes these allegations and plans to vigorously defend itself. At this stage of the antitrust litigation, the Company cannot reasonably estimate the range of possible loss, if any, or the timing, outcome, or consequence of this litigation. An adverse outcome in this litigation could have a material adverse impact on the Company’s business, financial position, results of operations, or cash flows.</w:t>
      </w:r>
    </w:p>
    <w:p>
      <w:pPr>
        <w:pStyle w:val="TextBody"/>
        <w:bidi w:val="0"/>
        <w:spacing w:before="0" w:after="0"/>
        <w:ind w:left="0" w:right="0" w:firstLine="27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Other Claims</w:t>
      </w:r>
    </w:p>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are involved in a number of other claims and lawsuits incidental to the operation of our businesses. Where appropriate, insurance coverages are maintained and estimated costs are recorded for such claims and lawsuits. It is management's opinion that none of these other claims or lawsuits will have a material adverse effect, individually or in the aggregate, on our financial position, results of operations or cash flows.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4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 factors discussed in Part I, “Item 1A. Risk Factors” in our Annual Report on Form 10-K for the year ended December 31, 2025, which could materially affect our business, financial condition or results of operations. There have been no material changes to our risk factors from those disclosed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630"/>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we purchased shares of our common stock as follows: </w:t>
      </w:r>
    </w:p>
    <w:tbl>
      <w:tblPr>
        <w:tblW w:w="10205" w:type="dxa"/>
        <w:jc w:val="left"/>
        <w:tblInd w:w="0" w:type="dxa"/>
        <w:tblLayout w:type="fixed"/>
        <w:tblCellMar>
          <w:top w:w="28" w:type="dxa"/>
          <w:left w:w="28" w:type="dxa"/>
          <w:bottom w:w="28" w:type="dxa"/>
          <w:right w:w="28" w:type="dxa"/>
        </w:tblCellMar>
      </w:tblPr>
      <w:tblGrid>
        <w:gridCol w:w="390"/>
        <w:gridCol w:w="344"/>
        <w:gridCol w:w="345"/>
        <w:gridCol w:w="619"/>
        <w:gridCol w:w="454"/>
        <w:gridCol w:w="456"/>
        <w:gridCol w:w="109"/>
        <w:gridCol w:w="109"/>
        <w:gridCol w:w="109"/>
        <w:gridCol w:w="331"/>
        <w:gridCol w:w="1131"/>
        <w:gridCol w:w="171"/>
        <w:gridCol w:w="109"/>
        <w:gridCol w:w="109"/>
        <w:gridCol w:w="109"/>
        <w:gridCol w:w="824"/>
        <w:gridCol w:w="705"/>
        <w:gridCol w:w="707"/>
        <w:gridCol w:w="109"/>
        <w:gridCol w:w="109"/>
        <w:gridCol w:w="109"/>
        <w:gridCol w:w="587"/>
        <w:gridCol w:w="1721"/>
        <w:gridCol w:w="439"/>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 (including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Approximate Dollar Value of Shares that may yet be Purchased under our Share Repurchase Plans </w:t>
            </w:r>
          </w:p>
          <w:p>
            <w:pPr>
              <w:pStyle w:val="TableContents"/>
              <w:bidi w:val="0"/>
              <w:spacing w:lineRule="auto" w:line="240" w:before="0" w:after="0"/>
              <w:jc w:val="center"/>
              <w:rPr/>
            </w:pPr>
            <w:r>
              <w:rPr>
                <w:rFonts w:ascii="Times New Roman;serif" w:hAnsi="Times New Roman;serif"/>
                <w:b/>
                <w:color w:val="000000"/>
                <w:sz w:val="18"/>
              </w:rPr>
              <w:t xml:space="preserve">(in millions) </w:t>
            </w:r>
            <w:r>
              <w:rPr>
                <w:rFonts w:ascii="Times New Roman;serif" w:hAnsi="Times New Roman;serif"/>
                <w:b/>
                <w:color w:val="000000"/>
                <w:sz w:val="12"/>
              </w:rPr>
              <w:t>(1)</w:t>
            </w:r>
          </w:p>
        </w:tc>
      </w:tr>
      <w:tr>
        <w:trPr/>
        <w:tc>
          <w:tcPr>
            <w:tcW w:w="10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r>
      <w:tr>
        <w:trPr/>
        <w:tc>
          <w:tcPr>
            <w:tcW w:w="107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April 30</w:t>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979.6 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May 31</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217,627 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217,627 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June 30</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7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857.7 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260,627 </w:t>
            </w:r>
          </w:p>
        </w:tc>
        <w:tc>
          <w:tcPr>
            <w:tcW w:w="4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260,627 </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TextBody"/>
        <w:bidi w:val="0"/>
        <w:spacing w:lineRule="auto" w:line="288" w:before="120" w:after="283"/>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shd w:fill="FFFFFF" w:val="clear"/>
        </w:rPr>
        <w:t>Since the inception of the Company’s share repurchase program in 2008, the Board has authorized share repurchases in an amount not to exceed $5.0 billion (the "Share Repurchase Plans"). The Share Repurchase Plans do not have an expiration date. See Note 5 in the Notes to the Consolidated Financial Statements for further details.</w:t>
      </w:r>
    </w:p>
    <w:p>
      <w:pPr>
        <w:pStyle w:val="TextBody"/>
        <w:bidi w:val="0"/>
        <w:spacing w:before="0" w:after="0"/>
        <w:ind w:left="0" w:right="0" w:hanging="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hanging="630"/>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60" w:after="283"/>
        <w:ind w:left="0" w:right="0" w:hanging="630"/>
        <w:jc w:val="both"/>
        <w:rPr/>
      </w:pPr>
      <w:r>
        <w:rPr/>
      </w:r>
    </w:p>
    <w:p>
      <w:pPr>
        <w:pStyle w:val="TextBody"/>
        <w:bidi w:val="0"/>
        <w:spacing w:lineRule="auto" w:line="288" w:before="0" w:after="0"/>
        <w:ind w:left="0" w:right="0" w:firstLine="270"/>
        <w:jc w:val="both"/>
        <w:rPr>
          <w:rFonts w:ascii="Times New Roman;serif" w:hAnsi="Times New Roman;serif"/>
          <w:b/>
          <w:color w:val="000000"/>
          <w:sz w:val="20"/>
        </w:rPr>
      </w:pPr>
      <w:r>
        <w:rPr>
          <w:rFonts w:ascii="Times New Roman;serif" w:hAnsi="Times New Roman;serif"/>
          <w:b/>
          <w:color w:val="000000"/>
          <w:sz w:val="20"/>
        </w:rPr>
        <w:t>Rule 10b5-1 Plan Elections</w:t>
      </w:r>
    </w:p>
    <w:p>
      <w:pPr>
        <w:pStyle w:val="TextBody"/>
        <w:bidi w:val="0"/>
        <w:spacing w:before="60" w:after="283"/>
        <w:ind w:left="0" w:right="0" w:hanging="63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adopted, modified, or terminated any Rule 10b5-1 trading arrangement or non-Rule 10b5-1 trading arrangement, as such terms are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270"/>
        <w:jc w:val="center"/>
        <w:rPr/>
      </w:pPr>
      <w:r>
        <w:rPr/>
      </w:r>
    </w:p>
    <w:p>
      <w:pPr>
        <w:pStyle w:val="TextBody"/>
        <w:bidi w:val="0"/>
        <w:spacing w:before="0" w:after="0"/>
        <w:ind w:left="0" w:right="0" w:firstLine="270"/>
        <w:jc w:val="center"/>
        <w:rPr/>
      </w:pPr>
      <w:r>
        <w:rPr/>
      </w:r>
    </w:p>
    <w:tbl>
      <w:tblPr>
        <w:tblW w:w="10205" w:type="dxa"/>
        <w:jc w:val="center"/>
        <w:tblInd w:w="0" w:type="dxa"/>
        <w:tblLayout w:type="fixed"/>
        <w:tblCellMar>
          <w:top w:w="28" w:type="dxa"/>
          <w:left w:w="28" w:type="dxa"/>
          <w:bottom w:w="28" w:type="dxa"/>
          <w:right w:w="28" w:type="dxa"/>
        </w:tblCellMar>
      </w:tblPr>
      <w:tblGrid>
        <w:gridCol w:w="173"/>
        <w:gridCol w:w="152"/>
        <w:gridCol w:w="156"/>
        <w:gridCol w:w="2881"/>
        <w:gridCol w:w="2830"/>
        <w:gridCol w:w="401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 of Lennox International Inc. (“LII”) (filed as Exhibit 3.1 to LII's Annual Report on Form 10-K filed on February 15, 2022 and incorporated herein by reference).</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LII (filed as Exhibit 3.2 to LII's Annual Report on Form 10-K filed on February 15, 2022 and incorporated herein by reference).</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Indenture, dated as of May 3, 2010, between LII and U.S. Bank National Association, as trustee (filed as Exhibit 4.3 to LII’s Post-Effective Amendment No. 1 to Registration Statement on S-3 filed on May 3, 2010 and incorporated herein by reference).</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Ninth Supplemental Indenture, dated as of July 30, 2020, among LII, each existing Guarantor under the Indenture, dated as of May 3, 2010, as subsequently supplemented, and U.S. Bank National Association, as trustee (filed as Exhibit 4.2 to LII’s Current Report on Form 8-K filed on July 30, 2020 and incorporated herein by reference).</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Form of 1.700% Notes due 2027 (filed as Exhibit B in Exhibit 4.2 to LII’s Current Report on Form 8-K filed on July 30, 2020 and incorporated herein by reference).</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Tenth Supplemental Indenture, dated as of July 14, 2021, among LII, each existing Guarantor under the Indenture, dated as of May 3, 2010, as subsequently supplemented, and U.S. Bank National Association, as trustee (filed as Exhibit 4.7 to LII's Annual Report on Form 10-K filed on February 15, 2022 and incorporated herein by reference).</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Eleventh Supplemental Indenture, dated as of September 15, 2023, among LII, the guarantors party thereto and U.S. Bank Trust Company, National Association, as trustee (filed as Exhibit 4.2 to LII's Current Report on Form 8-K filed on September 15, 2023 and incorporated herein by reference).</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5.500% Notes due 2028 (filed as Exhibit A in Exhibit 4.2 to LII's Current Report on Form 8-K filed on September 15, 2023 and incorporated herein by reference).</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lii-ex47_2026630x10q.htm">
              <w:r>
                <w:rPr>
                  <w:rStyle w:val="InternetLink"/>
                  <w:rFonts w:ascii="Times New Roman;serif" w:hAnsi="Times New Roman;serif"/>
                  <w:b w:val="false"/>
                  <w:color w:val="0000FF"/>
                  <w:sz w:val="20"/>
                  <w:u w:val="single"/>
                </w:rPr>
                <w:t>Twelfth Supplemental Indenture, dated as of April 30, 2026, among LII, the guarantors party thereto and U.S. Bank Trust Company, National Association, as trustee (filed herewith).</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lii-ex221_20260630x10q.htm">
              <w:r>
                <w:rPr>
                  <w:rStyle w:val="InternetLink"/>
                  <w:rFonts w:ascii="Times New Roman;serif" w:hAnsi="Times New Roman;serif"/>
                  <w:b w:val="false"/>
                  <w:color w:val="0000FF"/>
                  <w:sz w:val="20"/>
                  <w:u w:val="single"/>
                </w:rPr>
                <w:t>List of Guarantor Subsidiaries (filed herewith).</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lii-ex311_20260630x10q.htm">
              <w:r>
                <w:rPr>
                  <w:rStyle w:val="InternetLink"/>
                  <w:rFonts w:ascii="Times New Roman;serif" w:hAnsi="Times New Roman;serif"/>
                  <w:b w:val="false"/>
                  <w:color w:val="0000FF"/>
                  <w:sz w:val="20"/>
                  <w:u w:val="single"/>
                </w:rPr>
                <w:t>Certification of the principal executive officer (filed herewith).</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6e8f700e582496faef8e474980074bf_1">
              <w:r>
                <w:rPr>
                  <w:rStyle w:val="InternetLink"/>
                  <w:rFonts w:ascii="Times New Roman;serif" w:hAnsi="Times New Roman;serif"/>
                  <w:b w:val="false"/>
                  <w:color w:val="0000FF"/>
                  <w:sz w:val="20"/>
                  <w:u w:val="single"/>
                </w:rPr>
                <w:t>Certification of the principal financial officer (filed herewith).</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e3ad2c49dbd4248a7d76c9d1ac832a4_1">
              <w:r>
                <w:rPr>
                  <w:rStyle w:val="InternetLink"/>
                  <w:rFonts w:ascii="Times New Roman;serif" w:hAnsi="Times New Roman;serif"/>
                  <w:b w:val="false"/>
                  <w:color w:val="0000FF"/>
                  <w:sz w:val="20"/>
                  <w:u w:val="single"/>
                </w:rPr>
                <w:t>Certification of the principal executive officer and the principal financial officer pursuant to 18 U.S.C. Section 1350 (furnished herewith).</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 Inline XBRL Instance Document</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 Inline XBRL Taxonomy Extension Schema Document</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 Inline XBRL Taxonomy Extension Calculation Linkbase Document</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Inline XBRL Taxonomy Extension Label Linkbase Document</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 Inline XBRL Taxonomy Extension Presentation Linkbase Document</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 Inline XBRL Taxonomy Extension Definition Linkbase Document</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ind w:left="0" w:right="0" w:firstLine="270"/>
        <w:jc w:val="center"/>
        <w:rPr/>
      </w:pPr>
      <w:r>
        <w:rPr/>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LENNOX INTERNATIONAL INC. </w:t>
      </w:r>
    </w:p>
    <w:p>
      <w:pPr>
        <w:pStyle w:val="TextBody"/>
        <w:bidi w:val="0"/>
        <w:spacing w:before="0" w:after="0"/>
        <w:jc w:val="left"/>
        <w:rPr/>
      </w:pPr>
      <w:r>
        <w:rPr/>
      </w:r>
    </w:p>
    <w:p>
      <w:pPr>
        <w:pStyle w:val="TextBody"/>
        <w:bidi w:val="0"/>
        <w:spacing w:lineRule="auto" w:line="288" w:before="0" w:after="0"/>
        <w:ind w:left="0" w:right="0" w:firstLine="135"/>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Michael P. Quenzer </w:t>
      </w:r>
    </w:p>
    <w:p>
      <w:pPr>
        <w:pStyle w:val="TextBody"/>
        <w:bidi w:val="0"/>
        <w:spacing w:lineRule="auto" w:line="28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Michael P. Quenzer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behalf of registrant and as principal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4.7</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TWELFTH SUPPLEMENTAL INDENTURE</w:t>
      </w:r>
    </w:p>
    <w:p>
      <w:pPr>
        <w:pStyle w:val="TextBody"/>
        <w:bidi w:val="0"/>
        <w:spacing w:lineRule="auto" w:line="288" w:before="0" w:after="120"/>
        <w:jc w:val="both"/>
        <w:rPr/>
      </w:pPr>
      <w:r>
        <w:rPr>
          <w:color w:val="000000"/>
        </w:rPr>
        <w:t>    </w:t>
      </w:r>
      <w:r>
        <w:rPr>
          <w:rFonts w:ascii="Times New Roman;serif" w:hAnsi="Times New Roman;serif"/>
          <w:b w:val="false"/>
          <w:color w:val="000000"/>
          <w:sz w:val="22"/>
        </w:rPr>
        <w:t>This TWELFTH SUPPLEMENTAL INDENTURE, dated as of April 30, 2026 (this “</w:t>
      </w:r>
      <w:r>
        <w:rPr>
          <w:rFonts w:ascii="Times New Roman;serif" w:hAnsi="Times New Roman;serif"/>
          <w:b/>
          <w:i/>
          <w:color w:val="000000"/>
          <w:sz w:val="22"/>
        </w:rPr>
        <w:t>Twelfth Supplemental Indenture</w:t>
      </w:r>
      <w:r>
        <w:rPr>
          <w:color w:val="000000"/>
        </w:rPr>
        <w:t>”</w:t>
      </w:r>
      <w:r>
        <w:rPr>
          <w:rFonts w:ascii="Times New Roman;serif" w:hAnsi="Times New Roman;serif"/>
          <w:b w:val="false"/>
          <w:color w:val="000000"/>
          <w:sz w:val="22"/>
        </w:rPr>
        <w:t>), is among Lennox International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Duro Dyne Buyer, Inc., a Delaware corporation (“</w:t>
      </w:r>
      <w:r>
        <w:rPr>
          <w:rFonts w:ascii="Times New Roman;serif" w:hAnsi="Times New Roman;serif"/>
          <w:b/>
          <w:i/>
          <w:color w:val="000000"/>
          <w:sz w:val="22"/>
        </w:rPr>
        <w:t>DDBI</w:t>
      </w:r>
      <w:r>
        <w:rPr>
          <w:color w:val="000000"/>
        </w:rPr>
        <w:t>”</w:t>
      </w:r>
      <w:r>
        <w:rPr>
          <w:rFonts w:ascii="Times New Roman;serif" w:hAnsi="Times New Roman;serif"/>
          <w:b w:val="false"/>
          <w:color w:val="000000"/>
          <w:sz w:val="22"/>
        </w:rPr>
        <w:t>) and Duro Dyne National Corp., a Delaware corporation (together with DDBI, the “</w:t>
      </w:r>
      <w:r>
        <w:rPr>
          <w:rFonts w:ascii="Times New Roman;serif" w:hAnsi="Times New Roman;serif"/>
          <w:b/>
          <w:i/>
          <w:color w:val="000000"/>
          <w:sz w:val="22"/>
        </w:rPr>
        <w:t>New Guarantors</w:t>
      </w:r>
      <w:r>
        <w:rPr>
          <w:color w:val="000000"/>
        </w:rPr>
        <w:t>”</w:t>
      </w:r>
      <w:r>
        <w:rPr>
          <w:rFonts w:ascii="Times New Roman;serif" w:hAnsi="Times New Roman;serif"/>
          <w:b w:val="false"/>
          <w:color w:val="000000"/>
          <w:sz w:val="22"/>
        </w:rPr>
        <w:t>), Advanced Distributor Products LLC, a Delaware limited liability company (“</w:t>
      </w:r>
      <w:r>
        <w:rPr>
          <w:rFonts w:ascii="Times New Roman;serif" w:hAnsi="Times New Roman;serif"/>
          <w:b/>
          <w:i/>
          <w:color w:val="000000"/>
          <w:sz w:val="22"/>
        </w:rPr>
        <w:t>ADP</w:t>
      </w:r>
      <w:r>
        <w:rPr>
          <w:color w:val="000000"/>
        </w:rPr>
        <w:t>”</w:t>
      </w:r>
      <w:r>
        <w:rPr>
          <w:rFonts w:ascii="Times New Roman;serif" w:hAnsi="Times New Roman;serif"/>
          <w:b w:val="false"/>
          <w:color w:val="000000"/>
          <w:sz w:val="22"/>
        </w:rPr>
        <w:t>), Allied Air Enterprises LLC, a Delaware limited liability company (“</w:t>
      </w:r>
      <w:r>
        <w:rPr>
          <w:rFonts w:ascii="Times New Roman;serif" w:hAnsi="Times New Roman;serif"/>
          <w:b/>
          <w:i/>
          <w:color w:val="000000"/>
          <w:sz w:val="22"/>
        </w:rPr>
        <w:t>Allied Air</w:t>
      </w:r>
      <w:r>
        <w:rPr>
          <w:color w:val="000000"/>
        </w:rPr>
        <w:t>”</w:t>
      </w:r>
      <w:r>
        <w:rPr>
          <w:rFonts w:ascii="Times New Roman;serif" w:hAnsi="Times New Roman;serif"/>
          <w:b w:val="false"/>
          <w:color w:val="000000"/>
          <w:sz w:val="22"/>
        </w:rPr>
        <w:t>), Heatcraft Inc., a Delaware corporation (“</w:t>
      </w:r>
      <w:r>
        <w:rPr>
          <w:rFonts w:ascii="Times New Roman;serif" w:hAnsi="Times New Roman;serif"/>
          <w:b/>
          <w:i/>
          <w:color w:val="000000"/>
          <w:sz w:val="22"/>
        </w:rPr>
        <w:t>Heatcraft</w:t>
      </w:r>
      <w:r>
        <w:rPr>
          <w:color w:val="000000"/>
        </w:rPr>
        <w:t>”</w:t>
      </w:r>
      <w:r>
        <w:rPr>
          <w:rFonts w:ascii="Times New Roman;serif" w:hAnsi="Times New Roman;serif"/>
          <w:b w:val="false"/>
          <w:color w:val="000000"/>
          <w:sz w:val="22"/>
        </w:rPr>
        <w:t>), Heatcraft Refrigeration Products LLC, a Delaware limited liability company (“</w:t>
      </w:r>
      <w:r>
        <w:rPr>
          <w:rFonts w:ascii="Times New Roman;serif" w:hAnsi="Times New Roman;serif"/>
          <w:b/>
          <w:i/>
          <w:color w:val="000000"/>
          <w:sz w:val="22"/>
        </w:rPr>
        <w:t>HRP</w:t>
      </w:r>
      <w:r>
        <w:rPr>
          <w:color w:val="000000"/>
        </w:rPr>
        <w:t>”</w:t>
      </w:r>
      <w:r>
        <w:rPr>
          <w:rFonts w:ascii="Times New Roman;serif" w:hAnsi="Times New Roman;serif"/>
          <w:b w:val="false"/>
          <w:color w:val="000000"/>
          <w:sz w:val="22"/>
        </w:rPr>
        <w:t>), Heatcraft Technologies Inc., a Delaware corporation (“</w:t>
      </w:r>
      <w:r>
        <w:rPr>
          <w:rFonts w:ascii="Times New Roman;serif" w:hAnsi="Times New Roman;serif"/>
          <w:b/>
          <w:i/>
          <w:color w:val="000000"/>
          <w:sz w:val="22"/>
        </w:rPr>
        <w:t>HTI</w:t>
      </w:r>
      <w:r>
        <w:rPr>
          <w:color w:val="000000"/>
        </w:rPr>
        <w:t>”</w:t>
      </w:r>
      <w:r>
        <w:rPr>
          <w:rFonts w:ascii="Times New Roman;serif" w:hAnsi="Times New Roman;serif"/>
          <w:b w:val="false"/>
          <w:color w:val="000000"/>
          <w:sz w:val="22"/>
        </w:rPr>
        <w:t>), Lennox Global LLC, a Delaware limited liability company (“</w:t>
      </w:r>
      <w:r>
        <w:rPr>
          <w:rFonts w:ascii="Times New Roman;serif" w:hAnsi="Times New Roman;serif"/>
          <w:b/>
          <w:i/>
          <w:color w:val="000000"/>
          <w:sz w:val="22"/>
        </w:rPr>
        <w:t>Global</w:t>
      </w:r>
      <w:r>
        <w:rPr>
          <w:color w:val="000000"/>
        </w:rPr>
        <w:t>”</w:t>
      </w:r>
      <w:r>
        <w:rPr>
          <w:rFonts w:ascii="Times New Roman;serif" w:hAnsi="Times New Roman;serif"/>
          <w:b w:val="false"/>
          <w:color w:val="000000"/>
          <w:sz w:val="22"/>
        </w:rPr>
        <w:t>), Lennox Industries Inc., a Delaware corporation (“</w:t>
      </w:r>
      <w:r>
        <w:rPr>
          <w:rFonts w:ascii="Times New Roman;serif" w:hAnsi="Times New Roman;serif"/>
          <w:b/>
          <w:i/>
          <w:color w:val="000000"/>
          <w:sz w:val="22"/>
        </w:rPr>
        <w:t>Industries</w:t>
      </w:r>
      <w:r>
        <w:rPr>
          <w:color w:val="000000"/>
        </w:rPr>
        <w:t>”</w:t>
      </w:r>
      <w:r>
        <w:rPr>
          <w:rFonts w:ascii="Times New Roman;serif" w:hAnsi="Times New Roman;serif"/>
          <w:b w:val="false"/>
          <w:color w:val="000000"/>
          <w:sz w:val="22"/>
        </w:rPr>
        <w:t>), Lennox National Account Services Inc., a California corporation (“</w:t>
      </w:r>
      <w:r>
        <w:rPr>
          <w:rFonts w:ascii="Times New Roman;serif" w:hAnsi="Times New Roman;serif"/>
          <w:b/>
          <w:i/>
          <w:color w:val="000000"/>
          <w:sz w:val="22"/>
        </w:rPr>
        <w:t>Account Services</w:t>
      </w:r>
      <w:r>
        <w:rPr>
          <w:color w:val="000000"/>
        </w:rPr>
        <w:t>”</w:t>
      </w:r>
      <w:r>
        <w:rPr>
          <w:rFonts w:ascii="Times New Roman;serif" w:hAnsi="Times New Roman;serif"/>
          <w:b w:val="false"/>
          <w:color w:val="000000"/>
          <w:sz w:val="22"/>
        </w:rPr>
        <w:t>), Lennox National Account Services LLC, a Florida limited liability company (“</w:t>
      </w:r>
      <w:r>
        <w:rPr>
          <w:rFonts w:ascii="Times New Roman;serif" w:hAnsi="Times New Roman;serif"/>
          <w:b/>
          <w:i/>
          <w:color w:val="000000"/>
          <w:sz w:val="22"/>
        </w:rPr>
        <w:t>National Account</w:t>
      </w:r>
      <w:r>
        <w:rPr>
          <w:color w:val="000000"/>
        </w:rPr>
        <w:t>”</w:t>
      </w:r>
      <w:r>
        <w:rPr>
          <w:rFonts w:ascii="Times New Roman;serif" w:hAnsi="Times New Roman;serif"/>
          <w:b w:val="false"/>
          <w:color w:val="000000"/>
          <w:sz w:val="22"/>
        </w:rPr>
        <w:t>), Lennox Procurement Company Inc., a Delaware corporation (“</w:t>
      </w:r>
      <w:r>
        <w:rPr>
          <w:rFonts w:ascii="Times New Roman;serif" w:hAnsi="Times New Roman;serif"/>
          <w:b/>
          <w:i/>
          <w:color w:val="000000"/>
          <w:sz w:val="22"/>
        </w:rPr>
        <w:t>LPCI</w:t>
      </w:r>
      <w:r>
        <w:rPr>
          <w:color w:val="000000"/>
        </w:rPr>
        <w:t>”</w:t>
      </w:r>
      <w:r>
        <w:rPr>
          <w:rFonts w:ascii="Times New Roman;serif" w:hAnsi="Times New Roman;serif"/>
          <w:b w:val="false"/>
          <w:color w:val="000000"/>
          <w:sz w:val="22"/>
        </w:rPr>
        <w:t>), Lennox Services LLC, a Delaware limited liability company (“</w:t>
      </w:r>
      <w:r>
        <w:rPr>
          <w:rFonts w:ascii="Times New Roman;serif" w:hAnsi="Times New Roman;serif"/>
          <w:b/>
          <w:i/>
          <w:color w:val="000000"/>
          <w:sz w:val="22"/>
        </w:rPr>
        <w:t>LS LLC</w:t>
      </w:r>
      <w:r>
        <w:rPr>
          <w:color w:val="000000"/>
        </w:rPr>
        <w:t>”</w:t>
      </w:r>
      <w:r>
        <w:rPr>
          <w:rFonts w:ascii="Times New Roman;serif" w:hAnsi="Times New Roman;serif"/>
          <w:b w:val="false"/>
          <w:color w:val="000000"/>
          <w:sz w:val="22"/>
        </w:rPr>
        <w:t>), LGL Europe Holding Co., a Delaware corporation (“</w:t>
      </w:r>
      <w:r>
        <w:rPr>
          <w:rFonts w:ascii="Times New Roman;serif" w:hAnsi="Times New Roman;serif"/>
          <w:b/>
          <w:i/>
          <w:color w:val="000000"/>
          <w:sz w:val="22"/>
        </w:rPr>
        <w:t>LGL Europe</w:t>
      </w:r>
      <w:r>
        <w:rPr>
          <w:color w:val="000000"/>
        </w:rPr>
        <w:t xml:space="preserve">” </w:t>
      </w:r>
      <w:r>
        <w:rPr>
          <w:rFonts w:ascii="Times New Roman;serif" w:hAnsi="Times New Roman;serif"/>
          <w:b w:val="false"/>
          <w:color w:val="000000"/>
          <w:sz w:val="22"/>
        </w:rPr>
        <w:t>and, together with ADP, Allied Air, Heatcraft, HRP, HTI, Global, Industries, Account Services, National Account, LPCI and LS LLC, collectively, the “</w:t>
      </w:r>
      <w:r>
        <w:rPr>
          <w:rFonts w:ascii="Times New Roman;serif" w:hAnsi="Times New Roman;serif"/>
          <w:b/>
          <w:i/>
          <w:color w:val="000000"/>
          <w:sz w:val="22"/>
        </w:rPr>
        <w:t>Existing Guarantors</w:t>
      </w:r>
      <w:r>
        <w:rPr>
          <w:color w:val="000000"/>
        </w:rPr>
        <w:t>”</w:t>
      </w:r>
      <w:r>
        <w:rPr>
          <w:rFonts w:ascii="Times New Roman;serif" w:hAnsi="Times New Roman;serif"/>
          <w:b w:val="false"/>
          <w:color w:val="000000"/>
          <w:sz w:val="22"/>
        </w:rPr>
        <w:t>; the Existing Guarantors, together with the New Guarantors, collectively, the “</w:t>
      </w:r>
      <w:r>
        <w:rPr>
          <w:rFonts w:ascii="Times New Roman;serif" w:hAnsi="Times New Roman;serif"/>
          <w:b/>
          <w:i/>
          <w:color w:val="000000"/>
          <w:sz w:val="22"/>
        </w:rPr>
        <w:t>Guarantors</w:t>
      </w:r>
      <w:r>
        <w:rPr>
          <w:color w:val="000000"/>
        </w:rPr>
        <w:t>”</w:t>
      </w:r>
      <w:r>
        <w:rPr>
          <w:rFonts w:ascii="Times New Roman;serif" w:hAnsi="Times New Roman;serif"/>
          <w:b w:val="false"/>
          <w:color w:val="000000"/>
          <w:sz w:val="22"/>
        </w:rPr>
        <w:t>), and U.S. Bank Trust Company, National Association (successor in interest to U.S. Bank National Association), as Trustee under the Indenture referred to below.</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288" w:before="0" w:after="120"/>
        <w:jc w:val="both"/>
        <w:rPr/>
      </w:pPr>
      <w:r>
        <w:rPr>
          <w:color w:val="000000"/>
        </w:rPr>
        <w:t>    </w:t>
      </w:r>
      <w:r>
        <w:rPr>
          <w:rFonts w:ascii="Times New Roman;serif" w:hAnsi="Times New Roman;serif"/>
          <w:b w:val="false"/>
          <w:color w:val="000000"/>
          <w:sz w:val="22"/>
        </w:rPr>
        <w:t>WHEREAS, the Company, the Existing Guarantors and the Trustee are parties to an Indenture, dated as of May 3, 2010 (the “</w:t>
      </w:r>
      <w:r>
        <w:rPr>
          <w:rFonts w:ascii="Times New Roman;serif" w:hAnsi="Times New Roman;serif"/>
          <w:b/>
          <w:i/>
          <w:color w:val="000000"/>
          <w:sz w:val="22"/>
        </w:rPr>
        <w:t>Base Indenture</w:t>
      </w:r>
      <w:r>
        <w:rPr>
          <w:color w:val="000000"/>
        </w:rPr>
        <w:t>”</w:t>
      </w:r>
      <w:r>
        <w:rPr>
          <w:rFonts w:ascii="Times New Roman;serif" w:hAnsi="Times New Roman;serif"/>
          <w:b w:val="false"/>
          <w:color w:val="000000"/>
          <w:sz w:val="22"/>
        </w:rPr>
        <w:t>), as supplemented by the First Supplemental Indenture, dated as of May 6, 2010, the Second Supplemental Indenture, dated as of March 28, 2011, the Third Supplemental Indenture, dated as of October 27, 2011, the Fourth Supplemental Indenture, dated as of December 10, 2013, the Fifth Supplemental Indenture, dated as of August 30, 2016, the Sixth Supplemental Indenture, dated as of November 3, 2016, the Seventh Supplemental Indenture, dated as of January 23, 2019, the Eighth Supplemental Indenture, dated as of May 22, 2020, the Ninth Supplemental Indenture, dated as of July 30, 2020 (the “</w:t>
      </w:r>
      <w:r>
        <w:rPr>
          <w:rFonts w:ascii="Times New Roman;serif" w:hAnsi="Times New Roman;serif"/>
          <w:b/>
          <w:i/>
          <w:color w:val="000000"/>
          <w:sz w:val="22"/>
        </w:rPr>
        <w:t>Ninth Supplemental Indenture</w:t>
      </w:r>
      <w:r>
        <w:rPr>
          <w:color w:val="000000"/>
        </w:rPr>
        <w:t>”</w:t>
      </w:r>
      <w:r>
        <w:rPr>
          <w:rFonts w:ascii="Times New Roman;serif" w:hAnsi="Times New Roman;serif"/>
          <w:b w:val="false"/>
          <w:color w:val="000000"/>
          <w:sz w:val="22"/>
        </w:rPr>
        <w:t>), the Tenth Supplemental Indenture, dated as of July 14, 2021, and the Eleventh Supplemental Indenture, dated as of September 15, 2023 (the “</w:t>
      </w:r>
      <w:r>
        <w:rPr>
          <w:rFonts w:ascii="Times New Roman;serif" w:hAnsi="Times New Roman;serif"/>
          <w:b/>
          <w:i/>
          <w:color w:val="000000"/>
          <w:sz w:val="22"/>
        </w:rPr>
        <w:t>Eleventh Supplemental Indenture</w:t>
      </w:r>
      <w:r>
        <w:rPr>
          <w:color w:val="000000"/>
        </w:rPr>
        <w:t>”</w:t>
      </w:r>
      <w:r>
        <w:rPr>
          <w:rFonts w:ascii="Times New Roman;serif" w:hAnsi="Times New Roman;serif"/>
          <w:b w:val="false"/>
          <w:color w:val="000000"/>
          <w:sz w:val="22"/>
        </w:rPr>
        <w:t>) (the Base Indenture, as so supplemented, the “</w:t>
      </w:r>
      <w:r>
        <w:rPr>
          <w:rFonts w:ascii="Times New Roman;serif" w:hAnsi="Times New Roman;serif"/>
          <w:b/>
          <w:i/>
          <w:color w:val="000000"/>
          <w:sz w:val="22"/>
        </w:rPr>
        <w:t>Indenture</w:t>
      </w:r>
      <w:r>
        <w:rPr>
          <w:color w:val="000000"/>
        </w:rPr>
        <w:t>”</w:t>
      </w:r>
      <w:r>
        <w:rPr>
          <w:rFonts w:ascii="Times New Roman;serif" w:hAnsi="Times New Roman;serif"/>
          <w:b w:val="false"/>
          <w:color w:val="000000"/>
          <w:sz w:val="22"/>
        </w:rPr>
        <w:t>), pursuant to which the Company has issued 1.700% Notes due 2027 (the “</w:t>
      </w:r>
      <w:r>
        <w:rPr>
          <w:rFonts w:ascii="Times New Roman;serif" w:hAnsi="Times New Roman;serif"/>
          <w:b/>
          <w:i/>
          <w:color w:val="000000"/>
          <w:sz w:val="22"/>
        </w:rPr>
        <w:t>2027 Notes</w:t>
      </w:r>
      <w:r>
        <w:rPr>
          <w:color w:val="000000"/>
        </w:rPr>
        <w:t>”</w:t>
      </w:r>
      <w:r>
        <w:rPr>
          <w:rFonts w:ascii="Times New Roman;serif" w:hAnsi="Times New Roman;serif"/>
          <w:b w:val="false"/>
          <w:color w:val="000000"/>
          <w:sz w:val="22"/>
        </w:rPr>
        <w:t>) and 5.500% Notes due 2028 (together with the 2027 Notes, the “</w:t>
      </w:r>
      <w:r>
        <w:rPr>
          <w:rFonts w:ascii="Times New Roman;serif" w:hAnsi="Times New Roman;serif"/>
          <w:b/>
          <w:i/>
          <w:color w:val="000000"/>
          <w:sz w:val="22"/>
        </w:rPr>
        <w:t>Notes</w:t>
      </w:r>
      <w:r>
        <w:rPr>
          <w:color w:val="000000"/>
        </w:rPr>
        <w:t>”</w:t>
      </w:r>
      <w:r>
        <w:rPr>
          <w:rFonts w:ascii="Times New Roman;serif" w:hAnsi="Times New Roman;serif"/>
          <w:b w:val="false"/>
          <w:color w:val="000000"/>
          <w:sz w:val="22"/>
        </w:rPr>
        <w:t>);</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2"/>
        </w:rPr>
        <w:t>WHEREAS, Section 8.06 of the Ninth Supplemental Indenture and Section 8.06 of the Eleventh Supplemental Indenture provide that the Company is required to cause each New Guarantor to execute and deliver to the Trustee a supplemental indenture evidencing its guarantee of the punctual payment when due of all monetary obligations of the Company under the Indenture and the Notes on the terms and conditions set forth herein and in Article 8 of the Ninth Supplemental Indenture and Article 8 of the Eleventh Supplemental Indenture;</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2"/>
        </w:rPr>
        <w:t>WHEREAS, each New Guarantor desires to enter into such supplemental indenture for good and valuable consideration, including substantial economic benefit in that the financial performance and condition of such New Guarantor is dependent on the financial performance and condition of the Company, the obligations hereunder of which such New Guarantor has guaranteed; and</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2"/>
        </w:rPr>
        <w:t>WHEREAS, pursuant to Section 8.01(e) of the Base Indenture, the parties hereto are authorized to execute and deliver this Twelfth Supplemental Indenture to amend the Indenture, without the consent of any Holder.</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2"/>
        </w:rPr>
        <w:t>NOW, THEREFORE, in consideration of the foregoing and for other good and valuable consideration, the receipt of which is hereby acknowledged, the Guarantors, the Company and the Trustee mutually covenant and agree for the benefit of the Holders of the Notes as follows:</w:t>
      </w:r>
    </w:p>
    <w:p>
      <w:pPr>
        <w:pStyle w:val="TextBody"/>
        <w:bidi w:val="0"/>
        <w:spacing w:lineRule="auto" w:line="288" w:before="0" w:after="1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Twelfth Supplemental Indenture, terms defined in the Indenture or in the preamble or recitals hereto are used herein as therein defined. The words “herein,” “hereof” and “hereby” and other words of similar import used in this Twelfth Supplemental Indenture refer to this Twelfth Supplemental Indenture as a whole and not to any particular section hereof.</w:t>
      </w:r>
    </w:p>
    <w:p>
      <w:pPr>
        <w:pStyle w:val="TextBody"/>
        <w:bidi w:val="0"/>
        <w:spacing w:lineRule="auto" w:line="288" w:before="0" w:after="1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Agreement to Guarantee</w:t>
      </w:r>
      <w:r>
        <w:rPr>
          <w:rFonts w:ascii="Times New Roman;serif" w:hAnsi="Times New Roman;serif"/>
          <w:b w:val="false"/>
          <w:color w:val="000000"/>
          <w:sz w:val="22"/>
        </w:rPr>
        <w:t>. Each New Guarantor, as primary obligor and not merely as surety, hereby jointly and severally with the Existing Guarantors, irrevocably and fully and unconditionally guarantees to each Holder and to the Trustee and its successors and assigns (the “</w:t>
      </w:r>
      <w:r>
        <w:rPr>
          <w:rFonts w:ascii="Times New Roman;serif" w:hAnsi="Times New Roman;serif"/>
          <w:b/>
          <w:i/>
          <w:color w:val="000000"/>
          <w:sz w:val="22"/>
        </w:rPr>
        <w:t>Guarantee</w:t>
      </w:r>
      <w:r>
        <w:rPr>
          <w:color w:val="000000"/>
        </w:rPr>
        <w:t>”</w:t>
      </w:r>
      <w:r>
        <w:rPr>
          <w:rFonts w:ascii="Times New Roman;serif" w:hAnsi="Times New Roman;serif"/>
          <w:b w:val="false"/>
          <w:color w:val="000000"/>
          <w:sz w:val="22"/>
        </w:rPr>
        <w:t>), on a senior unsecured basis and equal in right of payment to all existing and future senior indebtedness of such New Guarantor, the punctual payment when due of all monetary obligations of the Company under the Indenture and the Notes, whether for principal of or interest on the Notes, on the terms and subject to the conditions set forth in Article 8 of the Ninth Supplemental Indenture and Article 8 of the Eleventh Supplemental Indenture and agrees to be bound by (and shall be entitled to the benefits of) all other applicable provisions of the Indenture as a Guarantor.</w:t>
      </w:r>
    </w:p>
    <w:p>
      <w:pPr>
        <w:pStyle w:val="TextBody"/>
        <w:bidi w:val="0"/>
        <w:spacing w:lineRule="auto" w:line="288" w:before="0" w:after="120"/>
        <w:ind w:left="0" w:right="0" w:hanging="11"/>
        <w:jc w:val="both"/>
        <w:rPr/>
      </w:pPr>
      <w:r>
        <w:rPr>
          <w:rFonts w:ascii="Times New Roman;serif" w:hAnsi="Times New Roman;serif"/>
          <w:b w:val="false"/>
          <w:color w:val="000000"/>
          <w:sz w:val="24"/>
        </w:rPr>
        <w:t>3.    </w:t>
      </w:r>
      <w:r>
        <w:rPr>
          <w:rFonts w:ascii="Times New Roman;serif" w:hAnsi="Times New Roman;serif"/>
          <w:b w:val="false"/>
          <w:color w:val="000000"/>
          <w:sz w:val="22"/>
          <w:u w:val="single"/>
        </w:rPr>
        <w:t>Termination, Release and Discharge</w:t>
      </w:r>
      <w:r>
        <w:rPr>
          <w:rFonts w:ascii="Times New Roman;serif" w:hAnsi="Times New Roman;serif"/>
          <w:b w:val="false"/>
          <w:color w:val="000000"/>
          <w:sz w:val="22"/>
        </w:rPr>
        <w:t>. The Guarantee shall terminate and be of no further force or effect, and the New Guarantors shall be released and discharged from all obligations in respect of the Guarantee, as and when provided in Section 8.03 of the Ninth Supplemental Indenture and Section 8.03 of the Eleventh Supplemental Indenture.</w:t>
      </w:r>
    </w:p>
    <w:p>
      <w:pPr>
        <w:pStyle w:val="TextBody"/>
        <w:bidi w:val="0"/>
        <w:spacing w:lineRule="auto" w:line="288" w:before="0" w:after="120"/>
        <w:ind w:left="0" w:right="0" w:hanging="11"/>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Parties</w:t>
      </w:r>
      <w:r>
        <w:rPr>
          <w:rFonts w:ascii="Times New Roman;serif" w:hAnsi="Times New Roman;serif"/>
          <w:b w:val="false"/>
          <w:color w:val="000000"/>
          <w:sz w:val="22"/>
        </w:rPr>
        <w:t>. Nothing in this Twelfth Supplemental Indenture is intended or shall be construed to give any Person, other than the Holders and the Trustee, any legal or equitable right, remedy or claim under or in respect of the Guarantee or any provision contained herein or in the Indenture.</w:t>
      </w:r>
    </w:p>
    <w:p>
      <w:pPr>
        <w:pStyle w:val="TextBody"/>
        <w:bidi w:val="0"/>
        <w:spacing w:lineRule="auto" w:line="288" w:before="0" w:after="1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Twelfth Supplemental Indenture and the Notes shall be deemed to be a contract under the laws of the State of New York, and for all purposes shall be construed in accordance with the laws of such State, except as may otherwise be required by mandatory provisions of law.</w:t>
      </w:r>
    </w:p>
    <w:p>
      <w:pPr>
        <w:pStyle w:val="TextBody"/>
        <w:bidi w:val="0"/>
        <w:spacing w:lineRule="auto" w:line="288" w:before="0" w:after="1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Ratification of Indenture; Supplemental Indentures; Part of Indenture</w:t>
      </w:r>
      <w:r>
        <w:rPr>
          <w:rFonts w:ascii="Times New Roman;serif" w:hAnsi="Times New Roman;serif"/>
          <w:b w:val="false"/>
          <w:color w:val="000000"/>
          <w:sz w:val="22"/>
        </w:rPr>
        <w:t xml:space="preserve">. The Indenture, as supplemented by this Twelfth Supplemental Indenture, is in all respects ratified and confirmed, and this Twelfth Supplemental Indenture shall be deemed part of the Indenture in the manner and to the extent herein and therein provided. </w:t>
      </w:r>
    </w:p>
    <w:p>
      <w:pPr>
        <w:pStyle w:val="TextBody"/>
        <w:bidi w:val="0"/>
        <w:spacing w:lineRule="auto" w:line="288" w:before="0" w:after="1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Trustee Makes No Representation; Trustee’s Rights and Duties</w:t>
      </w:r>
      <w:r>
        <w:rPr>
          <w:rFonts w:ascii="Times New Roman;serif" w:hAnsi="Times New Roman;serif"/>
          <w:b w:val="false"/>
          <w:color w:val="000000"/>
          <w:sz w:val="22"/>
        </w:rPr>
        <w:t>. The recitals contained herein shall be taken as the statements of the Company, and the Trustee assumes no responsibility for the correctness of the same. The Trustee makes no representation as to the validity or sufficiency of this Twelfth Supplemental Indenture and shall not be liable in connection therewith. The rights and duties of the Trustee shall be determined by the express provisions of the Indenture and, except as expressly set forth in this Twelfth Supplemental Indenture, nothing in this Twelfth Supplemental Indenture shall in any way modify or otherwise affect the Trustee’s rights and duties thereunder.</w:t>
      </w:r>
    </w:p>
    <w:p>
      <w:pPr>
        <w:pStyle w:val="TextBody"/>
        <w:bidi w:val="0"/>
        <w:spacing w:lineRule="auto" w:line="288" w:before="0" w:after="1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Twelfth Supplemental Indenture may be executed by any one or more of the parties hereto in any number of counterparts, each of which shall be deemed to be an original; but all such respective counterparts shall together constitute one and the same instrument. Delivery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of an executed Twelfth Supplemental Indenture by one party to the others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pStyle w:val="TextBody"/>
        <w:bidi w:val="0"/>
        <w:spacing w:lineRule="auto" w:line="288" w:before="0" w:after="1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Headings</w:t>
      </w:r>
      <w:r>
        <w:rPr>
          <w:rFonts w:ascii="Times New Roman;serif" w:hAnsi="Times New Roman;serif"/>
          <w:b w:val="false"/>
          <w:color w:val="000000"/>
          <w:sz w:val="22"/>
        </w:rPr>
        <w:t xml:space="preserve">. The section headings herein are for convenience only and shall not affect the construction hereof. </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2"/>
        </w:rPr>
        <w:t>IN WITNESS WHEREOF, the parties hereto have caused this Twelfth Supplemental Indenture to be duly executed as of the date first above written.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br/>
        <w:t>LENNOX INTERNATIONAL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ADVANCED DISTRIBUTOR PRODUCTS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ALLIED AIR ENTERPRISES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DURO DYNE BUYER,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DURO DYNE NATIONAL CORP.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HEATCRAFT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HEATCRAFT REFRIGERATION PRODUCTS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HEATCRAFT TECHNOLOGIES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LENNOX GLOBAL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LENNOX INDUSTRIES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LENNOX NATIONAL ACCOUNT SERVICES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LENNOX NATIONAL ACCOUNT SERVICES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LENNOX PROCUREMENT COMPANY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LENNOX SERVICES LLC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LGL EUROPE HOLDING CO.</w:t>
      </w:r>
    </w:p>
    <w:p>
      <w:pPr>
        <w:pStyle w:val="TextBody"/>
        <w:bidi w:val="0"/>
        <w:spacing w:before="0" w:after="240"/>
        <w:jc w:val="left"/>
        <w:rPr/>
      </w:pPr>
      <w:r>
        <w:rPr/>
      </w:r>
    </w:p>
    <w:tbl>
      <w:tblPr>
        <w:tblW w:w="4604" w:type="dxa"/>
        <w:jc w:val="left"/>
        <w:tblInd w:w="0" w:type="dxa"/>
        <w:tblLayout w:type="fixed"/>
        <w:tblCellMar>
          <w:top w:w="28" w:type="dxa"/>
          <w:left w:w="28" w:type="dxa"/>
          <w:bottom w:w="28" w:type="dxa"/>
          <w:right w:w="28" w:type="dxa"/>
        </w:tblCellMar>
      </w:tblPr>
      <w:tblGrid>
        <w:gridCol w:w="162"/>
        <w:gridCol w:w="143"/>
        <w:gridCol w:w="145"/>
        <w:gridCol w:w="1217"/>
        <w:gridCol w:w="1217"/>
        <w:gridCol w:w="172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15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Theresa McCray</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Name:</w:t>
            </w:r>
            <w:r>
              <w:rPr>
                <w:color w:val="000000"/>
              </w:rPr>
              <w:t xml:space="preserve">     </w:t>
            </w:r>
            <w:r>
              <w:rPr>
                <w:rFonts w:ascii="Times New Roman;serif" w:hAnsi="Times New Roman;serif"/>
                <w:b w:val="false"/>
                <w:color w:val="000000"/>
                <w:sz w:val="22"/>
              </w:rPr>
              <w:t xml:space="preserve">Theresa McCray </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Title:</w:t>
            </w:r>
            <w:r>
              <w:rPr>
                <w:color w:val="000000"/>
              </w:rPr>
              <w:t xml:space="preserve">     </w:t>
            </w:r>
            <w:r>
              <w:rPr>
                <w:rFonts w:ascii="Times New Roman;serif" w:hAnsi="Times New Roman;serif"/>
                <w:b w:val="false"/>
                <w:color w:val="000000"/>
                <w:sz w:val="22"/>
              </w:rPr>
              <w:t>Vice President, Corporate Tax and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Treasurer</w:t>
            </w:r>
          </w:p>
        </w:tc>
      </w:tr>
    </w:tbl>
    <w:p>
      <w:pPr>
        <w:pStyle w:val="TextBody"/>
        <w:bidi w:val="0"/>
        <w:spacing w:before="0" w:after="240"/>
        <w:jc w:val="left"/>
        <w:rPr/>
      </w:pPr>
      <w:r>
        <w:rPr/>
      </w:r>
    </w:p>
    <w:p>
      <w:pPr>
        <w:pStyle w:val="TextBody"/>
        <w:bidi w:val="0"/>
        <w:spacing w:before="0" w:after="240"/>
        <w:jc w:val="righ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Signature Page to Twelfth Supplemental Indenture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Signature Page to Twelfth Supplemental Indenture</w:t>
                      </w:r>
                      <w:r>
                        <w:rPr>
                          <w:rFonts w:ascii="Times New Roman;serif" w:hAnsi="Times New Roman;serif"/>
                          <w:b w:val="false"/>
                          <w:color w:val="000000"/>
                          <w:sz w:val="20"/>
                        </w:rPr>
                        <w:t>]</w:t>
                      </w:r>
                    </w:p>
                  </w:txbxContent>
                </v:textbox>
                <w10:wrap type="none"/>
              </v:rect>
            </w:pict>
          </mc:Fallback>
        </mc:AlternateContent>
      </w:r>
    </w:p>
    <w:tbl>
      <w:tblPr>
        <w:tblW w:w="7140" w:type="dxa"/>
        <w:jc w:val="left"/>
        <w:tblInd w:w="0" w:type="dxa"/>
        <w:tblLayout w:type="fixed"/>
        <w:tblCellMar>
          <w:top w:w="28" w:type="dxa"/>
          <w:left w:w="28" w:type="dxa"/>
          <w:bottom w:w="28" w:type="dxa"/>
          <w:right w:w="28" w:type="dxa"/>
        </w:tblCellMar>
      </w:tblPr>
      <w:tblGrid>
        <w:gridCol w:w="1237"/>
        <w:gridCol w:w="1088"/>
        <w:gridCol w:w="1088"/>
        <w:gridCol w:w="1088"/>
        <w:gridCol w:w="1088"/>
        <w:gridCol w:w="1551"/>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7140" w:type="dxa"/>
            <w:gridSpan w:val="6"/>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U.S. BANK TRUST COMPANY, NATIONAL ASSOCIATION, as Trustee</w:t>
            </w:r>
          </w:p>
        </w:tc>
      </w:tr>
      <w:tr>
        <w:trPr/>
        <w:tc>
          <w:tcPr>
            <w:tcW w:w="3413"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7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Michael K. Herberger</w:t>
            </w:r>
          </w:p>
        </w:tc>
      </w:tr>
      <w:tr>
        <w:trPr/>
        <w:tc>
          <w:tcPr>
            <w:tcW w:w="3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Name:    Michael K. Herberger</w:t>
            </w:r>
          </w:p>
        </w:tc>
      </w:tr>
      <w:tr>
        <w:trPr/>
        <w:tc>
          <w:tcPr>
            <w:tcW w:w="3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Signature Page to Twelfth Supplemental Indenture</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pPr>
                      <w:r>
                        <w:rPr>
                          <w:color w:val="000000"/>
                        </w:rPr>
                        <w:t>    </w:t>
                      </w:r>
                      <w:r>
                        <w:rPr>
                          <w:rFonts w:ascii="Times New Roman;serif" w:hAnsi="Times New Roman;serif"/>
                          <w:b w:val="false"/>
                          <w:color w:val="000000"/>
                          <w:sz w:val="20"/>
                        </w:rPr>
                        <w:t>[</w:t>
                      </w:r>
                      <w:r>
                        <w:rPr>
                          <w:rFonts w:ascii="Times New Roman;serif" w:hAnsi="Times New Roman;serif"/>
                          <w:b w:val="false"/>
                          <w:i/>
                          <w:color w:val="000000"/>
                          <w:sz w:val="20"/>
                        </w:rPr>
                        <w:t>Signature Page to Twelfth Supplemental Indenture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List of Guarantor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subsidiaries of Lennox International Inc. (the “Company”) are guarantors with respect to the Company’s (1) 1.70% Notes due 2027 and (2) 5.50% Notes due 2028:</w:t>
      </w:r>
    </w:p>
    <w:p>
      <w:pPr>
        <w:pStyle w:val="TextBody"/>
        <w:bidi w:val="0"/>
        <w:spacing w:before="0" w:after="0"/>
        <w:jc w:val="left"/>
        <w:rPr/>
      </w:pPr>
      <w:r>
        <w:rPr/>
      </w:r>
    </w:p>
    <w:tbl>
      <w:tblPr>
        <w:tblW w:w="8069" w:type="dxa"/>
        <w:jc w:val="left"/>
        <w:tblInd w:w="0" w:type="dxa"/>
        <w:tblLayout w:type="fixed"/>
        <w:tblCellMar>
          <w:top w:w="28" w:type="dxa"/>
          <w:left w:w="28" w:type="dxa"/>
          <w:bottom w:w="28" w:type="dxa"/>
          <w:right w:w="28" w:type="dxa"/>
        </w:tblCellMar>
      </w:tblPr>
      <w:tblGrid>
        <w:gridCol w:w="1425"/>
        <w:gridCol w:w="1249"/>
        <w:gridCol w:w="1255"/>
        <w:gridCol w:w="1211"/>
        <w:gridCol w:w="1211"/>
        <w:gridCol w:w="1718"/>
      </w:tblGrid>
      <w:tr>
        <w:trPr/>
        <w:tc>
          <w:tcPr>
            <w:tcW w:w="142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Guarantor</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State or Other Jurisdiction of Formation</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Advanced Distributor Products LLC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Allied Air Enterprises LLC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Duro Dyne Buyer, Inc.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Duro Dyne National, Inc.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Heatcraft Inc.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Heatcraft Refrigeration Products LLC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Heatcraft Technologies Inc.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Lennox Global LLC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Lennox Industries Inc.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Lennox National Account Services Inc.</w:t>
            </w:r>
          </w:p>
        </w:tc>
        <w:tc>
          <w:tcPr>
            <w:tcW w:w="41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California</w:t>
            </w:r>
          </w:p>
        </w:tc>
      </w:tr>
      <w:tr>
        <w:trPr/>
        <w:tc>
          <w:tcPr>
            <w:tcW w:w="39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Lennox National Account Services, LLC</w:t>
            </w:r>
          </w:p>
        </w:tc>
        <w:tc>
          <w:tcPr>
            <w:tcW w:w="41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Florida</w:t>
            </w:r>
          </w:p>
        </w:tc>
      </w:tr>
      <w:tr>
        <w:trPr/>
        <w:tc>
          <w:tcPr>
            <w:tcW w:w="3929"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Lennox Procurement Company Inc.</w:t>
            </w:r>
          </w:p>
        </w:tc>
        <w:tc>
          <w:tcPr>
            <w:tcW w:w="4140"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Lennox Services, LLC</w:t>
            </w:r>
          </w:p>
        </w:tc>
        <w:tc>
          <w:tcPr>
            <w:tcW w:w="4140"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3929"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LGL Europe Holding Co.</w:t>
            </w:r>
          </w:p>
        </w:tc>
        <w:tc>
          <w:tcPr>
            <w:tcW w:w="4140"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Alok Maskara,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Lennox International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bl>
      <w:tblPr>
        <w:tblW w:w="2412" w:type="dxa"/>
        <w:jc w:val="left"/>
        <w:tblInd w:w="0" w:type="dxa"/>
        <w:tblLayout w:type="fixed"/>
        <w:tblCellMar>
          <w:top w:w="28" w:type="dxa"/>
          <w:left w:w="28" w:type="dxa"/>
          <w:bottom w:w="28" w:type="dxa"/>
          <w:right w:w="28" w:type="dxa"/>
        </w:tblCellMar>
      </w:tblPr>
      <w:tblGrid>
        <w:gridCol w:w="124"/>
        <w:gridCol w:w="109"/>
        <w:gridCol w:w="109"/>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Alok Maskara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Alok Maskara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Michael P. Quenzer,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Lennox International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bl>
      <w:tblPr>
        <w:tblW w:w="2352" w:type="dxa"/>
        <w:jc w:val="left"/>
        <w:tblInd w:w="0" w:type="dxa"/>
        <w:tblLayout w:type="fixed"/>
        <w:tblCellMar>
          <w:top w:w="28" w:type="dxa"/>
          <w:left w:w="28" w:type="dxa"/>
          <w:bottom w:w="28" w:type="dxa"/>
          <w:right w:w="28" w:type="dxa"/>
        </w:tblCellMar>
      </w:tblPr>
      <w:tblGrid>
        <w:gridCol w:w="124"/>
        <w:gridCol w:w="109"/>
        <w:gridCol w:w="109"/>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P. Quenzer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 Quenzer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Lennox International Inc. (the “Company”) on Form 10-Q for the quarter ended June 30, 2026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412" w:type="dxa"/>
        <w:jc w:val="left"/>
        <w:tblInd w:w="0" w:type="dxa"/>
        <w:tblLayout w:type="fixed"/>
        <w:tblCellMar>
          <w:top w:w="28" w:type="dxa"/>
          <w:left w:w="28" w:type="dxa"/>
          <w:bottom w:w="28" w:type="dxa"/>
          <w:right w:w="28" w:type="dxa"/>
        </w:tblCellMar>
      </w:tblPr>
      <w:tblGrid>
        <w:gridCol w:w="740"/>
        <w:gridCol w:w="649"/>
        <w:gridCol w:w="651"/>
        <w:gridCol w:w="109"/>
        <w:gridCol w:w="109"/>
        <w:gridCol w:w="154"/>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Alok Maskara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Alok Maskara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bl>
      <w:tblPr>
        <w:tblW w:w="2351" w:type="dxa"/>
        <w:jc w:val="left"/>
        <w:tblInd w:w="0" w:type="dxa"/>
        <w:tblLayout w:type="fixed"/>
        <w:tblCellMar>
          <w:top w:w="28" w:type="dxa"/>
          <w:left w:w="28" w:type="dxa"/>
          <w:bottom w:w="28" w:type="dxa"/>
          <w:right w:w="28" w:type="dxa"/>
        </w:tblCellMar>
      </w:tblPr>
      <w:tblGrid>
        <w:gridCol w:w="716"/>
        <w:gridCol w:w="629"/>
        <w:gridCol w:w="634"/>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P. Quenzer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 Quenzer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p>
      <w:pPr>
        <w:pStyle w:val="TextBody"/>
        <w:bidi w:val="0"/>
        <w:spacing w:before="180" w:after="283"/>
        <w:ind w:left="0" w:right="0" w:firstLine="495"/>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9202/000162828023004257/lii-ex31_20221231x10k.htm" TargetMode="External"/><Relationship Id="rId3" Type="http://schemas.openxmlformats.org/officeDocument/2006/relationships/hyperlink" Target="https://www.sec.gov/Archives/edgar/data/1069202/000162828023004257/lii-ex32_20221231x10k.htm" TargetMode="External"/><Relationship Id="rId4" Type="http://schemas.openxmlformats.org/officeDocument/2006/relationships/hyperlink" Target="https://www.sec.gov/Archives/edgar/data/1017609/000095012310042399/d72548exv4w3.htm" TargetMode="External"/><Relationship Id="rId5" Type="http://schemas.openxmlformats.org/officeDocument/2006/relationships/hyperlink" Target="https://www.sec.gov/Archives/edgar/data/1069202/000119312520203588/d22651dex42.htm" TargetMode="External"/><Relationship Id="rId6" Type="http://schemas.openxmlformats.org/officeDocument/2006/relationships/hyperlink" Target="https://www.sec.gov/Archives/edgar/data/1069202/000119312520203588/d22651dex42.htm" TargetMode="External"/><Relationship Id="rId7" Type="http://schemas.openxmlformats.org/officeDocument/2006/relationships/hyperlink" Target="https://www.sec.gov/Archives/edgar/data/1069202/000162828022002664/lii-ex47_20211231x10k.htm" TargetMode="External"/><Relationship Id="rId8" Type="http://schemas.openxmlformats.org/officeDocument/2006/relationships/hyperlink" Target="https://www.sec.gov/Archives/edgar/data/1069202/000162828023032385/exhibit42eleventhsupplemen.htm" TargetMode="External"/><Relationship Id="rId9" Type="http://schemas.openxmlformats.org/officeDocument/2006/relationships/hyperlink" Target="https://www.sec.gov/Archives/edgar/data/1069202/000162828023032385/exhibit42eleventhsupplemen.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18105</Words>
  <Characters>98746</Characters>
  <CharactersWithSpaces>115510</CharactersWithSpaces>
  <Paragraphs>2708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