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ind w:left="5444" w:right="4120" w:hanging="4970"/>
        <w:spacing w:after="0" w:line="254" w:lineRule="auto"/>
        <w:rPr>
          <w:sz w:val="20"/>
          <w:szCs w:val="20"/>
          <w:color w:val="auto"/>
        </w:rPr>
      </w:pPr>
      <w:r>
        <w:rPr>
          <w:rFonts w:ascii="Courier New" w:cs="Courier New" w:eastAsia="Courier New" w:hAnsi="Courier New"/>
          <w:sz w:val="15"/>
          <w:szCs w:val="15"/>
          <w:color w:val="auto"/>
        </w:rPr>
        <w:t>AS FILED WITH THE SECURITIES AND EXCHANGE COMMISSION ON JULY 29, 1999. REGISTRATION NO. 333-</w:t>
      </w:r>
    </w:p>
    <w:p>
      <w:pPr>
        <w:spacing w:after="0" w:line="1"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ind w:left="844"/>
        <w:spacing w:after="0"/>
        <w:rPr>
          <w:sz w:val="20"/>
          <w:szCs w:val="20"/>
          <w:color w:val="auto"/>
        </w:rPr>
      </w:pPr>
      <w:r>
        <w:rPr>
          <w:rFonts w:ascii="Courier New" w:cs="Courier New" w:eastAsia="Courier New" w:hAnsi="Courier New"/>
          <w:sz w:val="16"/>
          <w:szCs w:val="16"/>
          <w:color w:val="auto"/>
        </w:rPr>
        <w:t>SECURITIES AND EXCHANGE COMMISSION WASHINGTON, D.C. 20549</w:t>
      </w:r>
    </w:p>
    <w:p>
      <w:pPr>
        <w:spacing w:after="0" w:line="179" w:lineRule="exact"/>
        <w:rPr>
          <w:sz w:val="24"/>
          <w:szCs w:val="24"/>
          <w:color w:val="auto"/>
        </w:rPr>
      </w:pPr>
    </w:p>
    <w:p>
      <w:pPr>
        <w:ind w:left="32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6"/>
          <w:szCs w:val="16"/>
          <w:color w:val="auto"/>
        </w:rPr>
        <w:t>FORM S-8</w:t>
      </w:r>
    </w:p>
    <w:p>
      <w:pPr>
        <w:jc w:val="center"/>
        <w:ind w:right="3916"/>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jc w:val="center"/>
        <w:ind w:right="3916"/>
        <w:spacing w:after="0" w:line="237" w:lineRule="auto"/>
        <w:rPr>
          <w:sz w:val="20"/>
          <w:szCs w:val="20"/>
          <w:color w:val="auto"/>
        </w:rPr>
      </w:pPr>
      <w:r>
        <w:rPr>
          <w:rFonts w:ascii="Courier New" w:cs="Courier New" w:eastAsia="Courier New" w:hAnsi="Courier New"/>
          <w:sz w:val="16"/>
          <w:szCs w:val="16"/>
          <w:color w:val="auto"/>
        </w:rPr>
        <w:t>-----------</w:t>
      </w:r>
    </w:p>
    <w:p>
      <w:pPr>
        <w:jc w:val="center"/>
        <w:ind w:right="3936"/>
        <w:spacing w:after="0"/>
        <w:rPr>
          <w:sz w:val="20"/>
          <w:szCs w:val="20"/>
          <w:color w:val="auto"/>
        </w:rPr>
      </w:pPr>
      <w:r>
        <w:rPr>
          <w:rFonts w:ascii="Courier New" w:cs="Courier New" w:eastAsia="Courier New" w:hAnsi="Courier New"/>
          <w:sz w:val="16"/>
          <w:szCs w:val="16"/>
          <w:color w:val="auto"/>
        </w:rPr>
        <w:t>LENNOX INTERNATIONAL INC.</w:t>
      </w:r>
    </w:p>
    <w:p>
      <w:pPr>
        <w:jc w:val="center"/>
        <w:ind w:right="4016"/>
        <w:spacing w:after="0" w:line="238" w:lineRule="auto"/>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4"/>
          </w:cols>
          <w:pgMar w:left="236" w:top="233" w:right="139" w:bottom="1440" w:gutter="0" w:footer="0" w:header="0"/>
        </w:sectPr>
      </w:pPr>
    </w:p>
    <w:p>
      <w:pPr>
        <w:spacing w:after="0" w:line="360" w:lineRule="exact"/>
        <w:rPr>
          <w:sz w:val="24"/>
          <w:szCs w:val="24"/>
          <w:color w:val="auto"/>
        </w:rPr>
      </w:pPr>
    </w:p>
    <w:p>
      <w:pPr>
        <w:ind w:left="1684"/>
        <w:spacing w:after="0"/>
        <w:rPr>
          <w:sz w:val="20"/>
          <w:szCs w:val="20"/>
          <w:color w:val="auto"/>
        </w:rPr>
      </w:pPr>
      <w:r>
        <w:rPr>
          <w:rFonts w:ascii="Courier New" w:cs="Courier New" w:eastAsia="Courier New" w:hAnsi="Courier New"/>
          <w:sz w:val="16"/>
          <w:szCs w:val="16"/>
          <w:color w:val="auto"/>
        </w:rPr>
        <w:t>DELAWARE</w:t>
      </w:r>
    </w:p>
    <w:p>
      <w:pPr>
        <w:ind w:left="744"/>
        <w:spacing w:after="0"/>
        <w:rPr>
          <w:sz w:val="20"/>
          <w:szCs w:val="20"/>
          <w:color w:val="auto"/>
        </w:rPr>
      </w:pPr>
      <w:r>
        <w:rPr>
          <w:rFonts w:ascii="Courier New" w:cs="Courier New" w:eastAsia="Courier New" w:hAnsi="Courier New"/>
          <w:sz w:val="16"/>
          <w:szCs w:val="16"/>
          <w:color w:val="auto"/>
        </w:rPr>
        <w:t>(State or other jurisdiction</w:t>
      </w:r>
    </w:p>
    <w:p>
      <w:pPr>
        <w:spacing w:after="0" w:line="3" w:lineRule="exact"/>
        <w:rPr>
          <w:sz w:val="24"/>
          <w:szCs w:val="24"/>
          <w:color w:val="auto"/>
        </w:rPr>
      </w:pPr>
    </w:p>
    <w:p>
      <w:pPr>
        <w:ind w:left="464"/>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jc w:val="center"/>
        <w:ind w:right="4200"/>
        <w:spacing w:after="0"/>
        <w:rPr>
          <w:sz w:val="20"/>
          <w:szCs w:val="20"/>
          <w:color w:val="auto"/>
        </w:rPr>
      </w:pPr>
      <w:r>
        <w:rPr>
          <w:rFonts w:ascii="Courier New" w:cs="Courier New" w:eastAsia="Courier New" w:hAnsi="Courier New"/>
          <w:sz w:val="16"/>
          <w:szCs w:val="16"/>
          <w:color w:val="auto"/>
        </w:rPr>
        <w:t>42-0991521</w:t>
      </w:r>
    </w:p>
    <w:p>
      <w:pPr>
        <w:jc w:val="center"/>
        <w:ind w:right="4200"/>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4"/>
          <w:szCs w:val="24"/>
          <w:color w:val="auto"/>
        </w:rPr>
      </w:pPr>
    </w:p>
    <w:p>
      <w:pPr>
        <w:jc w:val="center"/>
        <w:ind w:right="4200"/>
        <w:spacing w:after="0"/>
        <w:rPr>
          <w:sz w:val="20"/>
          <w:szCs w:val="20"/>
          <w:color w:val="auto"/>
        </w:rPr>
      </w:pPr>
      <w:r>
        <w:rPr>
          <w:rFonts w:ascii="Courier New" w:cs="Courier New" w:eastAsia="Courier New" w:hAnsi="Courier New"/>
          <w:sz w:val="15"/>
          <w:szCs w:val="15"/>
          <w:color w:val="auto"/>
        </w:rPr>
        <w:t>Identification Number)</w:t>
      </w:r>
    </w:p>
    <w:p>
      <w:pPr>
        <w:spacing w:after="0" w:line="186" w:lineRule="exact"/>
        <w:rPr>
          <w:sz w:val="24"/>
          <w:szCs w:val="24"/>
          <w:color w:val="auto"/>
        </w:rPr>
      </w:pPr>
    </w:p>
    <w:p>
      <w:pPr>
        <w:sectPr>
          <w:pgSz w:w="11900" w:h="16838" w:orient="portrait"/>
          <w:cols w:equalWidth="0" w:num="2">
            <w:col w:w="4524" w:space="720"/>
            <w:col w:w="6280"/>
          </w:cols>
          <w:pgMar w:left="236" w:top="233" w:right="139" w:bottom="1440" w:gutter="0" w:footer="0" w:header="0"/>
          <w:type w:val="continuous"/>
        </w:sectPr>
      </w:pPr>
    </w:p>
    <w:p>
      <w:pPr>
        <w:ind w:left="1684"/>
        <w:spacing w:after="0"/>
        <w:rPr>
          <w:sz w:val="20"/>
          <w:szCs w:val="20"/>
          <w:color w:val="auto"/>
        </w:rPr>
      </w:pPr>
      <w:r>
        <w:rPr>
          <w:rFonts w:ascii="Courier New" w:cs="Courier New" w:eastAsia="Courier New" w:hAnsi="Courier New"/>
          <w:sz w:val="16"/>
          <w:szCs w:val="16"/>
          <w:color w:val="auto"/>
        </w:rPr>
        <w:t>2140 LAKE PARK BLVD., RICHARDSON, TEXAS 75080</w:t>
      </w:r>
    </w:p>
    <w:p>
      <w:pPr>
        <w:ind w:left="944"/>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ind w:left="3284"/>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6"/>
          <w:szCs w:val="16"/>
          <w:color w:val="auto"/>
        </w:rPr>
        <w:t>1998 INCENTIVE PLAN OF LENNOX INTERNATIONAL INC.</w:t>
      </w:r>
    </w:p>
    <w:p>
      <w:pPr>
        <w:jc w:val="center"/>
        <w:ind w:right="4016"/>
        <w:spacing w:after="0"/>
        <w:rPr>
          <w:sz w:val="20"/>
          <w:szCs w:val="20"/>
          <w:color w:val="auto"/>
        </w:rPr>
      </w:pPr>
      <w:r>
        <w:rPr>
          <w:rFonts w:ascii="Courier New" w:cs="Courier New" w:eastAsia="Courier New" w:hAnsi="Courier New"/>
          <w:sz w:val="16"/>
          <w:szCs w:val="16"/>
          <w:color w:val="auto"/>
        </w:rPr>
        <w:t>(Full Title of the Plan)</w:t>
      </w:r>
    </w:p>
    <w:p>
      <w:pPr>
        <w:ind w:left="3284"/>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4"/>
          <w:szCs w:val="24"/>
          <w:color w:val="auto"/>
        </w:rPr>
      </w:pPr>
    </w:p>
    <w:p>
      <w:pPr>
        <w:ind w:left="3104"/>
        <w:spacing w:after="0"/>
        <w:rPr>
          <w:sz w:val="20"/>
          <w:szCs w:val="20"/>
          <w:color w:val="auto"/>
        </w:rPr>
      </w:pPr>
      <w:r>
        <w:rPr>
          <w:rFonts w:ascii="Courier New" w:cs="Courier New" w:eastAsia="Courier New" w:hAnsi="Courier New"/>
          <w:sz w:val="16"/>
          <w:szCs w:val="16"/>
          <w:color w:val="auto"/>
        </w:rPr>
        <w:t>CARL E. EDWARDS</w:t>
      </w:r>
    </w:p>
    <w:p>
      <w:pPr>
        <w:ind w:left="2624"/>
        <w:spacing w:after="0"/>
        <w:rPr>
          <w:sz w:val="20"/>
          <w:szCs w:val="20"/>
          <w:color w:val="auto"/>
        </w:rPr>
      </w:pPr>
      <w:r>
        <w:rPr>
          <w:rFonts w:ascii="Courier New" w:cs="Courier New" w:eastAsia="Courier New" w:hAnsi="Courier New"/>
          <w:sz w:val="16"/>
          <w:szCs w:val="16"/>
          <w:color w:val="auto"/>
        </w:rPr>
        <w:t>EXECUTIVE VICE PRESIDENT,</w:t>
      </w:r>
    </w:p>
    <w:p>
      <w:pPr>
        <w:ind w:left="2444"/>
        <w:spacing w:after="0" w:line="237" w:lineRule="auto"/>
        <w:rPr>
          <w:sz w:val="20"/>
          <w:szCs w:val="20"/>
          <w:color w:val="auto"/>
        </w:rPr>
      </w:pPr>
      <w:r>
        <w:rPr>
          <w:rFonts w:ascii="Courier New" w:cs="Courier New" w:eastAsia="Courier New" w:hAnsi="Courier New"/>
          <w:sz w:val="16"/>
          <w:szCs w:val="16"/>
          <w:color w:val="auto"/>
        </w:rPr>
        <w:t>GENERAL COUNSEL AND SECRETARY</w:t>
      </w:r>
    </w:p>
    <w:p>
      <w:pPr>
        <w:ind w:left="2624"/>
        <w:spacing w:after="0"/>
        <w:rPr>
          <w:sz w:val="20"/>
          <w:szCs w:val="20"/>
          <w:color w:val="auto"/>
        </w:rPr>
      </w:pPr>
      <w:r>
        <w:rPr>
          <w:rFonts w:ascii="Courier New" w:cs="Courier New" w:eastAsia="Courier New" w:hAnsi="Courier New"/>
          <w:sz w:val="16"/>
          <w:szCs w:val="16"/>
          <w:color w:val="auto"/>
        </w:rPr>
        <w:t>LENNOX INTERNATIONAL INC.</w:t>
      </w:r>
    </w:p>
    <w:p>
      <w:pPr>
        <w:ind w:left="2824"/>
        <w:spacing w:after="0" w:line="238" w:lineRule="auto"/>
        <w:rPr>
          <w:sz w:val="20"/>
          <w:szCs w:val="20"/>
          <w:color w:val="auto"/>
        </w:rPr>
      </w:pPr>
      <w:r>
        <w:rPr>
          <w:rFonts w:ascii="Courier New" w:cs="Courier New" w:eastAsia="Courier New" w:hAnsi="Courier New"/>
          <w:sz w:val="16"/>
          <w:szCs w:val="16"/>
          <w:color w:val="auto"/>
        </w:rPr>
        <w:t>2140 LAKE PARK BLVD.</w:t>
      </w:r>
    </w:p>
    <w:p>
      <w:pPr>
        <w:ind w:left="2724"/>
        <w:spacing w:after="0"/>
        <w:rPr>
          <w:sz w:val="20"/>
          <w:szCs w:val="20"/>
          <w:color w:val="auto"/>
        </w:rPr>
      </w:pPr>
      <w:r>
        <w:rPr>
          <w:rFonts w:ascii="Courier New" w:cs="Courier New" w:eastAsia="Courier New" w:hAnsi="Courier New"/>
          <w:sz w:val="16"/>
          <w:szCs w:val="16"/>
          <w:color w:val="auto"/>
        </w:rPr>
        <w:t>RICHARDSON, TEXAS 75080</w:t>
      </w:r>
    </w:p>
    <w:p>
      <w:pPr>
        <w:ind w:left="1964"/>
        <w:spacing w:after="0" w:line="238" w:lineRule="auto"/>
        <w:rPr>
          <w:sz w:val="20"/>
          <w:szCs w:val="20"/>
          <w:color w:val="auto"/>
        </w:rPr>
      </w:pPr>
      <w:r>
        <w:rPr>
          <w:rFonts w:ascii="Courier New" w:cs="Courier New" w:eastAsia="Courier New" w:hAnsi="Courier New"/>
          <w:sz w:val="16"/>
          <w:szCs w:val="16"/>
          <w:color w:val="auto"/>
        </w:rPr>
        <w:t>(Name and address of agent for service)</w:t>
      </w:r>
    </w:p>
    <w:p>
      <w:pPr>
        <w:spacing w:after="0" w:line="180" w:lineRule="exact"/>
        <w:rPr>
          <w:sz w:val="24"/>
          <w:szCs w:val="24"/>
          <w:color w:val="auto"/>
        </w:rPr>
      </w:pPr>
    </w:p>
    <w:p>
      <w:pPr>
        <w:jc w:val="center"/>
        <w:ind w:right="4016"/>
        <w:spacing w:after="0"/>
        <w:rPr>
          <w:sz w:val="20"/>
          <w:szCs w:val="20"/>
          <w:color w:val="auto"/>
        </w:rPr>
      </w:pPr>
      <w:r>
        <w:rPr>
          <w:rFonts w:ascii="Courier New" w:cs="Courier New" w:eastAsia="Courier New" w:hAnsi="Courier New"/>
          <w:sz w:val="16"/>
          <w:szCs w:val="16"/>
          <w:color w:val="auto"/>
        </w:rPr>
        <w:t>(972) 497-5000</w:t>
      </w:r>
    </w:p>
    <w:p>
      <w:pPr>
        <w:jc w:val="center"/>
        <w:ind w:right="3916"/>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ind w:left="3284"/>
        <w:spacing w:after="0" w:line="237" w:lineRule="auto"/>
        <w:rPr>
          <w:sz w:val="20"/>
          <w:szCs w:val="20"/>
          <w:color w:val="auto"/>
        </w:rPr>
      </w:pPr>
      <w:r>
        <w:rPr>
          <w:rFonts w:ascii="Courier New" w:cs="Courier New" w:eastAsia="Courier New" w:hAnsi="Courier New"/>
          <w:sz w:val="16"/>
          <w:szCs w:val="16"/>
          <w:color w:val="auto"/>
        </w:rPr>
        <w:t>-----------</w:t>
      </w:r>
    </w:p>
    <w:p>
      <w:pPr>
        <w:ind w:left="3384"/>
        <w:spacing w:after="0"/>
        <w:rPr>
          <w:sz w:val="20"/>
          <w:szCs w:val="20"/>
          <w:color w:val="auto"/>
        </w:rPr>
      </w:pPr>
      <w:r>
        <w:rPr>
          <w:rFonts w:ascii="Courier New" w:cs="Courier New" w:eastAsia="Courier New" w:hAnsi="Courier New"/>
          <w:sz w:val="16"/>
          <w:szCs w:val="16"/>
          <w:color w:val="auto"/>
        </w:rPr>
        <w:t>COPY TO:</w:t>
      </w:r>
    </w:p>
    <w:p>
      <w:pPr>
        <w:ind w:left="3104"/>
        <w:spacing w:after="0" w:line="238" w:lineRule="auto"/>
        <w:rPr>
          <w:sz w:val="20"/>
          <w:szCs w:val="20"/>
          <w:color w:val="auto"/>
        </w:rPr>
      </w:pPr>
      <w:r>
        <w:rPr>
          <w:rFonts w:ascii="Courier New" w:cs="Courier New" w:eastAsia="Courier New" w:hAnsi="Courier New"/>
          <w:sz w:val="16"/>
          <w:szCs w:val="16"/>
          <w:color w:val="auto"/>
        </w:rPr>
        <w:t>Andrew M. Baker</w:t>
      </w:r>
    </w:p>
    <w:p>
      <w:pPr>
        <w:ind w:left="2824"/>
        <w:spacing w:after="0"/>
        <w:rPr>
          <w:sz w:val="20"/>
          <w:szCs w:val="20"/>
          <w:color w:val="auto"/>
        </w:rPr>
      </w:pPr>
      <w:r>
        <w:rPr>
          <w:rFonts w:ascii="Courier New" w:cs="Courier New" w:eastAsia="Courier New" w:hAnsi="Courier New"/>
          <w:sz w:val="16"/>
          <w:szCs w:val="16"/>
          <w:color w:val="auto"/>
        </w:rPr>
        <w:t>Baker &amp; Botts, L.L.P.</w:t>
      </w:r>
    </w:p>
    <w:p>
      <w:pPr>
        <w:ind w:left="3004"/>
        <w:spacing w:after="0" w:line="238" w:lineRule="auto"/>
        <w:rPr>
          <w:sz w:val="20"/>
          <w:szCs w:val="20"/>
          <w:color w:val="auto"/>
        </w:rPr>
      </w:pPr>
      <w:r>
        <w:rPr>
          <w:rFonts w:ascii="Courier New" w:cs="Courier New" w:eastAsia="Courier New" w:hAnsi="Courier New"/>
          <w:sz w:val="16"/>
          <w:szCs w:val="16"/>
          <w:color w:val="auto"/>
        </w:rPr>
        <w:t>2001 Ross Avenue</w:t>
      </w:r>
    </w:p>
    <w:p>
      <w:pPr>
        <w:ind w:left="2904"/>
        <w:spacing w:after="0"/>
        <w:rPr>
          <w:sz w:val="20"/>
          <w:szCs w:val="20"/>
          <w:color w:val="auto"/>
        </w:rPr>
      </w:pPr>
      <w:r>
        <w:rPr>
          <w:rFonts w:ascii="Courier New" w:cs="Courier New" w:eastAsia="Courier New" w:hAnsi="Courier New"/>
          <w:sz w:val="16"/>
          <w:szCs w:val="16"/>
          <w:color w:val="auto"/>
        </w:rPr>
        <w:t>Dallas, Texas 75201</w:t>
      </w:r>
    </w:p>
    <w:p>
      <w:pPr>
        <w:ind w:left="3664" w:hanging="569"/>
        <w:spacing w:after="0" w:line="237" w:lineRule="auto"/>
        <w:tabs>
          <w:tab w:leader="none" w:pos="366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953-6500</w:t>
      </w:r>
    </w:p>
    <w:p>
      <w:pPr>
        <w:ind w:left="32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2344"/>
        <w:spacing w:after="0"/>
        <w:rPr>
          <w:sz w:val="20"/>
          <w:szCs w:val="20"/>
          <w:color w:val="auto"/>
        </w:rPr>
      </w:pPr>
      <w:r>
        <w:rPr>
          <w:rFonts w:ascii="Courier New" w:cs="Courier New" w:eastAsia="Courier New" w:hAnsi="Courier New"/>
          <w:sz w:val="16"/>
          <w:szCs w:val="16"/>
          <w:color w:val="auto"/>
        </w:rPr>
        <w:t>CALCULATION OF REGISTRATION FEE</w:t>
      </w:r>
    </w:p>
    <w:p>
      <w:pPr>
        <w:spacing w:after="0" w:line="36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tbl>
      <w:tblPr>
        <w:tblLayout w:type="fixed"/>
        <w:tblInd w:w="284" w:type="dxa"/>
        <w:tblCellMar>
          <w:top w:w="0" w:type="dxa"/>
          <w:left w:w="0" w:type="dxa"/>
          <w:bottom w:w="0" w:type="dxa"/>
          <w:right w:w="0" w:type="dxa"/>
        </w:tblCellMar>
      </w:tblPr>
      <w:tr>
        <w:trPr>
          <w:trHeight w:val="181"/>
        </w:trPr>
        <w:tc>
          <w:tcPr>
            <w:tcW w:w="2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Proposed</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maximum</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Proposed</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maximum</w:t>
            </w:r>
          </w:p>
        </w:tc>
        <w:tc>
          <w:tcPr>
            <w:tcW w:w="2240" w:type="dxa"/>
            <w:vAlign w:val="bottom"/>
          </w:tcPr>
          <w:p>
            <w:pPr>
              <w:spacing w:after="0"/>
              <w:rPr>
                <w:sz w:val="15"/>
                <w:szCs w:val="15"/>
                <w:color w:val="auto"/>
              </w:rPr>
            </w:pPr>
          </w:p>
        </w:tc>
      </w:tr>
      <w:tr>
        <w:trPr>
          <w:trHeight w:val="180"/>
        </w:trPr>
        <w:tc>
          <w:tcPr>
            <w:tcW w:w="2240" w:type="dxa"/>
            <w:vAlign w:val="bottom"/>
          </w:tcPr>
          <w:p>
            <w:pPr>
              <w:spacing w:after="0"/>
              <w:rPr>
                <w:sz w:val="20"/>
                <w:szCs w:val="20"/>
                <w:color w:val="auto"/>
              </w:rPr>
            </w:pPr>
            <w:r>
              <w:rPr>
                <w:rFonts w:ascii="Courier New" w:cs="Courier New" w:eastAsia="Courier New" w:hAnsi="Courier New"/>
                <w:sz w:val="16"/>
                <w:szCs w:val="16"/>
                <w:color w:val="auto"/>
              </w:rPr>
              <w:t>Title of securities</w:t>
            </w: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w w:val="97"/>
              </w:rPr>
              <w:t>Amount to be</w:t>
            </w:r>
          </w:p>
        </w:tc>
        <w:tc>
          <w:tcPr>
            <w:tcW w:w="240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offering price per</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aggregate</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offering</w:t>
            </w:r>
          </w:p>
        </w:tc>
        <w:tc>
          <w:tcPr>
            <w:tcW w:w="2240" w:type="dxa"/>
            <w:vAlign w:val="bottom"/>
          </w:tcPr>
          <w:p>
            <w:pPr>
              <w:ind w:left="180"/>
              <w:spacing w:after="0"/>
              <w:rPr>
                <w:sz w:val="20"/>
                <w:szCs w:val="20"/>
                <w:color w:val="auto"/>
              </w:rPr>
            </w:pPr>
            <w:r>
              <w:rPr>
                <w:rFonts w:ascii="Courier New" w:cs="Courier New" w:eastAsia="Courier New" w:hAnsi="Courier New"/>
                <w:sz w:val="16"/>
                <w:szCs w:val="16"/>
                <w:color w:val="auto"/>
                <w:w w:val="96"/>
              </w:rPr>
              <w:t>Amount of registration</w:t>
            </w:r>
          </w:p>
        </w:tc>
      </w:tr>
      <w:tr>
        <w:trPr>
          <w:trHeight w:val="180"/>
        </w:trPr>
        <w:tc>
          <w:tcPr>
            <w:tcW w:w="2240" w:type="dxa"/>
            <w:vAlign w:val="bottom"/>
          </w:tcPr>
          <w:p>
            <w:pPr>
              <w:ind w:left="180"/>
              <w:spacing w:after="0"/>
              <w:rPr>
                <w:sz w:val="20"/>
                <w:szCs w:val="20"/>
                <w:color w:val="auto"/>
              </w:rPr>
            </w:pPr>
            <w:r>
              <w:rPr>
                <w:rFonts w:ascii="Courier New" w:cs="Courier New" w:eastAsia="Courier New" w:hAnsi="Courier New"/>
                <w:sz w:val="16"/>
                <w:szCs w:val="16"/>
                <w:color w:val="auto"/>
              </w:rPr>
              <w:t>to be registered</w:t>
            </w:r>
          </w:p>
        </w:tc>
        <w:tc>
          <w:tcPr>
            <w:tcW w:w="2020" w:type="dxa"/>
            <w:vAlign w:val="bottom"/>
          </w:tcPr>
          <w:p>
            <w:pPr>
              <w:jc w:val="center"/>
              <w:spacing w:after="0"/>
              <w:rPr>
                <w:sz w:val="20"/>
                <w:szCs w:val="20"/>
                <w:color w:val="auto"/>
              </w:rPr>
            </w:pPr>
            <w:r>
              <w:rPr>
                <w:rFonts w:ascii="Courier New" w:cs="Courier New" w:eastAsia="Courier New" w:hAnsi="Courier New"/>
                <w:sz w:val="16"/>
                <w:szCs w:val="16"/>
                <w:color w:val="auto"/>
                <w:w w:val="95"/>
              </w:rPr>
              <w:t>registered</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share</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price</w:t>
            </w:r>
          </w:p>
        </w:tc>
        <w:tc>
          <w:tcPr>
            <w:tcW w:w="1000" w:type="dxa"/>
            <w:vAlign w:val="bottom"/>
          </w:tcPr>
          <w:p>
            <w:pPr>
              <w:ind w:left="60"/>
              <w:spacing w:after="0"/>
              <w:rPr>
                <w:sz w:val="20"/>
                <w:szCs w:val="20"/>
                <w:color w:val="auto"/>
              </w:rPr>
            </w:pPr>
            <w:r>
              <w:rPr>
                <w:rFonts w:ascii="Courier New" w:cs="Courier New" w:eastAsia="Courier New" w:hAnsi="Courier New"/>
                <w:sz w:val="16"/>
                <w:szCs w:val="16"/>
                <w:color w:val="auto"/>
              </w:rPr>
              <w:t>(1)</w:t>
            </w:r>
          </w:p>
        </w:tc>
        <w:tc>
          <w:tcPr>
            <w:tcW w:w="2240" w:type="dxa"/>
            <w:vAlign w:val="bottom"/>
          </w:tcPr>
          <w:p>
            <w:pPr>
              <w:ind w:left="1120"/>
              <w:spacing w:after="0"/>
              <w:rPr>
                <w:sz w:val="20"/>
                <w:szCs w:val="20"/>
                <w:color w:val="auto"/>
              </w:rPr>
            </w:pPr>
            <w:r>
              <w:rPr>
                <w:rFonts w:ascii="Courier New" w:cs="Courier New" w:eastAsia="Courier New" w:hAnsi="Courier New"/>
                <w:sz w:val="16"/>
                <w:szCs w:val="16"/>
                <w:color w:val="auto"/>
              </w:rPr>
              <w:t>fee</w:t>
            </w:r>
          </w:p>
        </w:tc>
      </w:tr>
    </w:tbl>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4"/>
          <w:szCs w:val="24"/>
          <w:color w:val="auto"/>
        </w:rPr>
      </w:pPr>
    </w:p>
    <w:tbl>
      <w:tblPr>
        <w:tblLayout w:type="fixed"/>
        <w:tblInd w:w="104" w:type="dxa"/>
        <w:tblCellMar>
          <w:top w:w="0" w:type="dxa"/>
          <w:left w:w="0" w:type="dxa"/>
          <w:bottom w:w="0" w:type="dxa"/>
          <w:right w:w="0" w:type="dxa"/>
        </w:tblCellMar>
      </w:tblPr>
      <w:tr>
        <w:trPr>
          <w:trHeight w:val="181"/>
        </w:trPr>
        <w:tc>
          <w:tcPr>
            <w:tcW w:w="2420" w:type="dxa"/>
            <w:vAlign w:val="bottom"/>
          </w:tcPr>
          <w:p>
            <w:pPr>
              <w:spacing w:after="0"/>
              <w:rPr>
                <w:sz w:val="20"/>
                <w:szCs w:val="20"/>
                <w:color w:val="auto"/>
              </w:rPr>
            </w:pPr>
            <w:r>
              <w:rPr>
                <w:rFonts w:ascii="Courier New" w:cs="Courier New" w:eastAsia="Courier New" w:hAnsi="Courier New"/>
                <w:sz w:val="16"/>
                <w:szCs w:val="16"/>
                <w:color w:val="auto"/>
              </w:rPr>
              <w:t>Common Stock, par value</w:t>
            </w:r>
          </w:p>
        </w:tc>
        <w:tc>
          <w:tcPr>
            <w:tcW w:w="2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2420" w:type="dxa"/>
            <w:vAlign w:val="bottom"/>
          </w:tcPr>
          <w:p>
            <w:pPr>
              <w:spacing w:after="0"/>
              <w:rPr>
                <w:sz w:val="20"/>
                <w:szCs w:val="20"/>
                <w:color w:val="auto"/>
              </w:rPr>
            </w:pPr>
            <w:r>
              <w:rPr>
                <w:rFonts w:ascii="Courier New" w:cs="Courier New" w:eastAsia="Courier New" w:hAnsi="Courier New"/>
                <w:sz w:val="16"/>
                <w:szCs w:val="16"/>
                <w:color w:val="auto"/>
              </w:rPr>
              <w:t>$0.01 per share</w:t>
            </w:r>
          </w:p>
        </w:tc>
        <w:tc>
          <w:tcPr>
            <w:tcW w:w="2400" w:type="dxa"/>
            <w:vAlign w:val="bottom"/>
          </w:tcPr>
          <w:p>
            <w:pPr>
              <w:ind w:left="300"/>
              <w:spacing w:after="0"/>
              <w:rPr>
                <w:sz w:val="20"/>
                <w:szCs w:val="20"/>
                <w:color w:val="auto"/>
              </w:rPr>
            </w:pPr>
            <w:r>
              <w:rPr>
                <w:rFonts w:ascii="Courier New" w:cs="Courier New" w:eastAsia="Courier New" w:hAnsi="Courier New"/>
                <w:sz w:val="16"/>
                <w:szCs w:val="16"/>
                <w:color w:val="auto"/>
              </w:rPr>
              <w:t>4,603,500 shares</w:t>
            </w:r>
          </w:p>
        </w:tc>
        <w:tc>
          <w:tcPr>
            <w:tcW w:w="18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$20.00</w:t>
            </w:r>
          </w:p>
        </w:tc>
        <w:tc>
          <w:tcPr>
            <w:tcW w:w="248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$92,070,000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$25,596</w:t>
            </w:r>
          </w:p>
        </w:tc>
      </w:tr>
    </w:tbl>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52" w:lineRule="exact"/>
        <w:rPr>
          <w:sz w:val="24"/>
          <w:szCs w:val="24"/>
          <w:color w:val="auto"/>
        </w:rPr>
      </w:pPr>
    </w:p>
    <w:p>
      <w:pPr>
        <w:ind w:left="844" w:right="4020" w:hanging="844"/>
        <w:spacing w:after="0" w:line="237" w:lineRule="auto"/>
        <w:tabs>
          <w:tab w:leader="none" w:pos="84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pursuant to Rule 457(h) based on the estimate of the maximum initial public offering price for the Common Stock as disclosed in the Registration Statement on Form S-1 (Registration No. 333-75725) of Lennox International Inc.</w:t>
      </w:r>
    </w:p>
    <w:p>
      <w:pPr>
        <w:sectPr>
          <w:pgSz w:w="11900" w:h="16838" w:orient="portrait"/>
          <w:cols w:equalWidth="0" w:num="1">
            <w:col w:w="11524"/>
          </w:cols>
          <w:pgMar w:left="236" w:top="233" w:right="139"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PART I</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INFORMATION REQUIRED IN THE SECTION 10(a) PROSPECTUS</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Note: The document(s) containing the information concerning the 1998 Incentive Plan of Lennox International Inc. (the "Plan") required by Item 1 of Form S-8 and the statement of availability of registrant information, Plan information and other information required by Item 2 of Form S-8 will be sent or given to employees as specified by Rule 428 under the Securities Act of 1933, as amended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Lennox International Inc. (the "Company") shall maintain a file of such documents in accordance with the provisions of Rule 428. Upon request, the Company shall furnish to the Commission or its staff a copy or copies of any or all of the documents included in such file.</w:t>
      </w:r>
    </w:p>
    <w:p>
      <w:pPr>
        <w:spacing w:after="0" w:line="200" w:lineRule="exact"/>
        <w:rPr>
          <w:sz w:val="20"/>
          <w:szCs w:val="20"/>
          <w:color w:val="auto"/>
        </w:rPr>
      </w:pPr>
    </w:p>
    <w:p>
      <w:pPr>
        <w:spacing w:after="0" w:line="34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I-1</w:t>
      </w:r>
    </w:p>
    <w:p>
      <w:pPr>
        <w:sectPr>
          <w:pgSz w:w="11900" w:h="16838" w:orient="portrait"/>
          <w:cols w:equalWidth="0" w:num="1">
            <w:col w:w="10219"/>
          </w:cols>
          <w:pgMar w:left="240" w:top="293"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PART II</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INCORPORATION OF DOCUMENTS BY REFERENCE.</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The following documents heretofore filed by the Company with the</w:t>
      </w:r>
    </w:p>
    <w:p>
      <w:pPr>
        <w:spacing w:after="0"/>
        <w:rPr>
          <w:sz w:val="20"/>
          <w:szCs w:val="20"/>
          <w:color w:val="auto"/>
        </w:rPr>
      </w:pPr>
      <w:r>
        <w:rPr>
          <w:rFonts w:ascii="Courier New" w:cs="Courier New" w:eastAsia="Courier New" w:hAnsi="Courier New"/>
          <w:sz w:val="16"/>
          <w:szCs w:val="16"/>
          <w:color w:val="auto"/>
        </w:rPr>
        <w:t>Commission are incorporated herein by reference:</w:t>
      </w:r>
    </w:p>
    <w:p>
      <w:pPr>
        <w:spacing w:after="0" w:line="184" w:lineRule="exact"/>
        <w:rPr>
          <w:sz w:val="20"/>
          <w:szCs w:val="20"/>
          <w:color w:val="auto"/>
        </w:rPr>
      </w:pPr>
    </w:p>
    <w:p>
      <w:pPr>
        <w:ind w:right="2899" w:firstLine="840"/>
        <w:spacing w:after="0" w:line="236" w:lineRule="auto"/>
        <w:tabs>
          <w:tab w:leader="none" w:pos="121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latest prospectus filed with the Commission on July 29, 1999 pursuant to Rule 424(b) under the Securities Act.</w:t>
      </w:r>
    </w:p>
    <w:p>
      <w:pPr>
        <w:spacing w:after="0" w:line="184" w:lineRule="exact"/>
        <w:rPr>
          <w:rFonts w:ascii="Courier New" w:cs="Courier New" w:eastAsia="Courier New" w:hAnsi="Courier New"/>
          <w:sz w:val="16"/>
          <w:szCs w:val="16"/>
          <w:color w:val="auto"/>
        </w:rPr>
      </w:pPr>
    </w:p>
    <w:p>
      <w:pPr>
        <w:jc w:val="both"/>
        <w:ind w:right="2999" w:firstLine="840"/>
        <w:spacing w:after="0" w:line="237" w:lineRule="auto"/>
        <w:tabs>
          <w:tab w:leader="none" w:pos="121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capital stock of the Company contained in the Company's Registration Statement on Form S-1 (Registration No. 333-75725) (the "S-1").</w:t>
      </w:r>
    </w:p>
    <w:p>
      <w:pPr>
        <w:spacing w:after="0" w:line="18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All documents filed by the Company with the Commission pursuant to Sections 13(a), 13(c), 14 and 15(d) of the Securities Exchange Act of 1934, as amended (the "Exchange Act"), subsequent to the date of this Registration Statement and prior to the filing of a post-effective amendment to this Registration Statement that indicates that all securities offered hereby have been sold or that deregisters all securities then remaining unsold, shall be deemed to be incorporated in this Registration Statement by reference and to be a part hereof from the date of filing of such documents.</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Any statement contained in this Registration Statement, in an amendment hereto or in a document incorporated by reference herein shall be deemed modified or superseded for purposes of this Registration Statement to the extent that a statement contained herein, in any subsequently filed supplement to this Registration Statement or any document that is also incorporated by reference herein modifies or supersedes such statement. Any statement so modified or superseded shall not be deemed, except as so modified or superseded, to constitute a part of this Registration Statement.</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DESCRIPTION OF SECURITIES.</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INTERESTS OF NAMED EXPERTS AND COUNSEL.</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5"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Set forth below is a description of certain provisions of the Restated Certificate of Incorporation of the Company (the "Certificate"), the Amended and Restated Bylaws of the Company (the "Bylaws"), Indemnification Agreements (the "Indemnification Agreements") the Company has entered into with its directors and certain of its officers (the "Indemnitees") and the Delaware General Corporation Law (the "DGCL"). This description is intended as a summary only</w:t>
      </w:r>
    </w:p>
    <w:p>
      <w:pPr>
        <w:spacing w:after="0" w:line="35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9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and is qualified in its entirety by reference to the Certificate, the Bylaws and the Indemnification Agreements, copies of which have been filed as exhibits to the Company's S-1, and by reference to the DGCL.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General Corporation Law</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90" w:lineRule="exact"/>
        <w:rPr>
          <w:sz w:val="20"/>
          <w:szCs w:val="20"/>
          <w:color w:val="auto"/>
        </w:rPr>
      </w:pPr>
    </w:p>
    <w:p>
      <w:pPr>
        <w:ind w:right="2819" w:firstLine="844"/>
        <w:spacing w:after="0" w:line="255" w:lineRule="auto"/>
        <w:rPr>
          <w:sz w:val="20"/>
          <w:szCs w:val="20"/>
          <w:color w:val="auto"/>
        </w:rPr>
      </w:pPr>
      <w:r>
        <w:rPr>
          <w:rFonts w:ascii="Courier New" w:cs="Courier New" w:eastAsia="Courier New" w:hAnsi="Courier New"/>
          <w:sz w:val="15"/>
          <w:szCs w:val="15"/>
          <w:color w:val="auto"/>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177"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such person shall be indemnified against expenses (including attorneys' fees) actually and reasonably incurred by such person in connection therewith.</w:t>
      </w:r>
    </w:p>
    <w:p>
      <w:pPr>
        <w:spacing w:after="0" w:line="175" w:lineRule="exact"/>
        <w:rPr>
          <w:sz w:val="20"/>
          <w:szCs w:val="20"/>
          <w:color w:val="auto"/>
        </w:rPr>
      </w:pPr>
    </w:p>
    <w:p>
      <w:pPr>
        <w:ind w:right="2999" w:firstLine="844"/>
        <w:spacing w:after="0" w:line="257" w:lineRule="auto"/>
        <w:rPr>
          <w:sz w:val="20"/>
          <w:szCs w:val="20"/>
          <w:color w:val="auto"/>
        </w:rPr>
      </w:pPr>
      <w:r>
        <w:rPr>
          <w:rFonts w:ascii="Courier New" w:cs="Courier New" w:eastAsia="Courier New" w:hAnsi="Courier New"/>
          <w:sz w:val="15"/>
          <w:szCs w:val="15"/>
          <w:color w:val="auto"/>
        </w:rPr>
        <w:t>Section 145(d) of the DGCL provides that any indemnification under Section 145(a) and (b) (unless ordered by a court) shall be made by the corporation only as authorized in the specific case upon a determination that indemnification of the present or former director, officer, employee or</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293"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agent is proper in the circumstances because he has met the applicable standard of conduct set forth in Section 145(a) and (b). Such determination shall be made, with respect to a person who is a director or officer at the time of such determination, (1) by a majority vote of the directors who were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86"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Section 145(e) of the DGCL provides that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Such expenses (including attorneys' fees) incurred by former directors and officers or other employees and agents may be so paid upon such terms and conditions, if any, as the board of directors deems appropriate.</w:t>
      </w:r>
    </w:p>
    <w:p>
      <w:pPr>
        <w:spacing w:after="0" w:line="179"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8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102(b)(7) of the DGCL provides that the liability of a director may not be limited or eliminated for the breach of such director's duty of loyalty to the corporation or its stockholders, for such director's intentional acts or omissions not in good faith, for such director's concurrence in or vote for an unlawful payment of a dividend or unlawful stock purchase or redemption or for any improper personal benefit derived by the director from any transaction.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Certificate</w:t>
      </w:r>
    </w:p>
    <w:p>
      <w:pPr>
        <w:spacing w:after="0" w:line="185"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Article Eighth of the Certificate provides that a director of the Company shall not be liable to the Company or its stockholders for monetary damages for breach of fiduciary duty as a director, except to the extent such exemption from liability or limitation thereof is not permitted under the DGCL as the same exists or may hereafter be amended. Any repeal or modification of Article</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293"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Eighth shall not adversely affect any right or protection of a director of the Company existing thereunder with respect to any act or omission occurring prior to such repeal or modification.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Bylaws</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Article VI of the Bylaws provides that each person who at any time shall serve or shall have served as a director or officer of the Company, or any person who, while a director or officer of the Company, is or was serving at the request of the Company as a director or officer of another corporation, partnership, joint venture, trust or other enterprise, shall be entitled to (a) indemnification and (b) the advancement of expenses incurred by such person from the Company as, and to the fullest extent, permitted by Section 145 of the DGCL or any successor statutory provision, as from time to time amended. The Company may indemnify any other person, to the same extent and subject to the same limitations specified in the immediately preceding sentence, by reason of the fact that such other person is or was an employee or agent of the Company or another corporation, partnership, joint venture, trust or other enterprise.</w:t>
      </w:r>
    </w:p>
    <w:p>
      <w:pPr>
        <w:spacing w:after="0" w:line="178"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The indemnification and advancement of expenses provided by, or granted pursuant to, Article VI shall not be deemed exclusive of any other rights to which any person seeking indemnification or advancement of expenses may be entitled under any bylaw of the Company, agreement, vote of stockholders or disinterested directors or otherwise, both as to action in such person's official capacity and as to action in another capacity while holding such office. All rights to indemnification under Article VI shall be deemed to be provided by a contract between he Company and the director, officer, employee or agent who served in such capacity at any time while the bylaws of he Company and other relevant provisions of the DGCL and other applicable law, if any, are in effect. Any repeal or modification thereof shall not affect any rights or obligations then existing. Without limiting the provisions of Article VI, the Company is authorized from time to time, without further action by the stockholders of the Company, to enter into agreements with any director or officer of the Company providing such rights of indemnification as the Company may deem appropriate, up to the maximum extent permitted by law. Any agreement entered into by the Company with a director may be authorized by the other directors, and such authorization shall not be invalid on the basis that similar agreements may have been or may thereafter be entered into with other directors.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applicable provisions of Article VI of the Bylaws or the DGCL.</w:t>
      </w:r>
    </w:p>
    <w:p>
      <w:pPr>
        <w:spacing w:after="0" w:line="18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293"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rPr>
          <w:sz w:val="20"/>
          <w:szCs w:val="20"/>
          <w:color w:val="auto"/>
        </w:rPr>
      </w:pPr>
      <w:r>
        <w:rPr>
          <w:rFonts w:ascii="Courier New" w:cs="Courier New" w:eastAsia="Courier New" w:hAnsi="Courier New"/>
          <w:sz w:val="16"/>
          <w:szCs w:val="16"/>
          <w:color w:val="auto"/>
        </w:rPr>
        <w:t>Indemnification Agreements</w:t>
      </w:r>
    </w:p>
    <w:p>
      <w:pPr>
        <w:spacing w:after="0" w:line="184"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The Company has entered into indemnification agreements (the "Indemnification Agreements") with its directors and certain of its executive officers (collectively, the "Indemnitees"). Under the terms of the Indemnification Agreements, the Company has generally agreed to indemnify, and advance expenses to, each Indemnitee to the fullest extent permitted by applicable law on the date of the agreements and to such greater extent as applicable law may thereafter permit. In addition, the Indemnification Agreements contain specific provisions pursuant to which the Company has agreed to indemnify each Indemnitee (i) if such person is, by reason of his or her status as a director, nominee for director, officer, agent or fiduciary of the Company or of any other corporation, partnership, joint venture, trust, employee benefit plan or other enterprise with which such person was serving at the request of the Company (any such status being referred to as a "Corporate Status") made or threatened to be made a party to any threatened, pending or completed action, suit, arbitration, alternative dispute resolution mechanism, investigation or other proceeding (each, a "Proceeding"), other than a proceeding by or in the right of the Company; (ii) if such person is, by reason of his or her Corporate Status, made or threatened to be made a party to any Proceeding brought by or in the right of the Company to procure a judgment in its favor, except that no indemnification shall be made in respect of any claim, issue or matter in such Proceeding as to which such Indemnitee shall have been adjudged to be liable to the Company if applicable law prohibits such indemnification, unless and only to the extent that a court shall otherwise determine; (iii) against expenses actually and reasonably incurred by such person or on his or her behalf in connection with any Proceeding to which such Indemnitee was or is a party by reason of his or her Corporate Status and in which such Indemnitee is successful, on the merits or otherwise; (iv) against expenses actually and reasonably incurred by such person or on his or her behalf in connection with a Proceeding to the extent that such Indemnitee is, by reason of his or her Corporate Status, a witness or otherwise participates in any Proceeding at a time when such person is not a party in the Proceeding; and (v) against expenses actually and reasonably incurred by such person in any judicial adjudication of or any award in arbitration to enforce his or her rights under the Indemnification Agreements.</w:t>
      </w:r>
    </w:p>
    <w:p>
      <w:pPr>
        <w:spacing w:after="0" w:line="202"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In addition, under the terms of the Indemnification Agreements, the Company has agreed to pay all reasonable expenses incurred by or on behalf of an Indemnitee in connection with any Proceeding, whether brought by or in the right of the Company or otherwise, in advance of any determination with respect to entitlement to indemnification and within 15 days after the receipt by the Company of a written request from such Indemnitee for such payment. In the Indemnification Agreements, each Indemnitee has agreed that he or she will reimburse and repay the Company for any expenses so advanced to the extent that it shall ultimately be determined that he or she is not entitled to be indemnified by the Company against such expenses.</w:t>
      </w:r>
    </w:p>
    <w:p>
      <w:pPr>
        <w:spacing w:after="0" w:line="187"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The Indemnification Agreements also include provisions that specify the procedures and presumptions which are to be employed to determine whether an Indemnitee is entitled to indemnification thereunder. In some cases, the nature of the procedures specified in the Indemnification Agreements varies depending on whether there has occurred a "Change in Control" (as defined in the Indemnification Agreements) of the Company.</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293"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EXEMPTIONS FROM REGISTRATION CLAIMED.</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EXHIBITS.</w:t>
      </w:r>
    </w:p>
    <w:p>
      <w:pPr>
        <w:spacing w:after="0" w:line="179" w:lineRule="exact"/>
        <w:rPr>
          <w:sz w:val="20"/>
          <w:szCs w:val="20"/>
          <w:color w:val="auto"/>
        </w:rPr>
      </w:pPr>
    </w:p>
    <w:p>
      <w:pPr>
        <w:ind w:left="840"/>
        <w:spacing w:after="0"/>
        <w:tabs>
          <w:tab w:leader="none" w:pos="166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Restated Certificate of Incorporation of the Company,</w:t>
      </w:r>
    </w:p>
    <w:p>
      <w:pPr>
        <w:spacing w:after="0" w:line="4" w:lineRule="exact"/>
        <w:rPr>
          <w:sz w:val="20"/>
          <w:szCs w:val="20"/>
          <w:color w:val="auto"/>
        </w:rPr>
      </w:pPr>
    </w:p>
    <w:p>
      <w:pPr>
        <w:ind w:left="1680" w:right="2899"/>
        <w:spacing w:after="0" w:line="236" w:lineRule="auto"/>
        <w:rPr>
          <w:sz w:val="20"/>
          <w:szCs w:val="20"/>
          <w:color w:val="auto"/>
        </w:rPr>
      </w:pPr>
      <w:r>
        <w:rPr>
          <w:rFonts w:ascii="Courier New" w:cs="Courier New" w:eastAsia="Courier New" w:hAnsi="Courier New"/>
          <w:sz w:val="16"/>
          <w:szCs w:val="16"/>
          <w:color w:val="auto"/>
        </w:rPr>
        <w:t>as amended (filed as Exhibit 3.1 to the S-1 and incorporated herein by reference)</w:t>
      </w:r>
    </w:p>
    <w:p>
      <w:pPr>
        <w:spacing w:after="0" w:line="185" w:lineRule="exact"/>
        <w:rPr>
          <w:sz w:val="20"/>
          <w:szCs w:val="20"/>
          <w:color w:val="auto"/>
        </w:rPr>
      </w:pPr>
    </w:p>
    <w:p>
      <w:pPr>
        <w:ind w:left="1680" w:right="2899" w:hanging="843"/>
        <w:spacing w:after="0" w:line="263" w:lineRule="auto"/>
        <w:tabs>
          <w:tab w:leader="none" w:pos="166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Amended and Restated Bylaws of the Company (filed as Exhibit 3.2 to the S-1 and incorporated herein by reference)</w:t>
      </w:r>
    </w:p>
    <w:p>
      <w:pPr>
        <w:spacing w:after="0" w:line="169" w:lineRule="exact"/>
        <w:rPr>
          <w:sz w:val="20"/>
          <w:szCs w:val="20"/>
          <w:color w:val="auto"/>
        </w:rPr>
      </w:pPr>
    </w:p>
    <w:p>
      <w:pPr>
        <w:ind w:left="1680" w:right="2999" w:hanging="843"/>
        <w:spacing w:after="0" w:line="237" w:lineRule="auto"/>
        <w:tabs>
          <w:tab w:leader="none" w:pos="166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Specimen of certificate representing Common Stock, par value $0.01 per share, of the Company (filed as Exhibit 4.1 to the S-1 and incorporated herein by reference)</w:t>
      </w:r>
    </w:p>
    <w:p>
      <w:pPr>
        <w:spacing w:after="0" w:line="185" w:lineRule="exact"/>
        <w:rPr>
          <w:sz w:val="20"/>
          <w:szCs w:val="20"/>
          <w:color w:val="auto"/>
        </w:rPr>
      </w:pPr>
    </w:p>
    <w:p>
      <w:pPr>
        <w:ind w:left="1680" w:right="3379" w:hanging="843"/>
        <w:spacing w:after="0" w:line="237" w:lineRule="auto"/>
        <w:tabs>
          <w:tab w:leader="none" w:pos="166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1998 Incentive Plan of Lennox International Inc. (filed as Exhibit 10.8 to the S-1 and incorporated herein by reference)</w:t>
      </w:r>
    </w:p>
    <w:p>
      <w:pPr>
        <w:spacing w:after="0" w:line="180" w:lineRule="exact"/>
        <w:rPr>
          <w:sz w:val="20"/>
          <w:szCs w:val="20"/>
          <w:color w:val="auto"/>
        </w:rPr>
      </w:pPr>
    </w:p>
    <w:p>
      <w:pPr>
        <w:ind w:left="1680" w:hanging="840"/>
        <w:spacing w:after="0"/>
        <w:tabs>
          <w:tab w:leader="none" w:pos="16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Baker &amp; Botts, L.L.P.</w:t>
      </w:r>
    </w:p>
    <w:p>
      <w:pPr>
        <w:spacing w:after="0" w:line="179"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23.1</w:t>
      </w:r>
      <w:r>
        <w:rPr>
          <w:rFonts w:ascii="Courier New" w:cs="Courier New" w:eastAsia="Courier New" w:hAnsi="Courier New"/>
          <w:sz w:val="15"/>
          <w:szCs w:val="15"/>
          <w:color w:val="auto"/>
        </w:rPr>
        <w:t>Consent of Arthur Andersen LLP.</w:t>
      </w:r>
    </w:p>
    <w:p>
      <w:pPr>
        <w:spacing w:after="0" w:line="179"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r>
        <w:rPr>
          <w:rFonts w:ascii="Courier New" w:cs="Courier New" w:eastAsia="Courier New" w:hAnsi="Courier New"/>
          <w:sz w:val="15"/>
          <w:szCs w:val="15"/>
          <w:color w:val="auto"/>
        </w:rPr>
        <w:t>Consent of Baker &amp; Botts, L.L.P. (included in Exhibit 5)</w:t>
      </w:r>
    </w:p>
    <w:p>
      <w:pPr>
        <w:spacing w:after="0" w:line="185" w:lineRule="exact"/>
        <w:rPr>
          <w:sz w:val="20"/>
          <w:szCs w:val="20"/>
          <w:color w:val="auto"/>
        </w:rPr>
      </w:pPr>
    </w:p>
    <w:p>
      <w:pPr>
        <w:ind w:left="1680" w:right="3179" w:hanging="840"/>
        <w:spacing w:after="0" w:line="236" w:lineRule="auto"/>
        <w:tabs>
          <w:tab w:leader="none" w:pos="16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 (included on the execution page of this Registration Statement)</w:t>
      </w:r>
    </w:p>
    <w:p>
      <w:pPr>
        <w:spacing w:after="0" w:line="1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5"/>
          <w:szCs w:val="15"/>
          <w:color w:val="auto"/>
        </w:rPr>
        <w:t>UNDERTAKINGS.</w:t>
      </w:r>
    </w:p>
    <w:p>
      <w:pPr>
        <w:spacing w:after="0" w:line="179" w:lineRule="exact"/>
        <w:rPr>
          <w:sz w:val="20"/>
          <w:szCs w:val="20"/>
          <w:color w:val="auto"/>
        </w:rPr>
      </w:pPr>
    </w:p>
    <w:p>
      <w:pPr>
        <w:ind w:left="1680" w:hanging="840"/>
        <w:spacing w:after="0"/>
        <w:tabs>
          <w:tab w:leader="none" w:pos="16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hereby undertakes:</w:t>
      </w:r>
    </w:p>
    <w:p>
      <w:pPr>
        <w:spacing w:after="0" w:line="184" w:lineRule="exact"/>
        <w:rPr>
          <w:rFonts w:ascii="Courier New" w:cs="Courier New" w:eastAsia="Courier New" w:hAnsi="Courier New"/>
          <w:sz w:val="16"/>
          <w:szCs w:val="16"/>
          <w:color w:val="auto"/>
        </w:rPr>
      </w:pPr>
    </w:p>
    <w:p>
      <w:pPr>
        <w:ind w:left="840" w:right="2819" w:firstLine="844"/>
        <w:spacing w:after="0" w:line="263" w:lineRule="auto"/>
        <w:tabs>
          <w:tab w:leader="none" w:pos="205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63" w:lineRule="exact"/>
        <w:rPr>
          <w:rFonts w:ascii="Courier New" w:cs="Courier New" w:eastAsia="Courier New" w:hAnsi="Courier New"/>
          <w:sz w:val="15"/>
          <w:szCs w:val="15"/>
          <w:color w:val="auto"/>
        </w:rPr>
      </w:pPr>
    </w:p>
    <w:p>
      <w:pPr>
        <w:ind w:left="3380" w:hanging="851"/>
        <w:spacing w:after="0"/>
        <w:tabs>
          <w:tab w:leader="none" w:pos="3380"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w:t>
      </w:r>
    </w:p>
    <w:p>
      <w:pPr>
        <w:ind w:left="16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10(a)(3) of the Securities Act;</w:t>
      </w:r>
    </w:p>
    <w:p>
      <w:pPr>
        <w:spacing w:after="0" w:line="183" w:lineRule="exact"/>
        <w:rPr>
          <w:rFonts w:ascii="Courier New" w:cs="Courier New" w:eastAsia="Courier New" w:hAnsi="Courier New"/>
          <w:sz w:val="16"/>
          <w:szCs w:val="16"/>
          <w:color w:val="auto"/>
        </w:rPr>
      </w:pPr>
    </w:p>
    <w:p>
      <w:pPr>
        <w:ind w:left="1680" w:right="2719" w:firstLine="849"/>
        <w:spacing w:after="0" w:line="238" w:lineRule="auto"/>
        <w:tabs>
          <w:tab w:leader="none" w:pos="2993"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19"/>
          </w:cols>
          <w:pgMar w:left="240" w:top="29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9</w:t>
      </w:r>
    </w:p>
    <w:p>
      <w:pPr>
        <w:spacing w:after="0" w:line="185" w:lineRule="exact"/>
        <w:rPr>
          <w:sz w:val="20"/>
          <w:szCs w:val="20"/>
          <w:color w:val="auto"/>
        </w:rPr>
      </w:pPr>
    </w:p>
    <w:p>
      <w:pPr>
        <w:ind w:left="1400" w:right="2899"/>
        <w:spacing w:after="0" w:line="256" w:lineRule="auto"/>
        <w:rPr>
          <w:sz w:val="20"/>
          <w:szCs w:val="20"/>
          <w:color w:val="auto"/>
        </w:rPr>
      </w:pPr>
      <w:r>
        <w:rPr>
          <w:rFonts w:ascii="Courier New" w:cs="Courier New" w:eastAsia="Courier New" w:hAnsi="Courier New"/>
          <w:sz w:val="15"/>
          <w:szCs w:val="15"/>
          <w:color w:val="auto"/>
        </w:rPr>
        <w:t>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74" w:lineRule="exact"/>
        <w:rPr>
          <w:sz w:val="20"/>
          <w:szCs w:val="20"/>
          <w:color w:val="auto"/>
        </w:rPr>
      </w:pPr>
    </w:p>
    <w:p>
      <w:pPr>
        <w:ind w:left="1400" w:right="2819" w:firstLine="849"/>
        <w:spacing w:after="0" w:line="237" w:lineRule="auto"/>
        <w:tabs>
          <w:tab w:leader="none" w:pos="280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this Registration Statement or any material change to such information in this Registration Statement;</w:t>
      </w:r>
    </w:p>
    <w:p>
      <w:pPr>
        <w:spacing w:after="0" w:line="186" w:lineRule="exact"/>
        <w:rPr>
          <w:sz w:val="20"/>
          <w:szCs w:val="20"/>
          <w:color w:val="auto"/>
        </w:rPr>
      </w:pPr>
    </w:p>
    <w:p>
      <w:pPr>
        <w:ind w:left="560" w:right="2719" w:firstLine="844"/>
        <w:spacing w:after="0" w:line="237"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reports filed with or furnished to the Commission by the Company pursuant to Section 13 or Section 15(d) of the Exchange Act that are incorporated by reference in this Registration Statement.</w:t>
      </w:r>
    </w:p>
    <w:p>
      <w:pPr>
        <w:spacing w:after="0" w:line="189" w:lineRule="exact"/>
        <w:rPr>
          <w:sz w:val="20"/>
          <w:szCs w:val="20"/>
          <w:color w:val="auto"/>
        </w:rPr>
      </w:pPr>
    </w:p>
    <w:p>
      <w:pPr>
        <w:ind w:left="560" w:right="2819" w:firstLine="844"/>
        <w:spacing w:after="0" w:line="256" w:lineRule="auto"/>
        <w:tabs>
          <w:tab w:leader="none" w:pos="177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560" w:right="2719" w:firstLine="844"/>
        <w:spacing w:after="0" w:line="237" w:lineRule="auto"/>
        <w:tabs>
          <w:tab w:leader="none" w:pos="1779"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4" w:lineRule="exact"/>
        <w:rPr>
          <w:rFonts w:ascii="Courier New" w:cs="Courier New" w:eastAsia="Courier New" w:hAnsi="Courier New"/>
          <w:sz w:val="16"/>
          <w:szCs w:val="16"/>
          <w:color w:val="auto"/>
        </w:rPr>
      </w:pPr>
    </w:p>
    <w:p>
      <w:pPr>
        <w:ind w:left="-280" w:right="2719" w:firstLine="840"/>
        <w:spacing w:after="0" w:line="256" w:lineRule="auto"/>
        <w:tabs>
          <w:tab w:leader="none" w:pos="93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3" w:lineRule="exact"/>
        <w:rPr>
          <w:rFonts w:ascii="Courier New" w:cs="Courier New" w:eastAsia="Courier New" w:hAnsi="Courier New"/>
          <w:sz w:val="15"/>
          <w:szCs w:val="15"/>
          <w:color w:val="auto"/>
        </w:rPr>
      </w:pPr>
    </w:p>
    <w:p>
      <w:pPr>
        <w:ind w:left="-280" w:right="2719" w:firstLine="840"/>
        <w:spacing w:after="0" w:line="238" w:lineRule="auto"/>
        <w:tabs>
          <w:tab w:leader="none" w:pos="93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9939"/>
          </w:cols>
          <w:pgMar w:left="520" w:top="293"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this Registration Statement on Form S-8 and has duly caused this Registration Statement to be signed on its behalf by the undersigned, thereunto duly authorized, in the City of Richardson, State of Texas, on this 29th day of July, 1999.</w:t>
      </w:r>
    </w:p>
    <w:p>
      <w:pPr>
        <w:spacing w:after="0" w:line="184"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LENNOX INTERNATIONAL INC.</w:t>
      </w:r>
    </w:p>
    <w:p>
      <w:pPr>
        <w:spacing w:after="0" w:line="200" w:lineRule="exact"/>
        <w:rPr>
          <w:sz w:val="20"/>
          <w:szCs w:val="20"/>
          <w:color w:val="auto"/>
        </w:rPr>
      </w:pPr>
    </w:p>
    <w:p>
      <w:pPr>
        <w:spacing w:after="0" w:line="34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By: /s/ John W. Norris, Jr.</w:t>
      </w:r>
    </w:p>
    <w:p>
      <w:pPr>
        <w:ind w:left="3560"/>
        <w:spacing w:after="0"/>
        <w:rPr>
          <w:sz w:val="20"/>
          <w:szCs w:val="20"/>
          <w:color w:val="auto"/>
        </w:rPr>
      </w:pPr>
      <w:r>
        <w:rPr>
          <w:rFonts w:ascii="Courier New" w:cs="Courier New" w:eastAsia="Courier New" w:hAnsi="Courier New"/>
          <w:sz w:val="16"/>
          <w:szCs w:val="16"/>
          <w:color w:val="auto"/>
        </w:rPr>
        <w:t>-------------------------------------</w:t>
      </w:r>
    </w:p>
    <w:p>
      <w:pPr>
        <w:ind w:left="3560"/>
        <w:spacing w:after="0" w:line="237" w:lineRule="auto"/>
        <w:rPr>
          <w:sz w:val="20"/>
          <w:szCs w:val="20"/>
          <w:color w:val="auto"/>
        </w:rPr>
      </w:pPr>
      <w:r>
        <w:rPr>
          <w:rFonts w:ascii="Courier New" w:cs="Courier New" w:eastAsia="Courier New" w:hAnsi="Courier New"/>
          <w:sz w:val="16"/>
          <w:szCs w:val="16"/>
          <w:color w:val="auto"/>
        </w:rPr>
        <w:t>John W. Norris, Jr.</w:t>
      </w:r>
    </w:p>
    <w:p>
      <w:pPr>
        <w:ind w:left="3560"/>
        <w:spacing w:after="0"/>
        <w:rPr>
          <w:sz w:val="20"/>
          <w:szCs w:val="20"/>
          <w:color w:val="auto"/>
        </w:rPr>
      </w:pPr>
      <w:r>
        <w:rPr>
          <w:rFonts w:ascii="Courier New" w:cs="Courier New" w:eastAsia="Courier New" w:hAnsi="Courier New"/>
          <w:sz w:val="16"/>
          <w:szCs w:val="16"/>
          <w:color w:val="auto"/>
        </w:rPr>
        <w:t>Chairman of the Board and Chief Executive</w:t>
      </w:r>
    </w:p>
    <w:p>
      <w:pPr>
        <w:ind w:left="3560"/>
        <w:spacing w:after="0" w:line="238" w:lineRule="auto"/>
        <w:rPr>
          <w:sz w:val="20"/>
          <w:szCs w:val="20"/>
          <w:color w:val="auto"/>
        </w:rPr>
      </w:pPr>
      <w:r>
        <w:rPr>
          <w:rFonts w:ascii="Courier New" w:cs="Courier New" w:eastAsia="Courier New" w:hAnsi="Courier New"/>
          <w:sz w:val="16"/>
          <w:szCs w:val="16"/>
          <w:color w:val="auto"/>
        </w:rPr>
        <w:t>Officer</w:t>
      </w:r>
    </w:p>
    <w:p>
      <w:pPr>
        <w:spacing w:after="0" w:line="360"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POWER OF ATTORNEY</w:t>
      </w:r>
    </w:p>
    <w:p>
      <w:pPr>
        <w:spacing w:after="0" w:line="36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KNOW ALL MEN BY THESE PRESENTS, that each of the undersigned directors and officers of Lennox International Inc., a Delaware corporation, which is filing a Registration Statement on Form S-8 with the Securities and Exchange Commission under the provisions of the Securities Act of 1933, hereby constitutes and appoints John W. Norris, Jr., Carl E. Edwards, Jr. and Clyde W. Wyant, and each of them, his true and lawful attorneys-in-fact and agents, with full power of substitution and resubstitution, for him and in his name, place and stead, and in any and all capacities, to sign and file any and all amendments to this Registration Statement on Form S-8, with all exhibits thereto, and other documents in connection therewith, with the Securities and Exchange Commission, it being understood that said attorneys-in-fact and agents, and each of them, shall have full power and authority to do and perform each and every act and thing requisite and necessary to be done in and about the premises, as fully to all intents and purposes as he might or could do in person, and that each of the undersigned hereby ratifies and confirms all that said attorneys-in-fact as agents or any of them, or their substitute or substitutes, may lawfully do or cause to be done by virtue hereof.</w:t>
      </w:r>
    </w:p>
    <w:p>
      <w:pPr>
        <w:spacing w:after="0" w:line="191"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Registration Statement has been signed by the following persons in the capacities indicated on July 29, 1999.</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19"/>
          </w:cols>
          <w:pgMar w:left="240" w:top="293" w:right="1440" w:bottom="1440" w:gutter="0" w:footer="0" w:header="0"/>
        </w:sectPr>
      </w:pPr>
    </w:p>
    <w:bookmarkStart w:id="10" w:name="page11"/>
    <w:bookmarkEnd w:id="10"/>
    <w:p>
      <w:pPr>
        <w:ind w:left="284"/>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3"/>
          </w:cols>
          <w:pgMar w:left="236"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5104" w:space="720"/>
            <w:col w:w="4399"/>
          </w:cols>
          <w:pgMar w:left="236" w:top="298" w:right="1440" w:bottom="1440" w:gutter="0" w:footer="0" w:header="0"/>
          <w:type w:val="continuous"/>
        </w:sectPr>
      </w:pPr>
    </w:p>
    <w:p>
      <w:pPr>
        <w:spacing w:after="0" w:line="34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John W. Norris, Jr.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John W. Norris, Jr.</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ind w:left="200"/>
        <w:spacing w:after="0"/>
        <w:rPr>
          <w:sz w:val="20"/>
          <w:szCs w:val="20"/>
          <w:color w:val="auto"/>
        </w:rPr>
      </w:pPr>
      <w:r>
        <w:rPr>
          <w:rFonts w:ascii="Courier New" w:cs="Courier New" w:eastAsia="Courier New" w:hAnsi="Courier New"/>
          <w:sz w:val="16"/>
          <w:szCs w:val="16"/>
          <w:color w:val="auto"/>
        </w:rPr>
        <w:t>and Chief Executive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w:t>
      </w:r>
    </w:p>
    <w:p>
      <w:pPr>
        <w:spacing w:after="0" w:line="206" w:lineRule="exact"/>
        <w:rPr>
          <w:sz w:val="20"/>
          <w:szCs w:val="20"/>
          <w:color w:val="auto"/>
        </w:rPr>
      </w:pPr>
    </w:p>
    <w:p>
      <w:pPr>
        <w:sectPr>
          <w:pgSz w:w="11900" w:h="16838" w:orient="portrait"/>
          <w:cols w:equalWidth="0" w:num="2">
            <w:col w:w="4244" w:space="720"/>
            <w:col w:w="5259"/>
          </w:cols>
          <w:pgMar w:left="236" w:top="298" w:right="1440" w:bottom="1440" w:gutter="0" w:footer="0" w:header="0"/>
          <w:type w:val="continuous"/>
        </w:sectPr>
      </w:pPr>
    </w:p>
    <w:p>
      <w:pPr>
        <w:spacing w:after="0" w:line="1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Clyde W. Wyant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Clyde W. Wyant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Chief Financial Officer and Treasurer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Officer)</w:t>
      </w:r>
    </w:p>
    <w:p>
      <w:pPr>
        <w:spacing w:after="0" w:line="200" w:lineRule="exact"/>
        <w:rPr>
          <w:sz w:val="20"/>
          <w:szCs w:val="20"/>
          <w:color w:val="auto"/>
        </w:rPr>
      </w:pPr>
    </w:p>
    <w:p>
      <w:pPr>
        <w:sectPr>
          <w:pgSz w:w="11900" w:h="16838" w:orient="portrait"/>
          <w:cols w:equalWidth="0" w:num="2">
            <w:col w:w="4244" w:space="720"/>
            <w:col w:w="5259"/>
          </w:cols>
          <w:pgMar w:left="236" w:top="298" w:right="1440" w:bottom="1440" w:gutter="0" w:footer="0" w:header="0"/>
          <w:type w:val="continuous"/>
        </w:sectPr>
      </w:pPr>
    </w:p>
    <w:p>
      <w:pPr>
        <w:spacing w:after="0" w:line="1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John J. Hubbuch</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John J. Hubbuch</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Controller</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and Chief Accounting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2">
            <w:col w:w="4244" w:space="720"/>
            <w:col w:w="5259"/>
          </w:cols>
          <w:pgMar w:left="236" w:top="298" w:right="1440" w:bottom="1440" w:gutter="0" w:footer="0" w:header="0"/>
          <w:type w:val="continuous"/>
        </w:sectPr>
      </w:pPr>
    </w:p>
    <w:p>
      <w:pPr>
        <w:spacing w:after="0" w:line="16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Linda G. Alvarado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5" w:lineRule="exact"/>
        <w:rPr>
          <w:sz w:val="20"/>
          <w:szCs w:val="20"/>
          <w:color w:val="auto"/>
        </w:rPr>
      </w:pPr>
    </w:p>
    <w:p>
      <w:pPr>
        <w:sectPr>
          <w:pgSz w:w="11900" w:h="16838" w:orient="portrait"/>
          <w:cols w:equalWidth="0" w:num="2">
            <w:col w:w="4244" w:space="720"/>
            <w:col w:w="5259"/>
          </w:cols>
          <w:pgMar w:left="236" w:top="298" w:right="1440" w:bottom="1440" w:gutter="0" w:footer="0" w:header="0"/>
          <w:type w:val="continuous"/>
        </w:sectPr>
      </w:pPr>
    </w:p>
    <w:p>
      <w:pPr>
        <w:ind w:left="184" w:hanging="184"/>
        <w:spacing w:after="0"/>
        <w:tabs>
          <w:tab w:leader="none" w:pos="1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Linda G. Alvarado</w:t>
      </w:r>
    </w:p>
    <w:p>
      <w:pPr>
        <w:spacing w:after="0" w:line="359" w:lineRule="exact"/>
        <w:rPr>
          <w:sz w:val="20"/>
          <w:szCs w:val="20"/>
          <w:color w:val="auto"/>
        </w:rPr>
      </w:pPr>
    </w:p>
    <w:p>
      <w:pPr>
        <w:ind w:left="4"/>
        <w:spacing w:after="0"/>
        <w:tabs>
          <w:tab w:leader="none" w:pos="4943" w:val="left"/>
        </w:tabs>
        <w:rPr>
          <w:sz w:val="20"/>
          <w:szCs w:val="20"/>
          <w:color w:val="auto"/>
        </w:rPr>
      </w:pPr>
      <w:r>
        <w:rPr>
          <w:rFonts w:ascii="Courier New" w:cs="Courier New" w:eastAsia="Courier New" w:hAnsi="Courier New"/>
          <w:sz w:val="16"/>
          <w:szCs w:val="16"/>
          <w:color w:val="auto"/>
        </w:rPr>
        <w:t>/s/ David H. Anderson</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H. Anderson</w:t>
      </w:r>
    </w:p>
    <w:p>
      <w:pPr>
        <w:spacing w:after="0" w:line="359" w:lineRule="exact"/>
        <w:rPr>
          <w:sz w:val="20"/>
          <w:szCs w:val="20"/>
          <w:color w:val="auto"/>
        </w:rPr>
      </w:pPr>
    </w:p>
    <w:p>
      <w:pPr>
        <w:ind w:left="4"/>
        <w:spacing w:after="0"/>
        <w:tabs>
          <w:tab w:leader="none" w:pos="4943" w:val="left"/>
        </w:tabs>
        <w:rPr>
          <w:sz w:val="20"/>
          <w:szCs w:val="20"/>
          <w:color w:val="auto"/>
        </w:rPr>
      </w:pPr>
      <w:r>
        <w:rPr>
          <w:rFonts w:ascii="Courier New" w:cs="Courier New" w:eastAsia="Courier New" w:hAnsi="Courier New"/>
          <w:sz w:val="16"/>
          <w:szCs w:val="16"/>
          <w:color w:val="auto"/>
        </w:rPr>
        <w:t>/s/ Richard W. Booth</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W. Booth</w:t>
      </w:r>
    </w:p>
    <w:p>
      <w:pPr>
        <w:spacing w:after="0" w:line="359" w:lineRule="exact"/>
        <w:rPr>
          <w:sz w:val="20"/>
          <w:szCs w:val="20"/>
          <w:color w:val="auto"/>
        </w:rPr>
      </w:pPr>
    </w:p>
    <w:p>
      <w:pPr>
        <w:ind w:left="4"/>
        <w:spacing w:after="0"/>
        <w:tabs>
          <w:tab w:leader="none" w:pos="4863" w:val="left"/>
        </w:tabs>
        <w:rPr>
          <w:sz w:val="20"/>
          <w:szCs w:val="20"/>
          <w:color w:val="auto"/>
        </w:rPr>
      </w:pPr>
      <w:r>
        <w:rPr>
          <w:rFonts w:ascii="Courier New" w:cs="Courier New" w:eastAsia="Courier New" w:hAnsi="Courier New"/>
          <w:sz w:val="16"/>
          <w:szCs w:val="16"/>
          <w:color w:val="auto"/>
        </w:rPr>
        <w:t>/s/ Thomas W. Booth</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Thomas W. Booth</w:t>
      </w:r>
    </w:p>
    <w:p>
      <w:pPr>
        <w:spacing w:after="0" w:line="359" w:lineRule="exact"/>
        <w:rPr>
          <w:sz w:val="20"/>
          <w:szCs w:val="20"/>
          <w:color w:val="auto"/>
        </w:rPr>
      </w:pPr>
    </w:p>
    <w:p>
      <w:pPr>
        <w:ind w:left="4"/>
        <w:spacing w:after="0"/>
        <w:tabs>
          <w:tab w:leader="none" w:pos="4863" w:val="left"/>
        </w:tabs>
        <w:rPr>
          <w:sz w:val="20"/>
          <w:szCs w:val="20"/>
          <w:color w:val="auto"/>
        </w:rPr>
      </w:pPr>
      <w:r>
        <w:rPr>
          <w:rFonts w:ascii="Courier New" w:cs="Courier New" w:eastAsia="Courier New" w:hAnsi="Courier New"/>
          <w:sz w:val="16"/>
          <w:szCs w:val="16"/>
          <w:color w:val="auto"/>
        </w:rPr>
        <w:t>/s/ David V. Brown</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V. Brown</w:t>
      </w:r>
    </w:p>
    <w:p>
      <w:pPr>
        <w:spacing w:after="0" w:line="359" w:lineRule="exact"/>
        <w:rPr>
          <w:sz w:val="20"/>
          <w:szCs w:val="20"/>
          <w:color w:val="auto"/>
        </w:rPr>
      </w:pPr>
    </w:p>
    <w:p>
      <w:pPr>
        <w:ind w:left="4"/>
        <w:spacing w:after="0"/>
        <w:tabs>
          <w:tab w:leader="none" w:pos="4863" w:val="left"/>
        </w:tabs>
        <w:rPr>
          <w:sz w:val="20"/>
          <w:szCs w:val="20"/>
          <w:color w:val="auto"/>
        </w:rPr>
      </w:pPr>
      <w:r>
        <w:rPr>
          <w:rFonts w:ascii="Courier New" w:cs="Courier New" w:eastAsia="Courier New" w:hAnsi="Courier New"/>
          <w:sz w:val="16"/>
          <w:szCs w:val="16"/>
          <w:color w:val="auto"/>
        </w:rPr>
        <w:t>/s/ James J. Byrne</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J. Byrne</w:t>
      </w:r>
    </w:p>
    <w:p>
      <w:pPr>
        <w:spacing w:after="0" w:line="359"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10223"/>
          </w:cols>
          <w:pgMar w:left="236" w:top="298" w:right="1440" w:bottom="1440" w:gutter="0" w:footer="0" w:header="0"/>
          <w:type w:val="continuous"/>
        </w:sectPr>
      </w:pPr>
    </w:p>
    <w:bookmarkStart w:id="11" w:name="page12"/>
    <w:bookmarkEnd w:id="11"/>
    <w:p>
      <w:pPr>
        <w:ind w:left="284"/>
        <w:spacing w:after="0"/>
        <w:rPr>
          <w:sz w:val="20"/>
          <w:szCs w:val="20"/>
          <w:color w:val="auto"/>
        </w:rPr>
      </w:pPr>
      <w:r>
        <w:rPr>
          <w:rFonts w:ascii="Courier New" w:cs="Courier New" w:eastAsia="Courier New" w:hAnsi="Courier New"/>
          <w:sz w:val="16"/>
          <w:szCs w:val="16"/>
          <w:color w:val="auto"/>
        </w:rPr>
        <w:t>12</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Janet K. Cooper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5" w:lineRule="exact"/>
        <w:rPr>
          <w:sz w:val="20"/>
          <w:szCs w:val="20"/>
          <w:color w:val="auto"/>
        </w:rPr>
      </w:pPr>
    </w:p>
    <w:p>
      <w:pPr>
        <w:sectPr>
          <w:pgSz w:w="11900" w:h="16838" w:orient="portrait"/>
          <w:cols w:equalWidth="0" w:num="2">
            <w:col w:w="4164" w:space="720"/>
            <w:col w:w="5339"/>
          </w:cols>
          <w:pgMar w:left="236" w:top="293" w:right="1440" w:bottom="1440" w:gutter="0" w:footer="0" w:header="0"/>
        </w:sectPr>
      </w:pPr>
    </w:p>
    <w:p>
      <w:pPr>
        <w:ind w:left="184" w:hanging="184"/>
        <w:spacing w:after="0"/>
        <w:tabs>
          <w:tab w:leader="none" w:pos="18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Janet K. Cooper</w:t>
      </w:r>
    </w:p>
    <w:p>
      <w:pPr>
        <w:spacing w:after="0" w:line="359" w:lineRule="exact"/>
        <w:rPr>
          <w:sz w:val="20"/>
          <w:szCs w:val="20"/>
          <w:color w:val="auto"/>
        </w:rPr>
      </w:pPr>
    </w:p>
    <w:p>
      <w:pPr>
        <w:ind w:left="4"/>
        <w:spacing w:after="0"/>
        <w:tabs>
          <w:tab w:leader="none" w:pos="4863" w:val="left"/>
        </w:tabs>
        <w:rPr>
          <w:sz w:val="20"/>
          <w:szCs w:val="20"/>
          <w:color w:val="auto"/>
        </w:rPr>
      </w:pPr>
      <w:r>
        <w:rPr>
          <w:rFonts w:ascii="Courier New" w:cs="Courier New" w:eastAsia="Courier New" w:hAnsi="Courier New"/>
          <w:sz w:val="16"/>
          <w:szCs w:val="16"/>
          <w:color w:val="auto"/>
        </w:rPr>
        <w:t>/s/ John E. Major</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E. Major</w:t>
      </w:r>
    </w:p>
    <w:p>
      <w:pPr>
        <w:spacing w:after="0" w:line="359" w:lineRule="exact"/>
        <w:rPr>
          <w:sz w:val="20"/>
          <w:szCs w:val="20"/>
          <w:color w:val="auto"/>
        </w:rPr>
      </w:pPr>
    </w:p>
    <w:p>
      <w:pPr>
        <w:ind w:left="4"/>
        <w:spacing w:after="0"/>
        <w:tabs>
          <w:tab w:leader="none" w:pos="4863" w:val="left"/>
        </w:tabs>
        <w:rPr>
          <w:sz w:val="20"/>
          <w:szCs w:val="20"/>
          <w:color w:val="auto"/>
        </w:rPr>
      </w:pPr>
      <w:r>
        <w:rPr>
          <w:rFonts w:ascii="Courier New" w:cs="Courier New" w:eastAsia="Courier New" w:hAnsi="Courier New"/>
          <w:sz w:val="16"/>
          <w:szCs w:val="16"/>
          <w:color w:val="auto"/>
        </w:rPr>
        <w:t>/s/ Donald E. Miller</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Donald E. Miller</w:t>
      </w:r>
    </w:p>
    <w:p>
      <w:pPr>
        <w:spacing w:after="0" w:line="359" w:lineRule="exact"/>
        <w:rPr>
          <w:sz w:val="20"/>
          <w:szCs w:val="20"/>
          <w:color w:val="auto"/>
        </w:rPr>
      </w:pPr>
    </w:p>
    <w:p>
      <w:pPr>
        <w:ind w:left="4"/>
        <w:spacing w:after="0"/>
        <w:tabs>
          <w:tab w:leader="none" w:pos="4863" w:val="left"/>
        </w:tabs>
        <w:rPr>
          <w:sz w:val="20"/>
          <w:szCs w:val="20"/>
          <w:color w:val="auto"/>
        </w:rPr>
      </w:pPr>
      <w:r>
        <w:rPr>
          <w:rFonts w:ascii="Courier New" w:cs="Courier New" w:eastAsia="Courier New" w:hAnsi="Courier New"/>
          <w:sz w:val="16"/>
          <w:szCs w:val="16"/>
          <w:color w:val="auto"/>
        </w:rPr>
        <w:t>/s/ Terry D. Stinson</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Terry D. Stinson</w:t>
      </w:r>
    </w:p>
    <w:p>
      <w:pPr>
        <w:spacing w:after="0" w:line="359" w:lineRule="exact"/>
        <w:rPr>
          <w:sz w:val="20"/>
          <w:szCs w:val="20"/>
          <w:color w:val="auto"/>
        </w:rPr>
      </w:pPr>
    </w:p>
    <w:p>
      <w:pPr>
        <w:ind w:left="4"/>
        <w:spacing w:after="0"/>
        <w:tabs>
          <w:tab w:leader="none" w:pos="4863" w:val="left"/>
        </w:tabs>
        <w:rPr>
          <w:sz w:val="20"/>
          <w:szCs w:val="20"/>
          <w:color w:val="auto"/>
        </w:rPr>
      </w:pPr>
      <w:r>
        <w:rPr>
          <w:rFonts w:ascii="Courier New" w:cs="Courier New" w:eastAsia="Courier New" w:hAnsi="Courier New"/>
          <w:sz w:val="16"/>
          <w:szCs w:val="16"/>
          <w:color w:val="auto"/>
        </w:rPr>
        <w:t>/s/ Richard L. Thompson</w:t>
      </w:r>
      <w:r>
        <w:rPr>
          <w:sz w:val="20"/>
          <w:szCs w:val="20"/>
          <w:color w:val="auto"/>
        </w:rPr>
        <w:tab/>
      </w:r>
      <w:r>
        <w:rPr>
          <w:rFonts w:ascii="Courier New" w:cs="Courier New" w:eastAsia="Courier New" w:hAnsi="Courier New"/>
          <w:sz w:val="15"/>
          <w:szCs w:val="15"/>
          <w:color w:val="auto"/>
        </w:rPr>
        <w:t>Director</w:t>
      </w:r>
    </w:p>
    <w:p>
      <w:pPr>
        <w:ind w:left="184" w:hanging="184"/>
        <w:spacing w:after="0"/>
        <w:tabs>
          <w:tab w:leader="none" w:pos="1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L. Thompson</w:t>
      </w:r>
    </w:p>
    <w:p>
      <w:pPr>
        <w:spacing w:after="0" w:line="200" w:lineRule="exact"/>
        <w:rPr>
          <w:sz w:val="20"/>
          <w:szCs w:val="20"/>
          <w:color w:val="auto"/>
        </w:rPr>
      </w:pPr>
    </w:p>
    <w:p>
      <w:pPr>
        <w:spacing w:after="0" w:line="339"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10223"/>
          </w:cols>
          <w:pgMar w:left="236" w:top="293"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81"/>
        </w:trPr>
        <w:tc>
          <w:tcPr>
            <w:tcW w:w="1160" w:type="dxa"/>
            <w:vAlign w:val="bottom"/>
          </w:tcPr>
          <w:p>
            <w:pPr>
              <w:ind w:left="280"/>
              <w:spacing w:after="0"/>
              <w:rPr>
                <w:sz w:val="20"/>
                <w:szCs w:val="20"/>
                <w:color w:val="auto"/>
              </w:rPr>
            </w:pPr>
            <w:r>
              <w:rPr>
                <w:rFonts w:ascii="Courier New" w:cs="Courier New" w:eastAsia="Courier New" w:hAnsi="Courier New"/>
                <w:sz w:val="16"/>
                <w:szCs w:val="16"/>
                <w:color w:val="auto"/>
              </w:rPr>
              <w:t>13</w:t>
            </w:r>
          </w:p>
        </w:tc>
        <w:tc>
          <w:tcPr>
            <w:tcW w:w="3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902"/>
        </w:trPr>
        <w:tc>
          <w:tcPr>
            <w:tcW w:w="1160" w:type="dxa"/>
            <w:vAlign w:val="bottom"/>
          </w:tcPr>
          <w:p>
            <w:pPr>
              <w:spacing w:after="0"/>
              <w:rPr>
                <w:sz w:val="24"/>
                <w:szCs w:val="24"/>
                <w:color w:val="auto"/>
              </w:rPr>
            </w:pPr>
          </w:p>
        </w:tc>
        <w:tc>
          <w:tcPr>
            <w:tcW w:w="3520" w:type="dxa"/>
            <w:vAlign w:val="bottom"/>
            <w:gridSpan w:val="2"/>
          </w:tcPr>
          <w:p>
            <w:pPr>
              <w:ind w:left="2020"/>
              <w:spacing w:after="0"/>
              <w:rPr>
                <w:sz w:val="20"/>
                <w:szCs w:val="20"/>
                <w:color w:val="auto"/>
              </w:rPr>
            </w:pPr>
            <w:r>
              <w:rPr>
                <w:rFonts w:ascii="Courier New" w:cs="Courier New" w:eastAsia="Courier New" w:hAnsi="Courier New"/>
                <w:sz w:val="16"/>
                <w:szCs w:val="16"/>
                <w:color w:val="auto"/>
              </w:rPr>
              <w:t>EXHIBIT INDEX</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21"/>
        </w:trPr>
        <w:tc>
          <w:tcPr>
            <w:tcW w:w="116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3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116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3100" w:type="dxa"/>
            <w:vAlign w:val="bottom"/>
          </w:tcPr>
          <w:p>
            <w:pPr>
              <w:ind w:left="520"/>
              <w:spacing w:after="0"/>
              <w:rPr>
                <w:sz w:val="20"/>
                <w:szCs w:val="20"/>
                <w:color w:val="auto"/>
              </w:rPr>
            </w:pPr>
            <w:r>
              <w:rPr>
                <w:rFonts w:ascii="Courier New" w:cs="Courier New" w:eastAsia="Courier New" w:hAnsi="Courier New"/>
                <w:sz w:val="16"/>
                <w:szCs w:val="16"/>
                <w:color w:val="auto"/>
              </w:rPr>
              <w:t>DESCRIPTION</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61"/>
        </w:trPr>
        <w:tc>
          <w:tcPr>
            <w:tcW w:w="116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6160" w:type="dxa"/>
            <w:vAlign w:val="bottom"/>
            <w:gridSpan w:val="4"/>
          </w:tcPr>
          <w:p>
            <w:pPr>
              <w:ind w:left="520"/>
              <w:spacing w:after="0"/>
              <w:rPr>
                <w:sz w:val="20"/>
                <w:szCs w:val="20"/>
                <w:color w:val="auto"/>
              </w:rPr>
            </w:pPr>
            <w:r>
              <w:rPr>
                <w:rFonts w:ascii="Courier New" w:cs="Courier New" w:eastAsia="Courier New" w:hAnsi="Courier New"/>
                <w:sz w:val="16"/>
                <w:szCs w:val="16"/>
                <w:color w:val="auto"/>
              </w:rPr>
              <w:t>Restated  Certificate of Incorporation of the Company,</w:t>
            </w:r>
          </w:p>
        </w:tc>
      </w:tr>
      <w:tr>
        <w:trPr>
          <w:trHeight w:val="180"/>
        </w:trPr>
        <w:tc>
          <w:tcPr>
            <w:tcW w:w="1160" w:type="dxa"/>
            <w:vAlign w:val="bottom"/>
          </w:tcPr>
          <w:p>
            <w:pPr>
              <w:spacing w:after="0"/>
              <w:rPr>
                <w:sz w:val="15"/>
                <w:szCs w:val="15"/>
                <w:color w:val="auto"/>
              </w:rPr>
            </w:pPr>
          </w:p>
        </w:tc>
        <w:tc>
          <w:tcPr>
            <w:tcW w:w="494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97"/>
              </w:rPr>
              <w:t>as amended (filed as Exhibit 3.1 to the S-1 and</w:t>
            </w:r>
          </w:p>
        </w:tc>
        <w:tc>
          <w:tcPr>
            <w:tcW w:w="1220" w:type="dxa"/>
            <w:vAlign w:val="bottom"/>
          </w:tcPr>
          <w:p>
            <w:pPr>
              <w:spacing w:after="0"/>
              <w:rPr>
                <w:sz w:val="15"/>
                <w:szCs w:val="15"/>
                <w:color w:val="auto"/>
              </w:rPr>
            </w:pPr>
          </w:p>
        </w:tc>
      </w:tr>
      <w:tr>
        <w:trPr>
          <w:trHeight w:val="180"/>
        </w:trPr>
        <w:tc>
          <w:tcPr>
            <w:tcW w:w="1160" w:type="dxa"/>
            <w:vAlign w:val="bottom"/>
          </w:tcPr>
          <w:p>
            <w:pPr>
              <w:spacing w:after="0"/>
              <w:rPr>
                <w:sz w:val="15"/>
                <w:szCs w:val="15"/>
                <w:color w:val="auto"/>
              </w:rPr>
            </w:pPr>
          </w:p>
        </w:tc>
        <w:tc>
          <w:tcPr>
            <w:tcW w:w="4940" w:type="dxa"/>
            <w:vAlign w:val="bottom"/>
            <w:gridSpan w:val="3"/>
          </w:tcPr>
          <w:p>
            <w:pPr>
              <w:ind w:left="520"/>
              <w:spacing w:after="0"/>
              <w:rPr>
                <w:sz w:val="20"/>
                <w:szCs w:val="20"/>
                <w:color w:val="auto"/>
              </w:rPr>
            </w:pPr>
            <w:r>
              <w:rPr>
                <w:rFonts w:ascii="Courier New" w:cs="Courier New" w:eastAsia="Courier New" w:hAnsi="Courier New"/>
                <w:sz w:val="16"/>
                <w:szCs w:val="16"/>
                <w:color w:val="auto"/>
              </w:rPr>
              <w:t>incorporated herein by reference)</w:t>
            </w:r>
          </w:p>
        </w:tc>
        <w:tc>
          <w:tcPr>
            <w:tcW w:w="1220" w:type="dxa"/>
            <w:vAlign w:val="bottom"/>
          </w:tcPr>
          <w:p>
            <w:pPr>
              <w:spacing w:after="0"/>
              <w:rPr>
                <w:sz w:val="15"/>
                <w:szCs w:val="15"/>
                <w:color w:val="auto"/>
              </w:rPr>
            </w:pPr>
          </w:p>
        </w:tc>
      </w:tr>
      <w:tr>
        <w:trPr>
          <w:trHeight w:val="361"/>
        </w:trPr>
        <w:tc>
          <w:tcPr>
            <w:tcW w:w="116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3100" w:type="dxa"/>
            <w:vAlign w:val="bottom"/>
          </w:tcPr>
          <w:p>
            <w:pPr>
              <w:ind w:left="520"/>
              <w:spacing w:after="0"/>
              <w:rPr>
                <w:sz w:val="20"/>
                <w:szCs w:val="20"/>
                <w:color w:val="auto"/>
              </w:rPr>
            </w:pPr>
            <w:r>
              <w:rPr>
                <w:rFonts w:ascii="Courier New" w:cs="Courier New" w:eastAsia="Courier New" w:hAnsi="Courier New"/>
                <w:sz w:val="16"/>
                <w:szCs w:val="16"/>
                <w:color w:val="auto"/>
                <w:w w:val="98"/>
              </w:rPr>
              <w:t>Amended and Restated Bylaws</w:t>
            </w:r>
          </w:p>
        </w:tc>
        <w:tc>
          <w:tcPr>
            <w:tcW w:w="30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of the Company (filed as</w:t>
            </w:r>
          </w:p>
        </w:tc>
      </w:tr>
      <w:tr>
        <w:trPr>
          <w:trHeight w:val="180"/>
        </w:trPr>
        <w:tc>
          <w:tcPr>
            <w:tcW w:w="1160" w:type="dxa"/>
            <w:vAlign w:val="bottom"/>
          </w:tcPr>
          <w:p>
            <w:pPr>
              <w:spacing w:after="0"/>
              <w:rPr>
                <w:sz w:val="15"/>
                <w:szCs w:val="15"/>
                <w:color w:val="auto"/>
              </w:rPr>
            </w:pPr>
          </w:p>
        </w:tc>
        <w:tc>
          <w:tcPr>
            <w:tcW w:w="3100" w:type="dxa"/>
            <w:vAlign w:val="bottom"/>
          </w:tcPr>
          <w:p>
            <w:pPr>
              <w:ind w:left="520"/>
              <w:spacing w:after="0"/>
              <w:rPr>
                <w:sz w:val="20"/>
                <w:szCs w:val="20"/>
                <w:color w:val="auto"/>
              </w:rPr>
            </w:pPr>
            <w:r>
              <w:rPr>
                <w:rFonts w:ascii="Courier New" w:cs="Courier New" w:eastAsia="Courier New" w:hAnsi="Courier New"/>
                <w:sz w:val="16"/>
                <w:szCs w:val="16"/>
                <w:color w:val="auto"/>
              </w:rPr>
              <w:t>Exhibit 3.2 to the S-1 and</w:t>
            </w:r>
          </w:p>
        </w:tc>
        <w:tc>
          <w:tcPr>
            <w:tcW w:w="30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Incorporated  herein by</w:t>
            </w:r>
          </w:p>
        </w:tc>
      </w:tr>
      <w:tr>
        <w:trPr>
          <w:trHeight w:val="180"/>
        </w:trPr>
        <w:tc>
          <w:tcPr>
            <w:tcW w:w="1160" w:type="dxa"/>
            <w:vAlign w:val="bottom"/>
          </w:tcPr>
          <w:p>
            <w:pPr>
              <w:spacing w:after="0"/>
              <w:rPr>
                <w:sz w:val="15"/>
                <w:szCs w:val="15"/>
                <w:color w:val="auto"/>
              </w:rPr>
            </w:pPr>
          </w:p>
        </w:tc>
        <w:tc>
          <w:tcPr>
            <w:tcW w:w="3100" w:type="dxa"/>
            <w:vAlign w:val="bottom"/>
          </w:tcPr>
          <w:p>
            <w:pPr>
              <w:ind w:left="520"/>
              <w:spacing w:after="0"/>
              <w:rPr>
                <w:sz w:val="20"/>
                <w:szCs w:val="20"/>
                <w:color w:val="auto"/>
              </w:rPr>
            </w:pPr>
            <w:r>
              <w:rPr>
                <w:rFonts w:ascii="Courier New" w:cs="Courier New" w:eastAsia="Courier New" w:hAnsi="Courier New"/>
                <w:sz w:val="16"/>
                <w:szCs w:val="16"/>
                <w:color w:val="auto"/>
              </w:rPr>
              <w:t>reference)</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61"/>
        </w:trPr>
        <w:tc>
          <w:tcPr>
            <w:tcW w:w="116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6160" w:type="dxa"/>
            <w:vAlign w:val="bottom"/>
            <w:gridSpan w:val="4"/>
          </w:tcPr>
          <w:p>
            <w:pPr>
              <w:ind w:left="520"/>
              <w:spacing w:after="0"/>
              <w:rPr>
                <w:sz w:val="20"/>
                <w:szCs w:val="20"/>
                <w:color w:val="auto"/>
              </w:rPr>
            </w:pPr>
            <w:r>
              <w:rPr>
                <w:rFonts w:ascii="Courier New" w:cs="Courier New" w:eastAsia="Courier New" w:hAnsi="Courier New"/>
                <w:sz w:val="16"/>
                <w:szCs w:val="16"/>
                <w:color w:val="auto"/>
              </w:rPr>
              <w:t>Specimen of certificate  representing  Common Stock,</w:t>
            </w:r>
          </w:p>
        </w:tc>
      </w:tr>
      <w:tr>
        <w:trPr>
          <w:trHeight w:val="180"/>
        </w:trPr>
        <w:tc>
          <w:tcPr>
            <w:tcW w:w="1160" w:type="dxa"/>
            <w:vAlign w:val="bottom"/>
          </w:tcPr>
          <w:p>
            <w:pPr>
              <w:spacing w:after="0"/>
              <w:rPr>
                <w:sz w:val="15"/>
                <w:szCs w:val="15"/>
                <w:color w:val="auto"/>
              </w:rPr>
            </w:pPr>
          </w:p>
        </w:tc>
        <w:tc>
          <w:tcPr>
            <w:tcW w:w="6160" w:type="dxa"/>
            <w:vAlign w:val="bottom"/>
            <w:gridSpan w:val="4"/>
          </w:tcPr>
          <w:p>
            <w:pPr>
              <w:ind w:left="520"/>
              <w:spacing w:after="0"/>
              <w:rPr>
                <w:sz w:val="20"/>
                <w:szCs w:val="20"/>
                <w:color w:val="auto"/>
              </w:rPr>
            </w:pPr>
            <w:r>
              <w:rPr>
                <w:rFonts w:ascii="Courier New" w:cs="Courier New" w:eastAsia="Courier New" w:hAnsi="Courier New"/>
                <w:sz w:val="16"/>
                <w:szCs w:val="16"/>
                <w:color w:val="auto"/>
              </w:rPr>
              <w:t>par value $0.01 per share, of the Company (filed as</w:t>
            </w:r>
          </w:p>
        </w:tc>
      </w:tr>
      <w:tr>
        <w:trPr>
          <w:trHeight w:val="180"/>
        </w:trPr>
        <w:tc>
          <w:tcPr>
            <w:tcW w:w="1160" w:type="dxa"/>
            <w:vAlign w:val="bottom"/>
          </w:tcPr>
          <w:p>
            <w:pPr>
              <w:spacing w:after="0"/>
              <w:rPr>
                <w:sz w:val="15"/>
                <w:szCs w:val="15"/>
                <w:color w:val="auto"/>
              </w:rPr>
            </w:pPr>
          </w:p>
        </w:tc>
        <w:tc>
          <w:tcPr>
            <w:tcW w:w="494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99"/>
              </w:rPr>
              <w:t>Exhibit 4.1 to the S-1 and incorporated herein</w:t>
            </w:r>
          </w:p>
        </w:tc>
        <w:tc>
          <w:tcPr>
            <w:tcW w:w="1220" w:type="dxa"/>
            <w:vAlign w:val="bottom"/>
          </w:tcPr>
          <w:p>
            <w:pPr>
              <w:spacing w:after="0"/>
              <w:rPr>
                <w:sz w:val="20"/>
                <w:szCs w:val="20"/>
                <w:color w:val="auto"/>
              </w:rPr>
            </w:pPr>
            <w:r>
              <w:rPr>
                <w:rFonts w:ascii="Courier New" w:cs="Courier New" w:eastAsia="Courier New" w:hAnsi="Courier New"/>
                <w:sz w:val="16"/>
                <w:szCs w:val="16"/>
                <w:color w:val="auto"/>
                <w:w w:val="96"/>
              </w:rPr>
              <w:t>by reference)</w:t>
            </w:r>
          </w:p>
        </w:tc>
      </w:tr>
      <w:tr>
        <w:trPr>
          <w:trHeight w:val="361"/>
        </w:trPr>
        <w:tc>
          <w:tcPr>
            <w:tcW w:w="116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352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1998  Incentive Plan of Lennox</w:t>
            </w:r>
          </w:p>
        </w:tc>
        <w:tc>
          <w:tcPr>
            <w:tcW w:w="1420" w:type="dxa"/>
            <w:vAlign w:val="bottom"/>
          </w:tcPr>
          <w:p>
            <w:pPr>
              <w:spacing w:after="0"/>
              <w:rPr>
                <w:sz w:val="20"/>
                <w:szCs w:val="20"/>
                <w:color w:val="auto"/>
              </w:rPr>
            </w:pPr>
            <w:r>
              <w:rPr>
                <w:rFonts w:ascii="Courier New" w:cs="Courier New" w:eastAsia="Courier New" w:hAnsi="Courier New"/>
                <w:sz w:val="16"/>
                <w:szCs w:val="16"/>
                <w:color w:val="auto"/>
              </w:rPr>
              <w:t>International</w:t>
            </w: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Inc.  (filed</w:t>
            </w:r>
          </w:p>
        </w:tc>
      </w:tr>
      <w:tr>
        <w:trPr>
          <w:trHeight w:val="180"/>
        </w:trPr>
        <w:tc>
          <w:tcPr>
            <w:tcW w:w="1160" w:type="dxa"/>
            <w:vAlign w:val="bottom"/>
          </w:tcPr>
          <w:p>
            <w:pPr>
              <w:spacing w:after="0"/>
              <w:rPr>
                <w:sz w:val="15"/>
                <w:szCs w:val="15"/>
                <w:color w:val="auto"/>
              </w:rPr>
            </w:pPr>
          </w:p>
        </w:tc>
        <w:tc>
          <w:tcPr>
            <w:tcW w:w="352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as Exhibit 10.8 to the S-1 and</w:t>
            </w:r>
          </w:p>
        </w:tc>
        <w:tc>
          <w:tcPr>
            <w:tcW w:w="2640" w:type="dxa"/>
            <w:vAlign w:val="bottom"/>
            <w:gridSpan w:val="2"/>
          </w:tcPr>
          <w:p>
            <w:pPr>
              <w:spacing w:after="0"/>
              <w:rPr>
                <w:sz w:val="20"/>
                <w:szCs w:val="20"/>
                <w:color w:val="auto"/>
              </w:rPr>
            </w:pPr>
            <w:r>
              <w:rPr>
                <w:rFonts w:ascii="Courier New" w:cs="Courier New" w:eastAsia="Courier New" w:hAnsi="Courier New"/>
                <w:sz w:val="16"/>
                <w:szCs w:val="16"/>
                <w:color w:val="auto"/>
              </w:rPr>
              <w:t>incorporated herein by</w:t>
            </w:r>
          </w:p>
        </w:tc>
      </w:tr>
      <w:tr>
        <w:trPr>
          <w:trHeight w:val="180"/>
        </w:trPr>
        <w:tc>
          <w:tcPr>
            <w:tcW w:w="1160" w:type="dxa"/>
            <w:vAlign w:val="bottom"/>
          </w:tcPr>
          <w:p>
            <w:pPr>
              <w:spacing w:after="0"/>
              <w:rPr>
                <w:sz w:val="15"/>
                <w:szCs w:val="15"/>
                <w:color w:val="auto"/>
              </w:rPr>
            </w:pPr>
          </w:p>
        </w:tc>
        <w:tc>
          <w:tcPr>
            <w:tcW w:w="3100" w:type="dxa"/>
            <w:vAlign w:val="bottom"/>
          </w:tcPr>
          <w:p>
            <w:pPr>
              <w:ind w:left="520"/>
              <w:spacing w:after="0"/>
              <w:rPr>
                <w:sz w:val="20"/>
                <w:szCs w:val="20"/>
                <w:color w:val="auto"/>
              </w:rPr>
            </w:pPr>
            <w:r>
              <w:rPr>
                <w:rFonts w:ascii="Courier New" w:cs="Courier New" w:eastAsia="Courier New" w:hAnsi="Courier New"/>
                <w:sz w:val="16"/>
                <w:szCs w:val="16"/>
                <w:color w:val="auto"/>
              </w:rPr>
              <w:t>reference)</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61"/>
        </w:trPr>
        <w:tc>
          <w:tcPr>
            <w:tcW w:w="116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3520" w:type="dxa"/>
            <w:vAlign w:val="bottom"/>
            <w:gridSpan w:val="2"/>
          </w:tcPr>
          <w:p>
            <w:pPr>
              <w:ind w:left="520"/>
              <w:spacing w:after="0"/>
              <w:rPr>
                <w:sz w:val="20"/>
                <w:szCs w:val="20"/>
                <w:color w:val="auto"/>
              </w:rPr>
            </w:pPr>
            <w:r>
              <w:rPr>
                <w:rFonts w:ascii="Courier New" w:cs="Courier New" w:eastAsia="Courier New" w:hAnsi="Courier New"/>
                <w:sz w:val="16"/>
                <w:szCs w:val="16"/>
                <w:color w:val="auto"/>
                <w:w w:val="96"/>
              </w:rPr>
              <w:t>Opinion of Baker &amp; Botts, L.L.P.</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1"/>
        </w:trPr>
        <w:tc>
          <w:tcPr>
            <w:tcW w:w="116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3520" w:type="dxa"/>
            <w:vAlign w:val="bottom"/>
            <w:gridSpan w:val="2"/>
          </w:tcPr>
          <w:p>
            <w:pPr>
              <w:ind w:left="520"/>
              <w:spacing w:after="0"/>
              <w:rPr>
                <w:sz w:val="20"/>
                <w:szCs w:val="20"/>
                <w:color w:val="auto"/>
              </w:rPr>
            </w:pPr>
            <w:r>
              <w:rPr>
                <w:rFonts w:ascii="Courier New" w:cs="Courier New" w:eastAsia="Courier New" w:hAnsi="Courier New"/>
                <w:sz w:val="16"/>
                <w:szCs w:val="16"/>
                <w:color w:val="auto"/>
              </w:rPr>
              <w:t>Consent of Arthur Andersen LLP.</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1"/>
        </w:trPr>
        <w:tc>
          <w:tcPr>
            <w:tcW w:w="116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6160" w:type="dxa"/>
            <w:vAlign w:val="bottom"/>
            <w:gridSpan w:val="4"/>
          </w:tcPr>
          <w:p>
            <w:pPr>
              <w:ind w:left="520"/>
              <w:spacing w:after="0"/>
              <w:rPr>
                <w:sz w:val="20"/>
                <w:szCs w:val="20"/>
                <w:color w:val="auto"/>
              </w:rPr>
            </w:pPr>
            <w:r>
              <w:rPr>
                <w:rFonts w:ascii="Courier New" w:cs="Courier New" w:eastAsia="Courier New" w:hAnsi="Courier New"/>
                <w:sz w:val="16"/>
                <w:szCs w:val="16"/>
                <w:color w:val="auto"/>
              </w:rPr>
              <w:t>Consent of Baker &amp; Botts, L.L.P. (included in Exhibit 5)</w:t>
            </w:r>
          </w:p>
        </w:tc>
      </w:tr>
      <w:tr>
        <w:trPr>
          <w:trHeight w:val="361"/>
        </w:trPr>
        <w:tc>
          <w:tcPr>
            <w:tcW w:w="116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6160" w:type="dxa"/>
            <w:vAlign w:val="bottom"/>
            <w:gridSpan w:val="4"/>
          </w:tcPr>
          <w:p>
            <w:pPr>
              <w:ind w:left="520"/>
              <w:spacing w:after="0"/>
              <w:rPr>
                <w:sz w:val="20"/>
                <w:szCs w:val="20"/>
                <w:color w:val="auto"/>
              </w:rPr>
            </w:pPr>
            <w:r>
              <w:rPr>
                <w:rFonts w:ascii="Courier New" w:cs="Courier New" w:eastAsia="Courier New" w:hAnsi="Courier New"/>
                <w:sz w:val="16"/>
                <w:szCs w:val="16"/>
                <w:color w:val="auto"/>
              </w:rPr>
              <w:t>Power of Attorney (included on the execution page of this</w:t>
            </w:r>
          </w:p>
        </w:tc>
      </w:tr>
      <w:tr>
        <w:trPr>
          <w:trHeight w:val="180"/>
        </w:trPr>
        <w:tc>
          <w:tcPr>
            <w:tcW w:w="1160" w:type="dxa"/>
            <w:vAlign w:val="bottom"/>
          </w:tcPr>
          <w:p>
            <w:pPr>
              <w:spacing w:after="0"/>
              <w:rPr>
                <w:sz w:val="15"/>
                <w:szCs w:val="15"/>
                <w:color w:val="auto"/>
              </w:rPr>
            </w:pPr>
          </w:p>
        </w:tc>
        <w:tc>
          <w:tcPr>
            <w:tcW w:w="3100" w:type="dxa"/>
            <w:vAlign w:val="bottom"/>
          </w:tcPr>
          <w:p>
            <w:pPr>
              <w:ind w:left="520"/>
              <w:spacing w:after="0"/>
              <w:rPr>
                <w:sz w:val="20"/>
                <w:szCs w:val="20"/>
                <w:color w:val="auto"/>
              </w:rPr>
            </w:pPr>
            <w:r>
              <w:rPr>
                <w:rFonts w:ascii="Courier New" w:cs="Courier New" w:eastAsia="Courier New" w:hAnsi="Courier New"/>
                <w:sz w:val="16"/>
                <w:szCs w:val="16"/>
                <w:color w:val="auto"/>
              </w:rPr>
              <w:t>Registration Statement)</w:t>
            </w: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ectPr>
          <w:pgSz w:w="11900" w:h="16838" w:orient="portrait"/>
          <w:cols w:equalWidth="0" w:num="1">
            <w:col w:w="10219"/>
          </w:cols>
          <w:pgMar w:left="240" w:top="293"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40" w:lineRule="exact"/>
        <w:rPr>
          <w:sz w:val="20"/>
          <w:szCs w:val="20"/>
          <w:color w:val="auto"/>
        </w:rPr>
      </w:pPr>
    </w:p>
    <w:p>
      <w:pPr>
        <w:ind w:left="6560"/>
        <w:spacing w:after="0"/>
        <w:rPr>
          <w:sz w:val="20"/>
          <w:szCs w:val="20"/>
          <w:color w:val="auto"/>
        </w:rPr>
      </w:pPr>
      <w:r>
        <w:rPr>
          <w:rFonts w:ascii="Courier New" w:cs="Courier New" w:eastAsia="Courier New" w:hAnsi="Courier New"/>
          <w:sz w:val="16"/>
          <w:szCs w:val="16"/>
          <w:color w:val="auto"/>
        </w:rPr>
        <w:t>EXHIBIT 5</w:t>
      </w:r>
    </w:p>
    <w:p>
      <w:pPr>
        <w:spacing w:after="0" w:line="36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BAKER &amp; BOTTS, L.L.P.</w:t>
      </w:r>
    </w:p>
    <w:p>
      <w:pPr>
        <w:ind w:left="3000"/>
        <w:spacing w:after="0"/>
        <w:rPr>
          <w:sz w:val="20"/>
          <w:szCs w:val="20"/>
          <w:color w:val="auto"/>
        </w:rPr>
      </w:pPr>
      <w:r>
        <w:rPr>
          <w:rFonts w:ascii="Courier New" w:cs="Courier New" w:eastAsia="Courier New" w:hAnsi="Courier New"/>
          <w:sz w:val="16"/>
          <w:szCs w:val="16"/>
          <w:color w:val="auto"/>
        </w:rPr>
        <w:t>2001 Ross Avenue</w:t>
      </w:r>
    </w:p>
    <w:p>
      <w:pPr>
        <w:ind w:left="2900"/>
        <w:spacing w:after="0" w:line="237" w:lineRule="auto"/>
        <w:rPr>
          <w:sz w:val="20"/>
          <w:szCs w:val="20"/>
          <w:color w:val="auto"/>
        </w:rPr>
      </w:pPr>
      <w:r>
        <w:rPr>
          <w:rFonts w:ascii="Courier New" w:cs="Courier New" w:eastAsia="Courier New" w:hAnsi="Courier New"/>
          <w:sz w:val="16"/>
          <w:szCs w:val="16"/>
          <w:color w:val="auto"/>
        </w:rPr>
        <w:t>Dallas, Texas 75201</w:t>
      </w:r>
    </w:p>
    <w:p>
      <w:pPr>
        <w:spacing w:after="0" w:line="360"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July 29, 1999</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Lennox International Inc.</w:t>
      </w:r>
    </w:p>
    <w:p>
      <w:pPr>
        <w:spacing w:after="0"/>
        <w:rPr>
          <w:sz w:val="20"/>
          <w:szCs w:val="20"/>
          <w:color w:val="auto"/>
        </w:rPr>
      </w:pPr>
      <w:r>
        <w:rPr>
          <w:rFonts w:ascii="Courier New" w:cs="Courier New" w:eastAsia="Courier New" w:hAnsi="Courier New"/>
          <w:sz w:val="16"/>
          <w:szCs w:val="16"/>
          <w:color w:val="auto"/>
        </w:rPr>
        <w:t>2140 Lake Park Blvd.</w:t>
      </w:r>
    </w:p>
    <w:p>
      <w:pPr>
        <w:spacing w:after="0" w:line="237" w:lineRule="auto"/>
        <w:rPr>
          <w:sz w:val="20"/>
          <w:szCs w:val="20"/>
          <w:color w:val="auto"/>
        </w:rPr>
      </w:pPr>
      <w:r>
        <w:rPr>
          <w:rFonts w:ascii="Courier New" w:cs="Courier New" w:eastAsia="Courier New" w:hAnsi="Courier New"/>
          <w:sz w:val="16"/>
          <w:szCs w:val="16"/>
          <w:color w:val="auto"/>
        </w:rPr>
        <w:t>Richardson, Texas 75080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5" w:lineRule="exact"/>
        <w:rPr>
          <w:sz w:val="20"/>
          <w:szCs w:val="20"/>
          <w:color w:val="auto"/>
        </w:rPr>
      </w:pPr>
    </w:p>
    <w:p>
      <w:pPr>
        <w:ind w:right="2719" w:firstLine="1688"/>
        <w:spacing w:after="0" w:line="238" w:lineRule="auto"/>
        <w:rPr>
          <w:sz w:val="20"/>
          <w:szCs w:val="20"/>
          <w:color w:val="auto"/>
        </w:rPr>
      </w:pPr>
      <w:r>
        <w:rPr>
          <w:rFonts w:ascii="Courier New" w:cs="Courier New" w:eastAsia="Courier New" w:hAnsi="Courier New"/>
          <w:sz w:val="16"/>
          <w:szCs w:val="16"/>
          <w:color w:val="auto"/>
        </w:rPr>
        <w:t>As set forth in the Registration Statement on Form S-8 (the "Registration Statement") to be filed by Lennox International Inc., a Delaware corporation (the "Company"), with the Securities and Exchange Commission under the Securities Act of 1933, as amended (the "Securities Act"), relating to the offering of up to 4,603,500 shares (the "Shares") of the common stock, par value $0.01 per share ("Common Stock"), of the Company, pursuant to the 1998 Incentive Plan of Lennox International Inc. (the "Plan"), certain legal matters in connection with the Shares are being passed upon for the Company by us. At your request, this opinion is being furnished to you for filing as Exhibit 5 to the Registration Statement.</w:t>
      </w:r>
    </w:p>
    <w:p>
      <w:pPr>
        <w:spacing w:after="0" w:line="187" w:lineRule="exact"/>
        <w:rPr>
          <w:sz w:val="20"/>
          <w:szCs w:val="20"/>
          <w:color w:val="auto"/>
        </w:rPr>
      </w:pPr>
    </w:p>
    <w:p>
      <w:pPr>
        <w:ind w:right="2819" w:firstLine="1688"/>
        <w:spacing w:after="0" w:line="238" w:lineRule="auto"/>
        <w:rPr>
          <w:sz w:val="20"/>
          <w:szCs w:val="20"/>
          <w:color w:val="auto"/>
        </w:rPr>
      </w:pPr>
      <w:r>
        <w:rPr>
          <w:rFonts w:ascii="Courier New" w:cs="Courier New" w:eastAsia="Courier New" w:hAnsi="Courier New"/>
          <w:sz w:val="16"/>
          <w:szCs w:val="16"/>
          <w:color w:val="auto"/>
        </w:rPr>
        <w:t>In our capacity as counsel to the Company in the connection referenced above, we have examined the Company's Restated Certificate of Incorporation and Amended and Restated Bylaws, each as amended to date, and the Plan, and have examined the originals, or copies certified or otherwise identified, of corporate records of the Company, including minute books of the Company as furnished to us by the Company, certificates of public officials and of representatives of the Company, statutes and other instruments and documents as a basis for the opinions hereinafter expressed.</w:t>
      </w:r>
    </w:p>
    <w:p>
      <w:pPr>
        <w:spacing w:after="0" w:line="185" w:lineRule="exact"/>
        <w:rPr>
          <w:sz w:val="20"/>
          <w:szCs w:val="20"/>
          <w:color w:val="auto"/>
        </w:rPr>
      </w:pPr>
    </w:p>
    <w:p>
      <w:pPr>
        <w:ind w:right="2819" w:firstLine="1688"/>
        <w:spacing w:after="0" w:line="237" w:lineRule="auto"/>
        <w:rPr>
          <w:sz w:val="20"/>
          <w:szCs w:val="20"/>
          <w:color w:val="auto"/>
        </w:rPr>
      </w:pPr>
      <w:r>
        <w:rPr>
          <w:rFonts w:ascii="Courier New" w:cs="Courier New" w:eastAsia="Courier New" w:hAnsi="Courier New"/>
          <w:sz w:val="16"/>
          <w:szCs w:val="16"/>
          <w:color w:val="auto"/>
        </w:rPr>
        <w:t>We have assumed that all signatures on all documents examined by us are genuine, that all documents submitted to us as originals are authentic, that all documents submitted to us as copies are true and correct copies of the originals thereof and that all information submitted to us was accurate and complete.</w:t>
      </w:r>
    </w:p>
    <w:p>
      <w:pPr>
        <w:spacing w:after="0" w:line="187" w:lineRule="exact"/>
        <w:rPr>
          <w:sz w:val="20"/>
          <w:szCs w:val="20"/>
          <w:color w:val="auto"/>
        </w:rPr>
      </w:pPr>
    </w:p>
    <w:p>
      <w:pPr>
        <w:ind w:right="2719" w:firstLine="1688"/>
        <w:spacing w:after="0" w:line="237" w:lineRule="auto"/>
        <w:rPr>
          <w:sz w:val="20"/>
          <w:szCs w:val="20"/>
          <w:color w:val="auto"/>
        </w:rPr>
      </w:pPr>
      <w:r>
        <w:rPr>
          <w:rFonts w:ascii="Courier New" w:cs="Courier New" w:eastAsia="Courier New" w:hAnsi="Courier New"/>
          <w:sz w:val="16"/>
          <w:szCs w:val="16"/>
          <w:color w:val="auto"/>
        </w:rPr>
        <w:t>Based upon our examination as aforesaid, and subject to the assumptions, qualifications, limitations and exceptions herein set forth, we are of the opinion that:</w:t>
      </w:r>
    </w:p>
    <w:p>
      <w:pPr>
        <w:sectPr>
          <w:pgSz w:w="11900" w:h="16838" w:orient="portrait"/>
          <w:cols w:equalWidth="0" w:num="1">
            <w:col w:w="10219"/>
          </w:cols>
          <w:pgMar w:left="240" w:top="137"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40" w:lineRule="exact"/>
        <w:rPr>
          <w:sz w:val="20"/>
          <w:szCs w:val="20"/>
          <w:color w:val="auto"/>
        </w:rPr>
      </w:pPr>
    </w:p>
    <w:p>
      <w:pPr>
        <w:spacing w:after="0"/>
        <w:tabs>
          <w:tab w:leader="none" w:pos="3360" w:val="left"/>
          <w:tab w:leader="none" w:pos="6160" w:val="left"/>
        </w:tabs>
        <w:rPr>
          <w:sz w:val="20"/>
          <w:szCs w:val="20"/>
          <w:color w:val="auto"/>
        </w:rPr>
      </w:pPr>
      <w:r>
        <w:rPr>
          <w:rFonts w:ascii="Courier New" w:cs="Courier New" w:eastAsia="Courier New" w:hAnsi="Courier New"/>
          <w:sz w:val="16"/>
          <w:szCs w:val="16"/>
          <w:color w:val="auto"/>
        </w:rPr>
        <w:t>Lennox International Inc.</w:t>
      </w:r>
      <w:r>
        <w:rPr>
          <w:sz w:val="20"/>
          <w:szCs w:val="20"/>
          <w:color w:val="auto"/>
        </w:rPr>
        <w:tab/>
      </w: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5"/>
          <w:szCs w:val="15"/>
          <w:color w:val="auto"/>
        </w:rPr>
        <w:t>July 29, 1999</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40" w:right="2819" w:firstLine="844"/>
        <w:spacing w:after="0" w:line="263" w:lineRule="auto"/>
        <w:tabs>
          <w:tab w:leader="none" w:pos="19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duly incorporated and validly existing in good standing under the laws of the State of Delaware.</w:t>
      </w:r>
    </w:p>
    <w:p>
      <w:pPr>
        <w:spacing w:after="0" w:line="168" w:lineRule="exact"/>
        <w:rPr>
          <w:rFonts w:ascii="Courier New" w:cs="Courier New" w:eastAsia="Courier New" w:hAnsi="Courier New"/>
          <w:sz w:val="15"/>
          <w:szCs w:val="15"/>
          <w:color w:val="auto"/>
        </w:rPr>
      </w:pPr>
    </w:p>
    <w:p>
      <w:pPr>
        <w:ind w:left="840" w:right="2719" w:firstLine="844"/>
        <w:spacing w:after="0" w:line="256" w:lineRule="auto"/>
        <w:tabs>
          <w:tab w:leader="none" w:pos="19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issued and sold from time to time in accordance with the provisions of the Plan (and any applicable agreements pertaining to awards granted or to be granted under the Plan) pursuant to awards granted by, and for consideration fixed by, the Committee of the Board of Directors of the Company charged with administering the Plan, the Shares will be duly authorized by all necessary corporate action on the part of the Company, validly issued, fully paid and nonassessable.</w:t>
      </w:r>
    </w:p>
    <w:p>
      <w:pPr>
        <w:spacing w:after="0" w:line="174" w:lineRule="exact"/>
        <w:rPr>
          <w:sz w:val="20"/>
          <w:szCs w:val="20"/>
          <w:color w:val="auto"/>
        </w:rPr>
      </w:pPr>
    </w:p>
    <w:p>
      <w:pPr>
        <w:ind w:right="2819" w:firstLine="1688"/>
        <w:spacing w:after="0" w:line="237" w:lineRule="auto"/>
        <w:rPr>
          <w:sz w:val="20"/>
          <w:szCs w:val="20"/>
          <w:color w:val="auto"/>
        </w:rPr>
      </w:pPr>
      <w:r>
        <w:rPr>
          <w:rFonts w:ascii="Courier New" w:cs="Courier New" w:eastAsia="Courier New" w:hAnsi="Courier New"/>
          <w:sz w:val="16"/>
          <w:szCs w:val="16"/>
          <w:color w:val="auto"/>
        </w:rPr>
        <w:t>The opinions set forth above are limited to the General Corporation Law of the State of Delaware, and no opinion is expressed herein as to matters governed by the law of any other jurisdiction.</w:t>
      </w:r>
    </w:p>
    <w:p>
      <w:pPr>
        <w:spacing w:after="0" w:line="185" w:lineRule="exact"/>
        <w:rPr>
          <w:sz w:val="20"/>
          <w:szCs w:val="20"/>
          <w:color w:val="auto"/>
        </w:rPr>
      </w:pPr>
    </w:p>
    <w:p>
      <w:pPr>
        <w:ind w:right="2819" w:firstLine="1688"/>
        <w:spacing w:after="0" w:line="236"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w:t>
      </w:r>
    </w:p>
    <w:p>
      <w:pPr>
        <w:spacing w:after="0" w:line="180"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/s/ BAKER &amp; BOTTS, L.L.P.</w:t>
      </w:r>
    </w:p>
    <w:p>
      <w:pPr>
        <w:spacing w:after="0" w:line="179"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Baker &amp; Botts, L.L.P.</w:t>
      </w:r>
    </w:p>
    <w:p>
      <w:pPr>
        <w:sectPr>
          <w:pgSz w:w="11900" w:h="16838" w:orient="portrait"/>
          <w:cols w:equalWidth="0" w:num="1">
            <w:col w:w="10219"/>
          </w:cols>
          <w:pgMar w:left="240" w:top="293"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0"/>
          <w:szCs w:val="20"/>
          <w:color w:val="auto"/>
        </w:rPr>
      </w:pPr>
    </w:p>
    <w:p>
      <w:pPr>
        <w:ind w:left="6280"/>
        <w:spacing w:after="0"/>
        <w:rPr>
          <w:sz w:val="20"/>
          <w:szCs w:val="20"/>
          <w:color w:val="auto"/>
        </w:rPr>
      </w:pPr>
      <w:r>
        <w:rPr>
          <w:rFonts w:ascii="Courier New" w:cs="Courier New" w:eastAsia="Courier New" w:hAnsi="Courier New"/>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36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of our reports dated February 18, 1999, included in Lennox International Inc.'s registration statement on Form S-1 (Registration No. 333-75725), and to all references to our Firm included in or made a part of this registration statement.</w:t>
      </w:r>
    </w:p>
    <w:p>
      <w:pPr>
        <w:spacing w:after="0" w:line="363"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6"/>
          <w:szCs w:val="16"/>
          <w:color w:val="auto"/>
        </w:rPr>
        <w:t>ARTHUR ANDERSEN LLP</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rPr>
          <w:sz w:val="20"/>
          <w:szCs w:val="20"/>
          <w:color w:val="auto"/>
        </w:rPr>
      </w:pPr>
      <w:r>
        <w:rPr>
          <w:rFonts w:ascii="Courier New" w:cs="Courier New" w:eastAsia="Courier New" w:hAnsi="Courier New"/>
          <w:sz w:val="16"/>
          <w:szCs w:val="16"/>
          <w:color w:val="auto"/>
        </w:rPr>
        <w:t>July 28, 1999</w:t>
      </w:r>
    </w:p>
    <w:sectPr>
      <w:pgSz w:w="11900" w:h="16838" w:orient="portrait"/>
      <w:cols w:equalWidth="0" w:num="1">
        <w:col w:w="10219"/>
      </w:cols>
      <w:pgMar w:left="24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214"/>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5"/>
      <w:numFmt w:val="bullet"/>
      <w:start w:val="1"/>
    </w:lvl>
  </w:abstractNum>
  <w:abstractNum w:abstractNumId="4">
    <w:nsid w:val="3352255A"/>
    <w:multiLevelType w:val="hybridMultilevel"/>
    <w:lvl w:ilvl="0">
      <w:lvlJc w:val="left"/>
      <w:lvlText w:val="%1"/>
      <w:numFmt w:val="decimal"/>
      <w:start w:val="24"/>
    </w:lvl>
  </w:abstractNum>
  <w:abstractNum w:abstractNumId="5">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DED7263"/>
    <w:multiLevelType w:val="hybridMultilevel"/>
    <w:lvl w:ilvl="0">
      <w:lvlJc w:val="left"/>
      <w:lvlText w:val="(%1)"/>
      <w:numFmt w:val="lowerRoman"/>
      <w:start w:val="3"/>
    </w:lvl>
  </w:abstractNum>
  <w:abstractNum w:abstractNumId="7">
    <w:nsid w:val="7FDCC233"/>
    <w:multiLevelType w:val="hybridMultilevel"/>
    <w:lvl w:ilvl="0">
      <w:lvlJc w:val="left"/>
      <w:lvlText w:val="%1"/>
      <w:numFmt w:val="lowerLetter"/>
      <w:start w:val="1"/>
    </w:lvl>
    <w:lvl w:ilvl="1">
      <w:lvlJc w:val="left"/>
      <w:lvlText w:val="(%2)"/>
      <w:numFmt w:val="decimal"/>
      <w:start w:val="2"/>
    </w:lvl>
  </w:abstractNum>
  <w:abstractNum w:abstractNumId="8">
    <w:nsid w:val="1BEFD79F"/>
    <w:multiLevelType w:val="hybridMultilevel"/>
    <w:lvl w:ilvl="0">
      <w:lvlJc w:val="left"/>
      <w:lvlText w:val="(%1)"/>
      <w:numFmt w:val="lowerLetter"/>
      <w:start w:val="2"/>
    </w:lvl>
    <w:lvl w:ilvl="1">
      <w:lvlJc w:val="left"/>
      <w:lvlText w:val="%2"/>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2020-02-22T14:05:48Z</dcterms:created>
  <dcterms:modified xsi:type="dcterms:W3CDTF">2020-02-22T14:05:48Z</dcterms:modified>
</cp:coreProperties>
</file>