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16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642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16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6420" cy="8255"/>
                    </a:xfrm>
                    <a:prstGeom prst="rect">
                      <a:avLst/>
                    </a:prstGeom>
                    <a:noFill/>
                  </pic:spPr>
                </pic:pic>
              </a:graphicData>
            </a:graphic>
          </wp:anchor>
        </w:drawing>
        <w:t>UNITED STATES</w:t>
      </w:r>
    </w:p>
    <w:p>
      <w:pPr>
        <w:spacing w:after="0" w:line="34" w:lineRule="exact"/>
        <w:rPr>
          <w:sz w:val="24"/>
          <w:szCs w:val="24"/>
          <w:color w:val="auto"/>
        </w:rPr>
      </w:pPr>
    </w:p>
    <w:p>
      <w:pPr>
        <w:ind w:left="3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Arial" w:cs="Arial" w:eastAsia="Arial" w:hAnsi="Arial"/>
          <w:sz w:val="14"/>
          <w:szCs w:val="14"/>
          <w:color w:val="auto"/>
        </w:rPr>
        <w:t>_________________________________________________</w:t>
      </w:r>
    </w:p>
    <w:p>
      <w:pPr>
        <w:spacing w:after="0" w:line="40"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September 30, 2023</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51" w:lineRule="exact"/>
        <w:rPr>
          <w:sz w:val="24"/>
          <w:szCs w:val="24"/>
          <w:color w:val="auto"/>
        </w:rPr>
      </w:pPr>
    </w:p>
    <w:p>
      <w:pPr>
        <w:ind w:left="70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95" w:lineRule="exact"/>
        <w:rPr>
          <w:sz w:val="24"/>
          <w:szCs w:val="24"/>
          <w:color w:val="auto"/>
        </w:rPr>
      </w:pPr>
    </w:p>
    <w:p>
      <w:pPr>
        <w:ind w:left="3520"/>
        <w:spacing w:after="0"/>
        <w:rPr>
          <w:sz w:val="20"/>
          <w:szCs w:val="20"/>
          <w:color w:val="auto"/>
        </w:rPr>
      </w:pPr>
      <w:r>
        <w:rPr>
          <w:rFonts w:ascii="Arial" w:cs="Arial" w:eastAsia="Arial" w:hAnsi="Arial"/>
          <w:sz w:val="21"/>
          <w:szCs w:val="21"/>
          <w:b w:val="1"/>
          <w:bCs w:val="1"/>
          <w:color w:val="auto"/>
        </w:rPr>
        <w:t>For the transition period from _____to ______</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4"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LENNOX INTERNATIONAL INC</w:t>
      </w:r>
      <w:r>
        <w:rPr>
          <w:rFonts w:ascii="Arial" w:cs="Arial" w:eastAsia="Arial" w:hAnsi="Arial"/>
          <w:sz w:val="35"/>
          <w:szCs w:val="35"/>
          <w:b w:val="1"/>
          <w:bCs w:val="1"/>
          <w:color w:val="auto"/>
        </w:rPr>
        <w:t>.</w:t>
      </w:r>
    </w:p>
    <w:p>
      <w:pPr>
        <w:spacing w:after="0" w:line="53"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4"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4" w:lineRule="exact"/>
        <w:rPr>
          <w:sz w:val="24"/>
          <w:szCs w:val="24"/>
          <w:color w:val="auto"/>
        </w:rPr>
      </w:pPr>
    </w:p>
    <w:p>
      <w:pPr>
        <w:ind w:left="5500" w:hanging="432"/>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497-5000</w:t>
      </w:r>
    </w:p>
    <w:p>
      <w:pPr>
        <w:spacing w:after="0" w:line="6" w:lineRule="exact"/>
        <w:rPr>
          <w:rFonts w:ascii="Arial" w:cs="Arial" w:eastAsia="Arial" w:hAnsi="Arial"/>
          <w:sz w:val="18"/>
          <w:szCs w:val="18"/>
          <w:b w:val="1"/>
          <w:bCs w:val="1"/>
          <w:color w:val="auto"/>
        </w:rPr>
      </w:pPr>
    </w:p>
    <w:p>
      <w:pPr>
        <w:ind w:left="3420"/>
        <w:spacing w:after="0"/>
        <w:rPr>
          <w:rFonts w:ascii="Arial" w:cs="Arial" w:eastAsia="Arial" w:hAnsi="Arial"/>
          <w:sz w:val="18"/>
          <w:szCs w:val="18"/>
          <w:b w:val="1"/>
          <w:bCs w:val="1"/>
          <w:color w:val="auto"/>
        </w:rPr>
      </w:pPr>
      <w:r>
        <w:rPr>
          <w:rFonts w:ascii="Arial" w:cs="Arial" w:eastAsia="Arial" w:hAnsi="Arial"/>
          <w:sz w:val="18"/>
          <w:szCs w:val="18"/>
          <w:color w:val="auto"/>
        </w:rPr>
        <w:t>_________________________________________________</w:t>
      </w:r>
    </w:p>
    <w:p>
      <w:pPr>
        <w:spacing w:after="0" w:line="6"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26" w:right="339" w:bottom="1440" w:gutter="0" w:footer="0" w:header="0"/>
        </w:sectPr>
      </w:pPr>
    </w:p>
    <w:p>
      <w:pPr>
        <w:spacing w:after="0" w:line="30" w:lineRule="exact"/>
        <w:rPr>
          <w:sz w:val="24"/>
          <w:szCs w:val="24"/>
          <w:color w:val="auto"/>
        </w:rPr>
      </w:pPr>
    </w:p>
    <w:p>
      <w:pPr>
        <w:jc w:val="center"/>
        <w:ind w:left="700"/>
        <w:spacing w:after="0"/>
        <w:rPr>
          <w:sz w:val="20"/>
          <w:szCs w:val="20"/>
          <w:color w:val="auto"/>
        </w:rPr>
      </w:pPr>
      <w:r>
        <w:rPr>
          <w:rFonts w:ascii="Arial" w:cs="Arial" w:eastAsia="Arial" w:hAnsi="Arial"/>
          <w:sz w:val="18"/>
          <w:szCs w:val="18"/>
          <w:b w:val="1"/>
          <w:bCs w:val="1"/>
          <w:color w:val="auto"/>
        </w:rPr>
        <w:t>Title of each class</w:t>
      </w:r>
    </w:p>
    <w:p>
      <w:pPr>
        <w:spacing w:after="0" w:line="24" w:lineRule="exact"/>
        <w:rPr>
          <w:sz w:val="24"/>
          <w:szCs w:val="24"/>
          <w:color w:val="auto"/>
        </w:rPr>
      </w:pPr>
    </w:p>
    <w:p>
      <w:pPr>
        <w:jc w:val="center"/>
        <w:ind w:left="700"/>
        <w:spacing w:after="0"/>
        <w:rPr>
          <w:sz w:val="20"/>
          <w:szCs w:val="20"/>
          <w:color w:val="auto"/>
        </w:rPr>
      </w:pPr>
      <w:r>
        <w:rPr>
          <w:rFonts w:ascii="Arial" w:cs="Arial" w:eastAsia="Arial" w:hAnsi="Arial"/>
          <w:sz w:val="14"/>
          <w:szCs w:val="14"/>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Trading Symbol(s)</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0"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New York Stock Exchange</w:t>
      </w:r>
    </w:p>
    <w:p>
      <w:pPr>
        <w:spacing w:after="0" w:line="154" w:lineRule="exact"/>
        <w:rPr>
          <w:sz w:val="24"/>
          <w:szCs w:val="24"/>
          <w:color w:val="auto"/>
        </w:rPr>
      </w:pPr>
    </w:p>
    <w:p>
      <w:pPr>
        <w:sectPr>
          <w:pgSz w:w="11900" w:h="16838" w:orient="portrait"/>
          <w:cols w:equalWidth="0" w:num="3">
            <w:col w:w="4360" w:space="720"/>
            <w:col w:w="1440" w:space="720"/>
            <w:col w:w="4000"/>
          </w:cols>
          <w:pgMar w:left="320" w:top="1426" w:right="339" w:bottom="1440" w:gutter="0" w:footer="0" w:header="0"/>
          <w:type w:val="continuous"/>
        </w:sectPr>
      </w:pPr>
    </w:p>
    <w:p>
      <w:pPr>
        <w:jc w:val="both"/>
        <w:ind w:firstLine="241"/>
        <w:spacing w:after="0" w:line="24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jc w:val="both"/>
        <w:ind w:firstLine="241"/>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jc w:val="both"/>
        <w:ind w:firstLine="241"/>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60" w:type="dxa"/>
        <w:tblCellMar>
          <w:top w:w="0" w:type="dxa"/>
          <w:left w:w="0" w:type="dxa"/>
          <w:bottom w:w="0" w:type="dxa"/>
          <w:right w:w="0" w:type="dxa"/>
        </w:tblCellMar>
      </w:tblPr>
      <w:tr>
        <w:trPr>
          <w:trHeight w:val="27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4" w:lineRule="exact"/>
        <w:rPr>
          <w:sz w:val="24"/>
          <w:szCs w:val="24"/>
          <w:color w:val="auto"/>
        </w:rPr>
      </w:pPr>
    </w:p>
    <w:p>
      <w:pPr>
        <w:ind w:firstLine="241"/>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 w:lineRule="exact"/>
        <w:rPr>
          <w:sz w:val="24"/>
          <w:szCs w:val="24"/>
          <w:color w:val="auto"/>
        </w:rPr>
      </w:pPr>
    </w:p>
    <w:p>
      <w:pPr>
        <w:ind w:left="240"/>
        <w:spacing w:after="0" w:line="184" w:lineRule="exact"/>
        <w:tabs>
          <w:tab w:leader="none" w:pos="7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6" w:lineRule="exact"/>
        <w:rPr>
          <w:sz w:val="24"/>
          <w:szCs w:val="24"/>
          <w:color w:val="auto"/>
        </w:rPr>
      </w:pPr>
    </w:p>
    <w:p>
      <w:pPr>
        <w:ind w:left="240"/>
        <w:spacing w:after="0"/>
        <w:rPr>
          <w:sz w:val="20"/>
          <w:szCs w:val="20"/>
          <w:color w:val="auto"/>
        </w:rPr>
      </w:pPr>
      <w:r>
        <w:rPr>
          <w:rFonts w:ascii="Arial" w:cs="Arial" w:eastAsia="Arial" w:hAnsi="Arial"/>
          <w:sz w:val="16"/>
          <w:szCs w:val="16"/>
          <w:color w:val="auto"/>
        </w:rPr>
        <w:t>As of October 16, 2023, the number of shares outstanding of the registrant’s common stock, par value $0.01 per share, was 35,539,725.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826770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160"/>
        </w:trPr>
        <w:tc>
          <w:tcPr>
            <w:tcW w:w="80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Part I</w:t>
            </w:r>
          </w:p>
        </w:tc>
        <w:tc>
          <w:tcPr>
            <w:tcW w:w="9760" w:type="dxa"/>
            <w:vAlign w:val="bottom"/>
            <w:gridSpan w:val="19"/>
            <w:shd w:val="clear" w:color="auto" w:fill="CCEEFF"/>
          </w:tcPr>
          <w:p>
            <w:pPr>
              <w:spacing w:after="0" w:line="161" w:lineRule="exact"/>
              <w:rPr>
                <w:sz w:val="20"/>
                <w:szCs w:val="20"/>
                <w:color w:val="auto"/>
              </w:rPr>
            </w:pPr>
            <w:r>
              <w:rPr>
                <w:rFonts w:ascii="Arial" w:cs="Arial" w:eastAsia="Arial" w:hAnsi="Arial"/>
                <w:sz w:val="16"/>
                <w:szCs w:val="16"/>
                <w:color w:val="0000FF"/>
              </w:rPr>
              <w:t>Financial Information</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9760" w:type="dxa"/>
            <w:vAlign w:val="bottom"/>
            <w:gridSpan w:val="19"/>
          </w:tcPr>
          <w:p>
            <w:pPr>
              <w:spacing w:after="0" w:line="174" w:lineRule="exact"/>
              <w:rPr>
                <w:sz w:val="20"/>
                <w:szCs w:val="20"/>
                <w:color w:val="auto"/>
              </w:rPr>
            </w:pPr>
            <w:r>
              <w:rPr>
                <w:rFonts w:ascii="Arial" w:cs="Arial" w:eastAsia="Arial" w:hAnsi="Arial"/>
                <w:sz w:val="16"/>
                <w:szCs w:val="16"/>
                <w:color w:val="0000FF"/>
              </w:rPr>
              <w:t>Item 1. Financial Statements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8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89"/>
              </w:rPr>
              <w:t>Consolidated Balance Sheets - September 30, 2023 (Unaudited) and December 31, 2022</w:t>
            </w:r>
          </w:p>
        </w:tc>
        <w:tc>
          <w:tcPr>
            <w:tcW w:w="3880" w:type="dxa"/>
            <w:vAlign w:val="bottom"/>
            <w:gridSpan w:val="7"/>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FF"/>
              </w:rPr>
              <w:t>Consolidated Statements of Operations (Unaudited) - Three and Nine Months Ended September 30, 2023 and 2022</w:t>
            </w:r>
          </w:p>
        </w:tc>
        <w:tc>
          <w:tcPr>
            <w:tcW w:w="400" w:type="dxa"/>
            <w:vAlign w:val="bottom"/>
            <w:gridSpan w:val="4"/>
          </w:tcPr>
          <w:p>
            <w:pPr>
              <w:jc w:val="center"/>
              <w:ind w:left="151"/>
              <w:spacing w:after="0" w:line="187" w:lineRule="exact"/>
              <w:rPr>
                <w:sz w:val="20"/>
                <w:szCs w:val="20"/>
                <w:color w:val="auto"/>
              </w:rPr>
            </w:pPr>
            <w:r>
              <w:rPr>
                <w:rFonts w:ascii="Arial" w:cs="Arial" w:eastAsia="Arial" w:hAnsi="Arial"/>
                <w:sz w:val="18"/>
                <w:szCs w:val="18"/>
                <w:color w:val="0000FF"/>
                <w:w w:val="79"/>
              </w:rPr>
              <w:t>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Arial" w:cs="Arial" w:eastAsia="Arial" w:hAnsi="Arial"/>
                <w:sz w:val="16"/>
                <w:szCs w:val="16"/>
                <w:color w:val="0000FF"/>
              </w:rPr>
              <w:t>Consolidated Statements of Comprehensive Income (Unaudited) - Three and Nine Months Ended September 30, 2023 and 2022</w:t>
            </w: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FF"/>
              </w:rPr>
              <w:t>Consolidated Statements of Stockholders' Equity (Deficit) (Unaudited) - Three and Nine Months Ended September 30, 2023 and 2022</w:t>
            </w:r>
          </w:p>
        </w:tc>
        <w:tc>
          <w:tcPr>
            <w:tcW w:w="400" w:type="dxa"/>
            <w:vAlign w:val="bottom"/>
            <w:gridSpan w:val="4"/>
          </w:tcPr>
          <w:p>
            <w:pPr>
              <w:jc w:val="center"/>
              <w:ind w:left="151"/>
              <w:spacing w:after="0" w:line="187" w:lineRule="exact"/>
              <w:rPr>
                <w:sz w:val="20"/>
                <w:szCs w:val="20"/>
                <w:color w:val="auto"/>
              </w:rPr>
            </w:pPr>
            <w:r>
              <w:rPr>
                <w:rFonts w:ascii="Arial" w:cs="Arial" w:eastAsia="Arial" w:hAnsi="Arial"/>
                <w:sz w:val="18"/>
                <w:szCs w:val="18"/>
                <w:color w:val="0000FF"/>
                <w:w w:val="79"/>
              </w:rPr>
              <w:t>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8"/>
            <w:shd w:val="clear" w:color="auto" w:fill="CCEEFF"/>
          </w:tcPr>
          <w:p>
            <w:pPr>
              <w:spacing w:after="0"/>
              <w:rPr>
                <w:sz w:val="20"/>
                <w:szCs w:val="20"/>
                <w:color w:val="auto"/>
              </w:rPr>
            </w:pPr>
            <w:r>
              <w:rPr>
                <w:rFonts w:ascii="Arial" w:cs="Arial" w:eastAsia="Arial" w:hAnsi="Arial"/>
                <w:sz w:val="16"/>
                <w:szCs w:val="16"/>
                <w:color w:val="0000FF"/>
              </w:rPr>
              <w:t>Consolidated Statements of Cash Flows (Unaudited) - Nine Months Ended September 30, 2023 and 2022</w:t>
            </w: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6</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60" w:type="dxa"/>
            <w:vAlign w:val="bottom"/>
            <w:gridSpan w:val="14"/>
          </w:tcPr>
          <w:p>
            <w:pPr>
              <w:spacing w:after="0"/>
              <w:rPr>
                <w:sz w:val="20"/>
                <w:szCs w:val="20"/>
                <w:color w:val="auto"/>
              </w:rPr>
            </w:pPr>
            <w:r>
              <w:rPr>
                <w:rFonts w:ascii="Arial" w:cs="Arial" w:eastAsia="Arial" w:hAnsi="Arial"/>
                <w:sz w:val="16"/>
                <w:szCs w:val="16"/>
                <w:color w:val="0000FF"/>
              </w:rPr>
              <w:t>Notes to Consolidated Financial Statements (Unaudited)</w:t>
            </w:r>
          </w:p>
        </w:tc>
        <w:tc>
          <w:tcPr>
            <w:tcW w:w="2800" w:type="dxa"/>
            <w:vAlign w:val="bottom"/>
            <w:gridSpan w:val="4"/>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Arial" w:cs="Arial" w:eastAsia="Arial" w:hAnsi="Arial"/>
                <w:sz w:val="18"/>
                <w:szCs w:val="18"/>
                <w:color w:val="0000FF"/>
                <w:w w:val="79"/>
              </w:rPr>
              <w:t>7</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6240" w:type="dxa"/>
            <w:vAlign w:val="bottom"/>
            <w:gridSpan w:val="13"/>
            <w:shd w:val="clear" w:color="auto" w:fill="CCEEFF"/>
          </w:tcPr>
          <w:p>
            <w:pPr>
              <w:spacing w:after="0"/>
              <w:rPr>
                <w:sz w:val="20"/>
                <w:szCs w:val="20"/>
                <w:color w:val="auto"/>
              </w:rPr>
            </w:pPr>
            <w:r>
              <w:rPr>
                <w:rFonts w:ascii="Arial" w:cs="Arial" w:eastAsia="Arial" w:hAnsi="Arial"/>
                <w:sz w:val="16"/>
                <w:szCs w:val="16"/>
                <w:color w:val="0000FF"/>
                <w:w w:val="91"/>
              </w:rPr>
              <w:t>Item 2. Management's Discussion and Analysis of Financial Condition and Results of Operations</w:t>
            </w:r>
          </w:p>
        </w:tc>
        <w:tc>
          <w:tcPr>
            <w:tcW w:w="3520" w:type="dxa"/>
            <w:vAlign w:val="bottom"/>
            <w:gridSpan w:val="6"/>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21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40" w:type="dxa"/>
            <w:vAlign w:val="bottom"/>
            <w:gridSpan w:val="13"/>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3520" w:type="dxa"/>
            <w:vAlign w:val="bottom"/>
            <w:gridSpan w:val="6"/>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Arial" w:cs="Arial" w:eastAsia="Arial" w:hAnsi="Arial"/>
                <w:sz w:val="18"/>
                <w:szCs w:val="18"/>
                <w:color w:val="0000FF"/>
                <w:w w:val="79"/>
              </w:rPr>
              <w:t>31</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8"/>
                <w:szCs w:val="18"/>
                <w:color w:val="auto"/>
              </w:rPr>
            </w:pPr>
          </w:p>
        </w:tc>
        <w:tc>
          <w:tcPr>
            <w:tcW w:w="2080" w:type="dxa"/>
            <w:vAlign w:val="bottom"/>
            <w:gridSpan w:val="9"/>
            <w:shd w:val="clear" w:color="auto" w:fill="CCEEFF"/>
          </w:tcPr>
          <w:p>
            <w:pPr>
              <w:spacing w:after="0"/>
              <w:rPr>
                <w:sz w:val="20"/>
                <w:szCs w:val="20"/>
                <w:color w:val="auto"/>
              </w:rPr>
            </w:pPr>
            <w:r>
              <w:rPr>
                <w:rFonts w:ascii="Arial" w:cs="Arial" w:eastAsia="Arial" w:hAnsi="Arial"/>
                <w:sz w:val="16"/>
                <w:szCs w:val="16"/>
                <w:color w:val="0000FF"/>
                <w:w w:val="89"/>
              </w:rPr>
              <w:t>Item 4. Controls and Procedures</w:t>
            </w:r>
          </w:p>
        </w:tc>
        <w:tc>
          <w:tcPr>
            <w:tcW w:w="7680" w:type="dxa"/>
            <w:vAlign w:val="bottom"/>
            <w:gridSpan w:val="10"/>
            <w:shd w:val="clear" w:color="auto" w:fill="CCEEFF"/>
          </w:tcPr>
          <w:p>
            <w:pPr>
              <w:spacing w:after="0"/>
              <w:rPr>
                <w:sz w:val="18"/>
                <w:szCs w:val="18"/>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31</w:t>
            </w:r>
          </w:p>
        </w:tc>
        <w:tc>
          <w:tcPr>
            <w:tcW w:w="240" w:type="dxa"/>
            <w:vAlign w:val="bottom"/>
            <w:shd w:val="clear" w:color="auto" w:fill="CCEEFF"/>
          </w:tcPr>
          <w:p>
            <w:pPr>
              <w:spacing w:after="0"/>
              <w:rPr>
                <w:sz w:val="18"/>
                <w:szCs w:val="18"/>
                <w:color w:val="auto"/>
              </w:rPr>
            </w:pPr>
          </w:p>
        </w:tc>
      </w:tr>
      <w:tr>
        <w:trPr>
          <w:trHeight w:val="174"/>
        </w:trPr>
        <w:tc>
          <w:tcPr>
            <w:tcW w:w="80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6"/>
                <w:szCs w:val="16"/>
                <w:b w:val="1"/>
                <w:bCs w:val="1"/>
                <w:color w:val="auto"/>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Arial" w:cs="Arial" w:eastAsia="Arial" w:hAnsi="Arial"/>
                <w:sz w:val="16"/>
                <w:szCs w:val="16"/>
                <w:color w:val="0000FF"/>
              </w:rPr>
              <w:t>Other Information</w:t>
            </w:r>
          </w:p>
        </w:tc>
        <w:tc>
          <w:tcPr>
            <w:tcW w:w="7680" w:type="dxa"/>
            <w:vAlign w:val="bottom"/>
            <w:tcBorders>
              <w:top w:val="single" w:sz="8" w:color="CCEEFF"/>
            </w:tcBorders>
            <w:gridSpan w:val="10"/>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0000FF"/>
                <w:w w:val="93"/>
              </w:rPr>
              <w:t>Item 1.</w:t>
            </w:r>
          </w:p>
        </w:tc>
        <w:tc>
          <w:tcPr>
            <w:tcW w:w="928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0000FF"/>
              </w:rPr>
              <w:t>Legal Proceedings</w:t>
            </w: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31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Arial" w:cs="Arial" w:eastAsia="Arial" w:hAnsi="Arial"/>
                <w:sz w:val="16"/>
                <w:szCs w:val="16"/>
                <w:color w:val="0000FF"/>
              </w:rPr>
              <w:t>Item 1A. Risk Factors</w:t>
            </w:r>
          </w:p>
        </w:tc>
        <w:tc>
          <w:tcPr>
            <w:tcW w:w="8080" w:type="dxa"/>
            <w:vAlign w:val="bottom"/>
            <w:gridSpan w:val="12"/>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Arial" w:cs="Arial" w:eastAsia="Arial" w:hAnsi="Arial"/>
                <w:sz w:val="18"/>
                <w:szCs w:val="18"/>
                <w:color w:val="0000FF"/>
                <w:w w:val="79"/>
              </w:rPr>
              <w:t>31</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0000FF"/>
                <w:w w:val="93"/>
              </w:rPr>
              <w:t>Item 2.</w:t>
            </w:r>
          </w:p>
        </w:tc>
        <w:tc>
          <w:tcPr>
            <w:tcW w:w="6400" w:type="dxa"/>
            <w:vAlign w:val="bottom"/>
            <w:gridSpan w:val="12"/>
            <w:shd w:val="clear" w:color="auto" w:fill="CCEEFF"/>
          </w:tcPr>
          <w:p>
            <w:pPr>
              <w:ind w:left="20"/>
              <w:spacing w:after="0"/>
              <w:rPr>
                <w:sz w:val="20"/>
                <w:szCs w:val="20"/>
                <w:color w:val="auto"/>
              </w:rPr>
            </w:pPr>
            <w:r>
              <w:rPr>
                <w:rFonts w:ascii="Arial" w:cs="Arial" w:eastAsia="Arial" w:hAnsi="Arial"/>
                <w:sz w:val="16"/>
                <w:szCs w:val="16"/>
                <w:color w:val="0000FF"/>
                <w:w w:val="89"/>
              </w:rPr>
              <w:t>Unregistered Sales of Equity Securities, Use of Proceeds, and Issuer Purchases of Equity Securities</w:t>
            </w:r>
          </w:p>
        </w:tc>
        <w:tc>
          <w:tcPr>
            <w:tcW w:w="2880" w:type="dxa"/>
            <w:vAlign w:val="bottom"/>
            <w:gridSpan w:val="5"/>
            <w:shd w:val="clear" w:color="auto" w:fill="CCEEFF"/>
          </w:tcPr>
          <w:p>
            <w:pPr>
              <w:spacing w:after="0"/>
              <w:rPr>
                <w:sz w:val="16"/>
                <w:szCs w:val="16"/>
                <w:color w:val="auto"/>
              </w:rPr>
            </w:pP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31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0000FF"/>
                <w:w w:val="93"/>
              </w:rPr>
              <w:t>Item 5.</w:t>
            </w:r>
          </w:p>
        </w:tc>
        <w:tc>
          <w:tcPr>
            <w:tcW w:w="6400" w:type="dxa"/>
            <w:vAlign w:val="bottom"/>
            <w:gridSpan w:val="12"/>
          </w:tcPr>
          <w:p>
            <w:pPr>
              <w:ind w:left="20"/>
              <w:spacing w:after="0"/>
              <w:rPr>
                <w:sz w:val="20"/>
                <w:szCs w:val="20"/>
                <w:color w:val="auto"/>
              </w:rPr>
            </w:pPr>
            <w:r>
              <w:rPr>
                <w:rFonts w:ascii="Arial" w:cs="Arial" w:eastAsia="Arial" w:hAnsi="Arial"/>
                <w:sz w:val="16"/>
                <w:szCs w:val="16"/>
                <w:color w:val="0000FF"/>
              </w:rPr>
              <w:t>Other Information</w:t>
            </w:r>
          </w:p>
        </w:tc>
        <w:tc>
          <w:tcPr>
            <w:tcW w:w="2880" w:type="dxa"/>
            <w:vAlign w:val="bottom"/>
            <w:gridSpan w:val="5"/>
          </w:tcPr>
          <w:p>
            <w:pPr>
              <w:spacing w:after="0"/>
              <w:rPr>
                <w:sz w:val="16"/>
                <w:szCs w:val="16"/>
                <w:color w:val="auto"/>
              </w:rPr>
            </w:pPr>
          </w:p>
        </w:tc>
        <w:tc>
          <w:tcPr>
            <w:tcW w:w="400" w:type="dxa"/>
            <w:vAlign w:val="bottom"/>
            <w:gridSpan w:val="4"/>
          </w:tcPr>
          <w:p>
            <w:pPr>
              <w:jc w:val="center"/>
              <w:ind w:left="151"/>
              <w:spacing w:after="0" w:line="187" w:lineRule="exact"/>
              <w:rPr>
                <w:sz w:val="20"/>
                <w:szCs w:val="20"/>
                <w:color w:val="auto"/>
              </w:rPr>
            </w:pPr>
            <w:r>
              <w:rPr>
                <w:rFonts w:ascii="Arial" w:cs="Arial" w:eastAsia="Arial" w:hAnsi="Arial"/>
                <w:sz w:val="18"/>
                <w:szCs w:val="18"/>
                <w:color w:val="0000FF"/>
                <w:w w:val="79"/>
              </w:rPr>
              <w:t>31</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0000FF"/>
                <w:w w:val="93"/>
              </w:rPr>
              <w:t>Item 6.</w:t>
            </w:r>
          </w:p>
        </w:tc>
        <w:tc>
          <w:tcPr>
            <w:tcW w:w="9280" w:type="dxa"/>
            <w:vAlign w:val="bottom"/>
            <w:gridSpan w:val="17"/>
            <w:shd w:val="clear" w:color="auto" w:fill="CCEEFF"/>
          </w:tcPr>
          <w:p>
            <w:pPr>
              <w:ind w:left="20"/>
              <w:spacing w:after="0"/>
              <w:rPr>
                <w:sz w:val="20"/>
                <w:szCs w:val="20"/>
                <w:color w:val="auto"/>
              </w:rPr>
            </w:pPr>
            <w:r>
              <w:rPr>
                <w:rFonts w:ascii="Arial" w:cs="Arial" w:eastAsia="Arial" w:hAnsi="Arial"/>
                <w:sz w:val="16"/>
                <w:szCs w:val="16"/>
                <w:color w:val="0000FF"/>
              </w:rPr>
              <w:t>Exhibits</w:t>
            </w:r>
          </w:p>
        </w:tc>
        <w:tc>
          <w:tcPr>
            <w:tcW w:w="400" w:type="dxa"/>
            <w:vAlign w:val="bottom"/>
            <w:gridSpan w:val="4"/>
            <w:shd w:val="clear" w:color="auto" w:fill="CCEEFF"/>
          </w:tcPr>
          <w:p>
            <w:pPr>
              <w:jc w:val="center"/>
              <w:ind w:left="151"/>
              <w:spacing w:after="0" w:line="187" w:lineRule="exact"/>
              <w:rPr>
                <w:sz w:val="20"/>
                <w:szCs w:val="20"/>
                <w:color w:val="auto"/>
              </w:rPr>
            </w:pPr>
            <w:r>
              <w:rPr>
                <w:rFonts w:ascii="Arial" w:cs="Arial" w:eastAsia="Arial" w:hAnsi="Arial"/>
                <w:sz w:val="18"/>
                <w:szCs w:val="18"/>
                <w:color w:val="0000FF"/>
                <w:w w:val="79"/>
              </w:rPr>
              <w:t>33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2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920" w:type="dxa"/>
            <w:vAlign w:val="bottom"/>
          </w:tcPr>
          <w:p>
            <w:pPr>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18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 2023</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Arial" w:cs="Arial" w:eastAsia="Arial" w:hAnsi="Arial"/>
                <w:sz w:val="14"/>
                <w:szCs w:val="14"/>
                <w:b w:val="1"/>
                <w:bCs w:val="1"/>
                <w:color w:val="auto"/>
                <w:w w:val="94"/>
              </w:rPr>
              <w:t>As of December 31, 2022</w:t>
            </w:r>
          </w:p>
        </w:tc>
        <w:tc>
          <w:tcPr>
            <w:tcW w:w="0" w:type="dxa"/>
            <w:vAlign w:val="bottom"/>
          </w:tcPr>
          <w:p>
            <w:pPr>
              <w:spacing w:after="0"/>
              <w:rPr>
                <w:sz w:val="1"/>
                <w:szCs w:val="1"/>
                <w:color w:val="auto"/>
              </w:rPr>
            </w:pPr>
          </w:p>
        </w:tc>
      </w:tr>
      <w:tr>
        <w:trPr>
          <w:trHeight w:val="188"/>
        </w:trPr>
        <w:tc>
          <w:tcPr>
            <w:tcW w:w="6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b w:val="1"/>
                <w:bCs w:val="1"/>
                <w:i w:val="1"/>
                <w:iCs w:val="1"/>
                <w:color w:val="auto"/>
              </w:rPr>
              <w:t>Current Assets:</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21"/>
        </w:trPr>
        <w:tc>
          <w:tcPr>
            <w:tcW w:w="6920" w:type="dxa"/>
            <w:vAlign w:val="bottom"/>
          </w:tcPr>
          <w:p>
            <w:pPr>
              <w:ind w:left="120"/>
              <w:spacing w:after="0"/>
              <w:rPr>
                <w:sz w:val="20"/>
                <w:szCs w:val="20"/>
                <w:color w:val="auto"/>
              </w:rPr>
            </w:pPr>
            <w:r>
              <w:rPr>
                <w:rFonts w:ascii="Arial" w:cs="Arial" w:eastAsia="Arial" w:hAnsi="Arial"/>
                <w:sz w:val="17"/>
                <w:szCs w:val="17"/>
                <w:color w:val="auto"/>
              </w:rPr>
              <w:t>Short-term investments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89"/>
              </w:rPr>
              <w:t>Accounts and notes receivable, net of allowances of $15.3 and $15.5 in 2023 and 2022, respectively</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w:t>
            </w:r>
          </w:p>
        </w:tc>
        <w:tc>
          <w:tcPr>
            <w:tcW w:w="0" w:type="dxa"/>
            <w:vAlign w:val="bottom"/>
          </w:tcPr>
          <w:p>
            <w:pPr>
              <w:spacing w:after="0"/>
              <w:rPr>
                <w:sz w:val="1"/>
                <w:szCs w:val="1"/>
                <w:color w:val="auto"/>
              </w:rPr>
            </w:pPr>
          </w:p>
        </w:tc>
      </w:tr>
      <w:tr>
        <w:trPr>
          <w:trHeight w:val="221"/>
        </w:trPr>
        <w:tc>
          <w:tcPr>
            <w:tcW w:w="6920" w:type="dxa"/>
            <w:vAlign w:val="bottom"/>
          </w:tcPr>
          <w:p>
            <w:pPr>
              <w:ind w:left="120"/>
              <w:spacing w:after="0"/>
              <w:rPr>
                <w:sz w:val="20"/>
                <w:szCs w:val="20"/>
                <w:color w:val="auto"/>
              </w:rPr>
            </w:pPr>
            <w:r>
              <w:rPr>
                <w:rFonts w:ascii="Arial" w:cs="Arial" w:eastAsia="Arial" w:hAnsi="Arial"/>
                <w:sz w:val="17"/>
                <w:szCs w:val="17"/>
                <w:color w:val="auto"/>
              </w:rPr>
              <w:t>Inventories, net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747.9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753.0</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Assets held for sale</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27"/>
        </w:trPr>
        <w:tc>
          <w:tcPr>
            <w:tcW w:w="6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1,496.5</w:t>
            </w:r>
          </w:p>
        </w:tc>
        <w:tc>
          <w:tcPr>
            <w:tcW w:w="0" w:type="dxa"/>
            <w:vAlign w:val="bottom"/>
          </w:tcPr>
          <w:p>
            <w:pPr>
              <w:spacing w:after="0"/>
              <w:rPr>
                <w:sz w:val="1"/>
                <w:szCs w:val="1"/>
                <w:color w:val="auto"/>
              </w:rPr>
            </w:pPr>
          </w:p>
        </w:tc>
      </w:tr>
      <w:tr>
        <w:trPr>
          <w:trHeight w:val="169"/>
        </w:trPr>
        <w:tc>
          <w:tcPr>
            <w:tcW w:w="6920" w:type="dxa"/>
            <w:vAlign w:val="bottom"/>
          </w:tcPr>
          <w:p>
            <w:pPr>
              <w:spacing w:after="0" w:line="169" w:lineRule="exact"/>
              <w:rPr>
                <w:sz w:val="20"/>
                <w:szCs w:val="20"/>
                <w:color w:val="auto"/>
              </w:rPr>
            </w:pPr>
            <w:r>
              <w:rPr>
                <w:rFonts w:ascii="Arial" w:cs="Arial" w:eastAsia="Arial" w:hAnsi="Arial"/>
                <w:sz w:val="17"/>
                <w:szCs w:val="17"/>
                <w:color w:val="auto"/>
                <w:w w:val="93"/>
              </w:rPr>
              <w:t>Property, plant and equipment, net of accumulated depreciation of $897.5 and $920.8 in 2023 and</w:t>
            </w:r>
          </w:p>
        </w:tc>
        <w:tc>
          <w:tcPr>
            <w:tcW w:w="180" w:type="dxa"/>
            <w:vAlign w:val="bottom"/>
          </w:tcPr>
          <w:p>
            <w:pPr>
              <w:spacing w:after="0"/>
              <w:rPr>
                <w:sz w:val="14"/>
                <w:szCs w:val="14"/>
                <w:color w:val="auto"/>
              </w:rPr>
            </w:pPr>
          </w:p>
        </w:tc>
        <w:tc>
          <w:tcPr>
            <w:tcW w:w="1880" w:type="dxa"/>
            <w:vAlign w:val="bottom"/>
            <w:vMerge w:val="restart"/>
          </w:tcPr>
          <w:p>
            <w:pPr>
              <w:jc w:val="right"/>
              <w:spacing w:after="0"/>
              <w:rPr>
                <w:sz w:val="20"/>
                <w:szCs w:val="20"/>
                <w:color w:val="auto"/>
              </w:rPr>
            </w:pPr>
            <w:r>
              <w:rPr>
                <w:rFonts w:ascii="Arial" w:cs="Arial" w:eastAsia="Arial" w:hAnsi="Arial"/>
                <w:sz w:val="17"/>
                <w:szCs w:val="17"/>
                <w:color w:val="auto"/>
              </w:rPr>
              <w:t>602.1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vMerge w:val="restart"/>
          </w:tcPr>
          <w:p>
            <w:pPr>
              <w:jc w:val="right"/>
              <w:spacing w:after="0"/>
              <w:rPr>
                <w:sz w:val="20"/>
                <w:szCs w:val="20"/>
                <w:color w:val="auto"/>
              </w:rPr>
            </w:pPr>
            <w:r>
              <w:rPr>
                <w:rFonts w:ascii="Arial" w:cs="Arial" w:eastAsia="Arial" w:hAnsi="Arial"/>
                <w:sz w:val="17"/>
                <w:szCs w:val="17"/>
                <w:color w:val="auto"/>
              </w:rPr>
              <w:t>548.9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7"/>
                <w:szCs w:val="17"/>
                <w:color w:val="auto"/>
              </w:rPr>
              <w:t>2022, respectively</w:t>
            </w:r>
          </w:p>
        </w:tc>
        <w:tc>
          <w:tcPr>
            <w:tcW w:w="18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from operating leases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219.9</w:t>
            </w: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181.7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186.3</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21"/>
        </w:trPr>
        <w:tc>
          <w:tcPr>
            <w:tcW w:w="6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 net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52"/>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2,890.1</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2,567.6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 (DEFICIT)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b w:val="1"/>
                <w:bCs w:val="1"/>
                <w:i w:val="1"/>
                <w:iCs w:val="1"/>
                <w:color w:val="auto"/>
              </w:rPr>
              <w:t>Current Liabilities:</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w:t>
            </w:r>
          </w:p>
        </w:tc>
        <w:tc>
          <w:tcPr>
            <w:tcW w:w="0" w:type="dxa"/>
            <w:vAlign w:val="bottom"/>
          </w:tcPr>
          <w:p>
            <w:pPr>
              <w:spacing w:after="0"/>
              <w:rPr>
                <w:sz w:val="1"/>
                <w:szCs w:val="1"/>
                <w:color w:val="auto"/>
              </w:rPr>
            </w:pPr>
          </w:p>
        </w:tc>
      </w:tr>
      <w:tr>
        <w:trPr>
          <w:trHeight w:val="221"/>
        </w:trPr>
        <w:tc>
          <w:tcPr>
            <w:tcW w:w="6920" w:type="dxa"/>
            <w:vAlign w:val="bottom"/>
          </w:tcPr>
          <w:p>
            <w:pPr>
              <w:ind w:left="120"/>
              <w:spacing w:after="0"/>
              <w:rPr>
                <w:sz w:val="20"/>
                <w:szCs w:val="20"/>
                <w:color w:val="auto"/>
              </w:rPr>
            </w:pPr>
            <w:r>
              <w:rPr>
                <w:rFonts w:ascii="Arial" w:cs="Arial" w:eastAsia="Arial" w:hAnsi="Arial"/>
                <w:sz w:val="17"/>
                <w:szCs w:val="17"/>
                <w:color w:val="auto"/>
              </w:rPr>
              <w:t>Current operating lease liabilities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63.3</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w:t>
            </w:r>
          </w:p>
        </w:tc>
        <w:tc>
          <w:tcPr>
            <w:tcW w:w="0" w:type="dxa"/>
            <w:vAlign w:val="bottom"/>
          </w:tcPr>
          <w:p>
            <w:pPr>
              <w:spacing w:after="0"/>
              <w:rPr>
                <w:sz w:val="1"/>
                <w:szCs w:val="1"/>
                <w:color w:val="auto"/>
              </w:rPr>
            </w:pPr>
          </w:p>
        </w:tc>
      </w:tr>
      <w:tr>
        <w:trPr>
          <w:trHeight w:val="221"/>
        </w:trPr>
        <w:tc>
          <w:tcPr>
            <w:tcW w:w="6920" w:type="dxa"/>
            <w:vAlign w:val="bottom"/>
          </w:tcPr>
          <w:p>
            <w:pPr>
              <w:ind w:left="12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408.7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376.9</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Liabilities held for sale</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taxes payable</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7"/>
        </w:trPr>
        <w:tc>
          <w:tcPr>
            <w:tcW w:w="69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1,595.7</w:t>
            </w: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1,121.6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814.2</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color w:val="auto"/>
              </w:rPr>
              <w:t>Pensions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2,730.6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2,770.7</w:t>
            </w:r>
          </w:p>
        </w:tc>
        <w:tc>
          <w:tcPr>
            <w:tcW w:w="0" w:type="dxa"/>
            <w:vAlign w:val="bottom"/>
          </w:tcPr>
          <w:p>
            <w:pPr>
              <w:spacing w:after="0"/>
              <w:rPr>
                <w:sz w:val="1"/>
                <w:szCs w:val="1"/>
                <w:color w:val="auto"/>
              </w:rPr>
            </w:pPr>
          </w:p>
        </w:tc>
      </w:tr>
      <w:tr>
        <w:trPr>
          <w:trHeight w:val="231"/>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920" w:type="dxa"/>
            <w:vAlign w:val="bottom"/>
          </w:tcPr>
          <w:p>
            <w:pPr>
              <w:spacing w:after="0"/>
              <w:rPr>
                <w:sz w:val="20"/>
                <w:szCs w:val="20"/>
                <w:color w:val="auto"/>
              </w:rPr>
            </w:pPr>
            <w:r>
              <w:rPr>
                <w:rFonts w:ascii="Arial" w:cs="Arial" w:eastAsia="Arial" w:hAnsi="Arial"/>
                <w:sz w:val="17"/>
                <w:szCs w:val="17"/>
                <w:b w:val="1"/>
                <w:bCs w:val="1"/>
                <w:i w:val="1"/>
                <w:iCs w:val="1"/>
                <w:color w:val="auto"/>
              </w:rPr>
              <w:t>Stockholders' equity (deficit):</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Preferred stock, $0.01 par value, 25,000,000 shares authorized, no shares issued or outstanding</w:t>
            </w:r>
          </w:p>
        </w:tc>
        <w:tc>
          <w:tcPr>
            <w:tcW w:w="18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920" w:type="dxa"/>
            <w:vAlign w:val="bottom"/>
          </w:tcPr>
          <w:p>
            <w:pPr>
              <w:ind w:left="120"/>
              <w:spacing w:after="0"/>
              <w:rPr>
                <w:sz w:val="20"/>
                <w:szCs w:val="20"/>
                <w:color w:val="auto"/>
              </w:rPr>
            </w:pPr>
            <w:r>
              <w:rPr>
                <w:rFonts w:ascii="Arial" w:cs="Arial" w:eastAsia="Arial" w:hAnsi="Arial"/>
                <w:sz w:val="17"/>
                <w:szCs w:val="17"/>
                <w:color w:val="auto"/>
                <w:w w:val="98"/>
              </w:rPr>
              <w:t>Common stock, $0.01 par value, 200,000,000 shares authorized, 87,170,197 shares issued</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1,155.2</w:t>
            </w:r>
          </w:p>
        </w:tc>
        <w:tc>
          <w:tcPr>
            <w:tcW w:w="0" w:type="dxa"/>
            <w:vAlign w:val="bottom"/>
          </w:tcPr>
          <w:p>
            <w:pPr>
              <w:spacing w:after="0"/>
              <w:rPr>
                <w:sz w:val="1"/>
                <w:szCs w:val="1"/>
                <w:color w:val="auto"/>
              </w:rPr>
            </w:pPr>
          </w:p>
        </w:tc>
      </w:tr>
      <w:tr>
        <w:trPr>
          <w:trHeight w:val="221"/>
        </w:trPr>
        <w:tc>
          <w:tcPr>
            <w:tcW w:w="6920" w:type="dxa"/>
            <w:vAlign w:val="bottom"/>
          </w:tcPr>
          <w:p>
            <w:pPr>
              <w:ind w:left="12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3,400.3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3,070.6</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21"/>
        </w:trPr>
        <w:tc>
          <w:tcPr>
            <w:tcW w:w="69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w w:val="91"/>
              </w:rPr>
              <w:t>Treasury stock, at cost, 51,633,264 shares and 51,700,260 shares for 2023 and 2022, respectively</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(4,343.6)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(4,339.2)</w:t>
            </w:r>
          </w:p>
        </w:tc>
        <w:tc>
          <w:tcPr>
            <w:tcW w:w="0" w:type="dxa"/>
            <w:vAlign w:val="bottom"/>
          </w:tcPr>
          <w:p>
            <w:pPr>
              <w:spacing w:after="0"/>
              <w:rPr>
                <w:sz w:val="1"/>
                <w:szCs w:val="1"/>
                <w:color w:val="auto"/>
              </w:rPr>
            </w:pPr>
          </w:p>
        </w:tc>
      </w:tr>
      <w:tr>
        <w:trPr>
          <w:trHeight w:val="222"/>
        </w:trPr>
        <w:tc>
          <w:tcPr>
            <w:tcW w:w="6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 (deficit)</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159.5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(203.1)</w:t>
            </w:r>
          </w:p>
        </w:tc>
        <w:tc>
          <w:tcPr>
            <w:tcW w:w="0" w:type="dxa"/>
            <w:vAlign w:val="bottom"/>
          </w:tcPr>
          <w:p>
            <w:pPr>
              <w:spacing w:after="0"/>
              <w:rPr>
                <w:sz w:val="1"/>
                <w:szCs w:val="1"/>
                <w:color w:val="auto"/>
              </w:rPr>
            </w:pPr>
          </w:p>
        </w:tc>
      </w:tr>
      <w:tr>
        <w:trPr>
          <w:trHeight w:val="225"/>
        </w:trPr>
        <w:tc>
          <w:tcPr>
            <w:tcW w:w="692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2,890.1</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2,567.6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14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2"/>
              </w:rPr>
              <w:t>For the Three Months Ended</w:t>
            </w:r>
          </w:p>
        </w:tc>
        <w:tc>
          <w:tcPr>
            <w:tcW w:w="160" w:type="dxa"/>
            <w:vAlign w:val="bottom"/>
            <w:shd w:val="clear" w:color="auto" w:fill="CCEEFF"/>
          </w:tcPr>
          <w:p>
            <w:pPr>
              <w:spacing w:after="0"/>
              <w:rPr>
                <w:sz w:val="16"/>
                <w:szCs w:val="16"/>
                <w:color w:val="auto"/>
              </w:rPr>
            </w:pPr>
          </w:p>
        </w:tc>
        <w:tc>
          <w:tcPr>
            <w:tcW w:w="2220" w:type="dxa"/>
            <w:vAlign w:val="bottom"/>
            <w:gridSpan w:val="4"/>
            <w:shd w:val="clear" w:color="auto" w:fill="CCEEFF"/>
          </w:tcPr>
          <w:p>
            <w:pPr>
              <w:jc w:val="right"/>
              <w:ind w:right="151"/>
              <w:spacing w:after="0"/>
              <w:rPr>
                <w:sz w:val="20"/>
                <w:szCs w:val="20"/>
                <w:color w:val="auto"/>
              </w:rPr>
            </w:pPr>
            <w:r>
              <w:rPr>
                <w:rFonts w:ascii="Arial" w:cs="Arial" w:eastAsia="Arial" w:hAnsi="Arial"/>
                <w:sz w:val="16"/>
                <w:szCs w:val="16"/>
                <w:b w:val="1"/>
                <w:bCs w:val="1"/>
                <w:color w:val="auto"/>
                <w:w w:val="94"/>
              </w:rPr>
              <w:t>For the Nine Months Ended</w:t>
            </w:r>
          </w:p>
        </w:tc>
        <w:tc>
          <w:tcPr>
            <w:tcW w:w="0" w:type="dxa"/>
            <w:vAlign w:val="bottom"/>
          </w:tcPr>
          <w:p>
            <w:pPr>
              <w:spacing w:after="0"/>
              <w:rPr>
                <w:sz w:val="1"/>
                <w:szCs w:val="1"/>
                <w:color w:val="auto"/>
              </w:rPr>
            </w:pPr>
          </w:p>
        </w:tc>
      </w:tr>
      <w:tr>
        <w:trPr>
          <w:trHeight w:val="211"/>
        </w:trPr>
        <w:tc>
          <w:tcPr>
            <w:tcW w:w="6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0" w:type="dxa"/>
            <w:vAlign w:val="bottom"/>
            <w:gridSpan w:val="5"/>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61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6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3,624.6</w:t>
            </w:r>
          </w:p>
        </w:tc>
        <w:tc>
          <w:tcPr>
            <w:tcW w:w="0" w:type="dxa"/>
            <w:vAlign w:val="bottom"/>
          </w:tcPr>
          <w:p>
            <w:pPr>
              <w:spacing w:after="0"/>
              <w:rPr>
                <w:sz w:val="1"/>
                <w:szCs w:val="1"/>
                <w:color w:val="auto"/>
              </w:rPr>
            </w:pPr>
          </w:p>
        </w:tc>
      </w:tr>
      <w:tr>
        <w:trPr>
          <w:trHeight w:val="22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27"/>
        </w:trPr>
        <w:tc>
          <w:tcPr>
            <w:tcW w:w="6320" w:type="dxa"/>
            <w:vAlign w:val="bottom"/>
          </w:tcPr>
          <w:p>
            <w:pPr>
              <w:ind w:left="140"/>
              <w:spacing w:after="0"/>
              <w:rPr>
                <w:sz w:val="20"/>
                <w:szCs w:val="20"/>
                <w:color w:val="auto"/>
              </w:rPr>
            </w:pPr>
            <w:r>
              <w:rPr>
                <w:rFonts w:ascii="Arial" w:cs="Arial" w:eastAsia="Arial" w:hAnsi="Arial"/>
                <w:sz w:val="18"/>
                <w:szCs w:val="18"/>
                <w:color w:val="auto"/>
              </w:rPr>
              <w:t>Losses (gains) and other expenses,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6320" w:type="dxa"/>
            <w:vAlign w:val="bottom"/>
          </w:tcPr>
          <w:p>
            <w:pPr>
              <w:ind w:left="140"/>
              <w:spacing w:after="0"/>
              <w:rPr>
                <w:sz w:val="20"/>
                <w:szCs w:val="20"/>
                <w:color w:val="auto"/>
              </w:rPr>
            </w:pPr>
            <w:r>
              <w:rPr>
                <w:rFonts w:ascii="Arial" w:cs="Arial" w:eastAsia="Arial" w:hAnsi="Arial"/>
                <w:sz w:val="18"/>
                <w:szCs w:val="18"/>
                <w:color w:val="auto"/>
              </w:rPr>
              <w:t>Impairment on assets held for sale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equity method investments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0"/>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524.6</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settlements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0"/>
        </w:trPr>
        <w:tc>
          <w:tcPr>
            <w:tcW w:w="6320" w:type="dxa"/>
            <w:vAlign w:val="bottom"/>
          </w:tcPr>
          <w:p>
            <w:pPr>
              <w:ind w:left="460"/>
              <w:spacing w:after="0"/>
              <w:rPr>
                <w:sz w:val="20"/>
                <w:szCs w:val="20"/>
                <w:color w:val="auto"/>
              </w:rPr>
            </w:pPr>
            <w:r>
              <w:rPr>
                <w:rFonts w:ascii="Arial" w:cs="Arial" w:eastAsia="Arial" w:hAnsi="Arial"/>
                <w:sz w:val="18"/>
                <w:szCs w:val="18"/>
                <w:color w:val="auto"/>
              </w:rPr>
              <w:t>Net income before income taxes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1"/>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402.7</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2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040" w:type="dxa"/>
            <w:vAlign w:val="bottom"/>
            <w:gridSpan w:val="4"/>
          </w:tcPr>
          <w:p>
            <w:pPr>
              <w:jc w:val="right"/>
              <w:ind w:right="32"/>
              <w:spacing w:after="0"/>
              <w:rPr>
                <w:sz w:val="20"/>
                <w:szCs w:val="20"/>
                <w:color w:val="auto"/>
              </w:rPr>
            </w:pPr>
            <w:r>
              <w:rPr>
                <w:rFonts w:ascii="Arial" w:cs="Arial" w:eastAsia="Arial" w:hAnsi="Arial"/>
                <w:sz w:val="16"/>
                <w:szCs w:val="16"/>
                <w:b w:val="1"/>
                <w:bCs w:val="1"/>
                <w:color w:val="auto"/>
                <w:w w:val="91"/>
              </w:rPr>
              <w:t>For the Nine Months Ended</w:t>
            </w:r>
          </w:p>
        </w:tc>
        <w:tc>
          <w:tcPr>
            <w:tcW w:w="0" w:type="dxa"/>
            <w:vAlign w:val="bottom"/>
          </w:tcPr>
          <w:p>
            <w:pPr>
              <w:spacing w:after="0"/>
              <w:rPr>
                <w:sz w:val="1"/>
                <w:szCs w:val="1"/>
                <w:color w:val="auto"/>
              </w:rPr>
            </w:pPr>
          </w:p>
        </w:tc>
      </w:tr>
      <w:tr>
        <w:trPr>
          <w:trHeight w:val="211"/>
        </w:trPr>
        <w:tc>
          <w:tcPr>
            <w:tcW w:w="6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8"/>
                <w:szCs w:val="18"/>
                <w:color w:val="auto"/>
              </w:rPr>
            </w:pPr>
          </w:p>
        </w:tc>
        <w:tc>
          <w:tcPr>
            <w:tcW w:w="204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68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402.7</w:t>
            </w:r>
          </w:p>
        </w:tc>
        <w:tc>
          <w:tcPr>
            <w:tcW w:w="0" w:type="dxa"/>
            <w:vAlign w:val="bottom"/>
          </w:tcPr>
          <w:p>
            <w:pPr>
              <w:spacing w:after="0"/>
              <w:rPr>
                <w:sz w:val="1"/>
                <w:szCs w:val="1"/>
                <w:color w:val="auto"/>
              </w:rPr>
            </w:pPr>
          </w:p>
        </w:tc>
      </w:tr>
      <w:tr>
        <w:trPr>
          <w:trHeight w:val="207"/>
        </w:trPr>
        <w:tc>
          <w:tcPr>
            <w:tcW w:w="6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 (loss):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7"/>
        </w:trPr>
        <w:tc>
          <w:tcPr>
            <w:tcW w:w="6840" w:type="dxa"/>
            <w:vAlign w:val="bottom"/>
          </w:tcPr>
          <w:p>
            <w:pPr>
              <w:ind w:left="220"/>
              <w:spacing w:after="0"/>
              <w:rPr>
                <w:sz w:val="20"/>
                <w:szCs w:val="20"/>
                <w:color w:val="auto"/>
              </w:rPr>
            </w:pPr>
            <w:r>
              <w:rPr>
                <w:rFonts w:ascii="Arial" w:cs="Arial" w:eastAsia="Arial" w:hAnsi="Arial"/>
                <w:sz w:val="18"/>
                <w:szCs w:val="18"/>
                <w:color w:val="auto"/>
              </w:rPr>
              <w:t>Net change in pension and post-retirement liabilities</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7"/>
        </w:trPr>
        <w:tc>
          <w:tcPr>
            <w:tcW w:w="6840" w:type="dxa"/>
            <w:vAlign w:val="bottom"/>
          </w:tcPr>
          <w:p>
            <w:pPr>
              <w:ind w:left="220"/>
              <w:spacing w:after="0"/>
              <w:rPr>
                <w:sz w:val="20"/>
                <w:szCs w:val="20"/>
                <w:color w:val="auto"/>
              </w:rPr>
            </w:pPr>
            <w:r>
              <w:rPr>
                <w:rFonts w:ascii="Arial" w:cs="Arial" w:eastAsia="Arial" w:hAnsi="Arial"/>
                <w:sz w:val="18"/>
                <w:szCs w:val="18"/>
                <w:color w:val="auto"/>
              </w:rPr>
              <w:t>Pension settlements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equity method investments other comprehensive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7"/>
        </w:trPr>
        <w:tc>
          <w:tcPr>
            <w:tcW w:w="6840" w:type="dxa"/>
            <w:vAlign w:val="bottom"/>
          </w:tcPr>
          <w:p>
            <w:pPr>
              <w:ind w:left="220"/>
              <w:spacing w:after="0"/>
              <w:rPr>
                <w:sz w:val="20"/>
                <w:szCs w:val="20"/>
                <w:color w:val="auto"/>
              </w:rPr>
            </w:pPr>
            <w:r>
              <w:rPr>
                <w:rFonts w:ascii="Arial" w:cs="Arial" w:eastAsia="Arial" w:hAnsi="Arial"/>
                <w:sz w:val="18"/>
                <w:szCs w:val="18"/>
                <w:color w:val="auto"/>
              </w:rPr>
              <w:t>Net change in fair value of cash flow hedges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7"/>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cash flow hedge losses (gains) into earnings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0"/>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(loss) income before taxes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1"/>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 income, net of tax</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358.3</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2023 and 2022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4"/>
            <w:vMerge w:val="restart"/>
          </w:tcPr>
          <w:p>
            <w:pPr>
              <w:jc w:val="center"/>
              <w:ind w:right="120"/>
              <w:spacing w:after="0"/>
              <w:rPr>
                <w:sz w:val="20"/>
                <w:szCs w:val="20"/>
                <w:color w:val="auto"/>
              </w:rPr>
            </w:pPr>
            <w:r>
              <w:rPr>
                <w:rFonts w:ascii="Arial" w:cs="Arial" w:eastAsia="Arial" w:hAnsi="Arial"/>
                <w:sz w:val="15"/>
                <w:szCs w:val="15"/>
                <w:b w:val="1"/>
                <w:bCs w:val="1"/>
                <w:color w:val="auto"/>
                <w:w w:val="92"/>
              </w:rPr>
              <w:t>Additional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2"/>
                <w:szCs w:val="12"/>
                <w:color w:val="auto"/>
              </w:rPr>
            </w:pPr>
          </w:p>
        </w:tc>
        <w:tc>
          <w:tcPr>
            <w:tcW w:w="1920" w:type="dxa"/>
            <w:vAlign w:val="bottom"/>
            <w:gridSpan w:val="8"/>
            <w:vMerge w:val="restart"/>
          </w:tcPr>
          <w:p>
            <w:pPr>
              <w:jc w:val="right"/>
              <w:ind w:right="280"/>
              <w:spacing w:after="0"/>
              <w:rPr>
                <w:sz w:val="20"/>
                <w:szCs w:val="20"/>
                <w:color w:val="auto"/>
              </w:rPr>
            </w:pPr>
            <w:r>
              <w:rPr>
                <w:rFonts w:ascii="Arial" w:cs="Arial" w:eastAsia="Arial" w:hAnsi="Arial"/>
                <w:sz w:val="15"/>
                <w:szCs w:val="15"/>
                <w:b w:val="1"/>
                <w:bCs w:val="1"/>
                <w:color w:val="auto"/>
                <w:w w:val="99"/>
              </w:rPr>
              <w:t>Treasury Stock at Cost</w:t>
            </w:r>
          </w:p>
        </w:tc>
        <w:tc>
          <w:tcPr>
            <w:tcW w:w="920" w:type="dxa"/>
            <w:vAlign w:val="bottom"/>
            <w:gridSpan w:val="2"/>
          </w:tcPr>
          <w:p>
            <w:pPr>
              <w:ind w:left="20"/>
              <w:spacing w:after="0" w:line="147" w:lineRule="exact"/>
              <w:rPr>
                <w:sz w:val="20"/>
                <w:szCs w:val="20"/>
                <w:color w:val="auto"/>
              </w:rPr>
            </w:pPr>
            <w:r>
              <w:rPr>
                <w:rFonts w:ascii="Arial" w:cs="Arial" w:eastAsia="Arial" w:hAnsi="Arial"/>
                <w:sz w:val="15"/>
                <w:szCs w:val="15"/>
                <w:b w:val="1"/>
                <w:bCs w:val="1"/>
                <w:color w:val="auto"/>
                <w:w w:val="89"/>
              </w:rPr>
              <w:t>Stockholders'</w:t>
            </w:r>
          </w:p>
        </w:tc>
        <w:tc>
          <w:tcPr>
            <w:tcW w:w="0" w:type="dxa"/>
            <w:vAlign w:val="bottom"/>
          </w:tcPr>
          <w:p>
            <w:pPr>
              <w:spacing w:after="0"/>
              <w:rPr>
                <w:sz w:val="1"/>
                <w:szCs w:val="1"/>
                <w:color w:val="auto"/>
              </w:rPr>
            </w:pPr>
          </w:p>
        </w:tc>
      </w:tr>
      <w:tr>
        <w:trPr>
          <w:trHeight w:val="102"/>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20"/>
              <w:spacing w:after="0" w:line="147" w:lineRule="exact"/>
              <w:rPr>
                <w:sz w:val="20"/>
                <w:szCs w:val="20"/>
                <w:color w:val="auto"/>
              </w:rPr>
            </w:pPr>
            <w:r>
              <w:rPr>
                <w:rFonts w:ascii="Arial" w:cs="Arial" w:eastAsia="Arial" w:hAnsi="Arial"/>
                <w:sz w:val="15"/>
                <w:szCs w:val="15"/>
                <w:b w:val="1"/>
                <w:bCs w:val="1"/>
                <w:color w:val="auto"/>
              </w:rPr>
              <w:t>Common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right="200"/>
              <w:spacing w:after="0" w:line="147" w:lineRule="exact"/>
              <w:rPr>
                <w:sz w:val="20"/>
                <w:szCs w:val="20"/>
                <w:color w:val="auto"/>
              </w:rPr>
            </w:pPr>
            <w:r>
              <w:rPr>
                <w:rFonts w:ascii="Arial" w:cs="Arial" w:eastAsia="Arial" w:hAnsi="Arial"/>
                <w:sz w:val="15"/>
                <w:szCs w:val="15"/>
                <w:b w:val="1"/>
                <w:bCs w:val="1"/>
                <w:color w:val="auto"/>
                <w:w w:val="95"/>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20"/>
              <w:spacing w:after="0" w:line="147" w:lineRule="exact"/>
              <w:rPr>
                <w:sz w:val="20"/>
                <w:szCs w:val="20"/>
                <w:color w:val="auto"/>
              </w:rPr>
            </w:pPr>
            <w:r>
              <w:rPr>
                <w:rFonts w:ascii="Arial" w:cs="Arial" w:eastAsia="Arial" w:hAnsi="Arial"/>
                <w:sz w:val="15"/>
                <w:szCs w:val="15"/>
                <w:b w:val="1"/>
                <w:bCs w:val="1"/>
                <w:color w:val="auto"/>
              </w:rPr>
              <w:t>Retained</w:t>
            </w:r>
          </w:p>
        </w:tc>
        <w:tc>
          <w:tcPr>
            <w:tcW w:w="1220" w:type="dxa"/>
            <w:vAlign w:val="bottom"/>
            <w:gridSpan w:val="4"/>
            <w:vMerge w:val="restart"/>
          </w:tcPr>
          <w:p>
            <w:pPr>
              <w:jc w:val="center"/>
              <w:ind w:right="60"/>
              <w:spacing w:after="0" w:line="147" w:lineRule="exact"/>
              <w:rPr>
                <w:sz w:val="20"/>
                <w:szCs w:val="20"/>
                <w:color w:val="auto"/>
              </w:rPr>
            </w:pPr>
            <w:r>
              <w:rPr>
                <w:rFonts w:ascii="Arial" w:cs="Arial" w:eastAsia="Arial" w:hAnsi="Arial"/>
                <w:sz w:val="15"/>
                <w:szCs w:val="15"/>
                <w:b w:val="1"/>
                <w:bCs w:val="1"/>
                <w:color w:val="auto"/>
                <w:w w:val="88"/>
              </w:rPr>
              <w:t>Comprehensive</w:t>
            </w:r>
          </w:p>
        </w:tc>
        <w:tc>
          <w:tcPr>
            <w:tcW w:w="20" w:type="dxa"/>
            <w:vAlign w:val="bottom"/>
          </w:tcPr>
          <w:p>
            <w:pPr>
              <w:spacing w:after="0"/>
              <w:rPr>
                <w:sz w:val="8"/>
                <w:szCs w:val="8"/>
                <w:color w:val="auto"/>
              </w:rPr>
            </w:pPr>
          </w:p>
        </w:tc>
        <w:tc>
          <w:tcPr>
            <w:tcW w:w="192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center"/>
              <w:ind w:right="64"/>
              <w:spacing w:after="0" w:line="147" w:lineRule="exact"/>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5"/>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(For the three months ended September 30, 2023)</w:t>
            </w:r>
          </w:p>
        </w:tc>
        <w:tc>
          <w:tcPr>
            <w:tcW w:w="96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5"/>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5"/>
                <w:szCs w:val="15"/>
                <w:b w:val="1"/>
                <w:bCs w:val="1"/>
                <w:color w:val="auto"/>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8"/>
                <w:szCs w:val="18"/>
                <w:color w:val="auto"/>
              </w:rPr>
            </w:pPr>
          </w:p>
        </w:tc>
        <w:tc>
          <w:tcPr>
            <w:tcW w:w="940" w:type="dxa"/>
            <w:vAlign w:val="bottom"/>
            <w:gridSpan w:val="3"/>
          </w:tcPr>
          <w:p>
            <w:pPr>
              <w:ind w:left="20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w w:val="95"/>
              </w:rPr>
              <w:t>Amount</w:t>
            </w:r>
          </w:p>
        </w:tc>
        <w:tc>
          <w:tcPr>
            <w:tcW w:w="140" w:type="dxa"/>
            <w:vAlign w:val="bottom"/>
          </w:tcPr>
          <w:p>
            <w:pPr>
              <w:spacing w:after="0"/>
              <w:rPr>
                <w:sz w:val="18"/>
                <w:szCs w:val="18"/>
                <w:color w:val="auto"/>
              </w:rPr>
            </w:pPr>
          </w:p>
        </w:tc>
        <w:tc>
          <w:tcPr>
            <w:tcW w:w="780" w:type="dxa"/>
            <w:vAlign w:val="bottom"/>
          </w:tcPr>
          <w:p>
            <w:pPr>
              <w:jc w:val="center"/>
              <w:ind w:right="64"/>
              <w:spacing w:after="0"/>
              <w:rPr>
                <w:sz w:val="20"/>
                <w:szCs w:val="20"/>
                <w:color w:val="auto"/>
              </w:rPr>
            </w:pPr>
            <w:r>
              <w:rPr>
                <w:rFonts w:ascii="Arial" w:cs="Arial" w:eastAsia="Arial" w:hAnsi="Arial"/>
                <w:sz w:val="15"/>
                <w:szCs w:val="15"/>
                <w:b w:val="1"/>
                <w:bCs w:val="1"/>
                <w:color w:val="auto"/>
                <w:w w:val="93"/>
              </w:rPr>
              <w:t>(Deficit)</w:t>
            </w:r>
          </w:p>
        </w:tc>
        <w:tc>
          <w:tcPr>
            <w:tcW w:w="0" w:type="dxa"/>
            <w:vAlign w:val="bottom"/>
          </w:tcPr>
          <w:p>
            <w:pPr>
              <w:spacing w:after="0"/>
              <w:rPr>
                <w:sz w:val="1"/>
                <w:szCs w:val="1"/>
                <w:color w:val="auto"/>
              </w:rPr>
            </w:pP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2023</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1,169.3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3,309.0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(75.8)</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(4,340.8)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62.6</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130.4</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$1.10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52"/>
        </w:trPr>
        <w:tc>
          <w:tcPr>
            <w:tcW w:w="4280" w:type="dxa"/>
            <w:vAlign w:val="bottom"/>
            <w:shd w:val="clear" w:color="auto" w:fill="CCEEFF"/>
          </w:tcPr>
          <w:p>
            <w:pPr>
              <w:ind w:left="220"/>
              <w:spacing w:after="0" w:line="152" w:lineRule="exact"/>
              <w:rPr>
                <w:sz w:val="20"/>
                <w:szCs w:val="20"/>
                <w:color w:val="auto"/>
              </w:rPr>
            </w:pPr>
            <w:r>
              <w:rPr>
                <w:rFonts w:ascii="Arial" w:cs="Arial" w:eastAsia="Arial" w:hAnsi="Arial"/>
                <w:sz w:val="15"/>
                <w:szCs w:val="15"/>
                <w:color w:val="auto"/>
                <w:w w:val="94"/>
              </w:rPr>
              <w:t>Pension and post-retirement liability changes, net of tax expense</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of $0.0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47"/>
        </w:trPr>
        <w:tc>
          <w:tcPr>
            <w:tcW w:w="4280" w:type="dxa"/>
            <w:vAlign w:val="bottom"/>
          </w:tcPr>
          <w:p>
            <w:pPr>
              <w:ind w:left="220"/>
              <w:spacing w:after="0" w:line="147" w:lineRule="exact"/>
              <w:rPr>
                <w:sz w:val="20"/>
                <w:szCs w:val="20"/>
                <w:color w:val="auto"/>
              </w:rPr>
            </w:pPr>
            <w:r>
              <w:rPr>
                <w:rFonts w:ascii="Arial" w:cs="Arial" w:eastAsia="Arial" w:hAnsi="Arial"/>
                <w:sz w:val="15"/>
                <w:szCs w:val="15"/>
                <w:color w:val="auto"/>
              </w:rPr>
              <w:t>Share of equity method investments other comprehensive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20"/>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expense of $0.8</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Treasury stock purchases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September 30, 2023</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3,400.3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51.6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(4,343.6)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159.5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5"/>
              </w:rPr>
              <w:t>Additional</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vMerge w:val="restart"/>
          </w:tcPr>
          <w:p>
            <w:pPr>
              <w:jc w:val="center"/>
              <w:ind w:right="6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Common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Retained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6"/>
                <w:szCs w:val="16"/>
                <w:color w:val="auto"/>
              </w:rPr>
            </w:pPr>
          </w:p>
        </w:tc>
        <w:tc>
          <w:tcPr>
            <w:tcW w:w="1920" w:type="dxa"/>
            <w:vAlign w:val="bottom"/>
            <w:gridSpan w:val="8"/>
          </w:tcPr>
          <w:p>
            <w:pPr>
              <w:jc w:val="right"/>
              <w:ind w:right="260"/>
              <w:spacing w:after="0"/>
              <w:rPr>
                <w:sz w:val="20"/>
                <w:szCs w:val="20"/>
                <w:color w:val="auto"/>
              </w:rPr>
            </w:pPr>
            <w:r>
              <w:rPr>
                <w:rFonts w:ascii="Arial" w:cs="Arial" w:eastAsia="Arial" w:hAnsi="Arial"/>
                <w:sz w:val="15"/>
                <w:szCs w:val="15"/>
                <w:b w:val="1"/>
                <w:bCs w:val="1"/>
                <w:color w:val="auto"/>
              </w:rPr>
              <w:t>Treasury Stock at Cost</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40"/>
              <w:spacing w:after="0" w:line="107" w:lineRule="exact"/>
              <w:rPr>
                <w:sz w:val="20"/>
                <w:szCs w:val="20"/>
                <w:color w:val="auto"/>
              </w:rPr>
            </w:pPr>
            <w:r>
              <w:rPr>
                <w:rFonts w:ascii="Arial" w:cs="Arial" w:eastAsia="Arial" w:hAnsi="Arial"/>
                <w:sz w:val="12"/>
                <w:szCs w:val="12"/>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3"/>
            <w:vMerge w:val="restart"/>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ind w:left="20"/>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(For the three months ended September 30, 2022)</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60"/>
              <w:spacing w:after="0"/>
              <w:rPr>
                <w:sz w:val="20"/>
                <w:szCs w:val="20"/>
                <w:color w:val="auto"/>
              </w:rPr>
            </w:pPr>
            <w:r>
              <w:rPr>
                <w:rFonts w:ascii="Arial" w:cs="Arial" w:eastAsia="Arial" w:hAnsi="Arial"/>
                <w:sz w:val="15"/>
                <w:szCs w:val="15"/>
                <w:b w:val="1"/>
                <w:bCs w:val="1"/>
                <w:color w:val="auto"/>
                <w:w w:val="98"/>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Arial" w:cs="Arial" w:eastAsia="Arial" w:hAnsi="Arial"/>
                <w:sz w:val="15"/>
                <w:szCs w:val="15"/>
                <w:b w:val="1"/>
                <w:bCs w:val="1"/>
                <w:color w:val="auto"/>
                <w:w w:val="97"/>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Arial" w:cs="Arial" w:eastAsia="Arial" w:hAnsi="Arial"/>
                <w:sz w:val="15"/>
                <w:szCs w:val="15"/>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64"/>
              <w:spacing w:after="0"/>
              <w:rPr>
                <w:sz w:val="20"/>
                <w:szCs w:val="20"/>
                <w:color w:val="auto"/>
              </w:rPr>
            </w:pPr>
            <w:r>
              <w:rPr>
                <w:rFonts w:ascii="Arial" w:cs="Arial" w:eastAsia="Arial" w:hAnsi="Arial"/>
                <w:sz w:val="15"/>
                <w:szCs w:val="15"/>
                <w:b w:val="1"/>
                <w:bCs w:val="1"/>
                <w:color w:val="auto"/>
                <w:w w:val="95"/>
              </w:rPr>
              <w:t>Deficit</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1,144.0</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2,909.5</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(4,337.8)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(401.3)</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141.9</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$1.06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6"/>
              </w:rPr>
              <w:t>(37.5)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5"/>
        </w:trPr>
        <w:tc>
          <w:tcPr>
            <w:tcW w:w="4280" w:type="dxa"/>
            <w:vAlign w:val="bottom"/>
            <w:shd w:val="clear" w:color="auto" w:fill="CCEEFF"/>
          </w:tcPr>
          <w:p>
            <w:pPr>
              <w:ind w:left="220"/>
              <w:spacing w:after="0" w:line="165" w:lineRule="exact"/>
              <w:rPr>
                <w:sz w:val="20"/>
                <w:szCs w:val="20"/>
                <w:color w:val="auto"/>
              </w:rPr>
            </w:pPr>
            <w:r>
              <w:rPr>
                <w:rFonts w:ascii="Arial" w:cs="Arial" w:eastAsia="Arial" w:hAnsi="Arial"/>
                <w:sz w:val="15"/>
                <w:szCs w:val="15"/>
                <w:color w:val="auto"/>
                <w:w w:val="94"/>
              </w:rPr>
              <w:t>Pension and post-retirement liability changes, net of tax expense</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of $0.2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benefit of $1.2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96"/>
        </w:trPr>
        <w:tc>
          <w:tcPr>
            <w:tcW w:w="428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205"/>
        </w:trPr>
        <w:tc>
          <w:tcPr>
            <w:tcW w:w="4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94"/>
        </w:trPr>
        <w:tc>
          <w:tcPr>
            <w:tcW w:w="4280" w:type="dxa"/>
            <w:vAlign w:val="bottom"/>
          </w:tcPr>
          <w:p>
            <w:pPr>
              <w:ind w:left="20"/>
              <w:spacing w:after="0"/>
              <w:rPr>
                <w:sz w:val="20"/>
                <w:szCs w:val="20"/>
                <w:color w:val="auto"/>
              </w:rPr>
            </w:pPr>
            <w:r>
              <w:rPr>
                <w:rFonts w:ascii="Arial" w:cs="Arial" w:eastAsia="Arial" w:hAnsi="Arial"/>
                <w:sz w:val="15"/>
                <w:szCs w:val="15"/>
                <w:b w:val="1"/>
                <w:bCs w:val="1"/>
                <w:color w:val="auto"/>
              </w:rPr>
              <w:t>Balance as of September 30, 2022</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1,150.4</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3,013.9</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51.7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(4,337.9)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(305.2)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2023 and 2022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vMerge w:val="restart"/>
          </w:tcPr>
          <w:p>
            <w:pPr>
              <w:jc w:val="center"/>
              <w:ind w:right="100"/>
              <w:spacing w:after="0"/>
              <w:rPr>
                <w:sz w:val="20"/>
                <w:szCs w:val="20"/>
                <w:color w:val="auto"/>
              </w:rPr>
            </w:pPr>
            <w:r>
              <w:rPr>
                <w:rFonts w:ascii="Arial" w:cs="Arial" w:eastAsia="Arial" w:hAnsi="Arial"/>
                <w:sz w:val="15"/>
                <w:szCs w:val="15"/>
                <w:b w:val="1"/>
                <w:bCs w:val="1"/>
                <w:color w:val="auto"/>
                <w:w w:val="92"/>
              </w:rPr>
              <w:t>Additional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center"/>
              <w:ind w:right="12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80"/>
              <w:spacing w:after="0" w:line="147" w:lineRule="exact"/>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Arial" w:cs="Arial" w:eastAsia="Arial" w:hAnsi="Arial"/>
                <w:sz w:val="15"/>
                <w:szCs w:val="15"/>
                <w:b w:val="1"/>
                <w:bCs w:val="1"/>
                <w:color w:val="auto"/>
                <w:w w:val="99"/>
              </w:rPr>
              <w:t>Treasury Stock at Cost</w:t>
            </w:r>
          </w:p>
        </w:tc>
        <w:tc>
          <w:tcPr>
            <w:tcW w:w="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80"/>
              <w:spacing w:after="0" w:line="127" w:lineRule="exact"/>
              <w:rPr>
                <w:sz w:val="20"/>
                <w:szCs w:val="20"/>
                <w:color w:val="auto"/>
              </w:rPr>
            </w:pPr>
            <w:r>
              <w:rPr>
                <w:rFonts w:ascii="Arial" w:cs="Arial" w:eastAsia="Arial" w:hAnsi="Arial"/>
                <w:sz w:val="14"/>
                <w:szCs w:val="14"/>
                <w:b w:val="1"/>
                <w:bCs w:val="1"/>
                <w:color w:val="auto"/>
                <w:w w:val="98"/>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180"/>
              <w:spacing w:after="0" w:line="127"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0"/>
              <w:spacing w:after="0" w:line="127"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1"/>
                <w:szCs w:val="11"/>
                <w:color w:val="auto"/>
              </w:rPr>
            </w:pPr>
          </w:p>
        </w:tc>
        <w:tc>
          <w:tcPr>
            <w:tcW w:w="1120" w:type="dxa"/>
            <w:vAlign w:val="bottom"/>
            <w:gridSpan w:val="4"/>
          </w:tcPr>
          <w:p>
            <w:pPr>
              <w:jc w:val="center"/>
              <w:ind w:right="80"/>
              <w:spacing w:after="0" w:line="127" w:lineRule="exact"/>
              <w:rPr>
                <w:sz w:val="20"/>
                <w:szCs w:val="20"/>
                <w:color w:val="auto"/>
              </w:rPr>
            </w:pPr>
            <w:r>
              <w:rPr>
                <w:rFonts w:ascii="Arial" w:cs="Arial" w:eastAsia="Arial" w:hAnsi="Arial"/>
                <w:sz w:val="14"/>
                <w:szCs w:val="14"/>
                <w:b w:val="1"/>
                <w:bCs w:val="1"/>
                <w:color w:val="auto"/>
                <w:w w:val="95"/>
              </w:rPr>
              <w:t>Comprehensive</w:t>
            </w: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6"/>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209"/>
        </w:trPr>
        <w:tc>
          <w:tcPr>
            <w:tcW w:w="4260" w:type="dxa"/>
            <w:vAlign w:val="bottom"/>
            <w:gridSpan w:val="2"/>
          </w:tcPr>
          <w:p>
            <w:pPr>
              <w:ind w:left="20"/>
              <w:spacing w:after="0"/>
              <w:rPr>
                <w:sz w:val="20"/>
                <w:szCs w:val="20"/>
                <w:color w:val="auto"/>
              </w:rPr>
            </w:pPr>
            <w:r>
              <w:rPr>
                <w:rFonts w:ascii="Arial" w:cs="Arial" w:eastAsia="Arial" w:hAnsi="Arial"/>
                <w:sz w:val="15"/>
                <w:szCs w:val="15"/>
                <w:b w:val="1"/>
                <w:bCs w:val="1"/>
                <w:i w:val="1"/>
                <w:iCs w:val="1"/>
                <w:color w:val="auto"/>
              </w:rPr>
              <w:t>(For the nine months ended September 30, 2023)</w:t>
            </w:r>
          </w:p>
        </w:tc>
        <w:tc>
          <w:tcPr>
            <w:tcW w:w="96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88"/>
              </w:rPr>
              <w:t>Stock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8"/>
                <w:szCs w:val="18"/>
                <w:color w:val="auto"/>
              </w:rPr>
            </w:pPr>
          </w:p>
        </w:tc>
        <w:tc>
          <w:tcPr>
            <w:tcW w:w="940" w:type="dxa"/>
            <w:vAlign w:val="bottom"/>
            <w:gridSpan w:val="3"/>
          </w:tcPr>
          <w:p>
            <w:pPr>
              <w:ind w:left="20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5"/>
              </w:rPr>
              <w:t>Amount</w:t>
            </w:r>
          </w:p>
        </w:tc>
        <w:tc>
          <w:tcPr>
            <w:tcW w:w="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Equity (Deficit)</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1,155.2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3,070.6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(90.6)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(4,339.2)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(203.1)</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445.6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445.6</w:t>
            </w: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Dividends, $3.26 per share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52"/>
        </w:trPr>
        <w:tc>
          <w:tcPr>
            <w:tcW w:w="4260" w:type="dxa"/>
            <w:vAlign w:val="bottom"/>
            <w:gridSpan w:val="2"/>
            <w:shd w:val="clear" w:color="auto" w:fill="CCEEFF"/>
          </w:tcPr>
          <w:p>
            <w:pPr>
              <w:ind w:left="220"/>
              <w:spacing w:after="0" w:line="152" w:lineRule="exact"/>
              <w:rPr>
                <w:sz w:val="20"/>
                <w:szCs w:val="20"/>
                <w:color w:val="auto"/>
              </w:rPr>
            </w:pPr>
            <w:r>
              <w:rPr>
                <w:rFonts w:ascii="Arial" w:cs="Arial" w:eastAsia="Arial" w:hAnsi="Arial"/>
                <w:sz w:val="15"/>
                <w:szCs w:val="15"/>
                <w:color w:val="auto"/>
                <w:w w:val="93"/>
              </w:rPr>
              <w:t>Pension and post-retirement liability changes, net of tax expense</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of $0.0</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47"/>
        </w:trPr>
        <w:tc>
          <w:tcPr>
            <w:tcW w:w="4260" w:type="dxa"/>
            <w:vAlign w:val="bottom"/>
            <w:gridSpan w:val="2"/>
          </w:tcPr>
          <w:p>
            <w:pPr>
              <w:ind w:left="220"/>
              <w:spacing w:after="0" w:line="147" w:lineRule="exact"/>
              <w:rPr>
                <w:sz w:val="20"/>
                <w:szCs w:val="20"/>
                <w:color w:val="auto"/>
              </w:rPr>
            </w:pPr>
            <w:r>
              <w:rPr>
                <w:rFonts w:ascii="Arial" w:cs="Arial" w:eastAsia="Arial" w:hAnsi="Arial"/>
                <w:sz w:val="15"/>
                <w:szCs w:val="15"/>
                <w:color w:val="auto"/>
              </w:rPr>
              <w:t>Share of equity method investments other comprehensive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income</w:t>
            </w: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Change in cash flow hedges, net of tax expense of $1.2</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Treasury stock purchases</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September 30, 2023</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1,178.9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3,400.3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(4,343.6)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159.5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vMerge w:val="restart"/>
          </w:tcPr>
          <w:p>
            <w:pPr>
              <w:jc w:val="center"/>
              <w:ind w:right="10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vMerge w:val="restart"/>
          </w:tcPr>
          <w:p>
            <w:pPr>
              <w:jc w:val="center"/>
              <w:ind w:right="220"/>
              <w:spacing w:after="0"/>
              <w:rPr>
                <w:sz w:val="20"/>
                <w:szCs w:val="20"/>
                <w:color w:val="auto"/>
              </w:rPr>
            </w:pPr>
            <w:r>
              <w:rPr>
                <w:rFonts w:ascii="Arial" w:cs="Arial" w:eastAsia="Arial" w:hAnsi="Arial"/>
                <w:sz w:val="15"/>
                <w:szCs w:val="15"/>
                <w:b w:val="1"/>
                <w:bCs w:val="1"/>
                <w:color w:val="auto"/>
                <w:w w:val="92"/>
              </w:rPr>
              <w:t>Common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5"/>
                <w:szCs w:val="15"/>
                <w:b w:val="1"/>
                <w:bCs w:val="1"/>
                <w:color w:val="auto"/>
              </w:rPr>
              <w:t>Retained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5"/>
                <w:szCs w:val="15"/>
                <w:color w:val="auto"/>
              </w:rPr>
            </w:pPr>
          </w:p>
        </w:tc>
        <w:tc>
          <w:tcPr>
            <w:tcW w:w="1900" w:type="dxa"/>
            <w:vAlign w:val="bottom"/>
            <w:gridSpan w:val="8"/>
          </w:tcPr>
          <w:p>
            <w:pPr>
              <w:jc w:val="right"/>
              <w:ind w:right="240"/>
              <w:spacing w:after="0"/>
              <w:rPr>
                <w:sz w:val="20"/>
                <w:szCs w:val="20"/>
                <w:color w:val="auto"/>
              </w:rPr>
            </w:pPr>
            <w:r>
              <w:rPr>
                <w:rFonts w:ascii="Arial" w:cs="Arial" w:eastAsia="Arial" w:hAnsi="Arial"/>
                <w:sz w:val="15"/>
                <w:szCs w:val="15"/>
                <w:b w:val="1"/>
                <w:bCs w:val="1"/>
                <w:color w:val="auto"/>
              </w:rPr>
              <w:t>Treasury Stock at Cost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160"/>
              <w:spacing w:after="0" w:line="121"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restart"/>
          </w:tcPr>
          <w:p>
            <w:pPr>
              <w:jc w:val="center"/>
              <w:ind w:right="60"/>
              <w:spacing w:after="0" w:line="121" w:lineRule="exact"/>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restart"/>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47"/>
        </w:trPr>
        <w:tc>
          <w:tcPr>
            <w:tcW w:w="4260" w:type="dxa"/>
            <w:vAlign w:val="bottom"/>
            <w:gridSpan w:val="2"/>
            <w:vMerge w:val="restart"/>
          </w:tcPr>
          <w:p>
            <w:pPr>
              <w:ind w:left="20"/>
              <w:spacing w:after="0"/>
              <w:rPr>
                <w:sz w:val="20"/>
                <w:szCs w:val="20"/>
                <w:color w:val="auto"/>
              </w:rPr>
            </w:pPr>
            <w:r>
              <w:rPr>
                <w:rFonts w:ascii="Arial" w:cs="Arial" w:eastAsia="Arial" w:hAnsi="Arial"/>
                <w:sz w:val="15"/>
                <w:szCs w:val="15"/>
                <w:b w:val="1"/>
                <w:bCs w:val="1"/>
                <w:i w:val="1"/>
                <w:iCs w:val="1"/>
                <w:color w:val="auto"/>
              </w:rPr>
              <w:t>(For the nine months ended September 30, 2022)</w:t>
            </w: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gridSpan w:val="3"/>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jc w:val="right"/>
              <w:ind w:right="240"/>
              <w:spacing w:after="0"/>
              <w:rPr>
                <w:sz w:val="20"/>
                <w:szCs w:val="20"/>
                <w:color w:val="auto"/>
              </w:rPr>
            </w:pPr>
            <w:r>
              <w:rPr>
                <w:rFonts w:ascii="Arial" w:cs="Arial" w:eastAsia="Arial" w:hAnsi="Arial"/>
                <w:sz w:val="15"/>
                <w:szCs w:val="15"/>
                <w:b w:val="1"/>
                <w:bCs w:val="1"/>
                <w:color w:val="auto"/>
                <w:w w:val="98"/>
              </w:rPr>
              <w:t>Amount</w:t>
            </w: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260" w:type="dxa"/>
            <w:vAlign w:val="bottom"/>
            <w:gridSpan w:val="2"/>
            <w:vMerge w:val="continue"/>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5"/>
                <w:szCs w:val="15"/>
                <w:b w:val="1"/>
                <w:bCs w:val="1"/>
                <w:color w:val="auto"/>
                <w:w w:val="99"/>
              </w:rPr>
              <w:t>Stock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5"/>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5"/>
                <w:szCs w:val="15"/>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5"/>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1,133.7</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2,719.3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(88.1)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50.5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(4,034.8)</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(269.0)</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Net income</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402.7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402.7</w:t>
            </w: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Dividends, $3.04 per share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65"/>
        </w:trPr>
        <w:tc>
          <w:tcPr>
            <w:tcW w:w="426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5"/>
                <w:szCs w:val="15"/>
                <w:color w:val="auto"/>
                <w:w w:val="93"/>
              </w:rPr>
              <w:t>Pension and post-retirement liability changes, net of tax expense</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of $0.7</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60"/>
        </w:trPr>
        <w:tc>
          <w:tcPr>
            <w:tcW w:w="4260" w:type="dxa"/>
            <w:vAlign w:val="bottom"/>
            <w:gridSpan w:val="2"/>
          </w:tcPr>
          <w:p>
            <w:pPr>
              <w:ind w:left="220"/>
              <w:spacing w:after="0" w:line="161" w:lineRule="exact"/>
              <w:rPr>
                <w:sz w:val="20"/>
                <w:szCs w:val="20"/>
                <w:color w:val="auto"/>
              </w:rPr>
            </w:pPr>
            <w:r>
              <w:rPr>
                <w:rFonts w:ascii="Arial" w:cs="Arial" w:eastAsia="Arial" w:hAnsi="Arial"/>
                <w:sz w:val="15"/>
                <w:szCs w:val="15"/>
                <w:color w:val="auto"/>
              </w:rPr>
              <w:t>Share of equity method investments other comprehensive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income</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96"/>
        </w:trPr>
        <w:tc>
          <w:tcPr>
            <w:tcW w:w="4260" w:type="dxa"/>
            <w:vAlign w:val="bottom"/>
            <w:gridSpan w:val="2"/>
          </w:tcPr>
          <w:p>
            <w:pPr>
              <w:ind w:left="220"/>
              <w:spacing w:after="0"/>
              <w:rPr>
                <w:sz w:val="20"/>
                <w:szCs w:val="20"/>
                <w:color w:val="auto"/>
              </w:rPr>
            </w:pPr>
            <w:r>
              <w:rPr>
                <w:rFonts w:ascii="Arial" w:cs="Arial" w:eastAsia="Arial" w:hAnsi="Arial"/>
                <w:sz w:val="15"/>
                <w:szCs w:val="15"/>
                <w:color w:val="auto"/>
              </w:rPr>
              <w:t>Change in cash flow hedges, net of tax benefit of $7.3</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05"/>
        </w:trPr>
        <w:tc>
          <w:tcPr>
            <w:tcW w:w="42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Treasury stock purchases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(305.5)</w:t>
            </w:r>
          </w:p>
        </w:tc>
        <w:tc>
          <w:tcPr>
            <w:tcW w:w="0" w:type="dxa"/>
            <w:vAlign w:val="bottom"/>
          </w:tcPr>
          <w:p>
            <w:pPr>
              <w:spacing w:after="0"/>
              <w:rPr>
                <w:sz w:val="1"/>
                <w:szCs w:val="1"/>
                <w:color w:val="auto"/>
              </w:rPr>
            </w:pPr>
          </w:p>
        </w:tc>
      </w:tr>
      <w:tr>
        <w:trPr>
          <w:trHeight w:val="21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September 30, 2022</w:t>
            </w:r>
          </w:p>
        </w:tc>
        <w:tc>
          <w:tcPr>
            <w:tcW w:w="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1,150.4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(4,337.9)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(305.2)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(Amounts in millions)</w:t>
            </w:r>
          </w:p>
        </w:tc>
        <w:tc>
          <w:tcPr>
            <w:tcW w:w="12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7"/>
                <w:szCs w:val="17"/>
                <w:b w:val="1"/>
                <w:bCs w:val="1"/>
                <w:color w:val="auto"/>
                <w:w w:val="90"/>
              </w:rPr>
              <w:t>For the Nine Months Ended September 30,</w:t>
            </w:r>
          </w:p>
        </w:tc>
      </w:tr>
      <w:tr>
        <w:trPr>
          <w:trHeight w:val="223"/>
        </w:trPr>
        <w:tc>
          <w:tcPr>
            <w:tcW w:w="7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6"/>
              <w:spacing w:after="0"/>
              <w:rPr>
                <w:sz w:val="20"/>
                <w:szCs w:val="20"/>
                <w:color w:val="auto"/>
              </w:rPr>
            </w:pPr>
            <w:r>
              <w:rPr>
                <w:rFonts w:ascii="Arial" w:cs="Arial" w:eastAsia="Arial" w:hAnsi="Arial"/>
                <w:sz w:val="17"/>
                <w:szCs w:val="17"/>
                <w:b w:val="1"/>
                <w:bCs w:val="1"/>
                <w:color w:val="auto"/>
              </w:rPr>
              <w:t>2022</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flows from operating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445.6</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402.7</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Income from equity method investments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Impairment on assets held for sale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Dividends from affiliates</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Restructuring charges, net of cash paid</w:t>
            </w: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Provision for credit losses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Unrealized losses, net on derivative contracts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Pension expense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Pension contributions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items, net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and notes receivable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(245.7)</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assets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Accrued expenses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Income taxes payable and receivable, net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Leases, net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1"/>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Other, net</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r>
      <w:tr>
        <w:trPr>
          <w:trHeight w:val="22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170.1</w:t>
            </w:r>
          </w:p>
        </w:tc>
      </w:tr>
      <w:tr>
        <w:trPr>
          <w:trHeight w:val="221"/>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the disposal of property, plant and equipment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Purchases of property, plant and equipment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(67.0)</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short-term investments</w:t>
            </w: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(124.5)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(68.2)</w:t>
            </w:r>
          </w:p>
        </w:tc>
      </w:tr>
      <w:tr>
        <w:trPr>
          <w:trHeight w:val="231"/>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Asset securitization borrowings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382.0</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Asset securitization payments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w:t>
            </w: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Long-term debt payments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of senior unsecured notes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Borrowings from credit facility</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1,547.5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1,967.5</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on credit facility</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(1,752.0)</w:t>
            </w: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Payments of deferred financing costs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employee stock purchases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1"/>
        </w:trPr>
        <w:tc>
          <w:tcPr>
            <w:tcW w:w="7820" w:type="dxa"/>
            <w:vAlign w:val="bottom"/>
          </w:tcPr>
          <w:p>
            <w:pPr>
              <w:ind w:left="220"/>
              <w:spacing w:after="0"/>
              <w:rPr>
                <w:sz w:val="20"/>
                <w:szCs w:val="20"/>
                <w:color w:val="auto"/>
              </w:rPr>
            </w:pPr>
            <w:r>
              <w:rPr>
                <w:rFonts w:ascii="Arial" w:cs="Arial" w:eastAsia="Arial" w:hAnsi="Arial"/>
                <w:sz w:val="17"/>
                <w:szCs w:val="17"/>
                <w:color w:val="auto"/>
              </w:rPr>
              <w:t>Repurchases of common stock</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(300.0)</w:t>
            </w:r>
          </w:p>
        </w:tc>
      </w:tr>
      <w:tr>
        <w:trPr>
          <w:trHeight w:val="233"/>
        </w:trPr>
        <w:tc>
          <w:tcPr>
            <w:tcW w:w="7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21"/>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dividends paid</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(142.0)</w:t>
            </w:r>
          </w:p>
        </w:tc>
      </w:tr>
      <w:tr>
        <w:trPr>
          <w:trHeight w:val="22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(89.1)</w:t>
            </w:r>
          </w:p>
        </w:tc>
      </w:tr>
      <w:tr>
        <w:trPr>
          <w:trHeight w:val="214"/>
        </w:trPr>
        <w:tc>
          <w:tcPr>
            <w:tcW w:w="7820" w:type="dxa"/>
            <w:vAlign w:val="bottom"/>
          </w:tcPr>
          <w:p>
            <w:pPr>
              <w:ind w:left="20"/>
              <w:spacing w:after="0"/>
              <w:rPr>
                <w:sz w:val="20"/>
                <w:szCs w:val="20"/>
                <w:color w:val="auto"/>
              </w:rPr>
            </w:pPr>
            <w:r>
              <w:rPr>
                <w:rFonts w:ascii="Arial" w:cs="Arial" w:eastAsia="Arial" w:hAnsi="Arial"/>
                <w:sz w:val="17"/>
                <w:szCs w:val="17"/>
                <w:color w:val="auto"/>
              </w:rPr>
              <w:t>Increase in cash and cash equivalents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3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balances classified as assets held for sale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7820" w:type="dxa"/>
            <w:vAlign w:val="bottom"/>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27"/>
        </w:trPr>
        <w:tc>
          <w:tcPr>
            <w:tcW w:w="7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27"/>
        </w:trPr>
        <w:tc>
          <w:tcPr>
            <w:tcW w:w="782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4"/>
        </w:trPr>
        <w:tc>
          <w:tcPr>
            <w:tcW w:w="7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21"/>
        </w:trPr>
        <w:tc>
          <w:tcPr>
            <w:tcW w:w="78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8"/>
        </w:trPr>
        <w:tc>
          <w:tcPr>
            <w:tcW w:w="7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820" w:type="dxa"/>
            <w:vAlign w:val="bottom"/>
          </w:tcPr>
          <w:p>
            <w:pPr>
              <w:ind w:left="220"/>
              <w:spacing w:after="0"/>
              <w:rPr>
                <w:sz w:val="20"/>
                <w:szCs w:val="20"/>
                <w:color w:val="auto"/>
              </w:rPr>
            </w:pPr>
            <w:r>
              <w:rPr>
                <w:rFonts w:ascii="Arial" w:cs="Arial" w:eastAsia="Arial" w:hAnsi="Arial"/>
                <w:sz w:val="17"/>
                <w:szCs w:val="17"/>
                <w:color w:val="auto"/>
              </w:rPr>
              <w:t>Income taxes paid (net of refunds)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w:t>
            </w: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900" w:h="16838" w:orient="portrait"/>
          <w:cols w:equalWidth="0" w:num="1">
            <w:col w:w="11180"/>
          </w:cols>
          <w:pgMar w:left="360" w:top="442" w:right="359" w:bottom="1440" w:gutter="0" w:footer="0" w:header="0"/>
        </w:sectPr>
      </w:pP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97790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42"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4"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References in this Quarterly Report on Form 10-Q to "we","our","us","LII" or the "Company" refer to Lennox International Inc. and its subsidiaries, unless the context requires otherwise.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7"/>
          <w:szCs w:val="17"/>
          <w:color w:val="auto"/>
        </w:rPr>
        <w:t>The accompanying unaudited Consolidated Balance Sheet as of September 30, 2023, the accompanying unaudited Consolidated Statements of Operations for the three and nine months ended September 30, 2023 and 2022, the accompanying unaudited Consolidated Statements of Comprehensive Income for the three and nine months ended September 30, 2023 and 2022, the accompanying unaudited Consolidated Statements of Stockholders' Equity (Deficit) for the three and nine months ended September 30, 2023 and 2022, and the accompanying unaudited Consolidated Statements of Cash Flows for the nine months ended September 30, 2023 and 2022 should be read in conjunction with our audited consolidated financial statements and footnotes included in our Annual Report on Form 10-K for the year ended December 31, 2022.</w:t>
      </w:r>
    </w:p>
    <w:p>
      <w:pPr>
        <w:spacing w:after="0" w:line="203"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21"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9"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1" w:lineRule="exact"/>
        <w:rPr>
          <w:sz w:val="20"/>
          <w:szCs w:val="20"/>
          <w:color w:val="auto"/>
        </w:rPr>
      </w:pPr>
    </w:p>
    <w:p>
      <w:pPr>
        <w:jc w:val="both"/>
        <w:ind w:right="20" w:firstLine="241"/>
        <w:spacing w:after="0" w:line="266" w:lineRule="auto"/>
        <w:rPr>
          <w:sz w:val="20"/>
          <w:szCs w:val="20"/>
          <w:color w:val="auto"/>
        </w:rPr>
      </w:pPr>
      <w:r>
        <w:rPr>
          <w:rFonts w:ascii="Arial" w:cs="Arial" w:eastAsia="Arial" w:hAnsi="Arial"/>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185"/>
        </w:trPr>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Markets Served</w:t>
            </w:r>
          </w:p>
        </w:tc>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5"/>
        </w:trPr>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7"/>
        </w:trPr>
        <w:tc>
          <w:tcPr>
            <w:tcW w:w="182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Residential</w:t>
            </w:r>
          </w:p>
        </w:tc>
        <w:tc>
          <w:tcPr>
            <w:tcW w:w="1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line="167" w:lineRule="exact"/>
              <w:rPr>
                <w:sz w:val="20"/>
                <w:szCs w:val="20"/>
                <w:color w:val="auto"/>
              </w:rPr>
            </w:pPr>
            <w:r>
              <w:rPr>
                <w:rFonts w:ascii="Arial" w:cs="Arial" w:eastAsia="Arial" w:hAnsi="Arial"/>
                <w:sz w:val="18"/>
                <w:szCs w:val="18"/>
                <w:color w:val="auto"/>
                <w:w w:val="90"/>
              </w:rPr>
              <w:t>Furnaces, air conditioners, heat pumps, packaged heating and</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United States</w:t>
            </w:r>
          </w:p>
        </w:tc>
      </w:tr>
      <w:tr>
        <w:trPr>
          <w:trHeight w:val="186"/>
        </w:trPr>
        <w:tc>
          <w:tcPr>
            <w:tcW w:w="1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40" w:type="dxa"/>
            <w:vAlign w:val="bottom"/>
            <w:gridSpan w:val="2"/>
            <w:shd w:val="clear" w:color="auto" w:fill="CCEEFF"/>
          </w:tcPr>
          <w:p>
            <w:pPr>
              <w:spacing w:after="0" w:line="186" w:lineRule="exact"/>
              <w:rPr>
                <w:sz w:val="20"/>
                <w:szCs w:val="20"/>
                <w:color w:val="auto"/>
              </w:rPr>
            </w:pPr>
            <w:r>
              <w:rPr>
                <w:rFonts w:ascii="Arial" w:cs="Arial" w:eastAsia="Arial" w:hAnsi="Arial"/>
                <w:sz w:val="18"/>
                <w:szCs w:val="18"/>
                <w:color w:val="auto"/>
                <w:w w:val="94"/>
              </w:rPr>
              <w:t>cooling systems, indoor air quality equipment, comfort control</w:t>
            </w:r>
          </w:p>
        </w:tc>
        <w:tc>
          <w:tcPr>
            <w:tcW w:w="288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8"/>
                <w:szCs w:val="18"/>
                <w:color w:val="auto"/>
              </w:rPr>
              <w:t>Residential New Construction</w:t>
            </w:r>
          </w:p>
        </w:tc>
        <w:tc>
          <w:tcPr>
            <w:tcW w:w="1720" w:type="dxa"/>
            <w:vAlign w:val="bottom"/>
            <w:shd w:val="clear" w:color="auto" w:fill="CCEEFF"/>
          </w:tcPr>
          <w:p>
            <w:pPr>
              <w:ind w:left="20"/>
              <w:spacing w:after="0" w:line="186" w:lineRule="exact"/>
              <w:rPr>
                <w:sz w:val="20"/>
                <w:szCs w:val="20"/>
                <w:color w:val="auto"/>
              </w:rPr>
            </w:pPr>
            <w:r>
              <w:rPr>
                <w:rFonts w:ascii="Arial" w:cs="Arial" w:eastAsia="Arial" w:hAnsi="Arial"/>
                <w:sz w:val="18"/>
                <w:szCs w:val="18"/>
                <w:color w:val="auto"/>
              </w:rPr>
              <w:t>Canada</w:t>
            </w:r>
          </w:p>
        </w:tc>
      </w:tr>
      <w:tr>
        <w:trPr>
          <w:trHeight w:val="228"/>
        </w:trPr>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products, replacement parts and supplies</w:t>
            </w:r>
          </w:p>
        </w:tc>
        <w:tc>
          <w:tcPr>
            <w:tcW w:w="2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Commercial</w:t>
            </w:r>
          </w:p>
        </w:tc>
        <w:tc>
          <w:tcPr>
            <w:tcW w:w="4640" w:type="dxa"/>
            <w:vAlign w:val="bottom"/>
            <w:gridSpan w:val="2"/>
          </w:tcPr>
          <w:p>
            <w:pPr>
              <w:spacing w:after="0" w:line="174" w:lineRule="exact"/>
              <w:rPr>
                <w:sz w:val="20"/>
                <w:szCs w:val="20"/>
                <w:color w:val="auto"/>
              </w:rPr>
            </w:pPr>
            <w:r>
              <w:rPr>
                <w:rFonts w:ascii="Arial" w:cs="Arial" w:eastAsia="Arial" w:hAnsi="Arial"/>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Light Commercial;</w:t>
            </w:r>
          </w:p>
        </w:tc>
        <w:tc>
          <w:tcPr>
            <w:tcW w:w="1720" w:type="dxa"/>
            <w:vAlign w:val="bottom"/>
          </w:tcPr>
          <w:p>
            <w:pPr>
              <w:ind w:left="20"/>
              <w:spacing w:after="0" w:line="174" w:lineRule="exact"/>
              <w:rPr>
                <w:sz w:val="20"/>
                <w:szCs w:val="20"/>
                <w:color w:val="auto"/>
              </w:rPr>
            </w:pPr>
            <w:r>
              <w:rPr>
                <w:rFonts w:ascii="Arial" w:cs="Arial" w:eastAsia="Arial" w:hAnsi="Arial"/>
                <w:sz w:val="18"/>
                <w:szCs w:val="18"/>
                <w:color w:val="auto"/>
              </w:rPr>
              <w:t>United States</w:t>
            </w:r>
          </w:p>
        </w:tc>
      </w:tr>
      <w:tr>
        <w:trPr>
          <w:trHeight w:val="186"/>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gridSpan w:val="2"/>
          </w:tcPr>
          <w:p>
            <w:pPr>
              <w:spacing w:after="0" w:line="186" w:lineRule="exact"/>
              <w:rPr>
                <w:sz w:val="20"/>
                <w:szCs w:val="20"/>
                <w:color w:val="auto"/>
              </w:rPr>
            </w:pPr>
            <w:r>
              <w:rPr>
                <w:rFonts w:ascii="Arial" w:cs="Arial" w:eastAsia="Arial" w:hAnsi="Arial"/>
                <w:sz w:val="18"/>
                <w:szCs w:val="18"/>
                <w:color w:val="auto"/>
              </w:rPr>
              <w:t>systems, controls, installation and service of commercial</w:t>
            </w:r>
          </w:p>
        </w:tc>
        <w:tc>
          <w:tcPr>
            <w:tcW w:w="288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Food Preservation;</w:t>
            </w:r>
          </w:p>
        </w:tc>
        <w:tc>
          <w:tcPr>
            <w:tcW w:w="1720" w:type="dxa"/>
            <w:vAlign w:val="bottom"/>
          </w:tcPr>
          <w:p>
            <w:pPr>
              <w:ind w:left="20"/>
              <w:spacing w:after="0" w:line="186" w:lineRule="exact"/>
              <w:rPr>
                <w:sz w:val="20"/>
                <w:szCs w:val="20"/>
                <w:color w:val="auto"/>
              </w:rPr>
            </w:pPr>
            <w:r>
              <w:rPr>
                <w:rFonts w:ascii="Arial" w:cs="Arial" w:eastAsia="Arial" w:hAnsi="Arial"/>
                <w:sz w:val="18"/>
                <w:szCs w:val="18"/>
                <w:color w:val="auto"/>
              </w:rPr>
              <w:t>Canada</w:t>
            </w:r>
          </w:p>
        </w:tc>
      </w:tr>
      <w:tr>
        <w:trPr>
          <w:trHeight w:val="175"/>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5" w:lineRule="exact"/>
              <w:rPr>
                <w:sz w:val="20"/>
                <w:szCs w:val="20"/>
                <w:color w:val="auto"/>
              </w:rPr>
            </w:pPr>
            <w:r>
              <w:rPr>
                <w:rFonts w:ascii="Arial" w:cs="Arial" w:eastAsia="Arial" w:hAnsi="Arial"/>
                <w:sz w:val="18"/>
                <w:szCs w:val="18"/>
                <w:color w:val="auto"/>
              </w:rPr>
              <w:t>heating and cooling equipment, variable refrigerant flow</w:t>
            </w:r>
          </w:p>
        </w:tc>
        <w:tc>
          <w:tcPr>
            <w:tcW w:w="28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Non-Food/Industrial</w:t>
            </w:r>
          </w:p>
        </w:tc>
        <w:tc>
          <w:tcPr>
            <w:tcW w:w="1720" w:type="dxa"/>
            <w:vAlign w:val="bottom"/>
          </w:tcPr>
          <w:p>
            <w:pPr>
              <w:spacing w:after="0"/>
              <w:rPr>
                <w:sz w:val="15"/>
                <w:szCs w:val="15"/>
                <w:color w:val="auto"/>
              </w:rPr>
            </w:pPr>
          </w:p>
        </w:tc>
      </w:tr>
      <w:tr>
        <w:trPr>
          <w:trHeight w:val="174"/>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4" w:lineRule="exact"/>
              <w:rPr>
                <w:sz w:val="20"/>
                <w:szCs w:val="20"/>
                <w:color w:val="auto"/>
              </w:rPr>
            </w:pPr>
            <w:r>
              <w:rPr>
                <w:rFonts w:ascii="Arial" w:cs="Arial" w:eastAsia="Arial" w:hAnsi="Arial"/>
                <w:sz w:val="18"/>
                <w:szCs w:val="18"/>
                <w:color w:val="auto"/>
              </w:rPr>
              <w:t>commercial products, condensing units, unit coolers, fluid</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6"/>
        </w:trPr>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gridSpan w:val="2"/>
          </w:tcPr>
          <w:p>
            <w:pPr>
              <w:spacing w:after="0" w:line="186" w:lineRule="exact"/>
              <w:rPr>
                <w:sz w:val="20"/>
                <w:szCs w:val="20"/>
                <w:color w:val="auto"/>
              </w:rPr>
            </w:pPr>
            <w:r>
              <w:rPr>
                <w:rFonts w:ascii="Arial" w:cs="Arial" w:eastAsia="Arial" w:hAnsi="Arial"/>
                <w:sz w:val="18"/>
                <w:szCs w:val="18"/>
                <w:color w:val="auto"/>
              </w:rPr>
              <w:t>coolers, air cooled condensers, air handlers, controls, and</w:t>
            </w: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7"/>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compressorized racks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pacing w:after="0" w:line="81"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Prior to January 1, 2023, we operated in three reportable business segments. In November 2022, we announced the decision to explore strategic alternatives for our European commercial HVAC and refrigeration businesses. We will continue to invest in our Heatcraft Worldwide Refrigeration business which became part of the Commercial segment effective on January 1, 2023 while the European portfolio will be presented with Corporate and Other until disposition. The consolidation of our Heatcraft business within the Commercial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 Recast Segment Results were presented in our March 31, 2023 Form 10-Q for both the previously presented segment results as well as the recast financial information to reflect the change in our segment presentation.</w:t>
      </w:r>
    </w:p>
    <w:p>
      <w:pPr>
        <w:spacing w:after="0" w:line="219" w:lineRule="exact"/>
        <w:rPr>
          <w:sz w:val="20"/>
          <w:szCs w:val="20"/>
          <w:color w:val="auto"/>
        </w:rPr>
      </w:pPr>
    </w:p>
    <w:p>
      <w:pPr>
        <w:jc w:val="both"/>
        <w:ind w:firstLine="241"/>
        <w:spacing w:after="0" w:line="281"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95"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Our corporate costs include those costs related to our European operations, as well as our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Segment Net Sales and Profit (Loss)</w:t>
      </w:r>
    </w:p>
    <w:p>
      <w:pPr>
        <w:spacing w:after="0" w:line="247"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3"/>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jc w:val="center"/>
              <w:ind w:right="300"/>
              <w:spacing w:after="0" w:line="163" w:lineRule="exact"/>
              <w:rPr>
                <w:sz w:val="20"/>
                <w:szCs w:val="20"/>
                <w:color w:val="auto"/>
              </w:rPr>
            </w:pPr>
            <w:r>
              <w:rPr>
                <w:rFonts w:ascii="Arial" w:cs="Arial" w:eastAsia="Arial" w:hAnsi="Arial"/>
                <w:sz w:val="16"/>
                <w:szCs w:val="16"/>
                <w:b w:val="1"/>
                <w:bCs w:val="1"/>
                <w:color w:val="auto"/>
                <w:w w:val="92"/>
              </w:rPr>
              <w:t>For the Three Months Ended</w:t>
            </w:r>
          </w:p>
        </w:tc>
        <w:tc>
          <w:tcPr>
            <w:tcW w:w="240" w:type="dxa"/>
            <w:vAlign w:val="bottom"/>
          </w:tcPr>
          <w:p>
            <w:pPr>
              <w:spacing w:after="0"/>
              <w:rPr>
                <w:sz w:val="14"/>
                <w:szCs w:val="14"/>
                <w:color w:val="auto"/>
              </w:rPr>
            </w:pPr>
          </w:p>
        </w:tc>
        <w:tc>
          <w:tcPr>
            <w:tcW w:w="2380" w:type="dxa"/>
            <w:vAlign w:val="bottom"/>
            <w:gridSpan w:val="4"/>
          </w:tcPr>
          <w:p>
            <w:pPr>
              <w:jc w:val="right"/>
              <w:ind w:right="272"/>
              <w:spacing w:after="0" w:line="163" w:lineRule="exact"/>
              <w:rPr>
                <w:sz w:val="20"/>
                <w:szCs w:val="20"/>
                <w:color w:val="auto"/>
              </w:rPr>
            </w:pPr>
            <w:r>
              <w:rPr>
                <w:rFonts w:ascii="Arial" w:cs="Arial" w:eastAsia="Arial" w:hAnsi="Arial"/>
                <w:sz w:val="16"/>
                <w:szCs w:val="16"/>
                <w:b w:val="1"/>
                <w:bCs w:val="1"/>
                <w:color w:val="auto"/>
                <w:w w:val="96"/>
              </w:rPr>
              <w:t>For the Nine Months Ended</w:t>
            </w:r>
          </w:p>
        </w:tc>
      </w:tr>
      <w:tr>
        <w:trPr>
          <w:trHeight w:val="211"/>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23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9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line="209" w:lineRule="exact"/>
              <w:rPr>
                <w:sz w:val="20"/>
                <w:szCs w:val="20"/>
                <w:color w:val="auto"/>
              </w:rPr>
            </w:pPr>
            <w:r>
              <w:rPr>
                <w:rFonts w:ascii="Arial" w:cs="Arial" w:eastAsia="Arial" w:hAnsi="Arial"/>
                <w:sz w:val="16"/>
                <w:szCs w:val="16"/>
                <w:b w:val="1"/>
                <w:bCs w:val="1"/>
                <w:color w:val="auto"/>
                <w:w w:val="95"/>
              </w:rPr>
              <w:t xml:space="preserve">2022 </w:t>
            </w:r>
            <w:r>
              <w:rPr>
                <w:rFonts w:ascii="Arial" w:cs="Arial" w:eastAsia="Arial" w:hAnsi="Arial"/>
                <w:sz w:val="20"/>
                <w:szCs w:val="20"/>
                <w:b w:val="1"/>
                <w:bCs w:val="1"/>
                <w:color w:val="auto"/>
                <w:w w:val="95"/>
                <w:vertAlign w:val="superscript"/>
              </w:rPr>
              <w:t>(2)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2"/>
              <w:spacing w:after="0" w:line="209" w:lineRule="exact"/>
              <w:rPr>
                <w:sz w:val="20"/>
                <w:szCs w:val="20"/>
                <w:color w:val="auto"/>
              </w:rPr>
            </w:pPr>
            <w:r>
              <w:rPr>
                <w:rFonts w:ascii="Arial" w:cs="Arial" w:eastAsia="Arial" w:hAnsi="Arial"/>
                <w:sz w:val="16"/>
                <w:szCs w:val="16"/>
                <w:b w:val="1"/>
                <w:bCs w:val="1"/>
                <w:color w:val="auto"/>
                <w:w w:val="95"/>
              </w:rPr>
              <w:t xml:space="preserve">2022 </w:t>
            </w:r>
            <w:r>
              <w:rPr>
                <w:rFonts w:ascii="Arial" w:cs="Arial" w:eastAsia="Arial" w:hAnsi="Arial"/>
                <w:sz w:val="20"/>
                <w:szCs w:val="20"/>
                <w:b w:val="1"/>
                <w:bCs w:val="1"/>
                <w:color w:val="auto"/>
                <w:w w:val="95"/>
                <w:vertAlign w:val="superscript"/>
              </w:rPr>
              <w:t>(2)</w:t>
            </w:r>
          </w:p>
        </w:tc>
      </w:tr>
      <w:tr>
        <w:trPr>
          <w:trHeight w:val="20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7"/>
        </w:trPr>
        <w:tc>
          <w:tcPr>
            <w:tcW w:w="592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835.3</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2,513.6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2,494.9</w:t>
            </w:r>
          </w:p>
        </w:tc>
      </w:tr>
      <w:tr>
        <w:trPr>
          <w:trHeight w:val="227"/>
        </w:trPr>
        <w:tc>
          <w:tcPr>
            <w:tcW w:w="59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r>
      <w:tr>
        <w:trPr>
          <w:trHeight w:val="227"/>
        </w:trPr>
        <w:tc>
          <w:tcPr>
            <w:tcW w:w="592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r>
      <w:tr>
        <w:trPr>
          <w:trHeight w:val="245"/>
        </w:trPr>
        <w:tc>
          <w:tcPr>
            <w:tcW w:w="5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3,624.6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7"/>
        </w:trPr>
        <w:tc>
          <w:tcPr>
            <w:tcW w:w="59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592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477.7</w:t>
            </w:r>
          </w:p>
        </w:tc>
      </w:tr>
      <w:tr>
        <w:trPr>
          <w:trHeight w:val="227"/>
        </w:trPr>
        <w:tc>
          <w:tcPr>
            <w:tcW w:w="59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b w:val="1"/>
                <w:bCs w:val="1"/>
                <w:color w:val="auto"/>
                <w:vertAlign w:val="superscript"/>
              </w:rPr>
              <w:t>(2)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27"/>
        </w:trPr>
        <w:tc>
          <w:tcPr>
            <w:tcW w:w="592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2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profit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r>
      <w:tr>
        <w:trPr>
          <w:trHeight w:val="227"/>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on assets held for sale</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4"/>
        </w:trPr>
        <w:tc>
          <w:tcPr>
            <w:tcW w:w="5920" w:type="dxa"/>
            <w:vAlign w:val="bottom"/>
          </w:tcPr>
          <w:p>
            <w:pPr>
              <w:ind w:left="20"/>
              <w:spacing w:after="0" w:line="174" w:lineRule="exact"/>
              <w:rPr>
                <w:sz w:val="20"/>
                <w:szCs w:val="20"/>
                <w:color w:val="auto"/>
              </w:rPr>
            </w:pPr>
            <w:r>
              <w:rPr>
                <w:rFonts w:ascii="Arial" w:cs="Arial" w:eastAsia="Arial" w:hAnsi="Arial"/>
                <w:sz w:val="18"/>
                <w:szCs w:val="18"/>
                <w:color w:val="auto"/>
                <w:w w:val="91"/>
              </w:rPr>
              <w:t>Items in Losses (gains) and other expenses, net that are excluded from segment</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0"/>
        </w:trPr>
        <w:tc>
          <w:tcPr>
            <w:tcW w:w="5920" w:type="dxa"/>
            <w:vAlign w:val="bottom"/>
          </w:tcPr>
          <w:p>
            <w:pPr>
              <w:ind w:left="20"/>
              <w:spacing w:after="0" w:line="241"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3"/>
                <w:szCs w:val="23"/>
                <w:color w:val="auto"/>
                <w:vertAlign w:val="superscript"/>
              </w:rPr>
              <w:t>(1)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7"/>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1"/>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185.8</w:t>
            </w: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524.6</w:t>
            </w:r>
          </w:p>
        </w:tc>
      </w:tr>
      <w:tr>
        <w:trPr>
          <w:trHeight w:val="20"/>
        </w:trPr>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hanging="173"/>
        <w:spacing w:after="0"/>
        <w:tabs>
          <w:tab w:leader="none" w:pos="420" w:val="left"/>
        </w:tabs>
        <w:numPr>
          <w:ilvl w:val="1"/>
          <w:numId w:val="4"/>
        </w:numPr>
        <w:rPr>
          <w:rFonts w:ascii="Arial" w:cs="Arial" w:eastAsia="Arial" w:hAnsi="Arial"/>
          <w:sz w:val="21"/>
          <w:szCs w:val="21"/>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3" w:lineRule="exact"/>
        <w:rPr>
          <w:rFonts w:ascii="Arial" w:cs="Arial" w:eastAsia="Arial" w:hAnsi="Arial"/>
          <w:sz w:val="21"/>
          <w:szCs w:val="21"/>
          <w:color w:val="auto"/>
          <w:vertAlign w:val="superscript"/>
        </w:rPr>
      </w:pPr>
    </w:p>
    <w:p>
      <w:pPr>
        <w:ind w:left="1040" w:hanging="232"/>
        <w:spacing w:after="0"/>
        <w:tabs>
          <w:tab w:leader="none" w:pos="10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3" w:lineRule="exact"/>
        <w:rPr>
          <w:rFonts w:ascii="Arial" w:cs="Arial" w:eastAsia="Arial" w:hAnsi="Arial"/>
          <w:sz w:val="18"/>
          <w:szCs w:val="18"/>
          <w:color w:val="auto"/>
        </w:rPr>
      </w:pPr>
    </w:p>
    <w:p>
      <w:pPr>
        <w:ind w:left="1680" w:hanging="230"/>
        <w:spacing w:after="0"/>
        <w:tabs>
          <w:tab w:leader="none" w:pos="1680" w:val="left"/>
        </w:tabs>
        <w:numPr>
          <w:ilvl w:val="3"/>
          <w:numId w:val="4"/>
        </w:numPr>
        <w:rPr>
          <w:rFonts w:ascii="Arial" w:cs="Arial" w:eastAsia="Arial" w:hAnsi="Arial"/>
          <w:sz w:val="18"/>
          <w:szCs w:val="18"/>
          <w:color w:val="auto"/>
        </w:rPr>
      </w:pPr>
      <w:r>
        <w:rPr>
          <w:rFonts w:ascii="Arial" w:cs="Arial" w:eastAsia="Arial" w:hAnsi="Arial"/>
          <w:sz w:val="18"/>
          <w:szCs w:val="18"/>
          <w:color w:val="auto"/>
        </w:rPr>
        <w:t>Net change in unrealized (gains) losses on unsettled futures contracts,</w:t>
      </w:r>
    </w:p>
    <w:p>
      <w:pPr>
        <w:spacing w:after="0" w:line="6" w:lineRule="exact"/>
        <w:rPr>
          <w:rFonts w:ascii="Arial" w:cs="Arial" w:eastAsia="Arial" w:hAnsi="Arial"/>
          <w:sz w:val="18"/>
          <w:szCs w:val="18"/>
          <w:color w:val="auto"/>
        </w:rPr>
      </w:pPr>
    </w:p>
    <w:p>
      <w:pPr>
        <w:ind w:left="1680" w:hanging="230"/>
        <w:spacing w:after="0"/>
        <w:tabs>
          <w:tab w:leader="none" w:pos="1680" w:val="left"/>
        </w:tabs>
        <w:numPr>
          <w:ilvl w:val="3"/>
          <w:numId w:val="4"/>
        </w:numPr>
        <w:rPr>
          <w:rFonts w:ascii="Arial" w:cs="Arial" w:eastAsia="Arial" w:hAnsi="Arial"/>
          <w:sz w:val="18"/>
          <w:szCs w:val="18"/>
          <w:color w:val="auto"/>
        </w:rPr>
      </w:pPr>
      <w:r>
        <w:rPr>
          <w:rFonts w:ascii="Arial" w:cs="Arial" w:eastAsia="Arial" w:hAnsi="Arial"/>
          <w:sz w:val="18"/>
          <w:szCs w:val="18"/>
          <w:color w:val="auto"/>
        </w:rPr>
        <w:t>Environmental liabilities and special litigation charges, and;</w:t>
      </w:r>
    </w:p>
    <w:p>
      <w:pPr>
        <w:spacing w:after="0" w:line="6" w:lineRule="exact"/>
        <w:rPr>
          <w:rFonts w:ascii="Arial" w:cs="Arial" w:eastAsia="Arial" w:hAnsi="Arial"/>
          <w:sz w:val="18"/>
          <w:szCs w:val="18"/>
          <w:color w:val="auto"/>
        </w:rPr>
      </w:pPr>
    </w:p>
    <w:p>
      <w:pPr>
        <w:ind w:left="1680" w:hanging="230"/>
        <w:spacing w:after="0"/>
        <w:tabs>
          <w:tab w:leader="none" w:pos="1680" w:val="left"/>
        </w:tabs>
        <w:numPr>
          <w:ilvl w:val="3"/>
          <w:numId w:val="4"/>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6" w:lineRule="exact"/>
        <w:rPr>
          <w:rFonts w:ascii="Arial" w:cs="Arial" w:eastAsia="Arial" w:hAnsi="Arial"/>
          <w:sz w:val="18"/>
          <w:szCs w:val="18"/>
          <w:color w:val="auto"/>
        </w:rPr>
      </w:pPr>
    </w:p>
    <w:p>
      <w:pPr>
        <w:ind w:left="1040" w:hanging="232"/>
        <w:spacing w:after="0"/>
        <w:tabs>
          <w:tab w:leader="none" w:pos="1040" w:val="left"/>
        </w:tabs>
        <w:numPr>
          <w:ilvl w:val="2"/>
          <w:numId w:val="4"/>
        </w:numPr>
        <w:rPr>
          <w:rFonts w:ascii="Arial" w:cs="Arial" w:eastAsia="Arial" w:hAnsi="Arial"/>
          <w:sz w:val="18"/>
          <w:szCs w:val="18"/>
          <w:color w:val="auto"/>
        </w:rPr>
      </w:pPr>
      <w:r>
        <w:rPr>
          <w:rFonts w:ascii="Arial" w:cs="Arial" w:eastAsia="Arial" w:hAnsi="Arial"/>
          <w:sz w:val="18"/>
          <w:szCs w:val="18"/>
          <w:color w:val="auto"/>
        </w:rPr>
        <w:t>Restructuring charges and;</w:t>
      </w:r>
    </w:p>
    <w:p>
      <w:pPr>
        <w:spacing w:after="0" w:line="6" w:lineRule="exact"/>
        <w:rPr>
          <w:rFonts w:ascii="Arial" w:cs="Arial" w:eastAsia="Arial" w:hAnsi="Arial"/>
          <w:sz w:val="18"/>
          <w:szCs w:val="18"/>
          <w:color w:val="auto"/>
        </w:rPr>
      </w:pPr>
    </w:p>
    <w:p>
      <w:pPr>
        <w:ind w:left="1040" w:hanging="232"/>
        <w:spacing w:after="0"/>
        <w:tabs>
          <w:tab w:leader="none" w:pos="1040" w:val="left"/>
        </w:tabs>
        <w:numPr>
          <w:ilvl w:val="2"/>
          <w:numId w:val="4"/>
        </w:numPr>
        <w:rPr>
          <w:rFonts w:ascii="Arial" w:cs="Arial" w:eastAsia="Arial" w:hAnsi="Arial"/>
          <w:sz w:val="18"/>
          <w:szCs w:val="18"/>
          <w:color w:val="auto"/>
        </w:rPr>
      </w:pPr>
      <w:r>
        <w:rPr>
          <w:rFonts w:ascii="Arial" w:cs="Arial" w:eastAsia="Arial" w:hAnsi="Arial"/>
          <w:sz w:val="18"/>
          <w:szCs w:val="18"/>
          <w:color w:val="auto"/>
        </w:rPr>
        <w:t>Impairment on assets held for sale</w:t>
      </w:r>
    </w:p>
    <w:p>
      <w:pPr>
        <w:spacing w:after="0" w:line="139" w:lineRule="exact"/>
        <w:rPr>
          <w:rFonts w:ascii="Arial" w:cs="Arial" w:eastAsia="Arial" w:hAnsi="Arial"/>
          <w:sz w:val="18"/>
          <w:szCs w:val="18"/>
          <w:color w:val="auto"/>
        </w:rPr>
      </w:pPr>
    </w:p>
    <w:p>
      <w:pPr>
        <w:ind w:left="420" w:hanging="173"/>
        <w:spacing w:after="0"/>
        <w:tabs>
          <w:tab w:leader="none" w:pos="420" w:val="left"/>
        </w:tabs>
        <w:numPr>
          <w:ilvl w:val="1"/>
          <w:numId w:val="4"/>
        </w:numPr>
        <w:rPr>
          <w:rFonts w:ascii="Arial" w:cs="Arial" w:eastAsia="Arial" w:hAnsi="Arial"/>
          <w:sz w:val="21"/>
          <w:szCs w:val="21"/>
          <w:color w:val="auto"/>
          <w:vertAlign w:val="superscript"/>
        </w:rPr>
      </w:pPr>
      <w:r>
        <w:rPr>
          <w:rFonts w:ascii="Arial" w:cs="Arial" w:eastAsia="Arial" w:hAnsi="Arial"/>
          <w:sz w:val="16"/>
          <w:szCs w:val="16"/>
          <w:color w:val="auto"/>
        </w:rPr>
        <w:t>2022 results have been recast to reflect the realignment of our reportable segments.</w:t>
      </w:r>
    </w:p>
    <w:p>
      <w:pPr>
        <w:spacing w:after="0" w:line="223" w:lineRule="exact"/>
        <w:rPr>
          <w:rFonts w:ascii="Arial" w:cs="Arial" w:eastAsia="Arial" w:hAnsi="Arial"/>
          <w:sz w:val="21"/>
          <w:szCs w:val="21"/>
          <w:color w:val="auto"/>
          <w:vertAlign w:val="superscript"/>
        </w:rPr>
      </w:pPr>
    </w:p>
    <w:p>
      <w:pPr>
        <w:ind w:left="180" w:hanging="173"/>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The computations of basic and diluted earnings per share were as follows (in millions,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18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1"/>
        </w:trPr>
        <w:tc>
          <w:tcPr>
            <w:tcW w:w="6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September 30,</w:t>
            </w:r>
          </w:p>
        </w:tc>
      </w:tr>
      <w:tr>
        <w:trPr>
          <w:trHeight w:val="207"/>
        </w:trPr>
        <w:tc>
          <w:tcPr>
            <w:tcW w:w="6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402.7</w:t>
            </w:r>
          </w:p>
        </w:tc>
      </w:tr>
      <w:tr>
        <w:trPr>
          <w:trHeight w:val="267"/>
        </w:trPr>
        <w:tc>
          <w:tcPr>
            <w:tcW w:w="6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r>
      <w:tr>
        <w:trPr>
          <w:trHeight w:val="22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2"/>
        </w:trPr>
        <w:tc>
          <w:tcPr>
            <w:tcW w:w="6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per share – 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2"/>
        </w:trPr>
        <w:tc>
          <w:tcPr>
            <w:tcW w:w="6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per share –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160"/>
        <w:spacing w:after="0" w:line="270"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640" w:type="dxa"/>
            <w:vAlign w:val="bottom"/>
            <w:gridSpan w:val="5"/>
          </w:tcPr>
          <w:p>
            <w:pPr>
              <w:ind w:left="260"/>
              <w:spacing w:after="0"/>
              <w:rPr>
                <w:sz w:val="20"/>
                <w:szCs w:val="20"/>
                <w:color w:val="auto"/>
              </w:rPr>
            </w:pPr>
            <w:r>
              <w:rPr>
                <w:rFonts w:ascii="Arial" w:cs="Arial" w:eastAsia="Arial" w:hAnsi="Arial"/>
                <w:sz w:val="16"/>
                <w:szCs w:val="16"/>
                <w:b w:val="1"/>
                <w:bCs w:val="1"/>
                <w:color w:val="auto"/>
              </w:rPr>
              <w:t>For the Three Months Ended September 30,</w:t>
            </w:r>
          </w:p>
        </w:tc>
        <w:tc>
          <w:tcPr>
            <w:tcW w:w="3360" w:type="dxa"/>
            <w:vAlign w:val="bottom"/>
            <w:gridSpan w:val="3"/>
          </w:tcPr>
          <w:p>
            <w:pPr>
              <w:jc w:val="right"/>
              <w:ind w:right="115"/>
              <w:spacing w:after="0"/>
              <w:rPr>
                <w:sz w:val="20"/>
                <w:szCs w:val="20"/>
                <w:color w:val="auto"/>
              </w:rPr>
            </w:pPr>
            <w:r>
              <w:rPr>
                <w:rFonts w:ascii="Arial" w:cs="Arial" w:eastAsia="Arial" w:hAnsi="Arial"/>
                <w:sz w:val="16"/>
                <w:szCs w:val="16"/>
                <w:b w:val="1"/>
                <w:bCs w:val="1"/>
                <w:color w:val="auto"/>
                <w:w w:val="97"/>
              </w:rPr>
              <w:t>For the Nine Months Ended September 30,</w:t>
            </w:r>
          </w:p>
        </w:tc>
      </w:tr>
      <w:tr>
        <w:trPr>
          <w:trHeight w:val="207"/>
        </w:trPr>
        <w:tc>
          <w:tcPr>
            <w:tcW w:w="42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6"/>
                <w:szCs w:val="16"/>
                <w:b w:val="1"/>
                <w:bCs w:val="1"/>
                <w:color w:val="auto"/>
              </w:rPr>
              <w:t>2022</w:t>
            </w: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0" w:lineRule="exact"/>
        <w:rPr>
          <w:sz w:val="20"/>
          <w:szCs w:val="20"/>
          <w:color w:val="auto"/>
        </w:rPr>
      </w:pPr>
    </w:p>
    <w:p>
      <w:pPr>
        <w:jc w:val="both"/>
        <w:ind w:firstLine="241"/>
        <w:spacing w:after="0" w:line="249"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22"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6"/>
          <w:szCs w:val="16"/>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91"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05"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lease certain real and personal property under non-cancelable operating leases. Approximately 81%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12"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 as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2023</w:t>
            </w: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December 31, 2022</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jc w:val="right"/>
              <w:ind w:right="16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2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r>
      <w:tr>
        <w:trPr>
          <w:trHeight w:val="246"/>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warranty liability</w:t>
            </w:r>
          </w:p>
        </w:tc>
        <w:tc>
          <w:tcPr>
            <w:tcW w:w="1820" w:type="dxa"/>
            <w:vAlign w:val="bottom"/>
            <w:tcBorders>
              <w:bottom w:val="single" w:sz="8" w:color="auto"/>
            </w:tcBorders>
            <w:shd w:val="clear" w:color="auto" w:fill="CCEEFF"/>
          </w:tcPr>
          <w:p>
            <w:pPr>
              <w:jc w:val="right"/>
              <w:ind w:right="1634"/>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144.6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changes in product warranty liabilities related to continuing operations for the nine months ended September 30, 2023 were as follows (in millions):</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December 31, 2022</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Warranty claims paid</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7"/>
        </w:trPr>
        <w:tc>
          <w:tcPr>
            <w:tcW w:w="9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Warranty liability reclassified as liabilities held for sale</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September 30, 2023</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144.6</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are involved in a number of claims and lawsuits incidental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Repurchases:</w:t>
      </w:r>
    </w:p>
    <w:p>
      <w:pPr>
        <w:spacing w:after="0" w:line="251"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September 30, 2023, $546 million was available for repurchase under the Share Repurchase Plans.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Assets Held for Sale:</w:t>
      </w:r>
    </w:p>
    <w:p>
      <w:pPr>
        <w:spacing w:after="0" w:line="251" w:lineRule="exact"/>
        <w:rPr>
          <w:sz w:val="20"/>
          <w:szCs w:val="20"/>
          <w:color w:val="auto"/>
        </w:rPr>
      </w:pPr>
    </w:p>
    <w:p>
      <w:pPr>
        <w:jc w:val="both"/>
        <w:ind w:firstLine="241"/>
        <w:spacing w:after="0" w:line="297" w:lineRule="auto"/>
        <w:rPr>
          <w:sz w:val="20"/>
          <w:szCs w:val="20"/>
          <w:color w:val="auto"/>
        </w:rPr>
      </w:pPr>
      <w:r>
        <w:rPr>
          <w:rFonts w:ascii="Arial" w:cs="Arial" w:eastAsia="Arial" w:hAnsi="Arial"/>
          <w:sz w:val="16"/>
          <w:szCs w:val="16"/>
          <w:color w:val="auto"/>
        </w:rPr>
        <w:t>During the third quarter of 2023, we obtained Board approval and reached agreements to sell our European commercial HVAC and refrigeration businesses as well as our European Process Cooling business, both of which are expected to close in the fourth quarter of 2023. All of these businesses are included in the Corporate and Other segment. We have reclassified the assets and liabilities associated with these businesses to assets and liabilities held for sale. The following table presents the assets and liabilities classified as held for sale as of September 30, 2023 (in millions).</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and notes receivable, net of allowances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Property, plant, and equipment, net of accumulated depreciation</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7"/>
        </w:trPr>
        <w:tc>
          <w:tcPr>
            <w:tcW w:w="9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4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held for sale as of September 30, 2023</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9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liabilities</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0"/>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Total liabilities held for sale as of September 30, 2023</w:t>
            </w: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r>
      <w:tr>
        <w:trPr>
          <w:trHeight w:val="20"/>
        </w:trPr>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Based on the expected fair value of the consideration to be received for these businesses, net of our costs to sell, we recorded an impairment on assets held for sale of $63.2 million related to the sale of our European commercial HVAC and refrigeration businesses. The consideration will be a combination of cash, a note receivable, and contingent consideration. The impairment consists of a $38.3 million valuation allowance for the difference between the consideration, net of our cost to sell and the carrying value of the net assets, including related amounts in Accumulated Other Comprehensive Loss, $22.6 million impairment of Property, plant, and equipment, and a $2.3 million impairment of goodwill. The operating profits and losses generated from these businesses are not material for any period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Recognition:</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3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6"/>
                <w:szCs w:val="16"/>
                <w:b w:val="1"/>
                <w:bCs w:val="1"/>
                <w:color w:val="auto"/>
                <w:w w:val="95"/>
              </w:rPr>
              <w:t>For the Three Months Ended September 30, 2023</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Commercial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3"/>
              </w:rPr>
              <w:t>Corporate and 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1,218.9</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214"/>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896.3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1,366.3</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214"/>
        </w:trPr>
        <w:tc>
          <w:tcPr>
            <w:tcW w:w="3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6"/>
            <w:shd w:val="clear" w:color="auto" w:fill="CCEEFF"/>
          </w:tcPr>
          <w:p>
            <w:pPr>
              <w:jc w:val="center"/>
              <w:ind w:right="60"/>
              <w:spacing w:after="0"/>
              <w:rPr>
                <w:sz w:val="20"/>
                <w:szCs w:val="20"/>
                <w:color w:val="auto"/>
              </w:rPr>
            </w:pPr>
            <w:r>
              <w:rPr>
                <w:rFonts w:ascii="Arial" w:cs="Arial" w:eastAsia="Arial" w:hAnsi="Arial"/>
                <w:sz w:val="16"/>
                <w:szCs w:val="16"/>
                <w:b w:val="1"/>
                <w:bCs w:val="1"/>
                <w:color w:val="auto"/>
                <w:w w:val="91"/>
              </w:rPr>
              <w:t>For the Three Months Ended September 30, 2022</w:t>
            </w:r>
            <w:r>
              <w:rPr>
                <w:rFonts w:ascii="Arial" w:cs="Arial" w:eastAsia="Arial" w:hAnsi="Arial"/>
                <w:sz w:val="10"/>
                <w:szCs w:val="10"/>
                <w:b w:val="1"/>
                <w:bCs w:val="1"/>
                <w:color w:val="auto"/>
                <w:w w:val="91"/>
              </w:rPr>
              <w:t>(1)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Commercial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3"/>
              </w:rPr>
              <w:t>Corporate and 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1,111.7</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14"/>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352.3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1,244.9</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54"/>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3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560" w:type="dxa"/>
            <w:vAlign w:val="bottom"/>
            <w:tcBorders>
              <w:bottom w:val="single" w:sz="8" w:color="auto"/>
            </w:tcBorders>
            <w:gridSpan w:val="5"/>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91"/>
              </w:rPr>
              <w:t>For the Nine Months Ended September 30, 2023</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Commercial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3"/>
              </w:rPr>
              <w:t>Corporate and 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3,403.5</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231.6</w:t>
            </w:r>
          </w:p>
        </w:tc>
      </w:tr>
      <w:tr>
        <w:trPr>
          <w:trHeight w:val="214"/>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2,513.6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3,827.1</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48"/>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36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80" w:type="dxa"/>
            <w:vAlign w:val="bottom"/>
            <w:tcBorders>
              <w:bottom w:val="single" w:sz="8" w:color="auto"/>
            </w:tcBorders>
            <w:gridSpan w:val="6"/>
            <w:shd w:val="clear" w:color="auto" w:fill="CCEEFF"/>
          </w:tcPr>
          <w:p>
            <w:pPr>
              <w:jc w:val="center"/>
              <w:ind w:right="60"/>
              <w:spacing w:after="0"/>
              <w:rPr>
                <w:sz w:val="20"/>
                <w:szCs w:val="20"/>
                <w:color w:val="auto"/>
              </w:rPr>
            </w:pPr>
            <w:r>
              <w:rPr>
                <w:rFonts w:ascii="Arial" w:cs="Arial" w:eastAsia="Arial" w:hAnsi="Arial"/>
                <w:sz w:val="16"/>
                <w:szCs w:val="16"/>
                <w:b w:val="1"/>
                <w:bCs w:val="1"/>
                <w:color w:val="auto"/>
                <w:w w:val="91"/>
              </w:rPr>
              <w:t xml:space="preserve">For the Nine Months Ended September 30, 2022 </w:t>
            </w:r>
            <w:r>
              <w:rPr>
                <w:rFonts w:ascii="Arial" w:cs="Arial" w:eastAsia="Arial" w:hAnsi="Arial"/>
                <w:sz w:val="10"/>
                <w:szCs w:val="10"/>
                <w:b w:val="1"/>
                <w:bCs w:val="1"/>
                <w:color w:val="auto"/>
                <w:w w:val="91"/>
              </w:rPr>
              <w:t>(1)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Residential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Commercial</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3"/>
              </w:rPr>
              <w:t>Corporate and Other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3,226.6</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226.9</w:t>
            </w:r>
          </w:p>
        </w:tc>
      </w:tr>
      <w:tr>
        <w:trPr>
          <w:trHeight w:val="214"/>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2,494.9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3,624.6</w:t>
            </w: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40" w:firstLine="8"/>
        <w:spacing w:after="0" w:line="295" w:lineRule="auto"/>
        <w:tabs>
          <w:tab w:leader="none" w:pos="804"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As discussed in Note 2, we adjusted our segment reporting to include the results of our Heatcraft businesses in Commercial and the results of our European portfolio in Corporate and Other. The amounts for the three and nine months ended September 30, 2022 have been recast to reflect the revised segment presentation.</w:t>
      </w:r>
    </w:p>
    <w:p>
      <w:pPr>
        <w:spacing w:after="0" w:line="185" w:lineRule="exact"/>
        <w:rPr>
          <w:sz w:val="20"/>
          <w:szCs w:val="20"/>
          <w:color w:val="auto"/>
        </w:rPr>
      </w:pPr>
    </w:p>
    <w:p>
      <w:pPr>
        <w:jc w:val="both"/>
        <w:ind w:firstLine="241"/>
        <w:spacing w:after="0" w:line="290" w:lineRule="auto"/>
        <w:rPr>
          <w:sz w:val="20"/>
          <w:szCs w:val="20"/>
          <w:color w:val="auto"/>
        </w:rPr>
      </w:pPr>
      <w:r>
        <w:rPr>
          <w:rFonts w:ascii="Arial" w:cs="Arial" w:eastAsia="Arial" w:hAnsi="Arial"/>
          <w:sz w:val="16"/>
          <w:szCs w:val="16"/>
          <w:b w:val="1"/>
          <w:bCs w:val="1"/>
          <w:color w:val="auto"/>
        </w:rPr>
        <w:t xml:space="preserve">Residential </w:t>
      </w:r>
      <w:r>
        <w:rPr>
          <w:rFonts w:ascii="Arial" w:cs="Arial" w:eastAsia="Arial" w:hAnsi="Arial"/>
          <w:sz w:val="16"/>
          <w:szCs w:val="16"/>
          <w:color w:val="auto"/>
        </w:rPr>
        <w:t>- We manufacture and market a broad range of furnaces, air conditioners, heat pumps, packaged heating and cooling systems, equipment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2023 and 2022, direct sales represented 77% and 72% of revenues, and sales to independent distributors represented the remainder. For the nine months ended September 30, 2023 and 2022, direct sales represented 75% and 70% of revenues, and sales to independent distributors represented the remainder.</w:t>
      </w:r>
    </w:p>
    <w:p>
      <w:pPr>
        <w:spacing w:after="0" w:line="189" w:lineRule="exact"/>
        <w:rPr>
          <w:sz w:val="20"/>
          <w:szCs w:val="20"/>
          <w:color w:val="auto"/>
        </w:rPr>
      </w:pPr>
    </w:p>
    <w:p>
      <w:pPr>
        <w:jc w:val="both"/>
        <w:ind w:firstLine="241"/>
        <w:spacing w:after="0" w:line="286" w:lineRule="auto"/>
        <w:rPr>
          <w:sz w:val="20"/>
          <w:szCs w:val="20"/>
          <w:color w:val="auto"/>
        </w:rPr>
      </w:pPr>
      <w:r>
        <w:rPr>
          <w:rFonts w:ascii="Arial" w:cs="Arial" w:eastAsia="Arial" w:hAnsi="Arial"/>
          <w:sz w:val="16"/>
          <w:szCs w:val="16"/>
          <w:b w:val="1"/>
          <w:bCs w:val="1"/>
          <w:color w:val="auto"/>
        </w:rPr>
        <w:t xml:space="preserve">Commercial </w:t>
      </w:r>
      <w:r>
        <w:rPr>
          <w:rFonts w:ascii="Arial" w:cs="Arial" w:eastAsia="Arial" w:hAnsi="Arial"/>
          <w:sz w:val="16"/>
          <w:szCs w:val="16"/>
          <w:color w:val="auto"/>
        </w:rPr>
        <w:t>- In North America, we manufacture and sell unitary heating and cooling equipment used in light commercial applications, such as low-rise</w:t>
      </w:r>
      <w:r>
        <w:rPr>
          <w:rFonts w:ascii="Arial" w:cs="Arial" w:eastAsia="Arial" w:hAnsi="Arial"/>
          <w:sz w:val="16"/>
          <w:szCs w:val="16"/>
          <w:b w:val="1"/>
          <w:bCs w:val="1"/>
          <w:color w:val="auto"/>
        </w:rPr>
        <w:t xml:space="preserve"> </w:t>
      </w:r>
      <w:r>
        <w:rPr>
          <w:rFonts w:ascii="Arial" w:cs="Arial" w:eastAsia="Arial" w:hAnsi="Arial"/>
          <w:sz w:val="16"/>
          <w:szCs w:val="16"/>
          <w:color w:val="auto"/>
        </w:rPr>
        <w:t>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 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For the three months ended September 30, 2023 and 2022, equipment sales represented 88% and 88% of revenues and the remainder of our revenue was generated from our service business. For the nine months ended September 30, 2023 and 2022, equipment sales represented 87% and 87% of revenues and the remainder of our revenue was generated from our service business.</w:t>
      </w:r>
    </w:p>
    <w:p>
      <w:pPr>
        <w:spacing w:after="0" w:line="191" w:lineRule="exact"/>
        <w:rPr>
          <w:sz w:val="20"/>
          <w:szCs w:val="20"/>
          <w:color w:val="auto"/>
        </w:rPr>
      </w:pPr>
    </w:p>
    <w:p>
      <w:pPr>
        <w:jc w:val="both"/>
        <w:ind w:firstLine="241"/>
        <w:spacing w:after="0" w:line="261"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 In Europe, we manufacture and market equipment for the global commercial refrigeration markets. We also manufacture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unitary heating and cooling products and applied systems. A de minimis amount of segment revenue relates to services for start-up and commissioning activities.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jc w:val="both"/>
        <w:ind w:firstLine="241"/>
        <w:spacing w:after="0" w:line="275"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 Our contract liabilities consist of advance payments and deferred revenue. Net contract liabilities consisted of the following (in</w:t>
      </w:r>
      <w:r>
        <w:rPr>
          <w:rFonts w:ascii="Arial" w:cs="Arial" w:eastAsia="Arial" w:hAnsi="Arial"/>
          <w:sz w:val="18"/>
          <w:szCs w:val="18"/>
          <w:b w:val="1"/>
          <w:bCs w:val="1"/>
          <w:color w:val="auto"/>
        </w:rPr>
        <w:t xml:space="preserve"> </w:t>
      </w:r>
      <w:r>
        <w:rPr>
          <w:rFonts w:ascii="Arial" w:cs="Arial" w:eastAsia="Arial" w:hAnsi="Arial"/>
          <w:sz w:val="18"/>
          <w:szCs w:val="18"/>
          <w:color w:val="auto"/>
        </w:rPr>
        <w:t>millions) as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402"/>
              <w:spacing w:after="0"/>
              <w:rPr>
                <w:sz w:val="20"/>
                <w:szCs w:val="20"/>
                <w:color w:val="auto"/>
              </w:rPr>
            </w:pPr>
            <w:r>
              <w:rPr>
                <w:rFonts w:ascii="Arial" w:cs="Arial" w:eastAsia="Arial" w:hAnsi="Arial"/>
                <w:sz w:val="14"/>
                <w:szCs w:val="14"/>
                <w:b w:val="1"/>
                <w:bCs w:val="1"/>
                <w:color w:val="auto"/>
              </w:rPr>
              <w:t>December 31, 2022</w:t>
            </w:r>
          </w:p>
        </w:tc>
      </w:tr>
      <w:tr>
        <w:trPr>
          <w:trHeight w:val="204"/>
        </w:trPr>
        <w:tc>
          <w:tcPr>
            <w:tcW w:w="708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14"/>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For the three months ended September 30, 2023 and 2022, we recognized revenue of $2.8 million and $3.6 million and for the nine months ended we recognized revenue of $7.0 million and $9.5 million related to our contract liabilities at January 1, 2023 and 2022, respectively. Impairment losses recognized in our receivables and contract assets were de minimis in 2023 and 2022.</w:t>
      </w:r>
    </w:p>
    <w:p>
      <w:pPr>
        <w:spacing w:after="0" w:line="208" w:lineRule="exact"/>
        <w:rPr>
          <w:sz w:val="20"/>
          <w:szCs w:val="20"/>
          <w:color w:val="auto"/>
        </w:rPr>
      </w:pPr>
    </w:p>
    <w:p>
      <w:pPr>
        <w:ind w:right="8400" w:firstLine="7"/>
        <w:spacing w:after="0" w:line="257" w:lineRule="auto"/>
        <w:tabs>
          <w:tab w:leader="none" w:pos="17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spacing w:after="0" w:line="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 as of:</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76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r>
      <w:tr>
        <w:trPr>
          <w:trHeight w:val="227"/>
        </w:trPr>
        <w:tc>
          <w:tcPr>
            <w:tcW w:w="7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7"/>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20"/>
        </w:trPr>
        <w:tc>
          <w:tcPr>
            <w:tcW w:w="724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876.2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872.2</w:t>
            </w:r>
          </w:p>
        </w:tc>
      </w:tr>
      <w:tr>
        <w:trPr>
          <w:trHeight w:val="227"/>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of current cost over last-in, first-out cost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1"/>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747.9</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753.0</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in 2023, in total and by segment, are summarized in the table below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as of</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Goodwill</w:t>
            </w:r>
          </w:p>
        </w:tc>
        <w:tc>
          <w:tcPr>
            <w:tcW w:w="16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Reallocation to</w:t>
            </w:r>
          </w:p>
        </w:tc>
        <w:tc>
          <w:tcPr>
            <w:tcW w:w="160" w:type="dxa"/>
            <w:vAlign w:val="bottom"/>
          </w:tcPr>
          <w:p>
            <w:pPr>
              <w:spacing w:after="0"/>
              <w:rPr>
                <w:sz w:val="14"/>
                <w:szCs w:val="14"/>
                <w:color w:val="auto"/>
              </w:rPr>
            </w:pPr>
          </w:p>
        </w:tc>
        <w:tc>
          <w:tcPr>
            <w:tcW w:w="14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43"/>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90"/>
              </w:rPr>
              <w:t>Assets Held for Sale</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December 31, 2022</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7" w:lineRule="exact"/>
              <w:rPr>
                <w:sz w:val="20"/>
                <w:szCs w:val="20"/>
                <w:color w:val="auto"/>
              </w:rPr>
            </w:pPr>
            <w:r>
              <w:rPr>
                <w:rFonts w:ascii="Arial" w:cs="Arial" w:eastAsia="Arial" w:hAnsi="Arial"/>
                <w:sz w:val="13"/>
                <w:szCs w:val="13"/>
                <w:b w:val="1"/>
                <w:bCs w:val="1"/>
                <w:color w:val="auto"/>
                <w:w w:val="92"/>
              </w:rPr>
              <w:t xml:space="preserve">Reallocation </w:t>
            </w:r>
            <w:r>
              <w:rPr>
                <w:rFonts w:ascii="Arial" w:cs="Arial" w:eastAsia="Arial" w:hAnsi="Arial"/>
                <w:sz w:val="17"/>
                <w:szCs w:val="17"/>
                <w:b w:val="1"/>
                <w:bCs w:val="1"/>
                <w:color w:val="auto"/>
                <w:w w:val="92"/>
                <w:vertAlign w:val="superscript"/>
              </w:rPr>
              <w:t>(1)</w:t>
            </w:r>
          </w:p>
        </w:tc>
        <w:tc>
          <w:tcPr>
            <w:tcW w:w="160" w:type="dxa"/>
            <w:vAlign w:val="bottom"/>
          </w:tcPr>
          <w:p>
            <w:pPr>
              <w:spacing w:after="0"/>
              <w:rPr>
                <w:sz w:val="12"/>
                <w:szCs w:val="12"/>
                <w:color w:val="auto"/>
              </w:rPr>
            </w:pPr>
          </w:p>
        </w:tc>
        <w:tc>
          <w:tcPr>
            <w:tcW w:w="1140" w:type="dxa"/>
            <w:vAlign w:val="bottom"/>
          </w:tcPr>
          <w:p>
            <w:pPr>
              <w:jc w:val="center"/>
              <w:ind w:right="80"/>
              <w:spacing w:after="0"/>
              <w:rPr>
                <w:sz w:val="20"/>
                <w:szCs w:val="20"/>
                <w:color w:val="auto"/>
              </w:rPr>
            </w:pPr>
            <w:r>
              <w:rPr>
                <w:rFonts w:ascii="Arial" w:cs="Arial" w:eastAsia="Arial" w:hAnsi="Arial"/>
                <w:sz w:val="9"/>
                <w:szCs w:val="9"/>
                <w:b w:val="1"/>
                <w:bCs w:val="1"/>
                <w:color w:val="auto"/>
                <w:w w:val="90"/>
              </w:rPr>
              <w:t>(2)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ind w:right="116"/>
              <w:spacing w:after="0" w:line="147" w:lineRule="exact"/>
              <w:rPr>
                <w:sz w:val="20"/>
                <w:szCs w:val="20"/>
                <w:color w:val="auto"/>
              </w:rPr>
            </w:pPr>
            <w:r>
              <w:rPr>
                <w:rFonts w:ascii="Arial" w:cs="Arial" w:eastAsia="Arial" w:hAnsi="Arial"/>
                <w:sz w:val="14"/>
                <w:szCs w:val="14"/>
                <w:b w:val="1"/>
                <w:bCs w:val="1"/>
                <w:color w:val="auto"/>
                <w:w w:val="93"/>
              </w:rPr>
              <w:t>September 30, 2023</w:t>
            </w: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Arial" w:cs="Arial" w:eastAsia="Arial" w:hAnsi="Arial"/>
                <w:sz w:val="18"/>
                <w:szCs w:val="18"/>
                <w:color w:val="auto"/>
              </w:rPr>
              <w:t xml:space="preserve">Commercial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2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Refrigeration </w:t>
            </w:r>
            <w:r>
              <w:rPr>
                <w:rFonts w:ascii="Arial" w:cs="Arial" w:eastAsia="Arial" w:hAnsi="Arial"/>
                <w:sz w:val="10"/>
                <w:szCs w:val="10"/>
                <w:color w:val="auto"/>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40" w:type="dxa"/>
            <w:vAlign w:val="bottom"/>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0"/>
                <w:szCs w:val="10"/>
                <w:color w:val="auto"/>
              </w:rPr>
              <w:t>(1)</w:t>
            </w:r>
          </w:p>
        </w:tc>
        <w:tc>
          <w:tcPr>
            <w:tcW w:w="18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Goodwill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40" w:firstLine="8"/>
        <w:spacing w:after="0" w:line="272" w:lineRule="auto"/>
        <w:tabs>
          <w:tab w:leader="none" w:pos="817"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As discussed in Note 2, we recast our segment presentation to present our Heatcraft Worldwide Refrigeration business as a component of our Commercial segment and our European portfolio as a component of Corporate &amp; Other. Since there is no longer a Refrigeration segment, we allocated goodwill to each segment based upon the relative fair value of the business.</w:t>
      </w:r>
    </w:p>
    <w:p>
      <w:pPr>
        <w:spacing w:after="0" w:line="203" w:lineRule="exact"/>
        <w:rPr>
          <w:rFonts w:ascii="Arial" w:cs="Arial" w:eastAsia="Arial" w:hAnsi="Arial"/>
          <w:sz w:val="20"/>
          <w:szCs w:val="20"/>
          <w:color w:val="auto"/>
          <w:vertAlign w:val="superscript"/>
        </w:rPr>
      </w:pPr>
    </w:p>
    <w:p>
      <w:pPr>
        <w:jc w:val="both"/>
        <w:ind w:left="640" w:firstLine="8"/>
        <w:spacing w:after="0" w:line="302" w:lineRule="auto"/>
        <w:tabs>
          <w:tab w:leader="none" w:pos="804"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As discussed in Note 6, we are presenting the assets and liabilities of our European businesses as Assets Held for Sale. There was $4.6 million of goodwill related to our European portfolio. As part of the loss on assets held for sale, we recorded an impairment of $2.3 million for a portion of the goodwill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We monitor our reporting units for indicators of impairment throughout the year to determine if a change in facts or circumstances warrants a re-evaluation of our goodwill. We have not recorded any goodwill impairments for the nine months ended September 30, 2023 or in any periods presented for our continuing businesses.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47" w:lineRule="exact"/>
        <w:rPr>
          <w:sz w:val="20"/>
          <w:szCs w:val="20"/>
          <w:color w:val="auto"/>
        </w:rPr>
      </w:pPr>
    </w:p>
    <w:p>
      <w:pPr>
        <w:jc w:val="both"/>
        <w:ind w:firstLine="241"/>
        <w:spacing w:after="0" w:line="253"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8"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1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47"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We have foreign exchange forward contracts and commodity futures contracts designated as cash flow hedges that are scheduled to mature through August 2024. Unrealized gains or losses from our cash flow hedges are included in Accumulated other comprehensive loss (“AOCL”) and are expected to be reclassified into earnings within the next 12 months based on the prices of the commodities and foreign currencies at the settlement dates. We recorded the following amounts in AOCL related to our cash flow hedges (in millions) as of:</w:t>
      </w:r>
    </w:p>
    <w:p>
      <w:pPr>
        <w:spacing w:after="0" w:line="16"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Pr>
          <w:p>
            <w:pPr>
              <w:spacing w:after="0"/>
              <w:rPr>
                <w:sz w:val="18"/>
                <w:szCs w:val="18"/>
                <w:color w:val="auto"/>
              </w:rPr>
            </w:pPr>
          </w:p>
        </w:tc>
        <w:tc>
          <w:tcPr>
            <w:tcW w:w="1920" w:type="dxa"/>
            <w:vAlign w:val="bottom"/>
          </w:tcPr>
          <w:p>
            <w:pPr>
              <w:ind w:left="22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(gains), net on unsettled contracts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center"/>
              <w:ind w:left="1253"/>
              <w:spacing w:after="0"/>
              <w:rPr>
                <w:sz w:val="20"/>
                <w:szCs w:val="20"/>
                <w:color w:val="auto"/>
              </w:rPr>
            </w:pPr>
            <w:r>
              <w:rPr>
                <w:rFonts w:ascii="Arial" w:cs="Arial" w:eastAsia="Arial" w:hAnsi="Arial"/>
                <w:sz w:val="18"/>
                <w:szCs w:val="18"/>
                <w:color w:val="auto"/>
                <w:w w:val="87"/>
              </w:rPr>
              <w:t>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center"/>
              <w:ind w:left="1455"/>
              <w:spacing w:after="0"/>
              <w:rPr>
                <w:sz w:val="20"/>
                <w:szCs w:val="20"/>
                <w:color w:val="auto"/>
              </w:rPr>
            </w:pPr>
            <w:r>
              <w:rPr>
                <w:rFonts w:ascii="Arial" w:cs="Arial" w:eastAsia="Arial" w:hAnsi="Arial"/>
                <w:sz w:val="18"/>
                <w:szCs w:val="18"/>
                <w:color w:val="auto"/>
                <w:w w:val="87"/>
              </w:rPr>
              <w:t>6.3</w:t>
            </w:r>
          </w:p>
        </w:tc>
      </w:tr>
      <w:tr>
        <w:trPr>
          <w:trHeight w:val="22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415"/>
              <w:spacing w:after="0"/>
              <w:rPr>
                <w:sz w:val="20"/>
                <w:szCs w:val="20"/>
                <w:color w:val="auto"/>
              </w:rPr>
            </w:pPr>
            <w:r>
              <w:rPr>
                <w:rFonts w:ascii="Arial" w:cs="Arial" w:eastAsia="Arial" w:hAnsi="Arial"/>
                <w:sz w:val="18"/>
                <w:szCs w:val="18"/>
                <w:color w:val="auto"/>
                <w:w w:val="91"/>
              </w:rPr>
              <w:t>(1.4)</w:t>
            </w:r>
          </w:p>
        </w:tc>
      </w:tr>
      <w:tr>
        <w:trPr>
          <w:trHeight w:val="246"/>
        </w:trPr>
        <w:tc>
          <w:tcPr>
            <w:tcW w:w="6520" w:type="dxa"/>
            <w:vAlign w:val="bottom"/>
            <w:tcBorders>
              <w:bottom w:val="single" w:sz="8" w:color="CCEEFF"/>
            </w:tcBorders>
            <w:shd w:val="clear" w:color="auto" w:fill="CCEEFF"/>
          </w:tcPr>
          <w:p>
            <w:pPr>
              <w:ind w:left="220"/>
              <w:spacing w:after="0" w:line="221" w:lineRule="exact"/>
              <w:rPr>
                <w:sz w:val="20"/>
                <w:szCs w:val="20"/>
                <w:color w:val="auto"/>
              </w:rPr>
            </w:pPr>
            <w:r>
              <w:rPr>
                <w:rFonts w:ascii="Arial" w:cs="Arial" w:eastAsia="Arial" w:hAnsi="Arial"/>
                <w:sz w:val="18"/>
                <w:szCs w:val="18"/>
                <w:color w:val="auto"/>
              </w:rPr>
              <w:t xml:space="preserve">Unrealized losses (gains), net included in AOCL, net of tax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253"/>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center"/>
              <w:ind w:left="1455"/>
              <w:spacing w:after="0"/>
              <w:rPr>
                <w:sz w:val="20"/>
                <w:szCs w:val="20"/>
                <w:color w:val="auto"/>
              </w:rPr>
            </w:pPr>
            <w:r>
              <w:rPr>
                <w:rFonts w:ascii="Arial" w:cs="Arial" w:eastAsia="Arial" w:hAnsi="Arial"/>
                <w:sz w:val="18"/>
                <w:szCs w:val="18"/>
                <w:color w:val="auto"/>
                <w:w w:val="87"/>
              </w:rPr>
              <w:t>4.9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480" w:hanging="153"/>
        <w:spacing w:after="0" w:line="224" w:lineRule="auto"/>
        <w:tabs>
          <w:tab w:leader="none" w:pos="5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Assuming commodity prices and foreign currency exchange rates remain constant, we expect to reclassify $1.2 million of derivative losses as of September 30, 2023 into earnings within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1"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77"/>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5"/>
          </w:tcPr>
          <w:p>
            <w:pPr>
              <w:jc w:val="center"/>
              <w:ind w:right="280"/>
              <w:spacing w:after="0" w:line="177" w:lineRule="exact"/>
              <w:rPr>
                <w:sz w:val="20"/>
                <w:szCs w:val="20"/>
                <w:color w:val="auto"/>
              </w:rPr>
            </w:pPr>
            <w:r>
              <w:rPr>
                <w:rFonts w:ascii="Arial" w:cs="Arial" w:eastAsia="Arial" w:hAnsi="Arial"/>
                <w:sz w:val="16"/>
                <w:szCs w:val="16"/>
                <w:b w:val="1"/>
                <w:bCs w:val="1"/>
                <w:color w:val="auto"/>
                <w:w w:val="92"/>
              </w:rPr>
              <w:t>For the Three Months Ended</w:t>
            </w:r>
          </w:p>
        </w:tc>
        <w:tc>
          <w:tcPr>
            <w:tcW w:w="160" w:type="dxa"/>
            <w:vAlign w:val="bottom"/>
          </w:tcPr>
          <w:p>
            <w:pPr>
              <w:spacing w:after="0"/>
              <w:rPr>
                <w:sz w:val="15"/>
                <w:szCs w:val="15"/>
                <w:color w:val="auto"/>
              </w:rPr>
            </w:pPr>
          </w:p>
        </w:tc>
        <w:tc>
          <w:tcPr>
            <w:tcW w:w="2200" w:type="dxa"/>
            <w:vAlign w:val="bottom"/>
            <w:gridSpan w:val="4"/>
          </w:tcPr>
          <w:p>
            <w:pPr>
              <w:jc w:val="center"/>
              <w:ind w:right="75"/>
              <w:spacing w:after="0" w:line="177" w:lineRule="exact"/>
              <w:rPr>
                <w:sz w:val="20"/>
                <w:szCs w:val="20"/>
                <w:color w:val="auto"/>
              </w:rPr>
            </w:pPr>
            <w:r>
              <w:rPr>
                <w:rFonts w:ascii="Arial" w:cs="Arial" w:eastAsia="Arial" w:hAnsi="Arial"/>
                <w:sz w:val="16"/>
                <w:szCs w:val="16"/>
                <w:b w:val="1"/>
                <w:bCs w:val="1"/>
                <w:color w:val="auto"/>
                <w:w w:val="92"/>
              </w:rPr>
              <w:t>For the Nine Months Ended</w:t>
            </w:r>
          </w:p>
        </w:tc>
      </w:tr>
      <w:tr>
        <w:trPr>
          <w:trHeight w:val="211"/>
        </w:trPr>
        <w:tc>
          <w:tcPr>
            <w:tcW w:w="6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6"/>
                <w:szCs w:val="16"/>
                <w:b w:val="1"/>
                <w:bCs w:val="1"/>
                <w:color w:val="auto"/>
                <w:w w:val="89"/>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95"/>
              <w:spacing w:after="0"/>
              <w:rPr>
                <w:sz w:val="20"/>
                <w:szCs w:val="20"/>
                <w:color w:val="auto"/>
              </w:rPr>
            </w:pPr>
            <w:r>
              <w:rPr>
                <w:rFonts w:ascii="Arial" w:cs="Arial" w:eastAsia="Arial" w:hAnsi="Arial"/>
                <w:sz w:val="16"/>
                <w:szCs w:val="16"/>
                <w:b w:val="1"/>
                <w:bCs w:val="1"/>
                <w:color w:val="auto"/>
                <w:w w:val="89"/>
              </w:rPr>
              <w:t>September 30,</w:t>
            </w:r>
          </w:p>
        </w:tc>
      </w:tr>
      <w:tr>
        <w:trPr>
          <w:trHeight w:val="207"/>
        </w:trPr>
        <w:tc>
          <w:tcPr>
            <w:tcW w:w="6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2022</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Benefit Plans: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periodic benefit cost for pension benefits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660" w:type="dxa"/>
            <w:vAlign w:val="bottom"/>
            <w:gridSpan w:val="6"/>
          </w:tcPr>
          <w:p>
            <w:pPr>
              <w:ind w:left="28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180" w:type="dxa"/>
            <w:vAlign w:val="bottom"/>
            <w:gridSpan w:val="4"/>
          </w:tcPr>
          <w:p>
            <w:pPr>
              <w:jc w:val="center"/>
              <w:ind w:right="92"/>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1"/>
        </w:trPr>
        <w:tc>
          <w:tcPr>
            <w:tcW w:w="59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9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w w:val="84"/>
              </w:rPr>
              <w:t>2022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6"/>
                <w:szCs w:val="16"/>
                <w:b w:val="1"/>
                <w:bCs w:val="1"/>
                <w:color w:val="auto"/>
              </w:rPr>
              <w:t>2023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2022</w:t>
            </w: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ind w:left="574"/>
              <w:spacing w:after="0"/>
              <w:rPr>
                <w:sz w:val="20"/>
                <w:szCs w:val="20"/>
                <w:color w:val="auto"/>
              </w:rPr>
            </w:pPr>
            <w:r>
              <w:rPr>
                <w:rFonts w:ascii="Arial" w:cs="Arial" w:eastAsia="Arial" w:hAnsi="Arial"/>
                <w:sz w:val="18"/>
                <w:szCs w:val="18"/>
                <w:color w:val="auto"/>
                <w:w w:val="87"/>
              </w:rPr>
              <w:t>1.6</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20" w:type="dxa"/>
            <w:vAlign w:val="bottom"/>
          </w:tcPr>
          <w:p>
            <w:pPr>
              <w:jc w:val="center"/>
              <w:ind w:left="352"/>
              <w:spacing w:after="0"/>
              <w:rPr>
                <w:sz w:val="20"/>
                <w:szCs w:val="20"/>
                <w:color w:val="auto"/>
              </w:rPr>
            </w:pPr>
            <w:r>
              <w:rPr>
                <w:rFonts w:ascii="Arial" w:cs="Arial" w:eastAsia="Arial" w:hAnsi="Arial"/>
                <w:sz w:val="18"/>
                <w:szCs w:val="18"/>
                <w:color w:val="auto"/>
                <w:w w:val="87"/>
              </w:rPr>
              <w:t>3.2</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7"/>
              </w:rPr>
              <w:t>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4.5</w:t>
            </w: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left="534"/>
              <w:spacing w:after="0"/>
              <w:rPr>
                <w:sz w:val="20"/>
                <w:szCs w:val="20"/>
                <w:color w:val="auto"/>
              </w:rPr>
            </w:pPr>
            <w:r>
              <w:rPr>
                <w:rFonts w:ascii="Arial" w:cs="Arial" w:eastAsia="Arial" w:hAnsi="Arial"/>
                <w:sz w:val="18"/>
                <w:szCs w:val="18"/>
                <w:color w:val="auto"/>
                <w:w w:val="91"/>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Arial" w:cs="Arial" w:eastAsia="Arial" w:hAnsi="Arial"/>
                <w:sz w:val="18"/>
                <w:szCs w:val="18"/>
                <w:color w:val="auto"/>
                <w:w w:val="91"/>
              </w:rPr>
              <w:t>(7.0)</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7"/>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4.4</w:t>
            </w: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left="534"/>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2"/>
              <w:spacing w:after="0"/>
              <w:rPr>
                <w:sz w:val="20"/>
                <w:szCs w:val="20"/>
                <w:color w:val="auto"/>
              </w:rPr>
            </w:pPr>
            <w:r>
              <w:rPr>
                <w:rFonts w:ascii="Arial" w:cs="Arial" w:eastAsia="Arial" w:hAnsi="Arial"/>
                <w:sz w:val="18"/>
                <w:szCs w:val="18"/>
                <w:color w:val="auto"/>
                <w:w w:val="87"/>
              </w:rPr>
              <w:t>0.2</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and curtailments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2"/>
              <w:spacing w:after="0"/>
              <w:rPr>
                <w:sz w:val="20"/>
                <w:szCs w:val="20"/>
                <w:color w:val="auto"/>
              </w:rPr>
            </w:pPr>
            <w:r>
              <w:rPr>
                <w:rFonts w:ascii="Arial" w:cs="Arial" w:eastAsia="Arial" w:hAnsi="Arial"/>
                <w:sz w:val="18"/>
                <w:szCs w:val="18"/>
                <w:color w:val="auto"/>
                <w:w w:val="87"/>
              </w:rPr>
              <w:t>0.3</w:t>
            </w:r>
          </w:p>
        </w:tc>
      </w:tr>
      <w:tr>
        <w:trPr>
          <w:trHeight w:val="221"/>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b w:val="1"/>
                <w:bCs w:val="1"/>
                <w:color w:val="auto"/>
                <w:w w:val="87"/>
              </w:rPr>
              <w:t>2.1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center"/>
              <w:ind w:left="352"/>
              <w:spacing w:after="0"/>
              <w:rPr>
                <w:sz w:val="20"/>
                <w:szCs w:val="20"/>
                <w:color w:val="auto"/>
              </w:rPr>
            </w:pPr>
            <w:r>
              <w:rPr>
                <w:rFonts w:ascii="Arial" w:cs="Arial" w:eastAsia="Arial" w:hAnsi="Arial"/>
                <w:sz w:val="18"/>
                <w:szCs w:val="18"/>
                <w:b w:val="1"/>
                <w:bCs w:val="1"/>
                <w:color w:val="auto"/>
                <w:w w:val="87"/>
              </w:rPr>
              <w:t>5.6</w:t>
            </w:r>
          </w:p>
        </w:tc>
      </w:tr>
      <w:tr>
        <w:trPr>
          <w:trHeight w:val="20"/>
        </w:trPr>
        <w:tc>
          <w:tcPr>
            <w:tcW w:w="5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1" w:lineRule="exact"/>
        <w:rPr>
          <w:sz w:val="20"/>
          <w:szCs w:val="20"/>
          <w:color w:val="auto"/>
        </w:rPr>
      </w:pPr>
    </w:p>
    <w:p>
      <w:pPr>
        <w:jc w:val="both"/>
        <w:ind w:firstLine="241"/>
        <w:spacing w:after="0" w:line="253" w:lineRule="auto"/>
        <w:rPr>
          <w:sz w:val="20"/>
          <w:szCs w:val="20"/>
          <w:color w:val="auto"/>
        </w:rPr>
      </w:pPr>
      <w:r>
        <w:rPr>
          <w:rFonts w:ascii="Arial" w:cs="Arial" w:eastAsia="Arial" w:hAnsi="Arial"/>
          <w:sz w:val="18"/>
          <w:szCs w:val="18"/>
          <w:color w:val="auto"/>
        </w:rPr>
        <w:t>As of September 30, 2023, we had approximately $4.0 million in total gross unrecognized tax benefits. All of this amount, if recognized, would be recorded through the Consolidated Statements of Operations. Our effective tax rate was 25.6% for the three months ended September 30, 2023 compared to 18.7% for the three months ended September 30, 2022, 21.0% for the nine months ended September 30, 2023 and 18.9% for the nine months ended September 30, 2022. The change in the rate is primarily due to the allocation of income to higher tax jurisdictions and a discrete adjustment related to the European divestiture.</w:t>
      </w:r>
    </w:p>
    <w:p>
      <w:pPr>
        <w:spacing w:after="0" w:line="218"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are currently under a U.S. federal income tax audit by the Internal Revenue Service for 2021. We are also subject to examination by numerous other taxing authorities in the U.S. and in foreign jurisdictions. We are generally no longer subject to U.S. federal, state and local, or non-U.S. income tax examinations by taxing authorities for years prior to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Lines of Credit and Financing Arrangements: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as of:</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December 31, 2022</w:t>
            </w:r>
          </w:p>
        </w:tc>
      </w:tr>
      <w:tr>
        <w:trPr>
          <w:trHeight w:val="207"/>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30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securitization program</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2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9"/>
                <w:szCs w:val="19"/>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1"/>
        </w:trPr>
        <w:tc>
          <w:tcPr>
            <w:tcW w:w="64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maturities of long-term debt</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300" w:type="dxa"/>
            <w:vAlign w:val="bottom"/>
          </w:tcPr>
          <w:p>
            <w:pPr>
              <w:spacing w:after="0"/>
              <w:rPr>
                <w:sz w:val="19"/>
                <w:szCs w:val="19"/>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7"/>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0"/>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r>
      <w:tr>
        <w:trPr>
          <w:trHeight w:val="221"/>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1,524.8</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Through several of our foreign subsidiaries, we have facilities available to assist us in financing seasonal borrowing needs for our foreign locations. We had no outstanding foreign obligations as of September 30, 2023 or December 31, 2022 and there were no borrowings or repayments on these facilities during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47" w:lineRule="exact"/>
        <w:rPr>
          <w:sz w:val="20"/>
          <w:szCs w:val="20"/>
          <w:color w:val="auto"/>
        </w:rPr>
      </w:pPr>
    </w:p>
    <w:p>
      <w:pPr>
        <w:jc w:val="both"/>
        <w:ind w:right="80" w:firstLine="241"/>
        <w:spacing w:after="0" w:line="286"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6" w:lineRule="exact"/>
        <w:rPr>
          <w:sz w:val="20"/>
          <w:szCs w:val="20"/>
          <w:color w:val="auto"/>
        </w:rPr>
      </w:pPr>
    </w:p>
    <w:p>
      <w:pPr>
        <w:jc w:val="both"/>
        <w:ind w:right="80" w:firstLine="241"/>
        <w:spacing w:after="0" w:line="289" w:lineRule="auto"/>
        <w:rPr>
          <w:sz w:val="20"/>
          <w:szCs w:val="20"/>
          <w:color w:val="auto"/>
        </w:rPr>
      </w:pPr>
      <w:r>
        <w:rPr>
          <w:rFonts w:ascii="Arial" w:cs="Arial" w:eastAsia="Arial" w:hAnsi="Arial"/>
          <w:sz w:val="16"/>
          <w:szCs w:val="16"/>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 as of:</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7"/>
        </w:trPr>
        <w:tc>
          <w:tcPr>
            <w:tcW w:w="7360" w:type="dxa"/>
            <w:vAlign w:val="bottom"/>
          </w:tcPr>
          <w:p>
            <w:pPr>
              <w:ind w:left="20"/>
              <w:spacing w:after="0"/>
              <w:rPr>
                <w:sz w:val="20"/>
                <w:szCs w:val="20"/>
                <w:color w:val="auto"/>
              </w:rPr>
            </w:pPr>
            <w:r>
              <w:rPr>
                <w:rFonts w:ascii="Arial" w:cs="Arial" w:eastAsia="Arial" w:hAnsi="Arial"/>
                <w:sz w:val="18"/>
                <w:szCs w:val="18"/>
                <w:color w:val="auto"/>
              </w:rPr>
              <w:t>Less: Beneficial interest transferred</w:t>
            </w: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46"/>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 available</w:t>
            </w:r>
          </w:p>
        </w:tc>
        <w:tc>
          <w:tcPr>
            <w:tcW w:w="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80" w:firstLine="241"/>
        <w:spacing w:after="0" w:line="270"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interests sold and calculated on the floating commercial paper rate determined by the purchaser of the beneficial interest, plus a program fee of 0.70%. The average rates as of September 30, 2023 and December 31, 2022 were 0.00% and 5.17%,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03" w:lineRule="exact"/>
        <w:rPr>
          <w:sz w:val="20"/>
          <w:szCs w:val="20"/>
          <w:color w:val="auto"/>
        </w:rPr>
      </w:pPr>
    </w:p>
    <w:p>
      <w:pPr>
        <w:jc w:val="both"/>
        <w:ind w:right="80" w:firstLine="241"/>
        <w:spacing w:after="0" w:line="297" w:lineRule="auto"/>
        <w:rPr>
          <w:sz w:val="20"/>
          <w:szCs w:val="20"/>
          <w:color w:val="auto"/>
        </w:rPr>
      </w:pPr>
      <w:r>
        <w:rPr>
          <w:rFonts w:ascii="Arial" w:cs="Arial" w:eastAsia="Arial" w:hAnsi="Arial"/>
          <w:sz w:val="16"/>
          <w:szCs w:val="16"/>
          <w:color w:val="auto"/>
        </w:rPr>
        <w:t>The ASP contains certain restrictive covenants relating to the quality of our accounts receivable and cross-default provisions with our Credit Agreement (as defined below), senior unsecured notes and any other indebtedness we may have over $75.0 million. The administrative agent under the ASP is also a participant in our Credit Agreement, as defined below. The participating financial institutions have investment grade credit ratings. As of September 30, 2023, we were in compliance with all covenant requirements. The ASP will expire according to its terms in November 2023 and we do not intend to renew 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the Credit Agreement</w:t>
      </w:r>
    </w:p>
    <w:p>
      <w:pPr>
        <w:spacing w:after="0" w:line="247" w:lineRule="exact"/>
        <w:rPr>
          <w:sz w:val="20"/>
          <w:szCs w:val="20"/>
          <w:color w:val="auto"/>
        </w:rPr>
      </w:pPr>
    </w:p>
    <w:p>
      <w:pPr>
        <w:jc w:val="both"/>
        <w:ind w:right="80" w:firstLine="241"/>
        <w:spacing w:after="0" w:line="245" w:lineRule="auto"/>
        <w:rPr>
          <w:sz w:val="20"/>
          <w:szCs w:val="20"/>
          <w:color w:val="auto"/>
        </w:rPr>
      </w:pPr>
      <w:r>
        <w:rPr>
          <w:rFonts w:ascii="Arial" w:cs="Arial" w:eastAsia="Arial" w:hAnsi="Arial"/>
          <w:sz w:val="18"/>
          <w:szCs w:val="18"/>
          <w:color w:val="auto"/>
        </w:rPr>
        <w:t>In August 2023, we entered into the Second Amendment (the “Second Amendment”) to our existing Credit Agreement, dated as of July 14, 2021 (as amended, the "Credit Agreement"), with JPMorgan Chase Bank, N.A., as administrative agent, and the other lenders party thereto. Under the Second Amendment, the revolving commitments were increased by $350 million and certain representations required to be made as conditions precedent to borrowing were revised to provide us greater flexibility to enter into additional future financing.</w:t>
      </w:r>
    </w:p>
    <w:p>
      <w:pPr>
        <w:spacing w:after="0" w:line="210" w:lineRule="exact"/>
        <w:rPr>
          <w:sz w:val="20"/>
          <w:szCs w:val="20"/>
          <w:color w:val="auto"/>
        </w:rPr>
      </w:pPr>
    </w:p>
    <w:p>
      <w:pPr>
        <w:jc w:val="both"/>
        <w:ind w:right="80" w:firstLine="241"/>
        <w:spacing w:after="0" w:line="241" w:lineRule="auto"/>
        <w:rPr>
          <w:sz w:val="20"/>
          <w:szCs w:val="20"/>
          <w:color w:val="auto"/>
        </w:rPr>
      </w:pPr>
      <w:r>
        <w:rPr>
          <w:rFonts w:ascii="Arial" w:cs="Arial" w:eastAsia="Arial" w:hAnsi="Arial"/>
          <w:sz w:val="18"/>
          <w:szCs w:val="18"/>
          <w:color w:val="auto"/>
        </w:rPr>
        <w:t>The Credit Agreement consists of a $1.1 billion unsecured revolving credit facility. We had outstanding borrowings of $0.0 million as well as $1.7 million committed to standby letters of credit as of September 30, 2023. Subject to covenant limitations, $1,098.3 million was available for future borrowings.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weighted average borrowing rate on the facility was as follows as of:</w:t>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880" w:type="dxa"/>
            <w:vAlign w:val="bottom"/>
          </w:tcPr>
          <w:p>
            <w:pPr>
              <w:ind w:left="600"/>
              <w:spacing w:after="0"/>
              <w:rPr>
                <w:sz w:val="20"/>
                <w:szCs w:val="20"/>
                <w:color w:val="auto"/>
              </w:rPr>
            </w:pPr>
            <w:r>
              <w:rPr>
                <w:rFonts w:ascii="Arial" w:cs="Arial" w:eastAsia="Arial" w:hAnsi="Arial"/>
                <w:sz w:val="14"/>
                <w:szCs w:val="14"/>
                <w:b w:val="1"/>
                <w:bCs w:val="1"/>
                <w:color w:val="auto"/>
                <w:w w:val="96"/>
              </w:rPr>
              <w:t>September 30, 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jc w:val="right"/>
              <w:ind w:right="50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62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1880" w:type="dxa"/>
            <w:vAlign w:val="bottom"/>
            <w:shd w:val="clear" w:color="auto" w:fill="CCEEFF"/>
          </w:tcPr>
          <w:p>
            <w:pPr>
              <w:spacing w:after="0"/>
              <w:rPr>
                <w:sz w:val="19"/>
                <w:szCs w:val="19"/>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 %</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20" w:top="887" w:right="259" w:bottom="1440" w:gutter="0" w:footer="0" w:header="0"/>
        </w:sectPr>
      </w:pPr>
    </w:p>
    <w:bookmarkStart w:id="19" w:name="page20"/>
    <w:bookmarkEnd w:id="19"/>
    <w:p>
      <w:pPr>
        <w:jc w:val="both"/>
        <w:ind w:firstLine="241"/>
        <w:spacing w:after="0" w:line="275" w:lineRule="auto"/>
        <w:rPr>
          <w:sz w:val="20"/>
          <w:szCs w:val="20"/>
          <w:color w:val="auto"/>
        </w:rPr>
      </w:pPr>
      <w:r>
        <w:rPr>
          <w:rFonts w:ascii="Arial" w:cs="Arial" w:eastAsia="Arial" w:hAnsi="Arial"/>
          <w:sz w:val="17"/>
          <w:szCs w:val="17"/>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199"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 (cross default), and bankruptcy. A cross default under our Credit Agreement could occur if:</w:t>
      </w:r>
    </w:p>
    <w:p>
      <w:pPr>
        <w:spacing w:after="0" w:line="212" w:lineRule="exact"/>
        <w:rPr>
          <w:sz w:val="20"/>
          <w:szCs w:val="20"/>
          <w:color w:val="auto"/>
        </w:rPr>
      </w:pPr>
    </w:p>
    <w:p>
      <w:pPr>
        <w:ind w:left="360" w:hanging="11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exceeding $75.0 million; or</w:t>
      </w:r>
    </w:p>
    <w:p>
      <w:pPr>
        <w:spacing w:after="0" w:line="247" w:lineRule="exact"/>
        <w:rPr>
          <w:rFonts w:ascii="Arial" w:cs="Arial" w:eastAsia="Arial" w:hAnsi="Arial"/>
          <w:sz w:val="18"/>
          <w:szCs w:val="18"/>
          <w:color w:val="auto"/>
        </w:rPr>
      </w:pPr>
    </w:p>
    <w:p>
      <w:pPr>
        <w:jc w:val="both"/>
        <w:ind w:firstLine="247"/>
        <w:spacing w:after="0" w:line="259" w:lineRule="auto"/>
        <w:tabs>
          <w:tab w:leader="none" w:pos="35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12"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Credit Agreement,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16"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 As of September 30, 2023, we were in compliance with all covenant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47"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with interest being paid semi-annually in February and August at 1.35% and 1.70% respectively, per annum. We also issued $350.0 million of senior unsecured notes in November 2016 (the "2023 Notes," and together with the 2025 Notes, 2027 Notes, and the 2028 Notes, the "Notes") which will mature on November 15, 2023 with interest being paid semi-annually on May 15 and November 15 at 3.00% per annum.</w:t>
      </w:r>
    </w:p>
    <w:p>
      <w:pPr>
        <w:spacing w:after="0" w:line="219"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2023, we believe we were in compliance with all covenant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Program</w:t>
      </w:r>
    </w:p>
    <w:p>
      <w:pPr>
        <w:spacing w:after="0" w:line="234"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7"/>
          <w:szCs w:val="17"/>
          <w:color w:val="auto"/>
        </w:rPr>
        <w:t>On October 25, 2023, we established a commercial paper program (the “Program”) pursuant to which we may issue short-term, unsecured commercial paper notes (the “CP Notes”) under the exemption from registration contained in Section 4(a)(2) of the Securities Act of 1933, as amended. Amounts available under the Program may be borrowed, repaid, and re-borrowed from time to time, with the aggregate face or principal amount of the CP Notes outstanding under the Program at any time not to exceed $500.0 million. The CP Notes will have maturities of up to 397 days from the date of issue. The CP Notes will rank pari passu with all of our other unsecured and unsubordinated indebtedness. The net proceeds of the issuances of the CP Notes are expected to be used for general corporate purposes. We plan to use our revolving credit facility as a liquidity backstop for the repayment of CP Notes outstanding under the Program. No CP Notes are currently outstanding under the Program.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Comprehensive Income (Loss):</w:t>
      </w:r>
    </w:p>
    <w:p>
      <w:pPr>
        <w:spacing w:after="0" w:line="251"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The following table provides information on items reclassified from AOCL to Net income in the accompanying Consolidated Statements of Operations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400" w:type="dxa"/>
            <w:vAlign w:val="bottom"/>
            <w:gridSpan w:val="6"/>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216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w w:val="93"/>
              </w:rPr>
              <w:t>For the Nine Months Ended</w:t>
            </w:r>
          </w:p>
        </w:tc>
        <w:tc>
          <w:tcPr>
            <w:tcW w:w="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4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1"/>
              </w:rPr>
              <w:t>Affected Line Item(s) in the Consolidated</w:t>
            </w:r>
          </w:p>
        </w:tc>
        <w:tc>
          <w:tcPr>
            <w:tcW w:w="0" w:type="dxa"/>
            <w:vAlign w:val="bottom"/>
          </w:tcPr>
          <w:p>
            <w:pPr>
              <w:spacing w:after="0"/>
              <w:rPr>
                <w:sz w:val="1"/>
                <w:szCs w:val="1"/>
                <w:color w:val="auto"/>
              </w:rPr>
            </w:pPr>
          </w:p>
        </w:tc>
      </w:tr>
      <w:tr>
        <w:trPr>
          <w:trHeight w:val="23"/>
        </w:trPr>
        <w:tc>
          <w:tcPr>
            <w:tcW w:w="35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(Losses) Gains on Cash Flow Hedges:</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ind w:left="20"/>
              <w:spacing w:after="0" w:line="174" w:lineRule="exact"/>
              <w:rPr>
                <w:sz w:val="20"/>
                <w:szCs w:val="20"/>
                <w:color w:val="auto"/>
              </w:rPr>
            </w:pPr>
            <w:r>
              <w:rPr>
                <w:rFonts w:ascii="Arial" w:cs="Arial" w:eastAsia="Arial" w:hAnsi="Arial"/>
                <w:sz w:val="18"/>
                <w:szCs w:val="18"/>
                <w:color w:val="auto"/>
                <w:w w:val="91"/>
              </w:rPr>
              <w:t>Cost of goods sold; Losses (gains) and</w:t>
            </w:r>
          </w:p>
        </w:tc>
        <w:tc>
          <w:tcPr>
            <w:tcW w:w="0" w:type="dxa"/>
            <w:vAlign w:val="bottom"/>
          </w:tcPr>
          <w:p>
            <w:pPr>
              <w:spacing w:after="0"/>
              <w:rPr>
                <w:sz w:val="1"/>
                <w:szCs w:val="1"/>
                <w:color w:val="auto"/>
              </w:rPr>
            </w:pPr>
          </w:p>
        </w:tc>
      </w:tr>
      <w:tr>
        <w:trPr>
          <w:trHeight w:val="240"/>
        </w:trPr>
        <w:tc>
          <w:tcPr>
            <w:tcW w:w="3540" w:type="dxa"/>
            <w:vAlign w:val="bottom"/>
          </w:tcPr>
          <w:p>
            <w:pPr>
              <w:ind w:left="20"/>
              <w:spacing w:after="0"/>
              <w:rPr>
                <w:sz w:val="20"/>
                <w:szCs w:val="20"/>
                <w:color w:val="auto"/>
              </w:rPr>
            </w:pPr>
            <w:r>
              <w:rPr>
                <w:rFonts w:ascii="Arial" w:cs="Arial" w:eastAsia="Arial" w:hAnsi="Arial"/>
                <w:sz w:val="18"/>
                <w:szCs w:val="18"/>
                <w:color w:val="auto"/>
              </w:rPr>
              <w:t>Derivatives contracts</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(0.8)</w:t>
            </w:r>
          </w:p>
        </w:tc>
        <w:tc>
          <w:tcPr>
            <w:tcW w:w="120" w:type="dxa"/>
            <w:vAlign w:val="bottom"/>
          </w:tcPr>
          <w:p>
            <w:pPr>
              <w:spacing w:after="0"/>
              <w:rPr>
                <w:sz w:val="20"/>
                <w:szCs w:val="20"/>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6"/>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453"/>
              <w:spacing w:after="0"/>
              <w:rPr>
                <w:sz w:val="20"/>
                <w:szCs w:val="20"/>
                <w:color w:val="auto"/>
              </w:rPr>
            </w:pPr>
            <w:r>
              <w:rPr>
                <w:rFonts w:ascii="Arial" w:cs="Arial" w:eastAsia="Arial" w:hAnsi="Arial"/>
                <w:sz w:val="18"/>
                <w:szCs w:val="18"/>
                <w:color w:val="auto"/>
                <w:w w:val="91"/>
              </w:rPr>
              <w:t>(1.2)</w:t>
            </w:r>
          </w:p>
        </w:tc>
        <w:tc>
          <w:tcPr>
            <w:tcW w:w="100" w:type="dxa"/>
            <w:vAlign w:val="bottom"/>
          </w:tcPr>
          <w:p>
            <w:pPr>
              <w:spacing w:after="0"/>
              <w:rPr>
                <w:sz w:val="20"/>
                <w:szCs w:val="20"/>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12.5</w:t>
            </w:r>
          </w:p>
        </w:tc>
        <w:tc>
          <w:tcPr>
            <w:tcW w:w="1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93"/>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(0.6)</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6"/>
              </w:rPr>
              <w:t>(2.9)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center"/>
              <w:ind w:left="453"/>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453"/>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8"/>
                <w:szCs w:val="18"/>
                <w:color w:val="auto"/>
              </w:rPr>
              <w:t>Pension settlements</w:t>
            </w: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453"/>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(0.3)</w:t>
            </w:r>
          </w:p>
        </w:tc>
        <w:tc>
          <w:tcPr>
            <w:tcW w:w="10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Pension settlements</w:t>
            </w: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93"/>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(0.2)</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453"/>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w:t>
            </w:r>
          </w:p>
        </w:tc>
        <w:tc>
          <w:tcPr>
            <w:tcW w:w="1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reclassifications from AOCL</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(0.8)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center"/>
              <w:ind w:left="453"/>
              <w:spacing w:after="0"/>
              <w:rPr>
                <w:sz w:val="20"/>
                <w:szCs w:val="20"/>
                <w:color w:val="auto"/>
              </w:rPr>
            </w:pPr>
            <w:r>
              <w:rPr>
                <w:rFonts w:ascii="Arial" w:cs="Arial" w:eastAsia="Arial" w:hAnsi="Arial"/>
                <w:sz w:val="18"/>
                <w:szCs w:val="18"/>
                <w:b w:val="1"/>
                <w:bCs w:val="1"/>
                <w:color w:val="auto"/>
                <w:w w:val="91"/>
              </w:rPr>
              <w:t>(1.7)</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on changes in AOCL, by component (net of tax), for the nine months ended September 30, 2023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Share of equity</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(Losses) Gains on</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89"/>
              </w:rPr>
              <w:t>method</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20"/>
              <w:spacing w:after="0" w:line="161" w:lineRule="exact"/>
              <w:rPr>
                <w:sz w:val="20"/>
                <w:szCs w:val="20"/>
                <w:color w:val="auto"/>
              </w:rPr>
            </w:pPr>
            <w:r>
              <w:rPr>
                <w:rFonts w:ascii="Arial" w:cs="Arial" w:eastAsia="Arial" w:hAnsi="Arial"/>
                <w:sz w:val="16"/>
                <w:szCs w:val="16"/>
                <w:b w:val="1"/>
                <w:bCs w:val="1"/>
                <w:color w:val="auto"/>
                <w:w w:val="87"/>
              </w:rPr>
              <w:t>investments other</w:t>
            </w:r>
          </w:p>
        </w:tc>
        <w:tc>
          <w:tcPr>
            <w:tcW w:w="13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61" w:lineRule="exact"/>
              <w:rPr>
                <w:sz w:val="20"/>
                <w:szCs w:val="20"/>
                <w:color w:val="auto"/>
              </w:rPr>
            </w:pPr>
            <w:r>
              <w:rPr>
                <w:rFonts w:ascii="Arial" w:cs="Arial" w:eastAsia="Arial" w:hAnsi="Arial"/>
                <w:sz w:val="16"/>
                <w:szCs w:val="16"/>
                <w:b w:val="1"/>
                <w:bCs w:val="1"/>
                <w:color w:val="auto"/>
                <w:w w:val="92"/>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3"/>
                <w:szCs w:val="13"/>
                <w:color w:val="auto"/>
              </w:rPr>
            </w:pPr>
          </w:p>
        </w:tc>
        <w:tc>
          <w:tcPr>
            <w:tcW w:w="108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9"/>
              </w:rPr>
              <w:t>Total AOCL</w:t>
            </w:r>
          </w:p>
        </w:tc>
        <w:tc>
          <w:tcPr>
            <w:tcW w:w="0" w:type="dxa"/>
            <w:vAlign w:val="bottom"/>
          </w:tcPr>
          <w:p>
            <w:pPr>
              <w:spacing w:after="0"/>
              <w:rPr>
                <w:sz w:val="1"/>
                <w:szCs w:val="1"/>
                <w:color w:val="auto"/>
              </w:rPr>
            </w:pPr>
          </w:p>
        </w:tc>
      </w:tr>
      <w:tr>
        <w:trPr>
          <w:trHeight w:val="211"/>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income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b w:val="1"/>
                <w:bCs w:val="1"/>
                <w:color w:val="auto"/>
                <w:w w:val="91"/>
              </w:rPr>
              <w:t>(4.9)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0" w:type="dxa"/>
            <w:vAlign w:val="bottom"/>
          </w:tcPr>
          <w:p>
            <w:pPr>
              <w:spacing w:after="0"/>
              <w:rPr>
                <w:sz w:val="1"/>
                <w:szCs w:val="1"/>
                <w:color w:val="auto"/>
              </w:rPr>
            </w:pPr>
          </w:p>
        </w:tc>
      </w:tr>
      <w:tr>
        <w:trPr>
          <w:trHeight w:val="174"/>
        </w:trPr>
        <w:tc>
          <w:tcPr>
            <w:tcW w:w="4300" w:type="dxa"/>
            <w:vAlign w:val="bottom"/>
          </w:tcPr>
          <w:p>
            <w:pPr>
              <w:ind w:left="20"/>
              <w:spacing w:after="0" w:line="174"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87"/>
              </w:rPr>
              <w:t>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4"/>
              <w:spacing w:after="0"/>
              <w:rPr>
                <w:sz w:val="20"/>
                <w:szCs w:val="20"/>
                <w:color w:val="auto"/>
              </w:rPr>
            </w:pPr>
            <w:r>
              <w:rPr>
                <w:rFonts w:ascii="Arial" w:cs="Arial" w:eastAsia="Arial" w:hAnsi="Arial"/>
                <w:sz w:val="18"/>
                <w:szCs w:val="18"/>
                <w:color w:val="auto"/>
                <w:w w:val="87"/>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87"/>
              </w:rPr>
              <w:t>3.6</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2023</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b w:val="1"/>
                <w:bCs w:val="1"/>
                <w:color w:val="auto"/>
                <w:w w:val="91"/>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47" w:lineRule="exact"/>
        <w:rPr>
          <w:sz w:val="20"/>
          <w:szCs w:val="20"/>
          <w:color w:val="auto"/>
        </w:rPr>
      </w:pPr>
    </w:p>
    <w:p>
      <w:pPr>
        <w:jc w:val="both"/>
        <w:ind w:right="20" w:firstLine="241"/>
        <w:spacing w:after="0" w:line="255" w:lineRule="auto"/>
        <w:rPr>
          <w:sz w:val="20"/>
          <w:szCs w:val="20"/>
          <w:color w:val="auto"/>
        </w:rPr>
      </w:pPr>
      <w:r>
        <w:rPr>
          <w:rFonts w:ascii="Arial" w:cs="Arial" w:eastAsia="Arial" w:hAnsi="Arial"/>
          <w:sz w:val="18"/>
          <w:szCs w:val="18"/>
          <w:color w:val="auto"/>
        </w:rPr>
        <w:t>The methodologies used to determine the fair value of our financial assets and liabilities at September 30, 2023 were the same as those used at December 31,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34" w:lineRule="exact"/>
        <w:rPr>
          <w:sz w:val="20"/>
          <w:szCs w:val="20"/>
          <w:color w:val="auto"/>
        </w:rPr>
      </w:pPr>
    </w:p>
    <w:p>
      <w:pPr>
        <w:jc w:val="both"/>
        <w:ind w:firstLine="241"/>
        <w:spacing w:after="0" w:line="306"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8 for more information related to our derivative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1" w:name="page22"/>
    <w:bookmarkEnd w:id="21"/>
    <w:p>
      <w:pPr>
        <w:jc w:val="both"/>
        <w:ind w:firstLine="241"/>
        <w:spacing w:after="0" w:line="266"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 as of:</w:t>
      </w:r>
    </w:p>
    <w:tbl>
      <w:tblPr>
        <w:tblLayout w:type="fixed"/>
        <w:tblInd w:w="0" w:type="dxa"/>
        <w:tblCellMar>
          <w:top w:w="0" w:type="dxa"/>
          <w:left w:w="0" w:type="dxa"/>
          <w:bottom w:w="0" w:type="dxa"/>
          <w:right w:w="0" w:type="dxa"/>
        </w:tblCellMar>
      </w:tblPr>
      <w:tr>
        <w:trPr>
          <w:trHeight w:val="185"/>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600" w:type="dxa"/>
            <w:vAlign w:val="bottom"/>
          </w:tcPr>
          <w:p>
            <w:pPr>
              <w:jc w:val="right"/>
              <w:ind w:right="260"/>
              <w:spacing w:after="0"/>
              <w:rPr>
                <w:sz w:val="20"/>
                <w:szCs w:val="20"/>
                <w:color w:val="auto"/>
              </w:rPr>
            </w:pPr>
            <w:r>
              <w:rPr>
                <w:rFonts w:ascii="Arial" w:cs="Arial" w:eastAsia="Arial" w:hAnsi="Arial"/>
                <w:sz w:val="14"/>
                <w:szCs w:val="14"/>
                <w:b w:val="1"/>
                <w:bCs w:val="1"/>
                <w:color w:val="auto"/>
                <w:w w:val="98"/>
              </w:rPr>
              <w:t>December 31, 2022</w:t>
            </w:r>
          </w:p>
        </w:tc>
      </w:tr>
      <w:tr>
        <w:trPr>
          <w:trHeight w:val="25"/>
        </w:trPr>
        <w:tc>
          <w:tcPr>
            <w:tcW w:w="7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251" w:lineRule="exact"/>
        <w:rPr>
          <w:sz w:val="20"/>
          <w:szCs w:val="20"/>
          <w:color w:val="auto"/>
        </w:rPr>
      </w:pPr>
    </w:p>
    <w:p>
      <w:pPr>
        <w:jc w:val="both"/>
        <w:ind w:firstLine="241"/>
        <w:spacing w:after="0" w:line="306" w:lineRule="auto"/>
        <w:rPr>
          <w:sz w:val="20"/>
          <w:szCs w:val="20"/>
          <w:color w:val="auto"/>
        </w:rPr>
      </w:pPr>
      <w:r>
        <w:rPr>
          <w:rFonts w:ascii="Arial" w:cs="Arial" w:eastAsia="Arial" w:hAnsi="Arial"/>
          <w:sz w:val="16"/>
          <w:szCs w:val="16"/>
          <w:color w:val="auto"/>
        </w:rPr>
        <w:t>On October 25, 2023, we announced the acquisition of AES, a company dedicated to service and sustainability in the light commercial markets. Across North America, AES provides installation services, adapter curbs, and recycling services. AES will become part of the Commercial segment. The final net purchase price is expected to be approximately $90 million in cash which will be funded by the available borrowing capacity on our outstanding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21" w:lineRule="exact"/>
        <w:rPr>
          <w:sz w:val="20"/>
          <w:szCs w:val="20"/>
          <w:color w:val="auto"/>
        </w:rPr>
      </w:pPr>
    </w:p>
    <w:p>
      <w:pPr>
        <w:jc w:val="both"/>
        <w:ind w:firstLine="241"/>
        <w:spacing w:after="0" w:line="292"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2022,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operate in two reportable business segments of the heating, ventilation, air conditioning and refrigeration (“HVACR”) industry. Our reportable segments are Residential and Commercial. For additional information regarding our reportable segments, see Note 2 in the Notes to the Consolidated Financial Statements.</w:t>
      </w:r>
    </w:p>
    <w:p>
      <w:pPr>
        <w:spacing w:after="0" w:line="212" w:lineRule="exact"/>
        <w:rPr>
          <w:sz w:val="20"/>
          <w:szCs w:val="20"/>
          <w:color w:val="auto"/>
        </w:rPr>
      </w:pPr>
    </w:p>
    <w:p>
      <w:pPr>
        <w:jc w:val="both"/>
        <w:ind w:firstLine="241"/>
        <w:spacing w:after="0" w:line="297"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5"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Change in Segment Reporting</w:t>
      </w:r>
    </w:p>
    <w:p>
      <w:pPr>
        <w:spacing w:after="0" w:line="251"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6"/>
          <w:szCs w:val="16"/>
          <w:color w:val="auto"/>
        </w:rPr>
        <w:t xml:space="preserve">Prior to January 1, 2023, we operated in three reportable business segments. In November 2022, we announced the decision to explore strategic alternatives for our European commercial HVAC and refrigeration businesses. We continue to operate and invest in our Heatcraft Worldwide Refrigeration business which became part of the Commercial segment effective on January 1, 2023, while the European portfolio will be presented with Corporate and Other until disposition. The consolidation of our Heatcraft business within the Commercial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 All amounts discussed in this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reflect the revised segment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Results for the third quarter of 2023 were driven by overall year-over-year sales and profit increases. Net sales increased 15% and segment profit increased $45 million for the Commercial segment. Net sales increased 7% and segment profit increased $28 million for the Residential segment. Net sales increased 13% and segment loss decreased $7 million for the Corporate &amp; Other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7" w:lineRule="exact"/>
        <w:rPr>
          <w:sz w:val="20"/>
          <w:szCs w:val="20"/>
          <w:color w:val="auto"/>
        </w:rPr>
      </w:pPr>
    </w:p>
    <w:p>
      <w:pPr>
        <w:ind w:left="640" w:hanging="313"/>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increased $121 million to $1,366 million in the third quarter of 2023 driven by favorable mix and price partially offset by lower sales volumes and unfavorable foreign currency.</w:t>
      </w:r>
    </w:p>
    <w:p>
      <w:pPr>
        <w:ind w:left="640" w:hanging="313"/>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in the third quarter of 2023 increased $1 million to $187 million primarily driven by favorable mix and price partially offset by a $63 million loss on assets held for sale.</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for the third quarter of 2023 was $130 million.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Diluted earnings per share was $3.65 per share in the third quarter of 2023 compared to $3.99 per share in the third quarter of 2022.</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nine months ended September 30, 2023, we returned $153 million to shareholders through dividend payments.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rPr>
              <w:t>For the Three Months Ended September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Percent</w:t>
            </w:r>
          </w:p>
        </w:tc>
        <w:tc>
          <w:tcPr>
            <w:tcW w:w="248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1"/>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1,244.9</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910.7</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1"/>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147.3</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on assets held for sale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75.0</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185.8</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0.5 %</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13.7 %</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right="20" w:firstLine="241"/>
        <w:spacing w:after="0" w:line="270" w:lineRule="auto"/>
        <w:rPr>
          <w:sz w:val="20"/>
          <w:szCs w:val="20"/>
          <w:color w:val="auto"/>
        </w:rPr>
      </w:pPr>
      <w:r>
        <w:rPr>
          <w:rFonts w:ascii="Arial" w:cs="Arial" w:eastAsia="Arial" w:hAnsi="Arial"/>
          <w:sz w:val="18"/>
          <w:szCs w:val="18"/>
          <w:color w:val="auto"/>
        </w:rPr>
        <w:t>Net sales for the third quarter of 2023 compared to the third quarter of 2022 increased 10% as a result of favorable mix of 6% and favorable product price of 5% which was partially offset by lower sales volumes of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Gross Profit</w:t>
      </w:r>
    </w:p>
    <w:p>
      <w:pPr>
        <w:spacing w:after="0" w:line="247"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Gross profit margins in the third quarter of 2023 increased 460 basis points ("bps") to 31.4% compared to 26.8% in the third quarter of 2022. Gross margins increased 280 bps from favorable price, 220 bps from favorable product mix, and 70 bps from favorable commodity costs. Partially offsetting these increases were 40 bps from higher warranty costs, 30 bps from higher component costs, 20 bps from higher freight and distribution costs, 10 bps from lower sales volume, and 10 bps from higher other miscellaneous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7"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Selling, general and administrative expenses ("SG&amp;A") increased $32 million to $179 million in the third quarter of 2023 compared to $147 million in the third quarter of 2022 primarily due to higher employee-related costs including incentive compensation and wage inflation. As a percentage of net sales, SG&amp;A increased 130 bps to 13.1%.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and other expenses, net for the third quarter of 2023 and 2022 included the following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6"/>
                <w:szCs w:val="16"/>
                <w:b w:val="1"/>
                <w:bCs w:val="1"/>
                <w:color w:val="auto"/>
                <w:w w:val="96"/>
              </w:rPr>
              <w:t>For the Three Months Ended September 30,</w:t>
            </w:r>
          </w:p>
        </w:tc>
      </w:tr>
      <w:tr>
        <w:trPr>
          <w:trHeight w:val="207"/>
        </w:trPr>
        <w:tc>
          <w:tcPr>
            <w:tcW w:w="76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on settled future contracts</w:t>
            </w: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87"/>
              </w:rPr>
              <w:t>0.3</w:t>
            </w:r>
          </w:p>
        </w:tc>
      </w:tr>
      <w:tr>
        <w:trPr>
          <w:trHeight w:val="227"/>
        </w:trPr>
        <w:tc>
          <w:tcPr>
            <w:tcW w:w="7600" w:type="dxa"/>
            <w:vAlign w:val="bottom"/>
          </w:tcPr>
          <w:p>
            <w:pPr>
              <w:ind w:left="20"/>
              <w:spacing w:after="0"/>
              <w:rPr>
                <w:sz w:val="20"/>
                <w:szCs w:val="20"/>
                <w:color w:val="auto"/>
              </w:rPr>
            </w:pPr>
            <w:r>
              <w:rPr>
                <w:rFonts w:ascii="Arial" w:cs="Arial" w:eastAsia="Arial" w:hAnsi="Arial"/>
                <w:sz w:val="18"/>
                <w:szCs w:val="18"/>
                <w:color w:val="auto"/>
              </w:rPr>
              <w:t>Foreign currency exchange (gains) losses</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center"/>
              <w:ind w:left="812"/>
              <w:spacing w:after="0"/>
              <w:rPr>
                <w:sz w:val="20"/>
                <w:szCs w:val="20"/>
                <w:color w:val="auto"/>
              </w:rPr>
            </w:pPr>
            <w:r>
              <w:rPr>
                <w:rFonts w:ascii="Arial" w:cs="Arial" w:eastAsia="Arial" w:hAnsi="Arial"/>
                <w:sz w:val="18"/>
                <w:szCs w:val="18"/>
                <w:color w:val="auto"/>
                <w:w w:val="87"/>
              </w:rPr>
              <w:t>0.3</w:t>
            </w:r>
          </w:p>
        </w:tc>
      </w:tr>
      <w:tr>
        <w:trPr>
          <w:trHeight w:val="22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disposal of fixed assets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1"/>
              </w:rPr>
              <w:t>(0.4)</w:t>
            </w:r>
          </w:p>
        </w:tc>
      </w:tr>
      <w:tr>
        <w:trPr>
          <w:trHeight w:val="227"/>
        </w:trPr>
        <w:tc>
          <w:tcPr>
            <w:tcW w:w="760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center"/>
              <w:ind w:left="772"/>
              <w:spacing w:after="0"/>
              <w:rPr>
                <w:sz w:val="20"/>
                <w:szCs w:val="20"/>
                <w:color w:val="auto"/>
              </w:rPr>
            </w:pPr>
            <w:r>
              <w:rPr>
                <w:rFonts w:ascii="Arial" w:cs="Arial" w:eastAsia="Arial" w:hAnsi="Arial"/>
                <w:sz w:val="18"/>
                <w:szCs w:val="18"/>
                <w:color w:val="auto"/>
                <w:w w:val="91"/>
              </w:rPr>
              <w:t>(0.2)</w:t>
            </w:r>
          </w:p>
        </w:tc>
      </w:tr>
      <w:tr>
        <w:trPr>
          <w:trHeight w:val="227"/>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liabilities and special litigation charges</w:t>
            </w: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87"/>
              </w:rPr>
              <w:t>3.1</w:t>
            </w:r>
          </w:p>
        </w:tc>
      </w:tr>
      <w:tr>
        <w:trPr>
          <w:trHeight w:val="22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812"/>
              <w:spacing w:after="0"/>
              <w:rPr>
                <w:sz w:val="20"/>
                <w:szCs w:val="20"/>
                <w:color w:val="auto"/>
              </w:rPr>
            </w:pPr>
            <w:r>
              <w:rPr>
                <w:rFonts w:ascii="Arial" w:cs="Arial" w:eastAsia="Arial" w:hAnsi="Arial"/>
                <w:sz w:val="18"/>
                <w:szCs w:val="18"/>
                <w:color w:val="auto"/>
                <w:w w:val="87"/>
              </w:rPr>
              <w:t>0.2</w:t>
            </w:r>
          </w:p>
        </w:tc>
      </w:tr>
      <w:tr>
        <w:trPr>
          <w:trHeight w:val="245"/>
        </w:trPr>
        <w:tc>
          <w:tcPr>
            <w:tcW w:w="7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Losses (gains) and other expenses, net (pre-tax)</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87"/>
              </w:rPr>
              <w:t>3.3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on Assets Held for Sale</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recorded a $63 million impairment on assets held for sale in the third quarter of 2023 related to the sale of our European commercial HVAC and refrigeration businesses. The loss is the result of the difference between the expected fair value of the consideration received for these businesses, net of our costs to sell, and the carrying value of the net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47" w:lineRule="exact"/>
        <w:rPr>
          <w:sz w:val="20"/>
          <w:szCs w:val="20"/>
          <w:color w:val="auto"/>
        </w:rPr>
      </w:pPr>
    </w:p>
    <w:p>
      <w:pPr>
        <w:jc w:val="both"/>
        <w:ind w:firstLine="241"/>
        <w:spacing w:after="0" w:line="275"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We recognized income from equity method investments of $4 million in the third quarter of 2023 and $2 million in the third quarter of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net remained relatively unchanged at $11 million in the third quarter of 2023 as compared to the third quarter of 2022.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4" w:lineRule="exact"/>
        <w:rPr>
          <w:sz w:val="20"/>
          <w:szCs w:val="20"/>
          <w:color w:val="auto"/>
        </w:rPr>
      </w:pPr>
    </w:p>
    <w:p>
      <w:pPr>
        <w:ind w:right="300" w:firstLine="241"/>
        <w:spacing w:after="0" w:line="239" w:lineRule="auto"/>
        <w:rPr>
          <w:sz w:val="20"/>
          <w:szCs w:val="20"/>
          <w:color w:val="auto"/>
        </w:rPr>
      </w:pPr>
      <w:r>
        <w:rPr>
          <w:rFonts w:ascii="Arial" w:cs="Arial" w:eastAsia="Arial" w:hAnsi="Arial"/>
          <w:sz w:val="18"/>
          <w:szCs w:val="18"/>
          <w:color w:val="auto"/>
        </w:rPr>
        <w:t>Our effective tax rate was 25.6% for the third quarter of 2023 compared to 18.7% for the third quarter of 2022. The rate increased primarily due to the allocation of income to higher tax jurisdictions and a discrete adjustment related to the European businesses.</w:t>
      </w:r>
    </w:p>
    <w:p>
      <w:pPr>
        <w:spacing w:after="0" w:line="216"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We expect our annual effective tax rate to be 20-22%, excluding the impacts of excess tax benefits recorded as a reduction of income taxes under ASU No. 2016-09.</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Third Quarter of 2023 Compared to Third Quarter of 2022 -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Residential segment's net sales and profit for the third quarter of 2023 and 2022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40" w:type="dxa"/>
            <w:vAlign w:val="bottom"/>
          </w:tcPr>
          <w:p>
            <w:pPr>
              <w:spacing w:after="0"/>
              <w:rPr>
                <w:sz w:val="18"/>
                <w:szCs w:val="18"/>
                <w:color w:val="auto"/>
              </w:rPr>
            </w:pPr>
          </w:p>
        </w:tc>
        <w:tc>
          <w:tcPr>
            <w:tcW w:w="3660" w:type="dxa"/>
            <w:vAlign w:val="bottom"/>
            <w:gridSpan w:val="6"/>
          </w:tcPr>
          <w:p>
            <w:pPr>
              <w:ind w:left="260"/>
              <w:spacing w:after="0"/>
              <w:rPr>
                <w:sz w:val="20"/>
                <w:szCs w:val="20"/>
                <w:color w:val="auto"/>
              </w:rPr>
            </w:pPr>
            <w:r>
              <w:rPr>
                <w:rFonts w:ascii="Arial" w:cs="Arial" w:eastAsia="Arial" w:hAnsi="Arial"/>
                <w:sz w:val="16"/>
                <w:szCs w:val="16"/>
                <w:b w:val="1"/>
                <w:bCs w:val="1"/>
                <w:color w:val="auto"/>
              </w:rPr>
              <w:t>For the Three Months Ended September 30,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00" w:type="dxa"/>
            <w:vAlign w:val="bottom"/>
          </w:tcPr>
          <w:p>
            <w:pPr>
              <w:jc w:val="right"/>
              <w:ind w:right="254"/>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3"/>
              </w:rPr>
              <w:t>896.3</w:t>
            </w: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88"/>
              </w:rPr>
              <w:t>835.3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7"/>
        </w:trPr>
        <w:tc>
          <w:tcPr>
            <w:tcW w:w="4540" w:type="dxa"/>
            <w:vAlign w:val="bottom"/>
          </w:tcPr>
          <w:p>
            <w:pPr>
              <w:ind w:left="20"/>
              <w:spacing w:after="0"/>
              <w:rPr>
                <w:sz w:val="20"/>
                <w:szCs w:val="20"/>
                <w:color w:val="auto"/>
              </w:rPr>
            </w:pPr>
            <w:r>
              <w:rPr>
                <w:rFonts w:ascii="Arial" w:cs="Arial" w:eastAsia="Arial" w:hAnsi="Arial"/>
                <w:sz w:val="18"/>
                <w:szCs w:val="18"/>
                <w:color w:val="auto"/>
              </w:rPr>
              <w:t>Profit</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w w:val="93"/>
              </w:rPr>
              <w:t>181.4</w:t>
            </w:r>
          </w:p>
        </w:tc>
        <w:tc>
          <w:tcPr>
            <w:tcW w:w="20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31"/>
              <w:spacing w:after="0"/>
              <w:rPr>
                <w:sz w:val="20"/>
                <w:szCs w:val="20"/>
                <w:color w:val="auto"/>
              </w:rPr>
            </w:pPr>
            <w:r>
              <w:rPr>
                <w:rFonts w:ascii="Arial" w:cs="Arial" w:eastAsia="Arial" w:hAnsi="Arial"/>
                <w:sz w:val="18"/>
                <w:szCs w:val="18"/>
                <w:color w:val="auto"/>
                <w:w w:val="88"/>
              </w:rPr>
              <w:t>153.8</w:t>
            </w:r>
          </w:p>
        </w:tc>
        <w:tc>
          <w:tcPr>
            <w:tcW w:w="12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7"/>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79" w:lineRule="exact"/>
        <w:rPr>
          <w:sz w:val="20"/>
          <w:szCs w:val="20"/>
          <w:color w:val="auto"/>
        </w:rPr>
      </w:pPr>
    </w:p>
    <w:p>
      <w:pPr>
        <w:jc w:val="both"/>
        <w:ind w:right="20" w:firstLine="241"/>
        <w:spacing w:after="0" w:line="270" w:lineRule="auto"/>
        <w:rPr>
          <w:sz w:val="20"/>
          <w:szCs w:val="20"/>
          <w:color w:val="auto"/>
        </w:rPr>
      </w:pPr>
      <w:r>
        <w:rPr>
          <w:rFonts w:ascii="Arial" w:cs="Arial" w:eastAsia="Arial" w:hAnsi="Arial"/>
          <w:sz w:val="18"/>
          <w:szCs w:val="18"/>
          <w:color w:val="auto"/>
        </w:rPr>
        <w:t>Net sales increased 7% in the third quarter of 2023 compared to 2022 due to favorable product mix of 7% and higher price of 2%. Partially offsetting these increases were lower sales volumes of 2%.</w:t>
      </w:r>
    </w:p>
    <w:p>
      <w:pPr>
        <w:spacing w:after="0" w:line="202" w:lineRule="exact"/>
        <w:rPr>
          <w:sz w:val="20"/>
          <w:szCs w:val="20"/>
          <w:color w:val="auto"/>
        </w:rPr>
      </w:pPr>
    </w:p>
    <w:p>
      <w:pPr>
        <w:jc w:val="both"/>
        <w:ind w:firstLine="241"/>
        <w:spacing w:after="0" w:line="281" w:lineRule="auto"/>
        <w:rPr>
          <w:sz w:val="20"/>
          <w:szCs w:val="20"/>
          <w:color w:val="auto"/>
        </w:rPr>
      </w:pPr>
      <w:r>
        <w:rPr>
          <w:rFonts w:ascii="Arial" w:cs="Arial" w:eastAsia="Arial" w:hAnsi="Arial"/>
          <w:sz w:val="17"/>
          <w:szCs w:val="17"/>
          <w:color w:val="auto"/>
        </w:rPr>
        <w:t>Segment profit in the third quarter of 2023 compared to 2022 increased by $28 million, primarily due to $37 million from favorable product mix, $14 million from higher price and $10 million from lower commodity costs. Partially offsetting these increases were $16 million from higher SG&amp;A costs, $7 million from higher factory inefficiencies, $6 million from miscellaneous other items and $4 million from lower sales volumes.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Commercial segment's net sales and profit for the third quarter of 2023 and 2022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Pr>
          <w:p>
            <w:pPr>
              <w:spacing w:after="0"/>
              <w:rPr>
                <w:sz w:val="18"/>
                <w:szCs w:val="18"/>
                <w:color w:val="auto"/>
              </w:rPr>
            </w:pPr>
          </w:p>
        </w:tc>
        <w:tc>
          <w:tcPr>
            <w:tcW w:w="3680" w:type="dxa"/>
            <w:vAlign w:val="bottom"/>
            <w:gridSpan w:val="6"/>
          </w:tcPr>
          <w:p>
            <w:pPr>
              <w:ind w:left="240"/>
              <w:spacing w:after="0"/>
              <w:rPr>
                <w:sz w:val="20"/>
                <w:szCs w:val="20"/>
                <w:color w:val="auto"/>
              </w:rPr>
            </w:pPr>
            <w:r>
              <w:rPr>
                <w:rFonts w:ascii="Arial" w:cs="Arial" w:eastAsia="Arial" w:hAnsi="Arial"/>
                <w:sz w:val="16"/>
                <w:szCs w:val="16"/>
                <w:b w:val="1"/>
                <w:bCs w:val="1"/>
                <w:color w:val="auto"/>
              </w:rPr>
              <w:t>For the Three Months Ended September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3"/>
        </w:trPr>
        <w:tc>
          <w:tcPr>
            <w:tcW w:w="45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53"/>
              <w:spacing w:after="0" w:line="212" w:lineRule="exact"/>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20"/>
                <w:szCs w:val="20"/>
                <w:b w:val="1"/>
                <w:bCs w:val="1"/>
                <w:color w:val="auto"/>
                <w:vertAlign w:val="superscript"/>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80" w:type="dxa"/>
            <w:vAlign w:val="bottom"/>
          </w:tcPr>
          <w:p>
            <w:pPr>
              <w:jc w:val="right"/>
              <w:ind w:right="23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3"/>
              </w:rPr>
              <w:t>405.5</w:t>
            </w:r>
          </w:p>
        </w:tc>
        <w:tc>
          <w:tcPr>
            <w:tcW w:w="2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352.3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7"/>
        </w:trPr>
        <w:tc>
          <w:tcPr>
            <w:tcW w:w="4580" w:type="dxa"/>
            <w:vAlign w:val="bottom"/>
          </w:tcPr>
          <w:p>
            <w:pPr>
              <w:ind w:left="20"/>
              <w:spacing w:after="0"/>
              <w:rPr>
                <w:sz w:val="20"/>
                <w:szCs w:val="20"/>
                <w:color w:val="auto"/>
              </w:rPr>
            </w:pPr>
            <w:r>
              <w:rPr>
                <w:rFonts w:ascii="Arial" w:cs="Arial" w:eastAsia="Arial" w:hAnsi="Arial"/>
                <w:sz w:val="18"/>
                <w:szCs w:val="18"/>
                <w:color w:val="auto"/>
              </w:rPr>
              <w:t>Profit</w:t>
            </w:r>
          </w:p>
        </w:tc>
        <w:tc>
          <w:tcPr>
            <w:tcW w:w="1040" w:type="dxa"/>
            <w:vAlign w:val="bottom"/>
          </w:tcPr>
          <w:p>
            <w:pPr>
              <w:jc w:val="right"/>
              <w:ind w:right="8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2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306" w:lineRule="exact"/>
        <w:rPr>
          <w:sz w:val="20"/>
          <w:szCs w:val="20"/>
          <w:color w:val="auto"/>
        </w:rPr>
      </w:pPr>
    </w:p>
    <w:p>
      <w:pPr>
        <w:ind w:left="640" w:firstLine="8"/>
        <w:spacing w:after="0" w:line="224" w:lineRule="auto"/>
        <w:tabs>
          <w:tab w:leader="none" w:pos="85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28"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Net sales increased 15% in the third quarter of 2023 compared to 2022 as price increased 10%, product mix increased 3% and sales volumes increased 2%.</w:t>
      </w:r>
    </w:p>
    <w:p>
      <w:pPr>
        <w:spacing w:after="0" w:line="202" w:lineRule="exact"/>
        <w:rPr>
          <w:sz w:val="20"/>
          <w:szCs w:val="20"/>
          <w:color w:val="auto"/>
        </w:rPr>
      </w:pPr>
    </w:p>
    <w:p>
      <w:pPr>
        <w:ind w:firstLine="241"/>
        <w:spacing w:after="0" w:line="300" w:lineRule="auto"/>
        <w:rPr>
          <w:sz w:val="20"/>
          <w:szCs w:val="20"/>
          <w:color w:val="auto"/>
        </w:rPr>
      </w:pPr>
      <w:r>
        <w:rPr>
          <w:rFonts w:ascii="Arial" w:cs="Arial" w:eastAsia="Arial" w:hAnsi="Arial"/>
          <w:sz w:val="17"/>
          <w:szCs w:val="17"/>
          <w:color w:val="auto"/>
        </w:rPr>
        <w:t>Segment profit in the third quarter of 2023 compared to 2022 increased $45 million primarily due to $37 million from favorable price, $10 million from favorable product mix, and $1 million from higher sales volumes. Partially offsetting these increases were $3 million from higher SG&amp;A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Corporate and Other segment's net sales and loss for the third quarter of 2023 and 2022 (dollars in millions):</w:t>
      </w:r>
    </w:p>
    <w:p>
      <w:pPr>
        <w:spacing w:after="0" w:line="59"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4500" w:type="dxa"/>
            <w:vAlign w:val="bottom"/>
          </w:tcPr>
          <w:p>
            <w:pPr>
              <w:spacing w:after="0"/>
              <w:rPr>
                <w:sz w:val="18"/>
                <w:szCs w:val="18"/>
                <w:color w:val="auto"/>
              </w:rPr>
            </w:pPr>
          </w:p>
        </w:tc>
        <w:tc>
          <w:tcPr>
            <w:tcW w:w="3500" w:type="dxa"/>
            <w:vAlign w:val="bottom"/>
            <w:gridSpan w:val="6"/>
          </w:tcPr>
          <w:p>
            <w:pPr>
              <w:ind w:left="160"/>
              <w:spacing w:after="0"/>
              <w:rPr>
                <w:sz w:val="20"/>
                <w:szCs w:val="20"/>
                <w:color w:val="auto"/>
              </w:rPr>
            </w:pPr>
            <w:r>
              <w:rPr>
                <w:rFonts w:ascii="Arial" w:cs="Arial" w:eastAsia="Arial" w:hAnsi="Arial"/>
                <w:sz w:val="16"/>
                <w:szCs w:val="16"/>
                <w:b w:val="1"/>
                <w:bCs w:val="1"/>
                <w:color w:val="auto"/>
              </w:rPr>
              <w:t>For the Three Months Ended September 30,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3"/>
        </w:trPr>
        <w:tc>
          <w:tcPr>
            <w:tcW w:w="4500" w:type="dxa"/>
            <w:vAlign w:val="bottom"/>
          </w:tcPr>
          <w:p>
            <w:pPr>
              <w:spacing w:after="0"/>
              <w:rPr>
                <w:sz w:val="18"/>
                <w:szCs w:val="18"/>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94"/>
              <w:spacing w:after="0" w:line="212" w:lineRule="exact"/>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20"/>
                <w:szCs w:val="20"/>
                <w:b w:val="1"/>
                <w:bCs w:val="1"/>
                <w:color w:val="auto"/>
                <w:vertAlign w:val="superscript"/>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Pr>
          <w:p>
            <w:pPr>
              <w:jc w:val="right"/>
              <w:ind w:right="29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7"/>
        </w:trPr>
        <w:tc>
          <w:tcPr>
            <w:tcW w:w="4500" w:type="dxa"/>
            <w:vAlign w:val="bottom"/>
          </w:tcPr>
          <w:p>
            <w:pPr>
              <w:ind w:left="20"/>
              <w:spacing w:after="0"/>
              <w:rPr>
                <w:sz w:val="20"/>
                <w:szCs w:val="20"/>
                <w:color w:val="auto"/>
              </w:rPr>
            </w:pPr>
            <w:r>
              <w:rPr>
                <w:rFonts w:ascii="Arial" w:cs="Arial" w:eastAsia="Arial" w:hAnsi="Arial"/>
                <w:sz w:val="18"/>
                <w:szCs w:val="18"/>
                <w:color w:val="auto"/>
              </w:rPr>
              <w:t>Loss</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320" w:lineRule="exact"/>
        <w:rPr>
          <w:sz w:val="20"/>
          <w:szCs w:val="20"/>
          <w:color w:val="auto"/>
        </w:rPr>
      </w:pPr>
    </w:p>
    <w:p>
      <w:pPr>
        <w:ind w:left="640" w:firstLine="8"/>
        <w:spacing w:after="0" w:line="224" w:lineRule="auto"/>
        <w:tabs>
          <w:tab w:leader="none" w:pos="85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28"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Net sales increased $7 million and segment loss increased $7 million in the third quarter of 2023 as compared to 2022. Our European businesses generated $4 million profit in the third quarter of 2023 and a loss of less than $1 million in the third quarter of 2022. Excluding our European businesses, Corporate and Other costs increased to $11 million in the third quarter of 2023 compared to 2022 due primarily to higher incentive compensation and wage inflation.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2023 Compared to Year-to-Date through September 30, 2022 -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320"/>
              <w:spacing w:after="0"/>
              <w:rPr>
                <w:sz w:val="20"/>
                <w:szCs w:val="20"/>
                <w:color w:val="auto"/>
              </w:rPr>
            </w:pPr>
            <w:r>
              <w:rPr>
                <w:rFonts w:ascii="Arial" w:cs="Arial" w:eastAsia="Arial" w:hAnsi="Arial"/>
                <w:sz w:val="16"/>
                <w:szCs w:val="16"/>
                <w:b w:val="1"/>
                <w:bCs w:val="1"/>
                <w:color w:val="auto"/>
              </w:rPr>
              <w:t>For the Nine Months Ended September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Percent</w:t>
            </w:r>
          </w:p>
        </w:tc>
        <w:tc>
          <w:tcPr>
            <w:tcW w:w="2600" w:type="dxa"/>
            <w:vAlign w:val="bottom"/>
            <w:gridSpan w:val="3"/>
          </w:tcPr>
          <w:p>
            <w:pPr>
              <w:jc w:val="right"/>
              <w:ind w:right="672"/>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Arial" w:cs="Arial" w:eastAsia="Arial" w:hAnsi="Arial"/>
                <w:sz w:val="14"/>
                <w:szCs w:val="14"/>
                <w:b w:val="1"/>
                <w:bCs w:val="1"/>
                <w:color w:val="auto"/>
              </w:rPr>
              <w:t>Change</w:t>
            </w:r>
          </w:p>
        </w:tc>
        <w:tc>
          <w:tcPr>
            <w:tcW w:w="124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Fav/(Unfav)</w:t>
            </w: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3,827.1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3,624.6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472.2</w:t>
            </w:r>
          </w:p>
        </w:tc>
        <w:tc>
          <w:tcPr>
            <w:tcW w:w="1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on assets held for sale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105.1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15.3 %</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15.8 %</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Net sales increased 6% for the nine months ended September 30, 2023 compared to the nine months ended September 30, 2022 due to favorable product mix of 6% and higher price of 5%. Partially offsetting these increases were lower sales volumes of 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4"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Gross profit margins for the nine months ended September 30, 2023 increased 360 bps to 31.2% compared to 27.6% for the nine months ended September 30, 2022. Gross margins increased 350 bps from higher price, 140 bps from favorable mix and 90 bps from lower commodity costs. Partially offsetting these increases were 70 bps from higher other product costs, 60 bps from higher component costs, 40 bps from lower sales volumes, 30 bps from higher freight and distribution costs and 20 bps from higher miscellaneous other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SG&amp;A increased $55 million to $528 million for the nine months ended September 30, 2023 compared to $472 million for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spacing w:after="0" w:line="270" w:lineRule="auto"/>
        <w:rPr>
          <w:sz w:val="20"/>
          <w:szCs w:val="20"/>
          <w:color w:val="auto"/>
        </w:rPr>
      </w:pPr>
      <w:r>
        <w:rPr>
          <w:rFonts w:ascii="Arial" w:cs="Arial" w:eastAsia="Arial" w:hAnsi="Arial"/>
          <w:sz w:val="18"/>
          <w:szCs w:val="18"/>
          <w:color w:val="auto"/>
        </w:rPr>
        <w:t>the nine months ended September 30, 2022 primarily due to higher employee-related costs. As a percentage of net sales, SG&amp;A increased 80 bps to 13.8% from 13.0%.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and other expenses, net for the nine months ended September 30, 2023 and 2022 included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6"/>
                <w:szCs w:val="16"/>
                <w:b w:val="1"/>
                <w:bCs w:val="1"/>
                <w:color w:val="auto"/>
                <w:w w:val="96"/>
              </w:rPr>
              <w:t>For the Nine Months Ended September 30,</w:t>
            </w:r>
          </w:p>
        </w:tc>
      </w:tr>
      <w:tr>
        <w:trPr>
          <w:trHeight w:val="210"/>
        </w:trPr>
        <w:tc>
          <w:tcPr>
            <w:tcW w:w="79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6"/>
                <w:szCs w:val="16"/>
                <w:b w:val="1"/>
                <w:bCs w:val="1"/>
                <w:color w:val="auto"/>
              </w:rPr>
              <w:t>2022</w:t>
            </w:r>
          </w:p>
        </w:tc>
      </w:tr>
      <w:tr>
        <w:trPr>
          <w:trHeight w:val="220"/>
        </w:trPr>
        <w:tc>
          <w:tcPr>
            <w:tcW w:w="7900" w:type="dxa"/>
            <w:vAlign w:val="bottom"/>
          </w:tcPr>
          <w:p>
            <w:pPr>
              <w:ind w:left="20"/>
              <w:spacing w:after="0"/>
              <w:rPr>
                <w:sz w:val="20"/>
                <w:szCs w:val="20"/>
                <w:color w:val="auto"/>
              </w:rPr>
            </w:pPr>
            <w:r>
              <w:rPr>
                <w:rFonts w:ascii="Arial" w:cs="Arial" w:eastAsia="Arial" w:hAnsi="Arial"/>
                <w:sz w:val="18"/>
                <w:szCs w:val="18"/>
                <w:color w:val="auto"/>
              </w:rPr>
              <w:t>Realized losses (gains) on settled future contracts</w:t>
            </w:r>
          </w:p>
        </w:tc>
        <w:tc>
          <w:tcPr>
            <w:tcW w:w="1080" w:type="dxa"/>
            <w:vAlign w:val="bottom"/>
          </w:tcPr>
          <w:p>
            <w:pPr>
              <w:jc w:val="right"/>
              <w:ind w:right="89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7"/>
        </w:trPr>
        <w:tc>
          <w:tcPr>
            <w:tcW w:w="7900" w:type="dxa"/>
            <w:vAlign w:val="bottom"/>
          </w:tcPr>
          <w:p>
            <w:pPr>
              <w:ind w:left="20"/>
              <w:spacing w:after="0"/>
              <w:rPr>
                <w:sz w:val="20"/>
                <w:szCs w:val="20"/>
                <w:color w:val="auto"/>
              </w:rPr>
            </w:pPr>
            <w:r>
              <w:rPr>
                <w:rFonts w:ascii="Arial" w:cs="Arial" w:eastAsia="Arial" w:hAnsi="Arial"/>
                <w:sz w:val="18"/>
                <w:szCs w:val="18"/>
                <w:color w:val="auto"/>
              </w:rPr>
              <w:t>Gain on disposal of fixed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790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liabilities and special litigation charges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 net</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6"/>
        </w:trPr>
        <w:tc>
          <w:tcPr>
            <w:tcW w:w="7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Losses (gains) and other expenses, net (pre-tax)</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on Assets Held for Sale</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recorded a $63 million impairment on assets held for sale in the third quarter of 2023 related to the sale of our European commercial HVAC and refrigeration businesses. The loss is the result of the difference between the expected fair value of the consideration received for these businesses, net of our costs to sell, and the carrying value of the net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0" w:lineRule="exact"/>
        <w:rPr>
          <w:sz w:val="20"/>
          <w:szCs w:val="20"/>
          <w:color w:val="auto"/>
        </w:rPr>
      </w:pPr>
    </w:p>
    <w:p>
      <w:pPr>
        <w:jc w:val="both"/>
        <w:ind w:right="20" w:firstLine="241"/>
        <w:spacing w:after="0" w:line="255" w:lineRule="auto"/>
        <w:rPr>
          <w:sz w:val="20"/>
          <w:szCs w:val="20"/>
          <w:color w:val="auto"/>
        </w:rPr>
      </w:pPr>
      <w:r>
        <w:rPr>
          <w:rFonts w:ascii="Arial" w:cs="Arial" w:eastAsia="Arial" w:hAnsi="Arial"/>
          <w:sz w:val="18"/>
          <w:szCs w:val="18"/>
          <w:color w:val="auto"/>
        </w:rPr>
        <w:t>Income from equity method investments increased to $8 million for the nine months ended September 30, 2023 as compared to $4 million for the nine months ended September 30, 2022. The increase was due to lower operating costs at the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Interest expense, net increased $14 million for the nine months ended September 30, 2023 compared to the nine months ended September 30, 2022 primarily due to higher interest rates.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7" w:lineRule="exact"/>
        <w:rPr>
          <w:sz w:val="20"/>
          <w:szCs w:val="20"/>
          <w:color w:val="auto"/>
        </w:rPr>
      </w:pPr>
    </w:p>
    <w:p>
      <w:pPr>
        <w:jc w:val="both"/>
        <w:ind w:firstLine="241"/>
        <w:spacing w:after="0" w:line="300" w:lineRule="auto"/>
        <w:rPr>
          <w:sz w:val="20"/>
          <w:szCs w:val="20"/>
          <w:color w:val="auto"/>
        </w:rPr>
      </w:pPr>
      <w:r>
        <w:rPr>
          <w:rFonts w:ascii="Arial" w:cs="Arial" w:eastAsia="Arial" w:hAnsi="Arial"/>
          <w:sz w:val="17"/>
          <w:szCs w:val="17"/>
          <w:color w:val="auto"/>
        </w:rPr>
        <w:t>Our effective tax rate increased to 21.0% for the nine months ended September 30, 2023 compared to 18.9% for the nine months ended September 30, 2022 primarily due to the allocation of income to higher tax jurisdictions and a discrete adjustment related to the European divestiture.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2023 Compared to Year-to-Date through September 30, 2022 -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Residential segment's net sales and profit for the nine months ended September 30, 2023 and 2022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Nine Months Ended September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94"/>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61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18"/>
                <w:szCs w:val="18"/>
                <w:color w:val="auto"/>
              </w:rPr>
            </w:pPr>
          </w:p>
        </w:tc>
      </w:tr>
      <w:tr>
        <w:trPr>
          <w:trHeight w:val="220"/>
        </w:trPr>
        <w:tc>
          <w:tcPr>
            <w:tcW w:w="47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rPr>
              <w:t>2,513.6</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2,494.9</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495.2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477.7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41"/>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594"/>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ind w:firstLine="241"/>
        <w:spacing w:after="0" w:line="270" w:lineRule="auto"/>
        <w:rPr>
          <w:sz w:val="20"/>
          <w:szCs w:val="20"/>
          <w:color w:val="auto"/>
        </w:rPr>
      </w:pPr>
      <w:r>
        <w:rPr>
          <w:rFonts w:ascii="Arial" w:cs="Arial" w:eastAsia="Arial" w:hAnsi="Arial"/>
          <w:sz w:val="18"/>
          <w:szCs w:val="18"/>
          <w:color w:val="auto"/>
        </w:rPr>
        <w:t>Net sales increased 1% for the nine months ended September 30, 2023 compared to the nine months ended September 30, 2022 due to favorable product mix of 7% and higher price of 2%. Partially offsetting these increases was lower sales volumes of 8%.</w:t>
      </w:r>
    </w:p>
    <w:p>
      <w:pPr>
        <w:spacing w:after="0" w:line="202"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Segment profit for the first nine months of 2023 compared to 2022 increased $17 million primarily due to $65 million from favorable product mix, $60 million from higher price, and $27 million from lower commodity costs. Partially offsetting these increases was $62 million from lower sales volumes, $34 million from higher SG&amp;A costs, $17 million from higher freight and distribution costs, $13 million from higher component costs, and $9 million from miscellaneous other items.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Commercial segment's net sales and profit for the nine months ended September 30, 2023 and 2022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Nine Months Ended September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73"/>
              <w:spacing w:after="0" w:line="209" w:lineRule="exact"/>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20"/>
                <w:szCs w:val="20"/>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47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rPr>
              <w:t>1,121.5</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959.2</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17 %</w:t>
            </w:r>
          </w:p>
        </w:tc>
      </w:tr>
      <w:tr>
        <w:trPr>
          <w:trHeight w:val="227"/>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250.3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117.4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7"/>
        </w:trPr>
        <w:tc>
          <w:tcPr>
            <w:tcW w:w="476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320" w:lineRule="exact"/>
        <w:rPr>
          <w:sz w:val="20"/>
          <w:szCs w:val="20"/>
          <w:color w:val="auto"/>
        </w:rPr>
      </w:pPr>
    </w:p>
    <w:p>
      <w:pPr>
        <w:ind w:left="640" w:firstLine="8"/>
        <w:spacing w:after="0" w:line="224" w:lineRule="auto"/>
        <w:tabs>
          <w:tab w:leader="none" w:pos="85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28"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Net sales increased 17% for the nine months ended September 30, 2023 compared to the nine months ended September 30, 2022 as price increased 11% and product mix was 6% favorable.</w:t>
      </w:r>
    </w:p>
    <w:p>
      <w:pPr>
        <w:spacing w:after="0" w:line="1" w:lineRule="exact"/>
        <w:rPr>
          <w:sz w:val="20"/>
          <w:szCs w:val="20"/>
          <w:color w:val="auto"/>
        </w:rPr>
      </w:pPr>
    </w:p>
    <w:p>
      <w:pPr>
        <w:jc w:val="both"/>
        <w:ind w:firstLine="241"/>
        <w:spacing w:after="0" w:line="250" w:lineRule="auto"/>
        <w:rPr>
          <w:sz w:val="20"/>
          <w:szCs w:val="20"/>
          <w:color w:val="auto"/>
        </w:rPr>
      </w:pPr>
      <w:r>
        <w:rPr>
          <w:rFonts w:ascii="Arial" w:cs="Arial" w:eastAsia="Arial" w:hAnsi="Arial"/>
          <w:sz w:val="18"/>
          <w:szCs w:val="18"/>
          <w:color w:val="auto"/>
        </w:rPr>
        <w:t>Segment profit for the first nine months of 2023 compared to 2022 increased $133 million primarily due to $112 million from higher price, $43 million from favorable product mix, $6 million from lower commodity costs, and $6 million from lower freight and distribution costs. Partially offsetting these increases were $16 million from higher other product costs including warranty costs, $9 million from higher component costs, and $9 million from higher SG&amp;A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jc w:val="both"/>
        <w:ind w:right="20" w:firstLine="241"/>
        <w:spacing w:after="0" w:line="270" w:lineRule="auto"/>
        <w:rPr>
          <w:sz w:val="20"/>
          <w:szCs w:val="20"/>
          <w:color w:val="auto"/>
        </w:rPr>
      </w:pPr>
      <w:r>
        <w:rPr>
          <w:rFonts w:ascii="Arial" w:cs="Arial" w:eastAsia="Arial" w:hAnsi="Arial"/>
          <w:sz w:val="18"/>
          <w:szCs w:val="18"/>
          <w:color w:val="auto"/>
        </w:rPr>
        <w:t>The following table presents our Corporate and Other segment's net sales and loss for the nine months ended September 30, 2023 and 2022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gridSpan w:val="5"/>
          </w:tcPr>
          <w:p>
            <w:pPr>
              <w:ind w:left="20"/>
              <w:spacing w:after="0"/>
              <w:rPr>
                <w:sz w:val="20"/>
                <w:szCs w:val="20"/>
                <w:color w:val="auto"/>
              </w:rPr>
            </w:pPr>
            <w:r>
              <w:rPr>
                <w:rFonts w:ascii="Arial" w:cs="Arial" w:eastAsia="Arial" w:hAnsi="Arial"/>
                <w:sz w:val="16"/>
                <w:szCs w:val="16"/>
                <w:b w:val="1"/>
                <w:bCs w:val="1"/>
                <w:color w:val="auto"/>
                <w:w w:val="98"/>
              </w:rPr>
              <w:t>For the Nine Months Ended September 30,</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94"/>
              <w:spacing w:after="0" w:line="209" w:lineRule="exact"/>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20"/>
                <w:szCs w:val="20"/>
                <w:b w:val="1"/>
                <w:bCs w:val="1"/>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Borders>
              <w:top w:val="single" w:sz="8" w:color="CCEEFF"/>
            </w:tcBorders>
            <w:shd w:val="clear" w:color="auto" w:fill="CCEEFF"/>
          </w:tcPr>
          <w:p>
            <w:pPr>
              <w:jc w:val="right"/>
              <w:ind w:right="294"/>
              <w:spacing w:after="0"/>
              <w:rPr>
                <w:sz w:val="20"/>
                <w:szCs w:val="20"/>
                <w:color w:val="auto"/>
              </w:rPr>
            </w:pPr>
            <w:r>
              <w:rPr>
                <w:rFonts w:ascii="Arial" w:cs="Arial" w:eastAsia="Arial" w:hAnsi="Arial"/>
                <w:sz w:val="16"/>
                <w:szCs w:val="16"/>
                <w:b w:val="1"/>
                <w:bCs w:val="1"/>
                <w:color w:val="auto"/>
              </w:rPr>
              <w:t>% Change</w:t>
            </w:r>
          </w:p>
        </w:tc>
      </w:tr>
      <w:tr>
        <w:trPr>
          <w:trHeight w:val="220"/>
        </w:trPr>
        <w:tc>
          <w:tcPr>
            <w:tcW w:w="49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9"/>
                <w:szCs w:val="19"/>
                <w:color w:val="auto"/>
              </w:rPr>
            </w:pPr>
          </w:p>
        </w:tc>
        <w:tc>
          <w:tcPr>
            <w:tcW w:w="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w w:val="97"/>
              </w:rPr>
              <w:t>170.5</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2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3"/>
              </w:rPr>
              <w:t>(65.2)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9"/>
              </w:rPr>
              <w:t>(61.4)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7"/>
              </w:rPr>
              <w:t>(3.8)</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06" w:lineRule="exact"/>
        <w:rPr>
          <w:sz w:val="20"/>
          <w:szCs w:val="20"/>
          <w:color w:val="auto"/>
        </w:rPr>
      </w:pPr>
    </w:p>
    <w:p>
      <w:pPr>
        <w:ind w:left="640" w:firstLine="8"/>
        <w:spacing w:after="0" w:line="224" w:lineRule="auto"/>
        <w:tabs>
          <w:tab w:leader="none" w:pos="85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28"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Net sales increased $21 million and segment loss increased $4 million during the nine months ended September 30, 2023 as compared to 2022. Our European businesses generated a profit of $6 million in the nine months ended September 30, 2023 and a loss of $4 million in the nine months ended September 30, 2022. Excluding our European businesses, Corporate and Other costs increased $14 million due primarily to higher incentive compensation costs and wage inflation.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Our working capital and capital expenditure requirements are generally met through internally generated funds, bank lines of credit and an asset securitization arrangement. Upon expiration of the asset securitization arrangement, our new commercial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70" w:lineRule="auto"/>
        <w:rPr>
          <w:sz w:val="20"/>
          <w:szCs w:val="20"/>
          <w:color w:val="auto"/>
        </w:rPr>
      </w:pPr>
      <w:r>
        <w:rPr>
          <w:rFonts w:ascii="Arial" w:cs="Arial" w:eastAsia="Arial" w:hAnsi="Arial"/>
          <w:sz w:val="18"/>
          <w:szCs w:val="18"/>
          <w:color w:val="auto"/>
        </w:rPr>
        <w:t>paper program (described below) will serve as an additional source of liquidity. Working capital needs are generally greater in the first and second quarters due to the seasonal nature of our business cycle.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nine months ended September 30, 2023 and 2022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Borders>
              <w:bottom w:val="single" w:sz="8" w:color="CCEEFF"/>
            </w:tcBorders>
          </w:tcPr>
          <w:p>
            <w:pPr>
              <w:spacing w:after="0"/>
              <w:rPr>
                <w:sz w:val="18"/>
                <w:szCs w:val="18"/>
                <w:color w:val="auto"/>
              </w:rPr>
            </w:pPr>
          </w:p>
        </w:tc>
        <w:tc>
          <w:tcPr>
            <w:tcW w:w="3140" w:type="dxa"/>
            <w:vAlign w:val="bottom"/>
            <w:tcBorders>
              <w:bottom w:val="single" w:sz="8" w:color="auto"/>
            </w:tcBorders>
            <w:gridSpan w:val="5"/>
          </w:tcPr>
          <w:p>
            <w:pPr>
              <w:jc w:val="right"/>
              <w:ind w:right="13"/>
              <w:spacing w:after="0"/>
              <w:rPr>
                <w:sz w:val="20"/>
                <w:szCs w:val="20"/>
                <w:color w:val="auto"/>
              </w:rPr>
            </w:pPr>
            <w:r>
              <w:rPr>
                <w:rFonts w:ascii="Arial" w:cs="Arial" w:eastAsia="Arial" w:hAnsi="Arial"/>
                <w:sz w:val="16"/>
                <w:szCs w:val="16"/>
                <w:b w:val="1"/>
                <w:bCs w:val="1"/>
                <w:color w:val="auto"/>
                <w:w w:val="93"/>
              </w:rPr>
              <w:t>For the Nine Months Ended September 30,</w:t>
            </w:r>
          </w:p>
        </w:tc>
      </w:tr>
      <w:tr>
        <w:trPr>
          <w:trHeight w:val="210"/>
        </w:trPr>
        <w:tc>
          <w:tcPr>
            <w:tcW w:w="79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20"/>
        </w:trPr>
        <w:tc>
          <w:tcPr>
            <w:tcW w:w="79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429.9</w:t>
            </w:r>
          </w:p>
        </w:tc>
        <w:tc>
          <w:tcPr>
            <w:tcW w:w="1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660"/>
              <w:spacing w:after="0"/>
              <w:rPr>
                <w:sz w:val="20"/>
                <w:szCs w:val="20"/>
                <w:color w:val="auto"/>
              </w:rPr>
            </w:pPr>
            <w:r>
              <w:rPr>
                <w:rFonts w:ascii="Arial" w:cs="Arial" w:eastAsia="Arial" w:hAnsi="Arial"/>
                <w:sz w:val="18"/>
                <w:szCs w:val="18"/>
                <w:color w:val="auto"/>
                <w:w w:val="97"/>
              </w:rPr>
              <w:t>170.1</w:t>
            </w:r>
          </w:p>
        </w:tc>
      </w:tr>
      <w:tr>
        <w:trPr>
          <w:trHeight w:val="227"/>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(124.5)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9"/>
              </w:rPr>
              <w:t>(68.2)</w:t>
            </w:r>
          </w:p>
        </w:tc>
      </w:tr>
      <w:tr>
        <w:trPr>
          <w:trHeight w:val="227"/>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(215.6)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680"/>
              <w:spacing w:after="0"/>
              <w:rPr>
                <w:sz w:val="20"/>
                <w:szCs w:val="20"/>
                <w:color w:val="auto"/>
              </w:rPr>
            </w:pPr>
            <w:r>
              <w:rPr>
                <w:rFonts w:ascii="Arial" w:cs="Arial" w:eastAsia="Arial" w:hAnsi="Arial"/>
                <w:sz w:val="18"/>
                <w:szCs w:val="18"/>
                <w:color w:val="auto"/>
                <w:w w:val="89"/>
              </w:rPr>
              <w:t>(89.1)</w:t>
            </w:r>
          </w:p>
        </w:tc>
      </w:tr>
    </w:tbl>
    <w:p>
      <w:pPr>
        <w:spacing w:after="0" w:line="320" w:lineRule="exact"/>
        <w:rPr>
          <w:sz w:val="20"/>
          <w:szCs w:val="20"/>
          <w:color w:val="auto"/>
        </w:rPr>
      </w:pPr>
    </w:p>
    <w:p>
      <w:pPr>
        <w:jc w:val="both"/>
        <w:ind w:firstLine="241"/>
        <w:spacing w:after="0" w:line="334"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The change in net cash provided by operating activities for the nine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net cash provided by operating activities for the same period in 2022 reflects changes in working capital and an increase in net income.</w:t>
      </w:r>
    </w:p>
    <w:p>
      <w:pPr>
        <w:spacing w:after="0" w:line="156"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Capital expenditures were $125 million for the nine months ended September 30, 2023 compared to $67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2022. Capital expenditures in 2023 were related to our Commercial factory in Mexico, the general expansion of manufacturing capacity and equipment, and investments in systems and software to support the overall enterprise.</w:t>
      </w:r>
    </w:p>
    <w:p>
      <w:pPr>
        <w:spacing w:after="0" w:line="212"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Net cash used in financing activities for the nine months ended September 30, 2023 increased to $216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$89 million used in financing activities in the same period of 2022. The change was primarily due to changes net borrowings and repayments of long-term debt partially offset by less share repurchases. We did not repurchase any shares for the nine months ended September 30, 2023 and we repurchased $300 million in shares in the same period of 2022. We returned $153 million to shareholders through dividend payments for the nine months ended September 30, 2023 and $142 million in the same period of 2022. For additional information on share repurchases, refer to Note 5 in the Notes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lines of credit and financing arrangements as of September 30, 2023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2"/>
              <w:spacing w:after="0"/>
              <w:rPr>
                <w:sz w:val="20"/>
                <w:szCs w:val="20"/>
                <w:color w:val="auto"/>
              </w:rPr>
            </w:pPr>
            <w:r>
              <w:rPr>
                <w:rFonts w:ascii="Arial" w:cs="Arial" w:eastAsia="Arial" w:hAnsi="Arial"/>
                <w:sz w:val="16"/>
                <w:szCs w:val="16"/>
                <w:b w:val="1"/>
                <w:bCs w:val="1"/>
                <w:color w:val="auto"/>
                <w:w w:val="99"/>
              </w:rPr>
              <w:t>Outstanding</w:t>
            </w:r>
          </w:p>
        </w:tc>
      </w:tr>
      <w:tr>
        <w:trPr>
          <w:trHeight w:val="209"/>
        </w:trPr>
        <w:tc>
          <w:tcPr>
            <w:tcW w:w="9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Borrowings</w:t>
            </w:r>
          </w:p>
        </w:tc>
      </w:tr>
      <w:tr>
        <w:trPr>
          <w:trHeight w:val="211"/>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8"/>
        </w:trPr>
        <w:tc>
          <w:tcPr>
            <w:tcW w:w="97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9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r>
      <w:tr>
        <w:trPr>
          <w:trHeight w:val="227"/>
        </w:trPr>
        <w:tc>
          <w:tcPr>
            <w:tcW w:w="9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7"/>
        </w:trPr>
        <w:tc>
          <w:tcPr>
            <w:tcW w:w="974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Credit agreement </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1"/>
        </w:trPr>
        <w:tc>
          <w:tcPr>
            <w:tcW w:w="9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r>
      <w:tr>
        <w:trPr>
          <w:trHeight w:val="220"/>
        </w:trPr>
        <w:tc>
          <w:tcPr>
            <w:tcW w:w="974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1,483.2</w:t>
            </w:r>
          </w:p>
        </w:tc>
      </w:tr>
      <w:tr>
        <w:trPr>
          <w:trHeight w:val="20"/>
        </w:trPr>
        <w:tc>
          <w:tcPr>
            <w:tcW w:w="9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20" w:hanging="313"/>
        <w:spacing w:after="0" w:line="272" w:lineRule="auto"/>
        <w:tabs>
          <w:tab w:leader="none" w:pos="176"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The maximum securitization amount ranges from $300.0 million to $450.0 million, depending on the period. The maximum capacity of the ASP is the lesser of the maximum securitization amount or 100% of the net pool balance less reserves, as defined under the ASP. Refer to Note 11 in the Notes to the Consolidated Financial Statements for more information.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ind w:left="320" w:hanging="313"/>
        <w:spacing w:after="0" w:line="259" w:lineRule="auto"/>
        <w:tabs>
          <w:tab w:leader="none" w:pos="179"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The available future borrowings on our Credit Agreement (as defined below) are $1,098.3 million, after being reduced by the outstanding borrowings and $1.7 million in outstanding standby letters of credit. Refer to Note 11 in the Notes to the Consolidated Financial Statements for more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Amendment to the Credit Agreement</w:t>
      </w:r>
    </w:p>
    <w:p>
      <w:pPr>
        <w:spacing w:after="0" w:line="247" w:lineRule="exact"/>
        <w:rPr>
          <w:sz w:val="20"/>
          <w:szCs w:val="20"/>
          <w:color w:val="auto"/>
        </w:rPr>
      </w:pPr>
    </w:p>
    <w:p>
      <w:pPr>
        <w:jc w:val="both"/>
        <w:ind w:firstLine="241"/>
        <w:spacing w:after="0" w:line="245" w:lineRule="auto"/>
        <w:rPr>
          <w:sz w:val="20"/>
          <w:szCs w:val="20"/>
          <w:color w:val="auto"/>
        </w:rPr>
      </w:pPr>
      <w:r>
        <w:rPr>
          <w:rFonts w:ascii="Arial" w:cs="Arial" w:eastAsia="Arial" w:hAnsi="Arial"/>
          <w:sz w:val="18"/>
          <w:szCs w:val="18"/>
          <w:color w:val="auto"/>
        </w:rPr>
        <w:t>In August 2023, we entered into the Second Amendment (the “Second Amendment”) to the Credit Agreement, dated as of July 14, 2021 (as amended, the "Credit Agreement"), with JPMorgan Chase Bank, N.A., as administrative agent, and the other lenders party thereto. Under the Second Amendment, the revolving commitments were increased by $350 million and certain representations required to be made as conditions precedent to borrowing were revised to provide us greater flexibility to enter into additional future financing.</w:t>
      </w:r>
    </w:p>
    <w:p>
      <w:pPr>
        <w:spacing w:after="0" w:line="210"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The Credit Agreement provides for revolving credit commitments of $1.1 billion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w:t>
      </w:r>
    </w:p>
    <w:p>
      <w:pPr>
        <w:spacing w:after="0" w:line="216"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September 30, 2023, we believe we were in compliance with all covenant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47"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In September 2023, we issued $500.0 million of senior unsecured notes, which will mature in September 2028 (the "2028 Notes") with interest being paid semi-annually in March and September at 5.50%. We issued two series of senior unsecured notes on July 30, 2020 for $300.0 million each, which will mature on August 1, 2025 (the "2025 Notes") and August 1, 2027 (the "2027 Notes") with interest being paid semi-annually in February and August at 1.35% and 1.70% respectively, per annum. We also issued $350.0 million of senior unsecured notes in November 2016 (the "2023 Notes," and together with the 2025 Notes, 2027 Notes, and the 2028 Notes, the "Notes") which will mature on November 15, 2023 with interest being paid semi-annually on May 15 and November 15 at 3.00% per annum.</w:t>
      </w:r>
    </w:p>
    <w:p>
      <w:pPr>
        <w:spacing w:after="0" w:line="219"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2023, we believe we were in compliance with all covenant requirements.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47" w:lineRule="exact"/>
        <w:rPr>
          <w:sz w:val="20"/>
          <w:szCs w:val="20"/>
          <w:color w:val="auto"/>
        </w:rPr>
      </w:pPr>
    </w:p>
    <w:p>
      <w:pPr>
        <w:jc w:val="both"/>
        <w:ind w:firstLine="241"/>
        <w:spacing w:after="0" w:line="297"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90% at September 30, 2023 from 115% at December 31, 2022.</w:t>
      </w:r>
    </w:p>
    <w:p>
      <w:pPr>
        <w:spacing w:after="0" w:line="185" w:lineRule="exact"/>
        <w:rPr>
          <w:sz w:val="20"/>
          <w:szCs w:val="20"/>
          <w:color w:val="auto"/>
        </w:rPr>
      </w:pPr>
    </w:p>
    <w:p>
      <w:pPr>
        <w:jc w:val="both"/>
        <w:ind w:firstLine="241"/>
        <w:spacing w:after="0" w:line="275" w:lineRule="auto"/>
        <w:rPr>
          <w:sz w:val="20"/>
          <w:szCs w:val="20"/>
          <w:color w:val="auto"/>
        </w:rPr>
      </w:pPr>
      <w:r>
        <w:rPr>
          <w:rFonts w:ascii="Arial" w:cs="Arial" w:eastAsia="Arial" w:hAnsi="Arial"/>
          <w:sz w:val="17"/>
          <w:szCs w:val="17"/>
          <w:color w:val="auto"/>
        </w:rPr>
        <w:t>As of September 30, 2023,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Liquidity</w:t>
      </w:r>
    </w:p>
    <w:p>
      <w:pPr>
        <w:spacing w:after="0" w:line="247" w:lineRule="exact"/>
        <w:rPr>
          <w:sz w:val="20"/>
          <w:szCs w:val="20"/>
          <w:color w:val="auto"/>
        </w:rPr>
      </w:pPr>
    </w:p>
    <w:p>
      <w:pPr>
        <w:jc w:val="both"/>
        <w:ind w:firstLine="241"/>
        <w:spacing w:after="0" w:line="292" w:lineRule="auto"/>
        <w:rPr>
          <w:sz w:val="20"/>
          <w:szCs w:val="20"/>
          <w:color w:val="auto"/>
        </w:rPr>
      </w:pPr>
      <w:r>
        <w:rPr>
          <w:rFonts w:ascii="Arial" w:cs="Arial" w:eastAsia="Arial" w:hAnsi="Arial"/>
          <w:sz w:val="16"/>
          <w:szCs w:val="16"/>
          <w:color w:val="auto"/>
        </w:rPr>
        <w:t>We believe our cash and cash equivalents of $132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$132 million as of September 30, 2023 was $18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Both our ASP as well as our $350.0 million 2023 Notes will mature during the fourth quarter. We pre-funded the 2023 notes maturity through the issuance of the 2028 Notes. We are replacing the expiring ASP with a $500.0 million commercial paper program, as described below. We do not believe that these changes will have any material impact on our results of operation or liquidity.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34"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Our senior unsecured notes were issued by Lennox International Inc. and are unconditionally guaranteed by certain of our subsidiaries (the "Guarantor Subsidiaries"). The Guarantor Subsidiaries are 100% owned and consolidated, all guarantees are full and unconditional, and all guarantees are joint and several.</w:t>
      </w:r>
    </w:p>
    <w:p>
      <w:pPr>
        <w:spacing w:after="0" w:line="212"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The following combined Parent and Guarantor Subsidiaries financial information is presented as of September 30, 2023 and December 31, 2022 and for the three and nine months ended September 30, 2023 (in millions):</w:t>
      </w:r>
    </w:p>
    <w:p>
      <w:pPr>
        <w:spacing w:after="0" w:line="234"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3860" w:type="dxa"/>
            <w:vAlign w:val="bottom"/>
          </w:tcPr>
          <w:p>
            <w:pPr>
              <w:jc w:val="right"/>
              <w:ind w:right="436"/>
              <w:spacing w:after="0"/>
              <w:rPr>
                <w:sz w:val="20"/>
                <w:szCs w:val="20"/>
                <w:color w:val="auto"/>
              </w:rPr>
            </w:pPr>
            <w:r>
              <w:rPr>
                <w:rFonts w:ascii="Arial" w:cs="Arial" w:eastAsia="Arial" w:hAnsi="Arial"/>
                <w:sz w:val="14"/>
                <w:szCs w:val="14"/>
                <w:b w:val="1"/>
                <w:bCs w:val="1"/>
                <w:color w:val="auto"/>
              </w:rPr>
              <w:t>September 30, 2023</w:t>
            </w:r>
          </w:p>
        </w:tc>
        <w:tc>
          <w:tcPr>
            <w:tcW w:w="1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52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933.7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9"/>
                <w:szCs w:val="19"/>
                <w:color w:val="auto"/>
              </w:rPr>
            </w:pPr>
          </w:p>
        </w:tc>
      </w:tr>
      <w:tr>
        <w:trPr>
          <w:trHeight w:val="227"/>
        </w:trPr>
        <w:tc>
          <w:tcPr>
            <w:tcW w:w="522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3860" w:type="dxa"/>
            <w:vAlign w:val="bottom"/>
          </w:tcPr>
          <w:p>
            <w:pPr>
              <w:jc w:val="right"/>
              <w:ind w:right="296"/>
              <w:spacing w:after="0"/>
              <w:rPr>
                <w:sz w:val="20"/>
                <w:szCs w:val="20"/>
                <w:color w:val="auto"/>
              </w:rPr>
            </w:pPr>
            <w:r>
              <w:rPr>
                <w:rFonts w:ascii="Arial" w:cs="Arial" w:eastAsia="Arial" w:hAnsi="Arial"/>
                <w:sz w:val="18"/>
                <w:szCs w:val="18"/>
                <w:color w:val="auto"/>
              </w:rPr>
              <w:t>6,086.7</w:t>
            </w:r>
          </w:p>
        </w:tc>
        <w:tc>
          <w:tcPr>
            <w:tcW w:w="1680" w:type="dxa"/>
            <w:vAlign w:val="bottom"/>
          </w:tcPr>
          <w:p>
            <w:pPr>
              <w:jc w:val="right"/>
              <w:spacing w:after="0"/>
              <w:rPr>
                <w:sz w:val="20"/>
                <w:szCs w:val="20"/>
                <w:color w:val="auto"/>
              </w:rPr>
            </w:pPr>
            <w:r>
              <w:rPr>
                <w:rFonts w:ascii="Arial" w:cs="Arial" w:eastAsia="Arial" w:hAnsi="Arial"/>
                <w:sz w:val="18"/>
                <w:szCs w:val="18"/>
                <w:color w:val="auto"/>
              </w:rPr>
              <w:t>4,844.4</w:t>
            </w:r>
          </w:p>
        </w:tc>
        <w:tc>
          <w:tcPr>
            <w:tcW w:w="100" w:type="dxa"/>
            <w:vAlign w:val="bottom"/>
          </w:tcPr>
          <w:p>
            <w:pPr>
              <w:spacing w:after="0"/>
              <w:rPr>
                <w:sz w:val="19"/>
                <w:szCs w:val="19"/>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8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1,004.9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tcPr>
          <w:p>
            <w:pPr>
              <w:spacing w:after="0"/>
              <w:rPr>
                <w:sz w:val="19"/>
                <w:szCs w:val="19"/>
                <w:color w:val="auto"/>
              </w:rPr>
            </w:pPr>
          </w:p>
        </w:tc>
      </w:tr>
      <w:tr>
        <w:trPr>
          <w:trHeight w:val="227"/>
        </w:trPr>
        <w:tc>
          <w:tcPr>
            <w:tcW w:w="52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860" w:type="dxa"/>
            <w:vAlign w:val="bottom"/>
          </w:tcPr>
          <w:p>
            <w:pPr>
              <w:jc w:val="right"/>
              <w:ind w:right="296"/>
              <w:spacing w:after="0"/>
              <w:rPr>
                <w:sz w:val="20"/>
                <w:szCs w:val="20"/>
                <w:color w:val="auto"/>
              </w:rPr>
            </w:pPr>
            <w:r>
              <w:rPr>
                <w:rFonts w:ascii="Arial" w:cs="Arial" w:eastAsia="Arial" w:hAnsi="Arial"/>
                <w:sz w:val="18"/>
                <w:szCs w:val="18"/>
                <w:color w:val="auto"/>
              </w:rPr>
              <w:t>1,456.2</w:t>
            </w:r>
          </w:p>
        </w:tc>
        <w:tc>
          <w:tcPr>
            <w:tcW w:w="1680" w:type="dxa"/>
            <w:vAlign w:val="bottom"/>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tcPr>
          <w:p>
            <w:pPr>
              <w:spacing w:after="0"/>
              <w:rPr>
                <w:sz w:val="19"/>
                <w:szCs w:val="19"/>
                <w:color w:val="auto"/>
              </w:rPr>
            </w:pP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non-guarantor subsidiaries</w:t>
            </w:r>
          </w:p>
        </w:tc>
        <w:tc>
          <w:tcPr>
            <w:tcW w:w="38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(725.4)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r>
      <w:tr>
        <w:trPr>
          <w:trHeight w:val="735"/>
        </w:trPr>
        <w:tc>
          <w:tcPr>
            <w:tcW w:w="5220" w:type="dxa"/>
            <w:vAlign w:val="bottom"/>
          </w:tcPr>
          <w:p>
            <w:pPr>
              <w:spacing w:after="0"/>
              <w:rPr>
                <w:sz w:val="24"/>
                <w:szCs w:val="24"/>
                <w:color w:val="auto"/>
              </w:rPr>
            </w:pPr>
          </w:p>
        </w:tc>
        <w:tc>
          <w:tcPr>
            <w:tcW w:w="3860" w:type="dxa"/>
            <w:vAlign w:val="bottom"/>
          </w:tcPr>
          <w:p>
            <w:pPr>
              <w:jc w:val="right"/>
              <w:ind w:right="176"/>
              <w:spacing w:after="0"/>
              <w:rPr>
                <w:sz w:val="20"/>
                <w:szCs w:val="20"/>
                <w:color w:val="auto"/>
              </w:rPr>
            </w:pPr>
            <w:r>
              <w:rPr>
                <w:rFonts w:ascii="Arial" w:cs="Arial" w:eastAsia="Arial" w:hAnsi="Arial"/>
                <w:sz w:val="14"/>
                <w:szCs w:val="14"/>
                <w:b w:val="1"/>
                <w:bCs w:val="1"/>
                <w:color w:val="auto"/>
              </w:rPr>
              <w:t>For the Three Months</w:t>
            </w:r>
          </w:p>
        </w:tc>
        <w:tc>
          <w:tcPr>
            <w:tcW w:w="1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For the Nine Months</w:t>
            </w:r>
          </w:p>
        </w:tc>
      </w:tr>
      <w:tr>
        <w:trPr>
          <w:trHeight w:val="193"/>
        </w:trPr>
        <w:tc>
          <w:tcPr>
            <w:tcW w:w="5220" w:type="dxa"/>
            <w:vAlign w:val="bottom"/>
          </w:tcPr>
          <w:p>
            <w:pPr>
              <w:spacing w:after="0"/>
              <w:rPr>
                <w:sz w:val="16"/>
                <w:szCs w:val="16"/>
                <w:color w:val="auto"/>
              </w:rPr>
            </w:pPr>
          </w:p>
        </w:tc>
        <w:tc>
          <w:tcPr>
            <w:tcW w:w="3860" w:type="dxa"/>
            <w:vAlign w:val="bottom"/>
          </w:tcPr>
          <w:p>
            <w:pPr>
              <w:jc w:val="right"/>
              <w:ind w:right="36"/>
              <w:spacing w:after="0"/>
              <w:rPr>
                <w:sz w:val="20"/>
                <w:szCs w:val="20"/>
                <w:color w:val="auto"/>
              </w:rPr>
            </w:pPr>
            <w:r>
              <w:rPr>
                <w:rFonts w:ascii="Arial" w:cs="Arial" w:eastAsia="Arial" w:hAnsi="Arial"/>
                <w:sz w:val="14"/>
                <w:szCs w:val="14"/>
                <w:b w:val="1"/>
                <w:bCs w:val="1"/>
                <w:color w:val="auto"/>
              </w:rPr>
              <w:t>Ended September 30, 2023</w:t>
            </w:r>
          </w:p>
        </w:tc>
        <w:tc>
          <w:tcPr>
            <w:tcW w:w="1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Ended, September 30, 2023</w:t>
            </w:r>
          </w:p>
        </w:tc>
      </w:tr>
      <w:tr>
        <w:trPr>
          <w:trHeight w:val="23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1,289.0</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3,559.3</w:t>
            </w:r>
          </w:p>
        </w:tc>
      </w:tr>
      <w:tr>
        <w:trPr>
          <w:trHeight w:val="227"/>
        </w:trPr>
        <w:tc>
          <w:tcPr>
            <w:tcW w:w="52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60" w:type="dxa"/>
            <w:vAlign w:val="bottom"/>
          </w:tcPr>
          <w:p>
            <w:pPr>
              <w:jc w:val="right"/>
              <w:ind w:right="76"/>
              <w:spacing w:after="0"/>
              <w:rPr>
                <w:sz w:val="20"/>
                <w:szCs w:val="20"/>
                <w:color w:val="auto"/>
              </w:rPr>
            </w:pPr>
            <w:r>
              <w:rPr>
                <w:rFonts w:ascii="Arial" w:cs="Arial" w:eastAsia="Arial" w:hAnsi="Arial"/>
                <w:sz w:val="18"/>
                <w:szCs w:val="18"/>
                <w:color w:val="auto"/>
              </w:rPr>
              <w:t>339.5</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888.4</w:t>
            </w:r>
          </w:p>
        </w:tc>
      </w:tr>
      <w:tr>
        <w:trPr>
          <w:trHeight w:val="22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372.2</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1,072.6</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1"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There were no recent accounting pronouncements that are expected to have a material impact on our financial statements and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2022. Our exposure to market risk has not changed materially since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85"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2023,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1"/>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81" w:lineRule="auto"/>
        <w:rPr>
          <w:sz w:val="20"/>
          <w:szCs w:val="20"/>
          <w:color w:val="auto"/>
        </w:rPr>
      </w:pPr>
      <w:r>
        <w:rPr>
          <w:rFonts w:ascii="Arial" w:cs="Arial" w:eastAsia="Arial" w:hAnsi="Arial"/>
          <w:sz w:val="17"/>
          <w:szCs w:val="17"/>
          <w:color w:val="auto"/>
        </w:rPr>
        <w:t>We are involved in a number of claims and lawsuits incidental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2022, which could materially affect our business, financial condition or results of operations. There have been no material changes to our risk factors from those disclosed in our Annual Report on Form 10-K for the year ended December 31, 2022.</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Use of Proceeds, and Issuer Purchases of Equity Securities</w:t>
      </w:r>
    </w:p>
    <w:p>
      <w:pPr>
        <w:spacing w:after="0" w:line="13" w:lineRule="exact"/>
        <w:rPr>
          <w:sz w:val="20"/>
          <w:szCs w:val="20"/>
          <w:color w:val="auto"/>
        </w:rPr>
      </w:pPr>
    </w:p>
    <w:p>
      <w:pPr>
        <w:jc w:val="both"/>
        <w:ind w:right="20" w:firstLine="241"/>
        <w:spacing w:after="0" w:line="238" w:lineRule="auto"/>
        <w:rPr>
          <w:sz w:val="20"/>
          <w:szCs w:val="20"/>
          <w:color w:val="auto"/>
        </w:rPr>
      </w:pPr>
      <w:r>
        <w:rPr>
          <w:rFonts w:ascii="Arial" w:cs="Arial" w:eastAsia="Arial" w:hAnsi="Arial"/>
          <w:sz w:val="18"/>
          <w:szCs w:val="18"/>
          <w:color w:val="auto"/>
        </w:rPr>
        <w:t>We did not repurchase any shares of our common stock in the third quarter of 2023. For additional information on our share repurchase program, refer to Note 5 in the Notes to the Consolidated Financial Statements.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 10b5-1 Plan Elections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3" w:name="page34"/>
    <w:bookmarkEnd w:id="33"/>
    <w:p>
      <w:pPr>
        <w:jc w:val="both"/>
        <w:ind w:firstLine="241"/>
        <w:spacing w:after="0" w:line="255" w:lineRule="auto"/>
        <w:rPr>
          <w:sz w:val="20"/>
          <w:szCs w:val="20"/>
          <w:color w:val="auto"/>
        </w:rPr>
      </w:pPr>
      <w:r>
        <w:rPr>
          <w:rFonts w:ascii="Arial" w:cs="Arial" w:eastAsia="Arial" w:hAnsi="Arial"/>
          <w:sz w:val="18"/>
          <w:szCs w:val="18"/>
          <w:color w:val="auto"/>
        </w:rPr>
        <w:t>During the quarter ended September 30, 2023, none of our directors or officers adopted, modified, or terminated any Rule 10b5-1 trading arrangement or non-Rule 10b5-1 trading arrangement, as such terms are defined in Item 408(a) of Regulation S-K.</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Paper Program</w:t>
      </w:r>
    </w:p>
    <w:p>
      <w:pPr>
        <w:spacing w:after="0" w:line="291"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The information set forth below in this Item 5 is included herein in lieu of reporting on a Current Report on Form 8-K under Item 2.03. Creation of a Direct Financial Obligation of a Registrant.</w:t>
      </w:r>
    </w:p>
    <w:p>
      <w:pPr>
        <w:spacing w:after="0" w:line="255" w:lineRule="exact"/>
        <w:rPr>
          <w:sz w:val="20"/>
          <w:szCs w:val="20"/>
          <w:color w:val="auto"/>
        </w:rPr>
      </w:pPr>
    </w:p>
    <w:p>
      <w:pPr>
        <w:jc w:val="both"/>
        <w:ind w:firstLine="241"/>
        <w:spacing w:after="0" w:line="267" w:lineRule="auto"/>
        <w:rPr>
          <w:sz w:val="20"/>
          <w:szCs w:val="20"/>
          <w:color w:val="auto"/>
        </w:rPr>
      </w:pPr>
      <w:r>
        <w:rPr>
          <w:rFonts w:ascii="Arial" w:cs="Arial" w:eastAsia="Arial" w:hAnsi="Arial"/>
          <w:sz w:val="16"/>
          <w:szCs w:val="16"/>
          <w:color w:val="auto"/>
        </w:rPr>
        <w:t>On October 25, 2023, we established a commercial paper program (the “Program”) pursuant to which we may issue short-term, unsecured commercial paper notes (the “CP Notes”) under the exemption from registration contained in Section 4(a)(2) of the Securities Act of 1933, as amended (the “Securities Act”). Amounts available under the Program may be borrowed, repaid, and re-borrowed from time to time, with the aggregate face or principal amount of the CP Notes outstanding under the Program at any time not to exceed $500.0 million. The CP Notes will have maturities of up to 397 days from the date of issue. The CP Notes will rank pari passu with all of our other unsecured and unsubordinated indebtedness. The net proceeds of the issuances of the CP Notes are expected to be used for general corporate purposes. We plan to use our revolving credit facility as a liquidity backstop for the repayment of CP Notes outstanding under the Program. No CP Notes are currently outstanding under the Program.</w:t>
      </w:r>
    </w:p>
    <w:p>
      <w:pPr>
        <w:spacing w:after="0" w:line="197" w:lineRule="exact"/>
        <w:rPr>
          <w:sz w:val="20"/>
          <w:szCs w:val="20"/>
          <w:color w:val="auto"/>
        </w:rPr>
      </w:pPr>
    </w:p>
    <w:p>
      <w:pPr>
        <w:jc w:val="both"/>
        <w:ind w:firstLine="241"/>
        <w:spacing w:after="0" w:line="258" w:lineRule="auto"/>
        <w:rPr>
          <w:sz w:val="20"/>
          <w:szCs w:val="20"/>
          <w:color w:val="auto"/>
        </w:rPr>
      </w:pPr>
      <w:r>
        <w:rPr>
          <w:rFonts w:ascii="Arial" w:cs="Arial" w:eastAsia="Arial" w:hAnsi="Arial"/>
          <w:sz w:val="17"/>
          <w:szCs w:val="17"/>
          <w:color w:val="auto"/>
        </w:rPr>
        <w:t>One or more commercial paper dealers will each act as a dealer under the Program (each, a “Dealer,” and collectively, the “Dealers”) pursuant to the terms and conditions of the respective commercial paper dealer agreement entered into between us and each Dealer (each, a “Dealer Agreement,” and collectively, the “Dealer Agreements”). We may engage additional commercial paper dealers to act as dealers under the Program. A national bank will act as the issuing and paying agent under the Program pursuant to the terms of an issuing and paying agent agreement.</w:t>
      </w:r>
    </w:p>
    <w:p>
      <w:pPr>
        <w:spacing w:after="0" w:line="201"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The Dealer Agreements provide the terms under which the Dealers will either purchase from us or arrange for the sale of the CP Notes by us. The Dealer Agreements contain customary representations, warranties, covenants, and indemnification provisions.</w:t>
      </w:r>
    </w:p>
    <w:p>
      <w:pPr>
        <w:spacing w:after="0" w:line="201" w:lineRule="exact"/>
        <w:rPr>
          <w:sz w:val="20"/>
          <w:szCs w:val="20"/>
          <w:color w:val="auto"/>
        </w:rPr>
      </w:pPr>
    </w:p>
    <w:p>
      <w:pPr>
        <w:jc w:val="both"/>
        <w:ind w:firstLine="241"/>
        <w:spacing w:after="0" w:line="243" w:lineRule="auto"/>
        <w:rPr>
          <w:sz w:val="20"/>
          <w:szCs w:val="20"/>
          <w:color w:val="auto"/>
        </w:rPr>
      </w:pPr>
      <w:r>
        <w:rPr>
          <w:rFonts w:ascii="Arial" w:cs="Arial" w:eastAsia="Arial" w:hAnsi="Arial"/>
          <w:sz w:val="18"/>
          <w:szCs w:val="18"/>
          <w:color w:val="auto"/>
        </w:rPr>
        <w:t>From time to time, the Dealers and certain of their respective affiliates have provided, and may in the future provide, lending, commercial banking, investment banking and other financial advisory services to us and our affiliates for which such Dealers have received or will receive customary fees and expenses.</w:t>
      </w:r>
    </w:p>
    <w:p>
      <w:pPr>
        <w:spacing w:after="0" w:line="199" w:lineRule="exact"/>
        <w:rPr>
          <w:sz w:val="20"/>
          <w:szCs w:val="20"/>
          <w:color w:val="auto"/>
        </w:rPr>
      </w:pPr>
    </w:p>
    <w:p>
      <w:pPr>
        <w:jc w:val="both"/>
        <w:ind w:firstLine="241"/>
        <w:spacing w:after="0" w:line="265" w:lineRule="auto"/>
        <w:rPr>
          <w:sz w:val="20"/>
          <w:szCs w:val="20"/>
          <w:color w:val="auto"/>
        </w:rPr>
      </w:pPr>
      <w:r>
        <w:rPr>
          <w:rFonts w:ascii="Arial" w:cs="Arial" w:eastAsia="Arial" w:hAnsi="Arial"/>
          <w:sz w:val="17"/>
          <w:szCs w:val="17"/>
          <w:color w:val="auto"/>
        </w:rPr>
        <w:t>The CP Notes have not been and will not be registered under the Securities Act or any state securities laws, and may not be offered or sold in the United States absent registration or an applicable exemption from the registration requirements of the Securities Act and applicable state laws. The information contained in this Quarterly Report on Form 10-Q is neither an offer to sell nor a solicitation of an offer to buy any CP Notes.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0260" w:type="dxa"/>
            <w:vAlign w:val="bottom"/>
            <w:gridSpan w:val="24"/>
            <w:shd w:val="clear" w:color="auto" w:fill="CCEEFF"/>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6"/>
            <w:shd w:val="clear" w:color="auto" w:fill="CCEEFF"/>
          </w:tcPr>
          <w:p>
            <w:pPr>
              <w:spacing w:after="0" w:line="154" w:lineRule="exact"/>
              <w:rPr>
                <w:rFonts w:ascii="Arial" w:cs="Arial" w:eastAsia="Arial" w:hAnsi="Arial"/>
                <w:sz w:val="17"/>
                <w:szCs w:val="17"/>
                <w:color w:val="0000FF"/>
                <w:w w:val="93"/>
              </w:rPr>
            </w:pPr>
            <w:hyperlink r:id="rId47">
              <w:r>
                <w:rPr>
                  <w:rFonts w:ascii="Arial" w:cs="Arial" w:eastAsia="Arial" w:hAnsi="Arial"/>
                  <w:sz w:val="17"/>
                  <w:szCs w:val="17"/>
                  <w:color w:val="0000FF"/>
                  <w:w w:val="93"/>
                </w:rPr>
                <w:t>February 15, 2022 and incorporated herein by reference).</w:t>
              </w:r>
            </w:hyperlink>
          </w:p>
        </w:tc>
        <w:tc>
          <w:tcPr>
            <w:tcW w:w="590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3.2</w:t>
            </w:r>
          </w:p>
        </w:tc>
        <w:tc>
          <w:tcPr>
            <w:tcW w:w="10260" w:type="dxa"/>
            <w:vAlign w:val="bottom"/>
            <w:gridSpan w:val="24"/>
          </w:tcPr>
          <w:p>
            <w:pPr>
              <w:spacing w:after="0" w:line="187"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Amended and Restated Bylaws of LII (filed as Exhibit 3.2 to LII's Annual Report on Form 10-K filed on February 15, 2022 and incorporated</w:t>
              </w:r>
            </w:hyperlink>
          </w:p>
        </w:tc>
      </w:tr>
      <w:tr>
        <w:trPr>
          <w:trHeight w:val="154"/>
        </w:trPr>
        <w:tc>
          <w:tcPr>
            <w:tcW w:w="92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48">
              <w:r>
                <w:rPr>
                  <w:rFonts w:ascii="Arial" w:cs="Arial" w:eastAsia="Arial" w:hAnsi="Arial"/>
                  <w:sz w:val="17"/>
                  <w:szCs w:val="17"/>
                  <w:color w:val="0000FF"/>
                </w:rPr>
                <w:t>herein by reference).</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4.1</w:t>
            </w:r>
          </w:p>
        </w:tc>
        <w:tc>
          <w:tcPr>
            <w:tcW w:w="9920" w:type="dxa"/>
            <w:vAlign w:val="bottom"/>
            <w:tcBorders>
              <w:bottom w:val="single" w:sz="8" w:color="0000FF"/>
            </w:tcBorders>
            <w:gridSpan w:val="14"/>
            <w:shd w:val="clear" w:color="auto" w:fill="CCEEFF"/>
          </w:tcPr>
          <w:p>
            <w:pPr>
              <w:spacing w:after="0" w:line="187"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Indenture, dated as of May 3, 2010, between LII and U.S. Bank National Association, as trustee (filed as Exhibit 4.3 to LII’s Post-Effective</w:t>
              </w:r>
            </w:hyperlink>
          </w:p>
        </w:tc>
        <w:tc>
          <w:tcPr>
            <w:tcW w:w="340" w:type="dxa"/>
            <w:vAlign w:val="bottom"/>
            <w:tcBorders>
              <w:bottom w:val="single" w:sz="8" w:color="CCEEFF"/>
            </w:tcBorders>
            <w:gridSpan w:val="10"/>
            <w:shd w:val="clear" w:color="auto" w:fill="CCEEFF"/>
          </w:tcPr>
          <w:p>
            <w:pPr>
              <w:spacing w:after="0"/>
              <w:rPr>
                <w:sz w:val="16"/>
                <w:szCs w:val="16"/>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10240" w:type="dxa"/>
            <w:vAlign w:val="bottom"/>
            <w:tcBorders>
              <w:bottom w:val="single" w:sz="8" w:color="0000FF"/>
            </w:tcBorders>
            <w:gridSpan w:val="23"/>
            <w:shd w:val="clear" w:color="auto" w:fill="CCEEFF"/>
          </w:tcPr>
          <w:p>
            <w:pPr>
              <w:spacing w:after="0" w:line="154" w:lineRule="exact"/>
              <w:rPr>
                <w:rFonts w:ascii="Arial" w:cs="Arial" w:eastAsia="Arial" w:hAnsi="Arial"/>
                <w:sz w:val="17"/>
                <w:szCs w:val="17"/>
                <w:color w:val="0000FF"/>
                <w:w w:val="95"/>
              </w:rPr>
            </w:pPr>
            <w:hyperlink r:id="rId49">
              <w:r>
                <w:rPr>
                  <w:rFonts w:ascii="Arial" w:cs="Arial" w:eastAsia="Arial" w:hAnsi="Arial"/>
                  <w:sz w:val="17"/>
                  <w:szCs w:val="17"/>
                  <w:color w:val="0000FF"/>
                  <w:w w:val="95"/>
                </w:rPr>
                <w:t>Amendment No. 1 to Registration Statement on S-3 (Registration No. 333-155796) filed on May 3, 2010 and incorporated herein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4.2</w:t>
            </w:r>
          </w:p>
        </w:tc>
        <w:tc>
          <w:tcPr>
            <w:tcW w:w="10260" w:type="dxa"/>
            <w:vAlign w:val="bottom"/>
            <w:gridSpan w:val="24"/>
          </w:tcPr>
          <w:p>
            <w:pPr>
              <w:spacing w:after="0" w:line="187"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Sixth Supplemental Indenture, dated as of November 3, 2016, among LII, each other existing Guarantor under the Indenture, dated as of May 3</w:t>
              </w:r>
            </w:hyperlink>
          </w:p>
        </w:tc>
      </w:tr>
      <w:tr>
        <w:trPr>
          <w:trHeight w:val="154"/>
        </w:trPr>
        <w:tc>
          <w:tcPr>
            <w:tcW w:w="920" w:type="dxa"/>
            <w:vAlign w:val="bottom"/>
          </w:tcPr>
          <w:p>
            <w:pPr>
              <w:spacing w:after="0"/>
              <w:rPr>
                <w:sz w:val="13"/>
                <w:szCs w:val="13"/>
                <w:color w:val="auto"/>
              </w:rPr>
            </w:pPr>
          </w:p>
        </w:tc>
        <w:tc>
          <w:tcPr>
            <w:tcW w:w="10240" w:type="dxa"/>
            <w:vAlign w:val="bottom"/>
            <w:tcBorders>
              <w:top w:val="single" w:sz="8" w:color="0000FF"/>
            </w:tcBorders>
            <w:gridSpan w:val="23"/>
          </w:tcPr>
          <w:p>
            <w:pPr>
              <w:spacing w:after="0" w:line="154" w:lineRule="exact"/>
              <w:rPr>
                <w:rFonts w:ascii="Arial" w:cs="Arial" w:eastAsia="Arial" w:hAnsi="Arial"/>
                <w:sz w:val="17"/>
                <w:szCs w:val="17"/>
                <w:color w:val="0000FF"/>
                <w:w w:val="96"/>
              </w:rPr>
            </w:pPr>
            <w:hyperlink r:id="rId50">
              <w:r>
                <w:rPr>
                  <w:rFonts w:ascii="Arial" w:cs="Arial" w:eastAsia="Arial" w:hAnsi="Arial"/>
                  <w:sz w:val="17"/>
                  <w:szCs w:val="17"/>
                  <w:color w:val="0000FF"/>
                  <w:w w:val="96"/>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80" w:type="dxa"/>
            <w:vAlign w:val="bottom"/>
            <w:tcBorders>
              <w:top w:val="single" w:sz="8" w:color="0000FF"/>
            </w:tcBorders>
            <w:gridSpan w:val="20"/>
          </w:tcPr>
          <w:p>
            <w:pPr>
              <w:spacing w:after="0" w:line="167" w:lineRule="exact"/>
              <w:rPr>
                <w:rFonts w:ascii="Arial" w:cs="Arial" w:eastAsia="Arial" w:hAnsi="Arial"/>
                <w:sz w:val="18"/>
                <w:szCs w:val="18"/>
                <w:color w:val="0000FF"/>
              </w:rPr>
            </w:pPr>
            <w:hyperlink r:id="rId50">
              <w:r>
                <w:rPr>
                  <w:rFonts w:ascii="Arial" w:cs="Arial" w:eastAsia="Arial" w:hAnsi="Arial"/>
                  <w:sz w:val="18"/>
                  <w:szCs w:val="18"/>
                  <w:color w:val="0000FF"/>
                </w:rPr>
                <w:t>filed on November 3, 2016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4.3</w:t>
            </w:r>
          </w:p>
        </w:tc>
        <w:tc>
          <w:tcPr>
            <w:tcW w:w="10260" w:type="dxa"/>
            <w:vAlign w:val="bottom"/>
            <w:gridSpan w:val="24"/>
            <w:shd w:val="clear" w:color="auto" w:fill="CCEEFF"/>
          </w:tcPr>
          <w:p>
            <w:pPr>
              <w:spacing w:after="0" w:line="187" w:lineRule="exact"/>
              <w:rPr>
                <w:rFonts w:ascii="Arial" w:cs="Arial" w:eastAsia="Arial" w:hAnsi="Arial"/>
                <w:sz w:val="18"/>
                <w:szCs w:val="18"/>
                <w:color w:val="0000FF"/>
                <w:w w:val="97"/>
              </w:rPr>
            </w:pPr>
            <w:hyperlink r:id="rId50">
              <w:r>
                <w:rPr>
                  <w:rFonts w:ascii="Arial" w:cs="Arial" w:eastAsia="Arial" w:hAnsi="Arial"/>
                  <w:sz w:val="18"/>
                  <w:szCs w:val="18"/>
                  <w:color w:val="0000FF"/>
                  <w:w w:val="97"/>
                </w:rPr>
                <w:t>Form of 3.000% Notes due 2023 (filed as Exhibit A in Exhibit 4.2 to LII’s Current Report on Form 8-K filed on November 3, 2016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11"/>
            <w:shd w:val="clear" w:color="auto" w:fill="CCEEFF"/>
          </w:tcPr>
          <w:p>
            <w:pPr>
              <w:spacing w:after="0" w:line="154" w:lineRule="exact"/>
              <w:rPr>
                <w:rFonts w:ascii="Arial" w:cs="Arial" w:eastAsia="Arial" w:hAnsi="Arial"/>
                <w:sz w:val="17"/>
                <w:szCs w:val="17"/>
                <w:color w:val="0000FF"/>
              </w:rPr>
            </w:pPr>
            <w:hyperlink r:id="rId50">
              <w:r>
                <w:rPr>
                  <w:rFonts w:ascii="Arial" w:cs="Arial" w:eastAsia="Arial" w:hAnsi="Arial"/>
                  <w:sz w:val="17"/>
                  <w:szCs w:val="17"/>
                  <w:color w:val="0000FF"/>
                </w:rPr>
                <w:t>incorporated herein by reference).</w:t>
              </w:r>
            </w:hyperlink>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4.4</w:t>
            </w:r>
          </w:p>
        </w:tc>
        <w:tc>
          <w:tcPr>
            <w:tcW w:w="10260" w:type="dxa"/>
            <w:vAlign w:val="bottom"/>
            <w:gridSpan w:val="24"/>
          </w:tcPr>
          <w:p>
            <w:pPr>
              <w:spacing w:after="0" w:line="187"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Ninth Supplemental Indenture, dated as of July 30, 2020, among LII, each existing Guarantor under the Indenture, dated as of May 3, 2010, as</w:t>
              </w:r>
            </w:hyperlink>
          </w:p>
        </w:tc>
      </w:tr>
      <w:tr>
        <w:trPr>
          <w:trHeight w:val="154"/>
        </w:trPr>
        <w:tc>
          <w:tcPr>
            <w:tcW w:w="920" w:type="dxa"/>
            <w:vAlign w:val="bottom"/>
          </w:tcPr>
          <w:p>
            <w:pPr>
              <w:spacing w:after="0"/>
              <w:rPr>
                <w:sz w:val="13"/>
                <w:szCs w:val="13"/>
                <w:color w:val="auto"/>
              </w:rPr>
            </w:pPr>
          </w:p>
        </w:tc>
        <w:tc>
          <w:tcPr>
            <w:tcW w:w="10160" w:type="dxa"/>
            <w:vAlign w:val="bottom"/>
            <w:tcBorders>
              <w:top w:val="single" w:sz="8" w:color="0000FF"/>
            </w:tcBorders>
            <w:gridSpan w:val="19"/>
          </w:tcPr>
          <w:p>
            <w:pPr>
              <w:spacing w:after="0" w:line="154" w:lineRule="exact"/>
              <w:rPr>
                <w:rFonts w:ascii="Arial" w:cs="Arial" w:eastAsia="Arial" w:hAnsi="Arial"/>
                <w:sz w:val="17"/>
                <w:szCs w:val="17"/>
                <w:color w:val="0000FF"/>
                <w:w w:val="96"/>
              </w:rPr>
            </w:pPr>
            <w:hyperlink r:id="rId51">
              <w:r>
                <w:rPr>
                  <w:rFonts w:ascii="Arial" w:cs="Arial" w:eastAsia="Arial" w:hAnsi="Arial"/>
                  <w:sz w:val="17"/>
                  <w:szCs w:val="17"/>
                  <w:color w:val="0000FF"/>
                  <w:w w:val="96"/>
                </w:rPr>
                <w:t>subsequently supplemented, and U.S. Bank National Association, as trustee (filed as Exhibit 4.2 to LII’s Current Report on Form 8-K filed 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00" w:type="dxa"/>
            <w:vAlign w:val="bottom"/>
            <w:tcBorders>
              <w:top w:val="single" w:sz="8" w:color="0000FF"/>
            </w:tcBorders>
            <w:gridSpan w:val="17"/>
          </w:tcPr>
          <w:p>
            <w:pPr>
              <w:spacing w:after="0" w:line="167" w:lineRule="exact"/>
              <w:rPr>
                <w:rFonts w:ascii="Arial" w:cs="Arial" w:eastAsia="Arial" w:hAnsi="Arial"/>
                <w:sz w:val="18"/>
                <w:szCs w:val="18"/>
                <w:color w:val="0000FF"/>
              </w:rPr>
            </w:pPr>
            <w:hyperlink r:id="rId51">
              <w:r>
                <w:rPr>
                  <w:rFonts w:ascii="Arial" w:cs="Arial" w:eastAsia="Arial" w:hAnsi="Arial"/>
                  <w:sz w:val="18"/>
                  <w:szCs w:val="18"/>
                  <w:color w:val="0000FF"/>
                </w:rPr>
                <w:t>July 30, 2020 and incorporated herein by reference).</w:t>
              </w:r>
            </w:hyperlink>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4.5</w:t>
            </w:r>
          </w:p>
        </w:tc>
        <w:tc>
          <w:tcPr>
            <w:tcW w:w="10260" w:type="dxa"/>
            <w:vAlign w:val="bottom"/>
            <w:gridSpan w:val="24"/>
            <w:shd w:val="clear" w:color="auto" w:fill="CCEEFF"/>
          </w:tcPr>
          <w:p>
            <w:pPr>
              <w:spacing w:after="0" w:line="187"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Form of 1.350% Notes due 2025 (filed as Exhibit A in Exhibit 4.2 to LII’s Current Report on Form 8-K filed on July 30, 2020 and incorporate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Arial" w:cs="Arial" w:eastAsia="Arial" w:hAnsi="Arial"/>
                <w:sz w:val="17"/>
                <w:szCs w:val="17"/>
                <w:color w:val="0000FF"/>
                <w:w w:val="93"/>
              </w:rPr>
            </w:pPr>
            <w:hyperlink r:id="rId51">
              <w:r>
                <w:rPr>
                  <w:rFonts w:ascii="Arial" w:cs="Arial" w:eastAsia="Arial" w:hAnsi="Arial"/>
                  <w:sz w:val="17"/>
                  <w:szCs w:val="17"/>
                  <w:color w:val="0000FF"/>
                  <w:w w:val="93"/>
                </w:rPr>
                <w:t>herein by reference).</w:t>
              </w:r>
            </w:hyperlink>
          </w:p>
        </w:tc>
        <w:tc>
          <w:tcPr>
            <w:tcW w:w="8760" w:type="dxa"/>
            <w:vAlign w:val="bottom"/>
            <w:tcBorders>
              <w:top w:val="single" w:sz="8" w:color="0000FF"/>
              <w:bottom w:val="single" w:sz="8" w:color="CCEEFF"/>
            </w:tcBorders>
            <w:gridSpan w:val="2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4.6</w:t>
            </w:r>
          </w:p>
        </w:tc>
        <w:tc>
          <w:tcPr>
            <w:tcW w:w="10260" w:type="dxa"/>
            <w:vAlign w:val="bottom"/>
            <w:gridSpan w:val="24"/>
          </w:tcPr>
          <w:p>
            <w:pPr>
              <w:spacing w:after="0" w:line="187"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Form of 1.700% Notes due 2027 (filed as Exhibit B in Exhibit 4.2 to LII’s Current Report on Form 8-K filed on July 30, 2020 and incorporated</w:t>
              </w:r>
            </w:hyperlink>
          </w:p>
        </w:tc>
      </w:tr>
      <w:tr>
        <w:trPr>
          <w:trHeight w:val="154"/>
        </w:trPr>
        <w:tc>
          <w:tcPr>
            <w:tcW w:w="920" w:type="dxa"/>
            <w:vAlign w:val="bottom"/>
          </w:tcPr>
          <w:p>
            <w:pPr>
              <w:spacing w:after="0"/>
              <w:rPr>
                <w:sz w:val="13"/>
                <w:szCs w:val="13"/>
                <w:color w:val="auto"/>
              </w:rPr>
            </w:pPr>
          </w:p>
        </w:tc>
        <w:tc>
          <w:tcPr>
            <w:tcW w:w="1024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51">
              <w:r>
                <w:rPr>
                  <w:rFonts w:ascii="Arial" w:cs="Arial" w:eastAsia="Arial" w:hAnsi="Arial"/>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4.7</w:t>
            </w:r>
          </w:p>
        </w:tc>
        <w:tc>
          <w:tcPr>
            <w:tcW w:w="10260" w:type="dxa"/>
            <w:vAlign w:val="bottom"/>
            <w:gridSpan w:val="24"/>
            <w:shd w:val="clear" w:color="auto" w:fill="CCEEFF"/>
          </w:tcPr>
          <w:p>
            <w:pPr>
              <w:spacing w:after="0" w:line="187"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Tenth Supplemental Indenture, dated as of July 14, 2021, among LII, each existing Guarantor under the Indenture, dated as of May 3, 2010, as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8"/>
            <w:shd w:val="clear" w:color="auto" w:fill="CCEEFF"/>
          </w:tcPr>
          <w:p>
            <w:pPr>
              <w:spacing w:after="0" w:line="154" w:lineRule="exact"/>
              <w:rPr>
                <w:rFonts w:ascii="Arial" w:cs="Arial" w:eastAsia="Arial" w:hAnsi="Arial"/>
                <w:sz w:val="17"/>
                <w:szCs w:val="17"/>
                <w:color w:val="0000FF"/>
                <w:w w:val="95"/>
              </w:rPr>
            </w:pPr>
            <w:hyperlink r:id="rId52">
              <w:r>
                <w:rPr>
                  <w:rFonts w:ascii="Arial" w:cs="Arial" w:eastAsia="Arial" w:hAnsi="Arial"/>
                  <w:sz w:val="17"/>
                  <w:szCs w:val="17"/>
                  <w:color w:val="0000FF"/>
                  <w:w w:val="95"/>
                </w:rPr>
                <w:t>subsequently supplemented, and U.S. Bank National Association, as trustee (filed as Exhibit 4.7 to LII's Annual Report on Form 10-K filed on</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6"/>
            <w:shd w:val="clear" w:color="auto" w:fill="CCEEFF"/>
          </w:tcPr>
          <w:p>
            <w:pPr>
              <w:spacing w:after="0" w:line="167"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February 15, 2022 and incorporated herein by reference).</w:t>
              </w:r>
            </w:hyperlink>
          </w:p>
        </w:tc>
        <w:tc>
          <w:tcPr>
            <w:tcW w:w="6120" w:type="dxa"/>
            <w:vAlign w:val="bottom"/>
            <w:tcBorders>
              <w:bottom w:val="single" w:sz="8" w:color="CCEEFF"/>
            </w:tcBorders>
            <w:gridSpan w:val="1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4.8</w:t>
            </w:r>
          </w:p>
        </w:tc>
        <w:tc>
          <w:tcPr>
            <w:tcW w:w="10260" w:type="dxa"/>
            <w:vAlign w:val="bottom"/>
            <w:gridSpan w:val="24"/>
          </w:tcPr>
          <w:p>
            <w:pPr>
              <w:spacing w:after="0" w:line="187"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Eleventh Supplemental Indenture, dated as of September 15, 2023, among LII, the guarantors party thereto and U.S. Bank Trust Company,</w:t>
              </w:r>
            </w:hyperlink>
          </w:p>
        </w:tc>
      </w:tr>
      <w:tr>
        <w:trPr>
          <w:trHeight w:val="20"/>
        </w:trPr>
        <w:tc>
          <w:tcPr>
            <w:tcW w:w="9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6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4"/>
        </w:trPr>
        <w:tc>
          <w:tcPr>
            <w:tcW w:w="920" w:type="dxa"/>
            <w:vAlign w:val="bottom"/>
          </w:tcPr>
          <w:p>
            <w:pPr>
              <w:spacing w:after="0"/>
              <w:rPr>
                <w:sz w:val="13"/>
                <w:szCs w:val="13"/>
                <w:color w:val="auto"/>
              </w:rPr>
            </w:pPr>
          </w:p>
        </w:tc>
        <w:tc>
          <w:tcPr>
            <w:tcW w:w="10260" w:type="dxa"/>
            <w:vAlign w:val="bottom"/>
            <w:gridSpan w:val="24"/>
          </w:tcPr>
          <w:p>
            <w:pPr>
              <w:spacing w:after="0" w:line="154" w:lineRule="exact"/>
              <w:rPr>
                <w:rFonts w:ascii="Arial" w:cs="Arial" w:eastAsia="Arial" w:hAnsi="Arial"/>
                <w:sz w:val="17"/>
                <w:szCs w:val="17"/>
                <w:color w:val="0000FF"/>
                <w:w w:val="96"/>
              </w:rPr>
            </w:pPr>
            <w:hyperlink r:id="rId53">
              <w:r>
                <w:rPr>
                  <w:rFonts w:ascii="Arial" w:cs="Arial" w:eastAsia="Arial" w:hAnsi="Arial"/>
                  <w:sz w:val="17"/>
                  <w:szCs w:val="17"/>
                  <w:color w:val="0000FF"/>
                  <w:w w:val="96"/>
                </w:rPr>
                <w:t>National Association, as trustee (filed as Exhibit 4.2 to LII's Current Report on Form 8-K filed on September 15, 2023 and incorporated herein</w:t>
              </w:r>
            </w:hyperlink>
          </w:p>
        </w:tc>
      </w:tr>
      <w:tr>
        <w:trPr>
          <w:trHeight w:val="167"/>
        </w:trPr>
        <w:tc>
          <w:tcPr>
            <w:tcW w:w="920" w:type="dxa"/>
            <w:vAlign w:val="bottom"/>
          </w:tcPr>
          <w:p>
            <w:pPr>
              <w:spacing w:after="0"/>
              <w:rPr>
                <w:sz w:val="14"/>
                <w:szCs w:val="14"/>
                <w:color w:val="auto"/>
              </w:rPr>
            </w:pPr>
          </w:p>
        </w:tc>
        <w:tc>
          <w:tcPr>
            <w:tcW w:w="10220" w:type="dxa"/>
            <w:vAlign w:val="bottom"/>
            <w:tcBorders>
              <w:top w:val="single" w:sz="8" w:color="0000FF"/>
            </w:tcBorders>
            <w:gridSpan w:val="22"/>
          </w:tcPr>
          <w:p>
            <w:pPr>
              <w:spacing w:after="0" w:line="167" w:lineRule="exact"/>
              <w:rPr>
                <w:rFonts w:ascii="Arial" w:cs="Arial" w:eastAsia="Arial" w:hAnsi="Arial"/>
                <w:sz w:val="18"/>
                <w:szCs w:val="18"/>
                <w:color w:val="0000FF"/>
              </w:rPr>
            </w:pPr>
            <w:hyperlink r:id="rId53">
              <w:r>
                <w:rPr>
                  <w:rFonts w:ascii="Arial" w:cs="Arial" w:eastAsia="Arial" w:hAnsi="Arial"/>
                  <w:sz w:val="18"/>
                  <w:szCs w:val="18"/>
                  <w:color w:val="0000FF"/>
                </w:rPr>
                <w:t>by reference).</w:t>
              </w:r>
            </w:hyperlink>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4.9</w:t>
            </w:r>
          </w:p>
        </w:tc>
        <w:tc>
          <w:tcPr>
            <w:tcW w:w="10260" w:type="dxa"/>
            <w:vAlign w:val="bottom"/>
            <w:gridSpan w:val="24"/>
            <w:shd w:val="clear" w:color="auto" w:fill="CCEEFF"/>
          </w:tcPr>
          <w:p>
            <w:pPr>
              <w:spacing w:after="0" w:line="187" w:lineRule="exact"/>
              <w:rPr>
                <w:rFonts w:ascii="Arial" w:cs="Arial" w:eastAsia="Arial" w:hAnsi="Arial"/>
                <w:sz w:val="18"/>
                <w:szCs w:val="18"/>
                <w:color w:val="0000FF"/>
                <w:w w:val="96"/>
              </w:rPr>
            </w:pPr>
            <w:hyperlink r:id="rId53">
              <w:r>
                <w:rPr>
                  <w:rFonts w:ascii="Arial" w:cs="Arial" w:eastAsia="Arial" w:hAnsi="Arial"/>
                  <w:sz w:val="18"/>
                  <w:szCs w:val="18"/>
                  <w:color w:val="0000FF"/>
                  <w:w w:val="96"/>
                </w:rPr>
                <w:t>Form of 5.500% Notes due 2028 (filed as Exhibit A in Exhibit 4.2 to LII's Current Report on Form 8-K filed on September 15, 2023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740" w:type="dxa"/>
            <w:vAlign w:val="bottom"/>
            <w:tcBorders>
              <w:top w:val="single" w:sz="8" w:color="0000FF"/>
            </w:tcBorders>
            <w:gridSpan w:val="12"/>
            <w:shd w:val="clear" w:color="auto" w:fill="CCEEFF"/>
          </w:tcPr>
          <w:p>
            <w:pPr>
              <w:spacing w:after="0" w:line="154" w:lineRule="exact"/>
              <w:rPr>
                <w:rFonts w:ascii="Arial" w:cs="Arial" w:eastAsia="Arial" w:hAnsi="Arial"/>
                <w:sz w:val="17"/>
                <w:szCs w:val="17"/>
                <w:color w:val="0000FF"/>
              </w:rPr>
            </w:pPr>
            <w:hyperlink r:id="rId53">
              <w:r>
                <w:rPr>
                  <w:rFonts w:ascii="Arial" w:cs="Arial" w:eastAsia="Arial" w:hAnsi="Arial"/>
                  <w:sz w:val="17"/>
                  <w:szCs w:val="17"/>
                  <w:color w:val="0000FF"/>
                </w:rPr>
                <w:t>incorporated herein by reference).</w:t>
              </w:r>
            </w:hyperlink>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380" w:type="dxa"/>
            <w:vAlign w:val="bottom"/>
            <w:tcBorders>
              <w:top w:val="single" w:sz="8" w:color="CCEEFF"/>
            </w:tcBorders>
            <w:gridSpan w:val="11"/>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10.22</w:t>
            </w:r>
          </w:p>
        </w:tc>
        <w:tc>
          <w:tcPr>
            <w:tcW w:w="10260" w:type="dxa"/>
            <w:vAlign w:val="bottom"/>
            <w:gridSpan w:val="24"/>
          </w:tcPr>
          <w:p>
            <w:pPr>
              <w:spacing w:after="0" w:line="187"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Second Amendment to the Credit Agreement, dated as of August 25, 2023, among LII as borrower, certain of its subsidiaries, as guarantors, th</w:t>
              </w:r>
            </w:hyperlink>
          </w:p>
        </w:tc>
      </w:tr>
      <w:tr>
        <w:trPr>
          <w:trHeight w:val="154"/>
        </w:trPr>
        <w:tc>
          <w:tcPr>
            <w:tcW w:w="920" w:type="dxa"/>
            <w:vAlign w:val="bottom"/>
          </w:tcPr>
          <w:p>
            <w:pPr>
              <w:spacing w:after="0"/>
              <w:rPr>
                <w:sz w:val="13"/>
                <w:szCs w:val="13"/>
                <w:color w:val="auto"/>
              </w:rPr>
            </w:pPr>
          </w:p>
        </w:tc>
        <w:tc>
          <w:tcPr>
            <w:tcW w:w="10240" w:type="dxa"/>
            <w:vAlign w:val="bottom"/>
            <w:tcBorders>
              <w:top w:val="single" w:sz="8" w:color="0000FF"/>
              <w:bottom w:val="single" w:sz="8" w:color="0000FF"/>
            </w:tcBorders>
            <w:gridSpan w:val="23"/>
          </w:tcPr>
          <w:p>
            <w:pPr>
              <w:spacing w:after="0" w:line="154" w:lineRule="exact"/>
              <w:rPr>
                <w:rFonts w:ascii="Arial" w:cs="Arial" w:eastAsia="Arial" w:hAnsi="Arial"/>
                <w:sz w:val="17"/>
                <w:szCs w:val="17"/>
                <w:color w:val="0000FF"/>
                <w:w w:val="96"/>
              </w:rPr>
            </w:pPr>
            <w:hyperlink r:id="rId54">
              <w:r>
                <w:rPr>
                  <w:rFonts w:ascii="Arial" w:cs="Arial" w:eastAsia="Arial" w:hAnsi="Arial"/>
                  <w:sz w:val="17"/>
                  <w:szCs w:val="17"/>
                  <w:color w:val="0000FF"/>
                  <w:w w:val="96"/>
                </w:rPr>
                <w:t>lenders party thereto, and JPMorgan Chase Bank, N.A., as administrative agent (filed as Exhibit 10.1 to LII's Current Report on Form 8-K filed</w:t>
              </w:r>
            </w:hyperlink>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240" w:type="dxa"/>
            <w:vAlign w:val="bottom"/>
            <w:gridSpan w:val="23"/>
          </w:tcPr>
          <w:p>
            <w:pPr>
              <w:spacing w:after="0" w:line="167" w:lineRule="exact"/>
              <w:rPr>
                <w:rFonts w:ascii="Arial" w:cs="Arial" w:eastAsia="Arial" w:hAnsi="Arial"/>
                <w:sz w:val="18"/>
                <w:szCs w:val="18"/>
                <w:color w:val="0000FF"/>
              </w:rPr>
            </w:pPr>
            <w:hyperlink r:id="rId54">
              <w:r>
                <w:rPr>
                  <w:rFonts w:ascii="Arial" w:cs="Arial" w:eastAsia="Arial" w:hAnsi="Arial"/>
                  <w:sz w:val="18"/>
                  <w:szCs w:val="18"/>
                  <w:color w:val="0000FF"/>
                </w:rPr>
                <w:t>on August 28, 2023 and incorporated herein by reference).</w:t>
              </w:r>
            </w:hyperlink>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22.1</w:t>
            </w:r>
          </w:p>
        </w:tc>
        <w:tc>
          <w:tcPr>
            <w:tcW w:w="3360" w:type="dxa"/>
            <w:vAlign w:val="bottom"/>
            <w:tcBorders>
              <w:bottom w:val="single" w:sz="8" w:color="0000FF"/>
            </w:tcBorders>
            <w:gridSpan w:val="4"/>
            <w:shd w:val="clear" w:color="auto" w:fill="CCEEFF"/>
          </w:tcPr>
          <w:p>
            <w:pPr>
              <w:spacing w:after="0" w:line="187" w:lineRule="exact"/>
              <w:rPr>
                <w:sz w:val="20"/>
                <w:szCs w:val="20"/>
                <w:color w:val="auto"/>
              </w:rPr>
            </w:pPr>
            <w:r>
              <w:rPr>
                <w:rFonts w:ascii="Arial" w:cs="Arial" w:eastAsia="Arial" w:hAnsi="Arial"/>
                <w:sz w:val="18"/>
                <w:szCs w:val="18"/>
                <w:color w:val="0000FF"/>
                <w:w w:val="91"/>
              </w:rPr>
              <w:t>List of Guarantor Subsidiaries (filed herewith).</w:t>
            </w:r>
          </w:p>
        </w:tc>
        <w:tc>
          <w:tcPr>
            <w:tcW w:w="6900" w:type="dxa"/>
            <w:vAlign w:val="bottom"/>
            <w:tcBorders>
              <w:bottom w:val="single" w:sz="8" w:color="CCEEFF"/>
            </w:tcBorders>
            <w:gridSpan w:val="20"/>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31.1</w:t>
            </w:r>
          </w:p>
        </w:tc>
        <w:tc>
          <w:tcPr>
            <w:tcW w:w="10260" w:type="dxa"/>
            <w:vAlign w:val="bottom"/>
            <w:gridSpan w:val="24"/>
          </w:tcPr>
          <w:p>
            <w:pPr>
              <w:spacing w:after="0" w:line="187" w:lineRule="exact"/>
              <w:rPr>
                <w:sz w:val="20"/>
                <w:szCs w:val="20"/>
                <w:color w:val="auto"/>
              </w:rPr>
            </w:pPr>
            <w:r>
              <w:rPr>
                <w:rFonts w:ascii="Arial" w:cs="Arial" w:eastAsia="Arial" w:hAnsi="Arial"/>
                <w:sz w:val="18"/>
                <w:szCs w:val="18"/>
                <w:color w:val="0000FF"/>
              </w:rPr>
              <w:t>Certification of the principal executive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31.2</w:t>
            </w:r>
          </w:p>
        </w:tc>
        <w:tc>
          <w:tcPr>
            <w:tcW w:w="4420" w:type="dxa"/>
            <w:vAlign w:val="bottom"/>
            <w:tcBorders>
              <w:bottom w:val="single" w:sz="8" w:color="0000FF"/>
            </w:tcBorders>
            <w:gridSpan w:val="8"/>
            <w:shd w:val="clear" w:color="auto" w:fill="CCEEFF"/>
          </w:tcPr>
          <w:p>
            <w:pPr>
              <w:spacing w:after="0" w:line="187" w:lineRule="exact"/>
              <w:rPr>
                <w:sz w:val="20"/>
                <w:szCs w:val="20"/>
                <w:color w:val="auto"/>
              </w:rPr>
            </w:pPr>
            <w:r>
              <w:rPr>
                <w:rFonts w:ascii="Arial" w:cs="Arial" w:eastAsia="Arial" w:hAnsi="Arial"/>
                <w:sz w:val="18"/>
                <w:szCs w:val="18"/>
                <w:color w:val="0000FF"/>
                <w:w w:val="93"/>
              </w:rPr>
              <w:t>Certification of the principal financial officer (filed herewith).</w:t>
            </w:r>
          </w:p>
        </w:tc>
        <w:tc>
          <w:tcPr>
            <w:tcW w:w="5840" w:type="dxa"/>
            <w:vAlign w:val="bottom"/>
            <w:tcBorders>
              <w:bottom w:val="single" w:sz="8" w:color="CCEEFF"/>
            </w:tcBorders>
            <w:gridSpan w:val="16"/>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Arial" w:cs="Arial" w:eastAsia="Arial" w:hAnsi="Arial"/>
                <w:sz w:val="18"/>
                <w:szCs w:val="18"/>
                <w:color w:val="auto"/>
              </w:rPr>
              <w:t>32.1</w:t>
            </w:r>
          </w:p>
        </w:tc>
        <w:tc>
          <w:tcPr>
            <w:tcW w:w="10260" w:type="dxa"/>
            <w:vAlign w:val="bottom"/>
            <w:gridSpan w:val="24"/>
          </w:tcPr>
          <w:p>
            <w:pPr>
              <w:spacing w:after="0" w:line="187" w:lineRule="exact"/>
              <w:rPr>
                <w:sz w:val="20"/>
                <w:szCs w:val="20"/>
                <w:color w:val="auto"/>
              </w:rPr>
            </w:pPr>
            <w:r>
              <w:rPr>
                <w:rFonts w:ascii="Arial" w:cs="Arial" w:eastAsia="Arial" w:hAnsi="Arial"/>
                <w:sz w:val="18"/>
                <w:szCs w:val="18"/>
                <w:color w:val="0000FF"/>
                <w:w w:val="95"/>
              </w:rPr>
              <w:t>Certification of the principal executive officer and the principal financial officer pursuant to 18 U.S.C. Section 1350 (furnished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INS Inline XBRL Instance Document</w:t>
            </w:r>
          </w:p>
        </w:tc>
      </w:tr>
      <w:tr>
        <w:trPr>
          <w:trHeight w:val="227"/>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24"/>
          </w:tcPr>
          <w:p>
            <w:pPr>
              <w:spacing w:after="0"/>
              <w:rPr>
                <w:sz w:val="20"/>
                <w:szCs w:val="20"/>
                <w:color w:val="auto"/>
              </w:rPr>
            </w:pPr>
            <w:r>
              <w:rPr>
                <w:rFonts w:ascii="Arial" w:cs="Arial" w:eastAsia="Arial" w:hAnsi="Arial"/>
                <w:sz w:val="18"/>
                <w:szCs w:val="18"/>
                <w:color w:val="auto"/>
              </w:rPr>
              <w:t>SCH Inline XBRL Taxonomy Extension Schema Document</w:t>
            </w:r>
          </w:p>
        </w:tc>
      </w:tr>
      <w:tr>
        <w:trPr>
          <w:trHeight w:val="227"/>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27"/>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24"/>
          </w:tcPr>
          <w:p>
            <w:pPr>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27"/>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24"/>
            <w:shd w:val="clear" w:color="auto" w:fill="CCEEFF"/>
          </w:tcPr>
          <w:p>
            <w:pPr>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27"/>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260" w:type="dxa"/>
            <w:vAlign w:val="bottom"/>
            <w:gridSpan w:val="24"/>
          </w:tcPr>
          <w:p>
            <w:pPr>
              <w:spacing w:after="0"/>
              <w:rPr>
                <w:sz w:val="20"/>
                <w:szCs w:val="20"/>
                <w:color w:val="auto"/>
              </w:rPr>
            </w:pPr>
            <w:r>
              <w:rPr>
                <w:rFonts w:ascii="Arial" w:cs="Arial" w:eastAsia="Arial" w:hAnsi="Arial"/>
                <w:sz w:val="18"/>
                <w:szCs w:val="18"/>
                <w:color w:val="auto"/>
              </w:rPr>
              <w:t>DEF Inline XBRL Taxonomy Extension Definition Linkbase Document</w:t>
            </w:r>
          </w:p>
        </w:tc>
      </w:tr>
    </w:tbl>
    <w:p>
      <w:pPr>
        <w:ind w:left="1160" w:hanging="89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156845</wp:posOffset>
            </wp:positionH>
            <wp:positionV relativeFrom="paragraph">
              <wp:posOffset>-673100</wp:posOffset>
            </wp:positionV>
            <wp:extent cx="7044055"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044055" cy="144145"/>
                    </a:xfrm>
                    <a:prstGeom prst="rect">
                      <a:avLst/>
                    </a:prstGeom>
                    <a:noFill/>
                  </pic:spPr>
                </pic:pic>
              </a:graphicData>
            </a:graphic>
          </wp:anchor>
        </w:drawing>
      </w:r>
    </w:p>
    <w:p>
      <w:pPr>
        <w:sectPr>
          <w:pgSz w:w="11900" w:h="16838" w:orient="portrait"/>
          <w:cols w:equalWidth="0" w:num="1">
            <w:col w:w="11340"/>
          </w:cols>
          <w:pgMar w:left="320" w:top="883" w:right="239" w:bottom="1440" w:gutter="0" w:footer="0" w:header="0"/>
        </w:sectPr>
      </w:pPr>
    </w:p>
    <w:bookmarkStart w:id="35" w:name="page36"/>
    <w:bookmarkEnd w:id="35"/>
    <w:p>
      <w:pPr>
        <w:ind w:left="5100"/>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Joseph W. Reitmeier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20"/>
          </w:cols>
          <w:pgMar w:left="320" w:top="1123" w:right="1159" w:bottom="1440" w:gutter="0" w:footer="0" w:header="0"/>
        </w:sectPr>
      </w:pPr>
    </w:p>
    <w:bookmarkStart w:id="36" w:name="page37"/>
    <w:bookmarkEnd w:id="36"/>
    <w:p>
      <w:pPr>
        <w:jc w:val="right"/>
        <w:spacing w:after="0"/>
        <w:rPr>
          <w:sz w:val="20"/>
          <w:szCs w:val="20"/>
          <w:color w:val="auto"/>
        </w:rPr>
      </w:pPr>
      <w:r>
        <w:rPr>
          <w:rFonts w:ascii="Arial" w:cs="Arial" w:eastAsia="Arial" w:hAnsi="Arial"/>
          <w:sz w:val="21"/>
          <w:szCs w:val="21"/>
          <w:color w:val="auto"/>
        </w:rPr>
        <w:t>Exhibit 22.1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List of Guarantor Subsidiaries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subsidiaries of Lennox International Inc. (the “Company”) are guarantors with respect to the Company’s (1) 3.00%</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Notes due 2023, (2) 1.35% Notes due 2025, (3) 1.70% Notes due 2027 and (4) 5.50% Notes due 2028:</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9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Guarantor</w:t>
            </w:r>
          </w:p>
        </w:tc>
        <w:tc>
          <w:tcPr>
            <w:tcW w:w="52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0"/>
                <w:szCs w:val="20"/>
                <w:b w:val="1"/>
                <w:bCs w:val="1"/>
                <w:color w:val="auto"/>
              </w:rPr>
              <w:t>State or Other Jurisdiction of Formation</w:t>
            </w:r>
          </w:p>
        </w:tc>
      </w:tr>
      <w:tr>
        <w:trPr>
          <w:trHeight w:val="245"/>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Advanced Distributor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Allied Air Enterprises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Refrigeration Products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Heatcraft Technologies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Global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Lennox Industries Inc.</w:t>
            </w:r>
          </w:p>
        </w:tc>
        <w:tc>
          <w:tcPr>
            <w:tcW w:w="5280" w:type="dxa"/>
            <w:vAlign w:val="bottom"/>
            <w:tcBorders>
              <w:bottom w:val="single" w:sz="8" w:color="auto"/>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Lennox National Account Services Inc.</w:t>
            </w:r>
          </w:p>
        </w:tc>
        <w:tc>
          <w:tcPr>
            <w:tcW w:w="5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47"/>
        </w:trPr>
        <w:tc>
          <w:tcPr>
            <w:tcW w:w="5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Lennox National Account Services, LLC</w:t>
            </w:r>
          </w:p>
        </w:tc>
        <w:tc>
          <w:tcPr>
            <w:tcW w:w="5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Procurement Company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Lennox Services, LLC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Australia (US) Inc.</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r>
        <w:trPr>
          <w:trHeight w:val="247"/>
        </w:trPr>
        <w:tc>
          <w:tcPr>
            <w:tcW w:w="594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LGL Europe Holding Co.</w:t>
            </w:r>
          </w:p>
        </w:tc>
        <w:tc>
          <w:tcPr>
            <w:tcW w:w="52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240"/>
          </w:cols>
          <w:pgMar w:left="320" w:top="141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640" w:right="200" w:hanging="633"/>
        <w:spacing w:after="0" w:line="300"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20" w:hanging="633"/>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960" w:right="180" w:hanging="312"/>
        <w:spacing w:after="0" w:line="259" w:lineRule="auto"/>
        <w:tabs>
          <w:tab w:leader="none" w:pos="95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960" w:right="480" w:hanging="312"/>
        <w:spacing w:after="0" w:line="259" w:lineRule="auto"/>
        <w:tabs>
          <w:tab w:leader="none" w:pos="9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960" w:right="640" w:hanging="312"/>
        <w:spacing w:after="0" w:line="398" w:lineRule="auto"/>
        <w:tabs>
          <w:tab w:leader="none" w:pos="957"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180" w:hanging="312"/>
        <w:spacing w:after="0" w:line="259" w:lineRule="auto"/>
        <w:tabs>
          <w:tab w:leader="none" w:pos="9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640" w:right="200" w:hanging="633"/>
        <w:spacing w:after="0" w:line="334"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6"/>
          <w:szCs w:val="16"/>
          <w:color w:val="auto"/>
        </w:rPr>
      </w:pPr>
    </w:p>
    <w:p>
      <w:pPr>
        <w:ind w:left="960" w:right="80" w:hanging="312"/>
        <w:spacing w:after="0" w:line="300" w:lineRule="auto"/>
        <w:tabs>
          <w:tab w:leader="none" w:pos="957"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7"/>
          <w:szCs w:val="17"/>
          <w:color w:val="auto"/>
        </w:rPr>
      </w:pPr>
    </w:p>
    <w:p>
      <w:pPr>
        <w:ind w:left="960" w:right="40" w:hanging="312"/>
        <w:spacing w:after="0" w:line="270" w:lineRule="auto"/>
        <w:tabs>
          <w:tab w:leader="none" w:pos="9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13335</wp:posOffset>
            </wp:positionV>
            <wp:extent cx="2781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Alok Maskara</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4" w:lineRule="exact"/>
        <w:rPr>
          <w:sz w:val="20"/>
          <w:szCs w:val="20"/>
          <w:color w:val="auto"/>
        </w:rPr>
      </w:pPr>
    </w:p>
    <w:p>
      <w:pPr>
        <w:ind w:left="640" w:hanging="633"/>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9"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640" w:right="200" w:hanging="633"/>
        <w:spacing w:after="0" w:line="300"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20" w:hanging="633"/>
        <w:spacing w:after="0" w:line="259"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280" w:right="40" w:hanging="632"/>
        <w:spacing w:after="0" w:line="259" w:lineRule="auto"/>
        <w:tabs>
          <w:tab w:leader="none" w:pos="12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280" w:right="160" w:hanging="632"/>
        <w:spacing w:after="0" w:line="259" w:lineRule="auto"/>
        <w:tabs>
          <w:tab w:leader="none" w:pos="12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280" w:right="320" w:hanging="632"/>
        <w:spacing w:after="0" w:line="398" w:lineRule="auto"/>
        <w:tabs>
          <w:tab w:leader="none" w:pos="1277"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80" w:right="40" w:hanging="632"/>
        <w:spacing w:after="0" w:line="259" w:lineRule="auto"/>
        <w:tabs>
          <w:tab w:leader="none" w:pos="12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640" w:right="200" w:hanging="633"/>
        <w:spacing w:after="0" w:line="334" w:lineRule="auto"/>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6"/>
          <w:szCs w:val="16"/>
          <w:color w:val="auto"/>
        </w:rPr>
      </w:pPr>
    </w:p>
    <w:p>
      <w:pPr>
        <w:ind w:left="1280" w:right="580" w:hanging="632"/>
        <w:spacing w:after="0" w:line="334" w:lineRule="auto"/>
        <w:tabs>
          <w:tab w:leader="none" w:pos="127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6"/>
          <w:szCs w:val="16"/>
          <w:color w:val="auto"/>
        </w:rPr>
      </w:pPr>
    </w:p>
    <w:p>
      <w:pPr>
        <w:ind w:left="1280" w:right="260" w:hanging="632"/>
        <w:spacing w:after="0" w:line="270" w:lineRule="auto"/>
        <w:tabs>
          <w:tab w:leader="none" w:pos="12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13335</wp:posOffset>
            </wp:positionV>
            <wp:extent cx="27819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September 30, 2023 as filed with the Securities and Exchange Commission on the date hereof (the “Report”), each of the undersigned, Alok Maskara,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6" w:lineRule="exact"/>
        <w:rPr>
          <w:sz w:val="20"/>
          <w:szCs w:val="20"/>
          <w:color w:val="auto"/>
        </w:rPr>
      </w:pPr>
    </w:p>
    <w:p>
      <w:pPr>
        <w:ind w:left="640" w:hanging="313"/>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7" w:lineRule="exact"/>
        <w:rPr>
          <w:rFonts w:ascii="Arial" w:cs="Arial" w:eastAsia="Arial" w:hAnsi="Arial"/>
          <w:sz w:val="18"/>
          <w:szCs w:val="18"/>
          <w:color w:val="auto"/>
        </w:rPr>
      </w:pPr>
    </w:p>
    <w:p>
      <w:pPr>
        <w:ind w:left="640" w:hanging="313"/>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819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Alok Maskara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819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October 26, 2023</w:t>
      </w:r>
    </w:p>
    <w:p>
      <w:pPr>
        <w:spacing w:after="0" w:line="16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972"/>
    </w:lvl>
  </w:abstractNum>
  <w:abstractNum w:abstractNumId="3">
    <w:nsid w:val="140E0F76"/>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3352255A"/>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47" Type="http://schemas.openxmlformats.org/officeDocument/2006/relationships/hyperlink" Target="https://www.sec.gov/Archives/edgar/data/1069202/000162828023004257/lii-ex31_20221231x10k.htm" TargetMode="External"/><Relationship Id="rId48" Type="http://schemas.openxmlformats.org/officeDocument/2006/relationships/hyperlink" Target="https://www.sec.gov/Archives/edgar/data/1069202/000162828023004257/lii-ex32_20221231x10k.htm" TargetMode="External"/><Relationship Id="rId49" Type="http://schemas.openxmlformats.org/officeDocument/2006/relationships/hyperlink" Target="https://www.sec.gov/Archives/edgar/data/1017609/000095012310042399/d72548exv4w3.htm" TargetMode="External"/><Relationship Id="rId50" Type="http://schemas.openxmlformats.org/officeDocument/2006/relationships/hyperlink" Target="https://www.sec.gov/Archives/edgar/data/1069202/000119312516758285/d284193dex42.htm" TargetMode="External"/><Relationship Id="rId51" Type="http://schemas.openxmlformats.org/officeDocument/2006/relationships/hyperlink" Target="https://www.sec.gov/Archives/edgar/data/1069202/000119312520203588/d22651dex42.htm" TargetMode="External"/><Relationship Id="rId52" Type="http://schemas.openxmlformats.org/officeDocument/2006/relationships/hyperlink" Target="https://www.sec.gov/Archives/edgar/data/1069202/000162828022002664/lii-ex47_20211231x10k.htm" TargetMode="External"/><Relationship Id="rId53" Type="http://schemas.openxmlformats.org/officeDocument/2006/relationships/hyperlink" Target="https://www.sec.gov/Archives/edgar/data/1069202/000162828023032385/exhibit42eleventhsupplemen.htm" TargetMode="External"/><Relationship Id="rId54" Type="http://schemas.openxmlformats.org/officeDocument/2006/relationships/hyperlink" Target="https://www.sec.gov/Archives/edgar/data/1069202/000162828023030777/lennoxinternational2023-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2023-10-26T13:30:35Z</dcterms:created>
  <dcterms:modified xsi:type="dcterms:W3CDTF">2023-10-26T13:30:35Z</dcterms:modified>
</cp:coreProperties>
</file>