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917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055"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917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055" cy="8255"/>
                    </a:xfrm>
                    <a:prstGeom prst="rect">
                      <a:avLst/>
                    </a:prstGeom>
                    <a:noFill/>
                  </pic:spPr>
                </pic:pic>
              </a:graphicData>
            </a:graphic>
          </wp:anchor>
        </w:drawing>
        <w:t>UNITED STATES</w:t>
      </w:r>
    </w:p>
    <w:p>
      <w:pPr>
        <w:spacing w:after="0" w:line="34" w:lineRule="exact"/>
        <w:rPr>
          <w:sz w:val="24"/>
          <w:szCs w:val="24"/>
          <w:color w:val="auto"/>
        </w:rPr>
      </w:pPr>
    </w:p>
    <w:p>
      <w:pPr>
        <w:ind w:left="3160"/>
        <w:spacing w:after="0"/>
        <w:rPr>
          <w:sz w:val="20"/>
          <w:szCs w:val="20"/>
          <w:color w:val="auto"/>
        </w:rPr>
      </w:pPr>
      <w:r>
        <w:rPr>
          <w:rFonts w:ascii="Arial" w:cs="Arial" w:eastAsia="Arial" w:hAnsi="Arial"/>
          <w:sz w:val="25"/>
          <w:szCs w:val="25"/>
          <w:b w:val="1"/>
          <w:bCs w:val="1"/>
          <w:color w:val="auto"/>
        </w:rPr>
        <w:t>SECURITIES AND EXCHANGE COMMISSION</w:t>
      </w:r>
    </w:p>
    <w:p>
      <w:pPr>
        <w:ind w:left="4320"/>
        <w:spacing w:after="0"/>
        <w:rPr>
          <w:sz w:val="20"/>
          <w:szCs w:val="20"/>
          <w:color w:val="auto"/>
        </w:rPr>
      </w:pPr>
      <w:r>
        <w:rPr>
          <w:rFonts w:ascii="Arial" w:cs="Arial" w:eastAsia="Arial" w:hAnsi="Arial"/>
          <w:sz w:val="25"/>
          <w:szCs w:val="25"/>
          <w:b w:val="1"/>
          <w:bCs w:val="1"/>
          <w:color w:val="auto"/>
        </w:rPr>
        <w:t>Washington, D. C. 20549</w:t>
      </w:r>
    </w:p>
    <w:p>
      <w:pPr>
        <w:ind w:left="3880"/>
        <w:spacing w:after="0"/>
        <w:rPr>
          <w:sz w:val="20"/>
          <w:szCs w:val="20"/>
          <w:color w:val="auto"/>
        </w:rPr>
      </w:pPr>
      <w:r>
        <w:rPr>
          <w:rFonts w:ascii="Arial" w:cs="Arial" w:eastAsia="Arial" w:hAnsi="Arial"/>
          <w:sz w:val="14"/>
          <w:szCs w:val="14"/>
          <w:color w:val="auto"/>
        </w:rPr>
        <w:t>_________________________________________________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50" w:lineRule="exact"/>
        <w:rPr>
          <w:sz w:val="24"/>
          <w:szCs w:val="24"/>
          <w:color w:val="auto"/>
        </w:rPr>
      </w:pPr>
    </w:p>
    <w:p>
      <w:pPr>
        <w:ind w:left="3900"/>
        <w:spacing w:after="0"/>
        <w:rPr>
          <w:sz w:val="20"/>
          <w:szCs w:val="20"/>
          <w:color w:val="auto"/>
        </w:rPr>
      </w:pPr>
      <w:r>
        <w:rPr>
          <w:rFonts w:ascii="Arial" w:cs="Arial" w:eastAsia="Arial" w:hAnsi="Arial"/>
          <w:sz w:val="14"/>
          <w:szCs w:val="14"/>
          <w:color w:val="auto"/>
        </w:rPr>
        <w:t>_________________________________________________</w:t>
      </w:r>
    </w:p>
    <w:p>
      <w:pPr>
        <w:spacing w:after="0" w:line="40"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June 30, 2021</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95" w:lineRule="exact"/>
        <w:rPr>
          <w:sz w:val="24"/>
          <w:szCs w:val="24"/>
          <w:color w:val="auto"/>
        </w:rPr>
      </w:pPr>
    </w:p>
    <w:p>
      <w:pPr>
        <w:ind w:left="3520"/>
        <w:spacing w:after="0"/>
        <w:rPr>
          <w:sz w:val="20"/>
          <w:szCs w:val="20"/>
          <w:color w:val="auto"/>
        </w:rPr>
      </w:pPr>
      <w:r>
        <w:rPr>
          <w:rFonts w:ascii="Arial" w:cs="Arial" w:eastAsia="Arial" w:hAnsi="Arial"/>
          <w:sz w:val="21"/>
          <w:szCs w:val="21"/>
          <w:b w:val="1"/>
          <w:bCs w:val="1"/>
          <w:color w:val="auto"/>
        </w:rPr>
        <w:t>For the transition period from _____to ______</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001-15149</w:t>
      </w:r>
    </w:p>
    <w:p>
      <w:pPr>
        <w:spacing w:after="0" w:line="23"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LENNOX INTERNATIONAL INC</w:t>
      </w:r>
      <w:r>
        <w:rPr>
          <w:rFonts w:ascii="Arial" w:cs="Arial" w:eastAsia="Arial" w:hAnsi="Arial"/>
          <w:sz w:val="35"/>
          <w:szCs w:val="35"/>
          <w:b w:val="1"/>
          <w:bCs w:val="1"/>
          <w:color w:val="auto"/>
        </w:rPr>
        <w:t>.</w:t>
      </w:r>
    </w:p>
    <w:p>
      <w:pPr>
        <w:spacing w:after="0" w:line="53"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3"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w:t>
      </w:r>
    </w:p>
    <w:p>
      <w:pPr>
        <w:spacing w:after="0" w:line="7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67"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(972-497-5000)</w:t>
      </w:r>
    </w:p>
    <w:p>
      <w:pPr>
        <w:spacing w:after="0" w:line="6" w:lineRule="exact"/>
        <w:rPr>
          <w:sz w:val="24"/>
          <w:szCs w:val="24"/>
          <w:color w:val="auto"/>
        </w:rPr>
      </w:pPr>
    </w:p>
    <w:p>
      <w:pPr>
        <w:jc w:val="right"/>
        <w:ind w:right="3460"/>
        <w:spacing w:after="0"/>
        <w:rPr>
          <w:sz w:val="20"/>
          <w:szCs w:val="20"/>
          <w:color w:val="auto"/>
        </w:rPr>
      </w:pPr>
      <w:r>
        <w:rPr>
          <w:rFonts w:ascii="Arial" w:cs="Arial" w:eastAsia="Arial" w:hAnsi="Arial"/>
          <w:sz w:val="18"/>
          <w:szCs w:val="18"/>
          <w:color w:val="auto"/>
        </w:rPr>
        <w:t>_________________________________________________</w:t>
      </w:r>
    </w:p>
    <w:p>
      <w:pPr>
        <w:spacing w:after="0" w:line="6" w:lineRule="exact"/>
        <w:rPr>
          <w:sz w:val="24"/>
          <w:szCs w:val="24"/>
          <w:color w:val="auto"/>
        </w:rPr>
      </w:pPr>
    </w:p>
    <w:p>
      <w:pPr>
        <w:jc w:val="right"/>
        <w:ind w:right="344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24" w:right="339" w:bottom="1440" w:gutter="0" w:footer="0" w:header="0"/>
        </w:sectPr>
      </w:pPr>
    </w:p>
    <w:p>
      <w:pPr>
        <w:spacing w:after="0" w:line="30"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Title of each class</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4"/>
          <w:szCs w:val="14"/>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Trading Symbol(s)</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69"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New York Stock Exchange</w:t>
      </w:r>
    </w:p>
    <w:p>
      <w:pPr>
        <w:spacing w:after="0" w:line="154" w:lineRule="exact"/>
        <w:rPr>
          <w:sz w:val="24"/>
          <w:szCs w:val="24"/>
          <w:color w:val="auto"/>
        </w:rPr>
      </w:pPr>
    </w:p>
    <w:p>
      <w:pPr>
        <w:sectPr>
          <w:pgSz w:w="11900" w:h="16838" w:orient="portrait"/>
          <w:cols w:equalWidth="0" w:num="3">
            <w:col w:w="4500" w:space="720"/>
            <w:col w:w="1420" w:space="720"/>
            <w:col w:w="3880"/>
          </w:cols>
          <w:pgMar w:left="320" w:top="1424" w:right="339" w:bottom="1440" w:gutter="0" w:footer="0" w:header="0"/>
          <w:type w:val="continuous"/>
        </w:sectPr>
      </w:pPr>
    </w:p>
    <w:p>
      <w:pPr>
        <w:jc w:val="both"/>
        <w:ind w:firstLine="240"/>
        <w:spacing w:after="0" w:line="24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5" w:lineRule="exact"/>
        <w:rPr>
          <w:sz w:val="24"/>
          <w:szCs w:val="24"/>
          <w:color w:val="auto"/>
        </w:rPr>
      </w:pPr>
    </w:p>
    <w:p>
      <w:pPr>
        <w:jc w:val="both"/>
        <w:ind w:firstLine="240"/>
        <w:spacing w:after="0" w:line="24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5" w:lineRule="exact"/>
        <w:rPr>
          <w:sz w:val="24"/>
          <w:szCs w:val="24"/>
          <w:color w:val="auto"/>
        </w:rPr>
      </w:pPr>
    </w:p>
    <w:p>
      <w:pPr>
        <w:jc w:val="both"/>
        <w:ind w:firstLine="24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500" w:type="dxa"/>
        <w:tblCellMar>
          <w:top w:w="0" w:type="dxa"/>
          <w:left w:w="0" w:type="dxa"/>
          <w:bottom w:w="0" w:type="dxa"/>
          <w:right w:w="0" w:type="dxa"/>
        </w:tblCellMar>
      </w:tblPr>
      <w:tr>
        <w:trPr>
          <w:trHeight w:val="267"/>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440"/>
              <w:spacing w:after="0" w:line="211" w:lineRule="exact"/>
              <w:rPr>
                <w:sz w:val="20"/>
                <w:szCs w:val="20"/>
                <w:color w:val="auto"/>
              </w:rPr>
            </w:pPr>
            <w:r>
              <w:rPr>
                <w:rFonts w:ascii="MS PGothic" w:cs="MS PGothic" w:eastAsia="MS PGothic" w:hAnsi="MS PGothic"/>
                <w:sz w:val="21"/>
                <w:szCs w:val="21"/>
                <w:color w:val="auto"/>
              </w:rPr>
              <w:t>☒</w:t>
            </w:r>
          </w:p>
        </w:tc>
        <w:tc>
          <w:tcPr>
            <w:tcW w:w="432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2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440"/>
              <w:spacing w:after="0" w:line="211" w:lineRule="exact"/>
              <w:rPr>
                <w:sz w:val="20"/>
                <w:szCs w:val="20"/>
                <w:color w:val="auto"/>
              </w:rPr>
            </w:pPr>
            <w:r>
              <w:rPr>
                <w:rFonts w:ascii="MS PGothic" w:cs="MS PGothic" w:eastAsia="MS PGothic" w:hAnsi="MS PGothic"/>
                <w:sz w:val="21"/>
                <w:szCs w:val="21"/>
                <w:color w:val="auto"/>
              </w:rPr>
              <w:t>☐</w:t>
            </w:r>
          </w:p>
        </w:tc>
        <w:tc>
          <w:tcPr>
            <w:tcW w:w="432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2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36"/>
        </w:trPr>
        <w:tc>
          <w:tcPr>
            <w:tcW w:w="2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320" w:type="dxa"/>
            <w:vAlign w:val="bottom"/>
          </w:tcPr>
          <w:p>
            <w:pPr>
              <w:ind w:left="20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28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62" w:lineRule="exact"/>
        <w:rPr>
          <w:sz w:val="24"/>
          <w:szCs w:val="24"/>
          <w:color w:val="auto"/>
        </w:rPr>
      </w:pPr>
    </w:p>
    <w:p>
      <w:pPr>
        <w:ind w:firstLine="24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 w:lineRule="exact"/>
        <w:rPr>
          <w:sz w:val="24"/>
          <w:szCs w:val="24"/>
          <w:color w:val="auto"/>
        </w:rPr>
      </w:pPr>
    </w:p>
    <w:p>
      <w:pPr>
        <w:jc w:val="both"/>
        <w:ind w:left="240" w:right="2560"/>
        <w:spacing w:after="0" w:line="25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July 16, 2021, the number of shares outstanding of the registrant’s common stock, par value $0.01 per share, was 37,166,641.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813435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55"/>
        </w:trPr>
        <w:tc>
          <w:tcPr>
            <w:tcW w:w="800" w:type="dxa"/>
            <w:vAlign w:val="bottom"/>
            <w:shd w:val="clear" w:color="auto" w:fill="CCEEFF"/>
          </w:tcPr>
          <w:p>
            <w:pPr>
              <w:jc w:val="center"/>
              <w:spacing w:after="0" w:line="155" w:lineRule="exact"/>
              <w:rPr>
                <w:sz w:val="20"/>
                <w:szCs w:val="20"/>
                <w:color w:val="auto"/>
              </w:rPr>
            </w:pPr>
            <w:r>
              <w:rPr>
                <w:rFonts w:ascii="Arial" w:cs="Arial" w:eastAsia="Arial" w:hAnsi="Arial"/>
                <w:sz w:val="16"/>
                <w:szCs w:val="16"/>
                <w:b w:val="1"/>
                <w:bCs w:val="1"/>
                <w:color w:val="auto"/>
                <w:w w:val="99"/>
              </w:rPr>
              <w:t>Part I</w:t>
            </w:r>
          </w:p>
        </w:tc>
        <w:tc>
          <w:tcPr>
            <w:tcW w:w="9760" w:type="dxa"/>
            <w:vAlign w:val="bottom"/>
            <w:gridSpan w:val="19"/>
            <w:shd w:val="clear" w:color="auto" w:fill="CCEEFF"/>
          </w:tcPr>
          <w:p>
            <w:pPr>
              <w:spacing w:after="0" w:line="155" w:lineRule="exact"/>
              <w:rPr>
                <w:rFonts w:ascii="Arial" w:cs="Arial" w:eastAsia="Arial" w:hAnsi="Arial"/>
                <w:sz w:val="16"/>
                <w:szCs w:val="16"/>
                <w:color w:val="0000FF"/>
              </w:rPr>
            </w:pPr>
            <w:hyperlink w:anchor="page2">
              <w:r>
                <w:rPr>
                  <w:rFonts w:ascii="Arial" w:cs="Arial" w:eastAsia="Arial" w:hAnsi="Arial"/>
                  <w:sz w:val="16"/>
                  <w:szCs w:val="16"/>
                  <w:color w:val="0000FF"/>
                </w:rPr>
                <w:t>Financial Information</w:t>
              </w:r>
            </w:hyperlink>
          </w:p>
        </w:tc>
        <w:tc>
          <w:tcPr>
            <w:tcW w:w="2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00" w:type="dxa"/>
            <w:vAlign w:val="bottom"/>
          </w:tcPr>
          <w:p>
            <w:pPr>
              <w:spacing w:after="0"/>
              <w:rPr>
                <w:sz w:val="15"/>
                <w:szCs w:val="15"/>
                <w:color w:val="auto"/>
              </w:rPr>
            </w:pPr>
          </w:p>
        </w:tc>
        <w:tc>
          <w:tcPr>
            <w:tcW w:w="9760" w:type="dxa"/>
            <w:vAlign w:val="bottom"/>
            <w:gridSpan w:val="19"/>
          </w:tcPr>
          <w:p>
            <w:pPr>
              <w:spacing w:after="0" w:line="174" w:lineRule="exact"/>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80" w:type="dxa"/>
            <w:vAlign w:val="bottom"/>
            <w:gridSpan w:val="12"/>
            <w:shd w:val="clear" w:color="auto" w:fill="CCEEFF"/>
          </w:tcPr>
          <w:p>
            <w:pPr>
              <w:spacing w:after="0"/>
              <w:rPr>
                <w:sz w:val="20"/>
                <w:szCs w:val="20"/>
                <w:color w:val="auto"/>
              </w:rPr>
            </w:pPr>
            <w:r>
              <w:rPr>
                <w:rFonts w:ascii="Arial" w:cs="Arial" w:eastAsia="Arial" w:hAnsi="Arial"/>
                <w:sz w:val="16"/>
                <w:szCs w:val="16"/>
                <w:color w:val="0000FF"/>
                <w:w w:val="89"/>
              </w:rPr>
              <w:t>Consolidated Balance Sheets - June 30, 2021 (Unaudited) and December 31, 2020</w:t>
            </w:r>
          </w:p>
        </w:tc>
        <w:tc>
          <w:tcPr>
            <w:tcW w:w="4280" w:type="dxa"/>
            <w:vAlign w:val="bottom"/>
            <w:gridSpan w:val="6"/>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FF"/>
              </w:rPr>
              <w:t>Consolidated Statements of Operations (Unaudited) - Three Months and Six Months Months Ended June 30, 2021 and 2020</w:t>
            </w: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780" w:type="dxa"/>
            <w:vAlign w:val="bottom"/>
            <w:gridSpan w:val="17"/>
            <w:shd w:val="clear" w:color="auto" w:fill="CCEEFF"/>
          </w:tcPr>
          <w:p>
            <w:pPr>
              <w:spacing w:after="0"/>
              <w:rPr>
                <w:sz w:val="20"/>
                <w:szCs w:val="20"/>
                <w:color w:val="auto"/>
              </w:rPr>
            </w:pPr>
            <w:r>
              <w:rPr>
                <w:rFonts w:ascii="Arial" w:cs="Arial" w:eastAsia="Arial" w:hAnsi="Arial"/>
                <w:sz w:val="16"/>
                <w:szCs w:val="16"/>
                <w:color w:val="0000FF"/>
                <w:w w:val="90"/>
              </w:rPr>
              <w:t>Consolidated Statements of Comprehensive Income (Unaudited) - Three Months and Six Months Months Ended June 30, 2021 and 2020</w:t>
            </w:r>
          </w:p>
        </w:tc>
        <w:tc>
          <w:tcPr>
            <w:tcW w:w="78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780" w:type="dxa"/>
            <w:vAlign w:val="bottom"/>
            <w:gridSpan w:val="17"/>
          </w:tcPr>
          <w:p>
            <w:pPr>
              <w:spacing w:after="0"/>
              <w:rPr>
                <w:sz w:val="20"/>
                <w:szCs w:val="20"/>
                <w:color w:val="auto"/>
              </w:rPr>
            </w:pPr>
            <w:r>
              <w:rPr>
                <w:rFonts w:ascii="Arial" w:cs="Arial" w:eastAsia="Arial" w:hAnsi="Arial"/>
                <w:sz w:val="16"/>
                <w:szCs w:val="16"/>
                <w:color w:val="0000FF"/>
                <w:w w:val="92"/>
              </w:rPr>
              <w:t>Consolidated Statements of Stockholders' Deficit (Unaudited) - Three Months and Six Months Months Ended June 30, 2021 and 2020</w:t>
            </w:r>
          </w:p>
        </w:tc>
        <w:tc>
          <w:tcPr>
            <w:tcW w:w="780" w:type="dxa"/>
            <w:vAlign w:val="bottom"/>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8"/>
            <w:shd w:val="clear" w:color="auto" w:fill="CCEEFF"/>
          </w:tcPr>
          <w:p>
            <w:pPr>
              <w:spacing w:after="0"/>
              <w:rPr>
                <w:sz w:val="20"/>
                <w:szCs w:val="20"/>
                <w:color w:val="auto"/>
              </w:rPr>
            </w:pPr>
            <w:r>
              <w:rPr>
                <w:rFonts w:ascii="Arial" w:cs="Arial" w:eastAsia="Arial" w:hAnsi="Arial"/>
                <w:sz w:val="16"/>
                <w:szCs w:val="16"/>
                <w:color w:val="0000FF"/>
              </w:rPr>
              <w:t>Consolidated Statements of Cash Flows (Unaudited) - Six Months Ended June 30, 2021 and 2020</w:t>
            </w:r>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14"/>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Consolidated Financial Statements (Unaudited)</w:t>
              </w:r>
            </w:hyperlink>
          </w:p>
        </w:tc>
        <w:tc>
          <w:tcPr>
            <w:tcW w:w="3300" w:type="dxa"/>
            <w:vAlign w:val="bottom"/>
            <w:gridSpan w:val="4"/>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9760" w:type="dxa"/>
            <w:vAlign w:val="bottom"/>
            <w:gridSpan w:val="19"/>
            <w:shd w:val="clear" w:color="auto" w:fill="CCEEFF"/>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Item 2. Management's Discussion and Analysis of Financial Condition and Results of Operations</w:t>
              </w:r>
            </w:hyperlink>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220" w:type="dxa"/>
            <w:vAlign w:val="bottom"/>
            <w:gridSpan w:val="14"/>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3. Quantitative and Qualitative Disclosures About Market Risk</w:t>
              </w:r>
            </w:hyperlink>
          </w:p>
        </w:tc>
        <w:tc>
          <w:tcPr>
            <w:tcW w:w="3540" w:type="dxa"/>
            <w:vAlign w:val="bottom"/>
            <w:gridSpan w:val="5"/>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32">
              <w:r>
                <w:rPr>
                  <w:rFonts w:ascii="Arial" w:cs="Arial" w:eastAsia="Arial" w:hAnsi="Arial"/>
                  <w:sz w:val="16"/>
                  <w:szCs w:val="16"/>
                  <w:color w:val="0000FF"/>
                  <w:w w:val="93"/>
                </w:rPr>
                <w:t>Item 4.</w:t>
              </w:r>
            </w:hyperlink>
          </w:p>
        </w:tc>
        <w:tc>
          <w:tcPr>
            <w:tcW w:w="1600" w:type="dxa"/>
            <w:vAlign w:val="bottom"/>
            <w:gridSpan w:val="7"/>
            <w:shd w:val="clear" w:color="auto" w:fill="CCEEFF"/>
          </w:tcPr>
          <w:p>
            <w:pPr>
              <w:ind w:left="20"/>
              <w:spacing w:after="0"/>
              <w:rPr>
                <w:rFonts w:ascii="Arial" w:cs="Arial" w:eastAsia="Arial" w:hAnsi="Arial"/>
                <w:sz w:val="16"/>
                <w:szCs w:val="16"/>
                <w:color w:val="0000FF"/>
                <w:w w:val="88"/>
              </w:rPr>
            </w:pPr>
            <w:hyperlink w:anchor="page32">
              <w:r>
                <w:rPr>
                  <w:rFonts w:ascii="Arial" w:cs="Arial" w:eastAsia="Arial" w:hAnsi="Arial"/>
                  <w:sz w:val="16"/>
                  <w:szCs w:val="16"/>
                  <w:color w:val="0000FF"/>
                  <w:w w:val="88"/>
                </w:rPr>
                <w:t>Controls and Procedures</w:t>
              </w:r>
            </w:hyperlink>
          </w:p>
        </w:tc>
        <w:tc>
          <w:tcPr>
            <w:tcW w:w="7680" w:type="dxa"/>
            <w:vAlign w:val="bottom"/>
            <w:gridSpan w:val="10"/>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240" w:type="dxa"/>
            <w:vAlign w:val="bottom"/>
            <w:shd w:val="clear" w:color="auto" w:fill="CCEEFF"/>
          </w:tcPr>
          <w:p>
            <w:pPr>
              <w:spacing w:after="0"/>
              <w:rPr>
                <w:sz w:val="17"/>
                <w:szCs w:val="17"/>
                <w:color w:val="auto"/>
              </w:rPr>
            </w:pPr>
          </w:p>
        </w:tc>
      </w:tr>
      <w:tr>
        <w:trPr>
          <w:trHeight w:val="173"/>
        </w:trPr>
        <w:tc>
          <w:tcPr>
            <w:tcW w:w="8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6"/>
                <w:szCs w:val="16"/>
                <w:b w:val="1"/>
                <w:bCs w:val="1"/>
                <w:color w:val="auto"/>
              </w:rPr>
              <w:t>Part II</w:t>
            </w:r>
          </w:p>
        </w:tc>
        <w:tc>
          <w:tcPr>
            <w:tcW w:w="2080" w:type="dxa"/>
            <w:vAlign w:val="bottom"/>
            <w:tcBorders>
              <w:top w:val="single" w:sz="8" w:color="0000FF"/>
            </w:tcBorders>
            <w:gridSpan w:val="9"/>
          </w:tcPr>
          <w:p>
            <w:pPr>
              <w:spacing w:after="0" w:line="174" w:lineRule="exact"/>
              <w:rPr>
                <w:rFonts w:ascii="Arial" w:cs="Arial" w:eastAsia="Arial" w:hAnsi="Arial"/>
                <w:sz w:val="16"/>
                <w:szCs w:val="16"/>
                <w:color w:val="0000FF"/>
              </w:rPr>
            </w:pPr>
            <w:hyperlink w:anchor="page33">
              <w:r>
                <w:rPr>
                  <w:rFonts w:ascii="Arial" w:cs="Arial" w:eastAsia="Arial" w:hAnsi="Arial"/>
                  <w:sz w:val="16"/>
                  <w:szCs w:val="16"/>
                  <w:color w:val="0000FF"/>
                </w:rPr>
                <w:t>Other Information</w:t>
              </w:r>
            </w:hyperlink>
          </w:p>
        </w:tc>
        <w:tc>
          <w:tcPr>
            <w:tcW w:w="7680" w:type="dxa"/>
            <w:vAlign w:val="bottom"/>
            <w:tcBorders>
              <w:top w:val="single" w:sz="8" w:color="CCEEFF"/>
            </w:tcBorders>
            <w:gridSpan w:val="10"/>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33">
              <w:r>
                <w:rPr>
                  <w:rFonts w:ascii="Arial" w:cs="Arial" w:eastAsia="Arial" w:hAnsi="Arial"/>
                  <w:sz w:val="16"/>
                  <w:szCs w:val="16"/>
                  <w:color w:val="0000FF"/>
                  <w:w w:val="93"/>
                </w:rPr>
                <w:t>Item 1.</w:t>
              </w:r>
            </w:hyperlink>
          </w:p>
        </w:tc>
        <w:tc>
          <w:tcPr>
            <w:tcW w:w="9280" w:type="dxa"/>
            <w:vAlign w:val="bottom"/>
            <w:gridSpan w:val="17"/>
            <w:shd w:val="clear" w:color="auto" w:fill="CCEEFF"/>
          </w:tcPr>
          <w:p>
            <w:pPr>
              <w:ind w:left="20"/>
              <w:spacing w:after="0"/>
              <w:rPr>
                <w:rFonts w:ascii="Arial" w:cs="Arial" w:eastAsia="Arial" w:hAnsi="Arial"/>
                <w:sz w:val="16"/>
                <w:szCs w:val="16"/>
                <w:color w:val="0000FF"/>
              </w:rPr>
            </w:pPr>
            <w:hyperlink w:anchor="page33">
              <w:r>
                <w:rPr>
                  <w:rFonts w:ascii="Arial" w:cs="Arial" w:eastAsia="Arial" w:hAnsi="Arial"/>
                  <w:sz w:val="16"/>
                  <w:szCs w:val="16"/>
                  <w:color w:val="0000FF"/>
                </w:rPr>
                <w:t>Legal Proceedings</w:t>
              </w:r>
            </w:hyperlink>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1680" w:type="dxa"/>
            <w:vAlign w:val="bottom"/>
            <w:gridSpan w:val="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1A. Risk Factors</w:t>
              </w:r>
            </w:hyperlink>
          </w:p>
        </w:tc>
        <w:tc>
          <w:tcPr>
            <w:tcW w:w="8080" w:type="dxa"/>
            <w:vAlign w:val="bottom"/>
            <w:gridSpan w:val="12"/>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33">
              <w:r>
                <w:rPr>
                  <w:rFonts w:ascii="Arial" w:cs="Arial" w:eastAsia="Arial" w:hAnsi="Arial"/>
                  <w:sz w:val="16"/>
                  <w:szCs w:val="16"/>
                  <w:color w:val="0000FF"/>
                  <w:w w:val="93"/>
                </w:rPr>
                <w:t>Item 2.</w:t>
              </w:r>
            </w:hyperlink>
          </w:p>
        </w:tc>
        <w:tc>
          <w:tcPr>
            <w:tcW w:w="9280" w:type="dxa"/>
            <w:vAlign w:val="bottom"/>
            <w:gridSpan w:val="17"/>
            <w:shd w:val="clear" w:color="auto" w:fill="CCEEFF"/>
          </w:tcPr>
          <w:p>
            <w:pPr>
              <w:ind w:left="20"/>
              <w:spacing w:after="0"/>
              <w:rPr>
                <w:rFonts w:ascii="Arial" w:cs="Arial" w:eastAsia="Arial" w:hAnsi="Arial"/>
                <w:sz w:val="16"/>
                <w:szCs w:val="16"/>
                <w:color w:val="0000FF"/>
              </w:rPr>
            </w:pPr>
            <w:hyperlink w:anchor="page33">
              <w:r>
                <w:rPr>
                  <w:rFonts w:ascii="Arial" w:cs="Arial" w:eastAsia="Arial" w:hAnsi="Arial"/>
                  <w:sz w:val="16"/>
                  <w:szCs w:val="16"/>
                  <w:color w:val="0000FF"/>
                </w:rPr>
                <w:t>Unregistered Sales of Equity Securities and Use of Proceeds</w:t>
              </w:r>
            </w:hyperlink>
          </w:p>
        </w:tc>
        <w:tc>
          <w:tcPr>
            <w:tcW w:w="400" w:type="dxa"/>
            <w:vAlign w:val="bottom"/>
            <w:tcBorders>
              <w:right w:val="single" w:sz="8" w:color="CCEEFF"/>
            </w:tcBorders>
            <w:gridSpan w:val="2"/>
            <w:shd w:val="clear" w:color="auto" w:fill="CCEEFF"/>
          </w:tcPr>
          <w:p>
            <w:pPr>
              <w:jc w:val="center"/>
              <w:ind w:left="151"/>
              <w:spacing w:after="0" w:line="187"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480" w:type="dxa"/>
            <w:vAlign w:val="bottom"/>
            <w:gridSpan w:val="2"/>
          </w:tcPr>
          <w:p>
            <w:pPr>
              <w:spacing w:after="0"/>
              <w:rPr>
                <w:rFonts w:ascii="Arial" w:cs="Arial" w:eastAsia="Arial" w:hAnsi="Arial"/>
                <w:sz w:val="16"/>
                <w:szCs w:val="16"/>
                <w:color w:val="0000FF"/>
                <w:w w:val="93"/>
              </w:rPr>
            </w:pPr>
            <w:hyperlink w:anchor="page33">
              <w:r>
                <w:rPr>
                  <w:rFonts w:ascii="Arial" w:cs="Arial" w:eastAsia="Arial" w:hAnsi="Arial"/>
                  <w:sz w:val="16"/>
                  <w:szCs w:val="16"/>
                  <w:color w:val="0000FF"/>
                  <w:w w:val="93"/>
                </w:rPr>
                <w:t>Item 6.</w:t>
              </w:r>
            </w:hyperlink>
          </w:p>
        </w:tc>
        <w:tc>
          <w:tcPr>
            <w:tcW w:w="560" w:type="dxa"/>
            <w:vAlign w:val="bottom"/>
          </w:tcPr>
          <w:p>
            <w:pPr>
              <w:ind w:left="20"/>
              <w:spacing w:after="0"/>
              <w:rPr>
                <w:rFonts w:ascii="Arial" w:cs="Arial" w:eastAsia="Arial" w:hAnsi="Arial"/>
                <w:sz w:val="16"/>
                <w:szCs w:val="16"/>
                <w:color w:val="0000FF"/>
                <w:w w:val="92"/>
              </w:rPr>
            </w:pPr>
            <w:hyperlink w:anchor="page33">
              <w:r>
                <w:rPr>
                  <w:rFonts w:ascii="Arial" w:cs="Arial" w:eastAsia="Arial" w:hAnsi="Arial"/>
                  <w:sz w:val="16"/>
                  <w:szCs w:val="16"/>
                  <w:color w:val="0000FF"/>
                  <w:w w:val="92"/>
                </w:rPr>
                <w:t>Exhibits</w:t>
              </w:r>
            </w:hyperlink>
          </w:p>
        </w:tc>
        <w:tc>
          <w:tcPr>
            <w:tcW w:w="3320" w:type="dxa"/>
            <w:vAlign w:val="bottom"/>
            <w:gridSpan w:val="8"/>
          </w:tcPr>
          <w:p>
            <w:pPr>
              <w:spacing w:after="0"/>
              <w:rPr>
                <w:sz w:val="16"/>
                <w:szCs w:val="16"/>
                <w:color w:val="auto"/>
              </w:rPr>
            </w:pPr>
          </w:p>
        </w:tc>
        <w:tc>
          <w:tcPr>
            <w:tcW w:w="5400" w:type="dxa"/>
            <w:vAlign w:val="bottom"/>
            <w:gridSpan w:val="8"/>
          </w:tcPr>
          <w:p>
            <w:pPr>
              <w:spacing w:after="0"/>
              <w:rPr>
                <w:sz w:val="16"/>
                <w:szCs w:val="16"/>
                <w:color w:val="auto"/>
              </w:rPr>
            </w:pPr>
          </w:p>
        </w:tc>
        <w:tc>
          <w:tcPr>
            <w:tcW w:w="400" w:type="dxa"/>
            <w:vAlign w:val="bottom"/>
            <w:gridSpan w:val="2"/>
          </w:tcPr>
          <w:p>
            <w:pPr>
              <w:jc w:val="center"/>
              <w:ind w:left="151"/>
              <w:spacing w:after="0" w:line="187"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22"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2021</w:t>
            </w:r>
          </w:p>
        </w:tc>
        <w:tc>
          <w:tcPr>
            <w:tcW w:w="120" w:type="dxa"/>
            <w:vAlign w:val="bottom"/>
          </w:tcPr>
          <w:p>
            <w:pPr>
              <w:spacing w:after="0"/>
              <w:rPr>
                <w:sz w:val="18"/>
                <w:szCs w:val="18"/>
                <w:color w:val="auto"/>
              </w:rPr>
            </w:pPr>
          </w:p>
        </w:tc>
        <w:tc>
          <w:tcPr>
            <w:tcW w:w="16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As of December 31, 2020</w:t>
            </w:r>
          </w:p>
        </w:tc>
        <w:tc>
          <w:tcPr>
            <w:tcW w:w="0" w:type="dxa"/>
            <w:vAlign w:val="bottom"/>
          </w:tcPr>
          <w:p>
            <w:pPr>
              <w:spacing w:after="0"/>
              <w:rPr>
                <w:sz w:val="1"/>
                <w:szCs w:val="1"/>
                <w:color w:val="auto"/>
              </w:rPr>
            </w:pPr>
          </w:p>
        </w:tc>
      </w:tr>
      <w:tr>
        <w:trPr>
          <w:trHeight w:val="181"/>
        </w:trPr>
        <w:tc>
          <w:tcPr>
            <w:tcW w:w="78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and notes receivable, net of allowances of $10.4 and $9.6 in 2021 and 2020, respectively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448.3</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433.8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1,260.4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1,087.6</w:t>
            </w:r>
          </w:p>
        </w:tc>
        <w:tc>
          <w:tcPr>
            <w:tcW w:w="0" w:type="dxa"/>
            <w:vAlign w:val="bottom"/>
          </w:tcPr>
          <w:p>
            <w:pPr>
              <w:spacing w:after="0"/>
              <w:rPr>
                <w:sz w:val="1"/>
                <w:szCs w:val="1"/>
                <w:color w:val="auto"/>
              </w:rPr>
            </w:pPr>
          </w:p>
        </w:tc>
      </w:tr>
      <w:tr>
        <w:trPr>
          <w:trHeight w:val="160"/>
        </w:trPr>
        <w:tc>
          <w:tcPr>
            <w:tcW w:w="7820" w:type="dxa"/>
            <w:vAlign w:val="bottom"/>
            <w:shd w:val="clear" w:color="auto" w:fill="CCEEFF"/>
          </w:tcPr>
          <w:p>
            <w:pPr>
              <w:ind w:left="20"/>
              <w:spacing w:after="0" w:line="160" w:lineRule="exact"/>
              <w:rPr>
                <w:sz w:val="20"/>
                <w:szCs w:val="20"/>
                <w:color w:val="auto"/>
              </w:rPr>
            </w:pPr>
            <w:r>
              <w:rPr>
                <w:rFonts w:ascii="Arial" w:cs="Arial" w:eastAsia="Arial" w:hAnsi="Arial"/>
                <w:sz w:val="17"/>
                <w:szCs w:val="17"/>
                <w:color w:val="auto"/>
                <w:w w:val="99"/>
              </w:rPr>
              <w:t>Property, plant and equipment, net of accumulated depreciation of $907.7 and $880.6 in 2021 and 2020,</w:t>
            </w:r>
          </w:p>
        </w:tc>
        <w:tc>
          <w:tcPr>
            <w:tcW w:w="14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476.0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464.3</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Right-of-use assets from operating leases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2,204.7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2,032.5</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DEFICIT</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Current maturities of long-term debt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265.9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operating lease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296.1</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1,057.8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701.3</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970.7</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142.8</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2,418.0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2,049.6</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Stockholders' deficit: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Preferred stock, $0.01 par value, 25,000,000 shares authorized, no shares issued or outstanding</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$0.01 par value, 200,000,000 shares authorized, 87,170,197 shares issued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1,113.2</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2,385.8</w:t>
            </w:r>
          </w:p>
        </w:tc>
        <w:tc>
          <w:tcPr>
            <w:tcW w:w="0" w:type="dxa"/>
            <w:vAlign w:val="bottom"/>
          </w:tcPr>
          <w:p>
            <w:pPr>
              <w:spacing w:after="0"/>
              <w:rPr>
                <w:sz w:val="1"/>
                <w:szCs w:val="1"/>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Treasury stock, at cost, 50,006,069 shares and 48,820,969 shares for 2021 and 2020, respectively</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(3,419.8)</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stockholders' deficit</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(213.3)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w:t>
            </w:r>
          </w:p>
        </w:tc>
        <w:tc>
          <w:tcPr>
            <w:tcW w:w="0" w:type="dxa"/>
            <w:vAlign w:val="bottom"/>
          </w:tcPr>
          <w:p>
            <w:pPr>
              <w:spacing w:after="0"/>
              <w:rPr>
                <w:sz w:val="1"/>
                <w:szCs w:val="1"/>
                <w:color w:val="auto"/>
              </w:rPr>
            </w:pPr>
          </w:p>
        </w:tc>
      </w:tr>
      <w:tr>
        <w:trPr>
          <w:trHeight w:val="23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2,204.7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2,032.5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120" w:type="dxa"/>
            <w:vAlign w:val="bottom"/>
            <w:shd w:val="clear" w:color="auto" w:fill="CCEEFF"/>
          </w:tcPr>
          <w:p>
            <w:pPr>
              <w:spacing w:after="0"/>
              <w:rPr>
                <w:sz w:val="16"/>
                <w:szCs w:val="16"/>
                <w:color w:val="auto"/>
              </w:rPr>
            </w:pPr>
          </w:p>
        </w:tc>
        <w:tc>
          <w:tcPr>
            <w:tcW w:w="264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rPr>
              <w:t>For the Three Months Ended June</w:t>
            </w:r>
          </w:p>
        </w:tc>
        <w:tc>
          <w:tcPr>
            <w:tcW w:w="2600" w:type="dxa"/>
            <w:vAlign w:val="bottom"/>
            <w:gridSpan w:val="5"/>
            <w:vMerge w:val="restart"/>
            <w:shd w:val="clear" w:color="auto" w:fill="CCEEFF"/>
          </w:tcPr>
          <w:p>
            <w:pPr>
              <w:jc w:val="right"/>
              <w:ind w:right="11"/>
              <w:spacing w:after="0"/>
              <w:rPr>
                <w:sz w:val="20"/>
                <w:szCs w:val="20"/>
                <w:color w:val="auto"/>
              </w:rPr>
            </w:pPr>
            <w:r>
              <w:rPr>
                <w:rFonts w:ascii="Arial" w:cs="Arial" w:eastAsia="Arial" w:hAnsi="Arial"/>
                <w:sz w:val="16"/>
                <w:szCs w:val="16"/>
                <w:b w:val="1"/>
                <w:bCs w:val="1"/>
                <w:color w:val="auto"/>
                <w:w w:val="93"/>
              </w:rPr>
              <w:t>For the Six Months Ended June 30,</w:t>
            </w:r>
          </w:p>
        </w:tc>
        <w:tc>
          <w:tcPr>
            <w:tcW w:w="0" w:type="dxa"/>
            <w:vAlign w:val="bottom"/>
          </w:tcPr>
          <w:p>
            <w:pPr>
              <w:spacing w:after="0"/>
              <w:rPr>
                <w:sz w:val="1"/>
                <w:szCs w:val="1"/>
                <w:color w:val="auto"/>
              </w:rPr>
            </w:pPr>
          </w:p>
        </w:tc>
      </w:tr>
      <w:tr>
        <w:trPr>
          <w:trHeight w:val="211"/>
        </w:trPr>
        <w:tc>
          <w:tcPr>
            <w:tcW w:w="58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ind w:right="151"/>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0" w:type="dxa"/>
            <w:vAlign w:val="bottom"/>
            <w:tcBorders>
              <w:bottom w:val="single" w:sz="8" w:color="auto"/>
            </w:tcBorders>
            <w:gridSpan w:val="5"/>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1,239.0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1,665.1</w:t>
            </w:r>
          </w:p>
        </w:tc>
        <w:tc>
          <w:tcPr>
            <w:tcW w:w="0" w:type="dxa"/>
            <w:vAlign w:val="bottom"/>
          </w:tcPr>
          <w:p>
            <w:pPr>
              <w:spacing w:after="0"/>
              <w:rPr>
                <w:sz w:val="1"/>
                <w:szCs w:val="1"/>
                <w:color w:val="auto"/>
              </w:rPr>
            </w:pPr>
          </w:p>
        </w:tc>
      </w:tr>
      <w:tr>
        <w:trPr>
          <w:trHeight w:val="227"/>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w:t>
            </w:r>
          </w:p>
        </w:tc>
        <w:tc>
          <w:tcPr>
            <w:tcW w:w="0" w:type="dxa"/>
            <w:vAlign w:val="bottom"/>
          </w:tcPr>
          <w:p>
            <w:pPr>
              <w:spacing w:after="0"/>
              <w:rPr>
                <w:sz w:val="1"/>
                <w:szCs w:val="1"/>
                <w:color w:val="auto"/>
              </w:rPr>
            </w:pPr>
          </w:p>
        </w:tc>
      </w:tr>
      <w:tr>
        <w:trPr>
          <w:trHeight w:val="220"/>
        </w:trPr>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Losses (gains) and other expenses,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Loss from natural disasters, net of insurance recoveries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from equity method investments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172.3</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Pension settlement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0"/>
        </w:trPr>
        <w:tc>
          <w:tcPr>
            <w:tcW w:w="5820" w:type="dxa"/>
            <w:vAlign w:val="bottom"/>
          </w:tcPr>
          <w:p>
            <w:pPr>
              <w:ind w:left="44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113.1</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Discontinued Operations: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Loss from discontinued operations before income taxes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0"/>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5"/>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46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8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i w:val="1"/>
                <w:iCs w:val="1"/>
                <w:color w:val="auto"/>
              </w:rPr>
              <w:t>Earnings per share – Diluted:</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c>
          <w:tcPr>
            <w:tcW w:w="46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8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68580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1122"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68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For the Three Months Ended June</w:t>
            </w:r>
          </w:p>
        </w:tc>
        <w:tc>
          <w:tcPr>
            <w:tcW w:w="25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For the Six Months Ended June 30,</w:t>
            </w:r>
          </w:p>
        </w:tc>
        <w:tc>
          <w:tcPr>
            <w:tcW w:w="0" w:type="dxa"/>
            <w:vAlign w:val="bottom"/>
          </w:tcPr>
          <w:p>
            <w:pPr>
              <w:spacing w:after="0"/>
              <w:rPr>
                <w:sz w:val="1"/>
                <w:szCs w:val="1"/>
                <w:color w:val="auto"/>
              </w:rPr>
            </w:pPr>
          </w:p>
        </w:tc>
      </w:tr>
      <w:tr>
        <w:trPr>
          <w:trHeight w:val="211"/>
        </w:trPr>
        <w:tc>
          <w:tcPr>
            <w:tcW w:w="586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6"/>
                <w:szCs w:val="16"/>
                <w:b w:val="1"/>
                <w:bCs w:val="1"/>
                <w:color w:val="auto"/>
              </w:rPr>
              <w:t>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w:t>
            </w:r>
          </w:p>
        </w:tc>
        <w:tc>
          <w:tcPr>
            <w:tcW w:w="0" w:type="dxa"/>
            <w:vAlign w:val="bottom"/>
          </w:tcPr>
          <w:p>
            <w:pPr>
              <w:spacing w:after="0"/>
              <w:rPr>
                <w:sz w:val="1"/>
                <w:szCs w:val="1"/>
                <w:color w:val="auto"/>
              </w:rPr>
            </w:pPr>
          </w:p>
        </w:tc>
      </w:tr>
      <w:tr>
        <w:trPr>
          <w:trHeight w:val="207"/>
        </w:trPr>
        <w:tc>
          <w:tcPr>
            <w:tcW w:w="5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 (loss):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7"/>
        </w:trPr>
        <w:tc>
          <w:tcPr>
            <w:tcW w:w="5860" w:type="dxa"/>
            <w:vAlign w:val="bottom"/>
          </w:tcPr>
          <w:p>
            <w:pPr>
              <w:ind w:left="220"/>
              <w:spacing w:after="0"/>
              <w:rPr>
                <w:sz w:val="20"/>
                <w:szCs w:val="20"/>
                <w:color w:val="auto"/>
              </w:rPr>
            </w:pPr>
            <w:r>
              <w:rPr>
                <w:rFonts w:ascii="Arial" w:cs="Arial" w:eastAsia="Arial" w:hAnsi="Arial"/>
                <w:sz w:val="18"/>
                <w:szCs w:val="18"/>
                <w:color w:val="auto"/>
              </w:rPr>
              <w:t>Net change in pension and post-retirement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Reclassification of pension and post-retirement benefit losses into earnings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7"/>
        </w:trPr>
        <w:tc>
          <w:tcPr>
            <w:tcW w:w="5860" w:type="dxa"/>
            <w:vAlign w:val="bottom"/>
          </w:tcPr>
          <w:p>
            <w:pPr>
              <w:ind w:left="220"/>
              <w:spacing w:after="0"/>
              <w:rPr>
                <w:sz w:val="20"/>
                <w:szCs w:val="20"/>
                <w:color w:val="auto"/>
              </w:rPr>
            </w:pPr>
            <w:r>
              <w:rPr>
                <w:rFonts w:ascii="Arial" w:cs="Arial" w:eastAsia="Arial" w:hAnsi="Arial"/>
                <w:sz w:val="18"/>
                <w:szCs w:val="18"/>
                <w:color w:val="auto"/>
              </w:rPr>
              <w:t>Pension settlement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fair value of cash flow hedges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7"/>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Reclassification of cash flow hedge (gains) losses into earnings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taxes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68580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80" w:top="1122"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2021 and 2020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w w:val="92"/>
              </w:rPr>
              <w:t>Common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w w:val="95"/>
              </w:rPr>
              <w:t>Additional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15"/>
                <w:szCs w:val="15"/>
                <w:color w:val="auto"/>
              </w:rPr>
            </w:pPr>
          </w:p>
        </w:tc>
        <w:tc>
          <w:tcPr>
            <w:tcW w:w="1380" w:type="dxa"/>
            <w:vAlign w:val="bottom"/>
            <w:gridSpan w:val="7"/>
          </w:tcPr>
          <w:p>
            <w:pPr>
              <w:ind w:left="60"/>
              <w:spacing w:after="0"/>
              <w:rPr>
                <w:sz w:val="20"/>
                <w:szCs w:val="20"/>
                <w:color w:val="auto"/>
              </w:rPr>
            </w:pPr>
            <w:r>
              <w:rPr>
                <w:rFonts w:ascii="Arial" w:cs="Arial" w:eastAsia="Arial" w:hAnsi="Arial"/>
                <w:sz w:val="15"/>
                <w:szCs w:val="15"/>
                <w:b w:val="1"/>
                <w:bCs w:val="1"/>
                <w:color w:val="auto"/>
              </w:rPr>
              <w:t>Treasury Stock at</w:t>
            </w:r>
          </w:p>
        </w:tc>
        <w:tc>
          <w:tcPr>
            <w:tcW w:w="180" w:type="dxa"/>
            <w:vAlign w:val="bottom"/>
          </w:tcPr>
          <w:p>
            <w:pPr>
              <w:spacing w:after="0"/>
              <w:rPr>
                <w:sz w:val="15"/>
                <w:szCs w:val="15"/>
                <w:color w:val="auto"/>
              </w:rPr>
            </w:pPr>
          </w:p>
        </w:tc>
        <w:tc>
          <w:tcPr>
            <w:tcW w:w="740" w:type="dxa"/>
            <w:vAlign w:val="bottom"/>
            <w:vMerge w:val="restart"/>
          </w:tcPr>
          <w:p>
            <w:pPr>
              <w:jc w:val="center"/>
              <w:ind w:right="8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2" w:lineRule="exact"/>
              <w:rPr>
                <w:sz w:val="20"/>
                <w:szCs w:val="20"/>
                <w:color w:val="auto"/>
              </w:rPr>
            </w:pPr>
            <w:r>
              <w:rPr>
                <w:rFonts w:ascii="Arial" w:cs="Arial" w:eastAsia="Arial" w:hAnsi="Arial"/>
                <w:sz w:val="15"/>
                <w:szCs w:val="15"/>
                <w:b w:val="1"/>
                <w:bCs w:val="1"/>
                <w:color w:val="auto"/>
                <w:w w:val="94"/>
              </w:rPr>
              <w:t>Other</w:t>
            </w:r>
          </w:p>
        </w:tc>
        <w:tc>
          <w:tcPr>
            <w:tcW w:w="20" w:type="dxa"/>
            <w:vAlign w:val="bottom"/>
          </w:tcPr>
          <w:p>
            <w:pPr>
              <w:spacing w:after="0"/>
              <w:rPr>
                <w:sz w:val="11"/>
                <w:szCs w:val="11"/>
                <w:color w:val="auto"/>
              </w:rPr>
            </w:pPr>
          </w:p>
        </w:tc>
        <w:tc>
          <w:tcPr>
            <w:tcW w:w="1380" w:type="dxa"/>
            <w:vAlign w:val="bottom"/>
            <w:gridSpan w:val="7"/>
          </w:tcPr>
          <w:p>
            <w:pPr>
              <w:ind w:left="480"/>
              <w:spacing w:after="0" w:line="132" w:lineRule="exact"/>
              <w:rPr>
                <w:sz w:val="20"/>
                <w:szCs w:val="20"/>
                <w:color w:val="auto"/>
              </w:rPr>
            </w:pPr>
            <w:r>
              <w:rPr>
                <w:rFonts w:ascii="Arial" w:cs="Arial" w:eastAsia="Arial" w:hAnsi="Arial"/>
                <w:sz w:val="15"/>
                <w:szCs w:val="15"/>
                <w:b w:val="1"/>
                <w:bCs w:val="1"/>
                <w:color w:val="auto"/>
              </w:rPr>
              <w:t>Cost</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jc w:val="right"/>
              <w:ind w:right="140"/>
              <w:spacing w:after="0" w:line="135" w:lineRule="exact"/>
              <w:rPr>
                <w:sz w:val="20"/>
                <w:szCs w:val="20"/>
                <w:color w:val="auto"/>
              </w:rPr>
            </w:pPr>
            <w:r>
              <w:rPr>
                <w:rFonts w:ascii="Arial" w:cs="Arial" w:eastAsia="Arial" w:hAnsi="Arial"/>
                <w:sz w:val="15"/>
                <w:szCs w:val="15"/>
                <w:b w:val="1"/>
                <w:bCs w:val="1"/>
                <w:color w:val="auto"/>
                <w:w w:val="97"/>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restart"/>
          </w:tcPr>
          <w:p>
            <w:pPr>
              <w:spacing w:after="0" w:line="135" w:lineRule="exact"/>
              <w:rPr>
                <w:sz w:val="20"/>
                <w:szCs w:val="20"/>
                <w:color w:val="auto"/>
              </w:rPr>
            </w:pPr>
            <w:r>
              <w:rPr>
                <w:rFonts w:ascii="Arial" w:cs="Arial" w:eastAsia="Arial" w:hAnsi="Arial"/>
                <w:sz w:val="15"/>
                <w:szCs w:val="15"/>
                <w:b w:val="1"/>
                <w:bCs w:val="1"/>
                <w:color w:val="auto"/>
              </w:rPr>
              <w:t>Paid-In</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restart"/>
          </w:tcPr>
          <w:p>
            <w:pPr>
              <w:jc w:val="right"/>
              <w:ind w:right="120"/>
              <w:spacing w:after="0" w:line="135" w:lineRule="exact"/>
              <w:rPr>
                <w:sz w:val="20"/>
                <w:szCs w:val="20"/>
                <w:color w:val="auto"/>
              </w:rPr>
            </w:pPr>
            <w:r>
              <w:rPr>
                <w:rFonts w:ascii="Arial" w:cs="Arial" w:eastAsia="Arial" w:hAnsi="Arial"/>
                <w:sz w:val="15"/>
                <w:szCs w:val="15"/>
                <w:b w:val="1"/>
                <w:bCs w:val="1"/>
                <w:color w:val="auto"/>
                <w:w w:val="91"/>
              </w:rPr>
              <w:t>Retained</w:t>
            </w:r>
          </w:p>
        </w:tc>
        <w:tc>
          <w:tcPr>
            <w:tcW w:w="1140" w:type="dxa"/>
            <w:vAlign w:val="bottom"/>
            <w:gridSpan w:val="3"/>
            <w:vMerge w:val="restart"/>
          </w:tcPr>
          <w:p>
            <w:pPr>
              <w:ind w:left="20"/>
              <w:spacing w:after="0" w:line="135" w:lineRule="exact"/>
              <w:rPr>
                <w:sz w:val="20"/>
                <w:szCs w:val="20"/>
                <w:color w:val="auto"/>
              </w:rPr>
            </w:pPr>
            <w:r>
              <w:rPr>
                <w:rFonts w:ascii="Arial" w:cs="Arial" w:eastAsia="Arial" w:hAnsi="Arial"/>
                <w:sz w:val="15"/>
                <w:szCs w:val="15"/>
                <w:b w:val="1"/>
                <w:bCs w:val="1"/>
                <w:color w:val="auto"/>
                <w:w w:val="97"/>
              </w:rPr>
              <w:t>Comprehensive</w:t>
            </w: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ind w:left="20"/>
              <w:spacing w:after="0" w:line="135"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20" w:type="dxa"/>
            <w:vAlign w:val="bottom"/>
            <w:vMerge w:val="restart"/>
          </w:tcPr>
          <w:p>
            <w:pPr>
              <w:spacing w:after="0"/>
              <w:rPr>
                <w:sz w:val="20"/>
                <w:szCs w:val="20"/>
                <w:color w:val="auto"/>
              </w:rPr>
            </w:pPr>
            <w:r>
              <w:rPr>
                <w:rFonts w:ascii="Arial" w:cs="Arial" w:eastAsia="Arial" w:hAnsi="Arial"/>
                <w:sz w:val="15"/>
                <w:szCs w:val="15"/>
                <w:b w:val="1"/>
                <w:bCs w:val="1"/>
                <w:i w:val="1"/>
                <w:iCs w:val="1"/>
                <w:color w:val="auto"/>
              </w:rPr>
              <w:t>(For the three months ended June 30, 2021)</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87"/>
              </w:rPr>
              <w:t>Shares</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88"/>
              </w:rPr>
              <w:t>Issued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w w:val="93"/>
              </w:rPr>
              <w:t>Earnings</w:t>
            </w: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ind w:right="84"/>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as of March 31, 2021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1,090.3</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9"/>
              </w:rPr>
              <w:t>$ 2,440.9</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(99.2)</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49.4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 (3,593.6)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170.0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170.0</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$0.92 per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(34.3)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220" w:type="dxa"/>
            <w:vAlign w:val="bottom"/>
            <w:shd w:val="clear" w:color="auto" w:fill="CCEEFF"/>
          </w:tcPr>
          <w:p>
            <w:pPr>
              <w:ind w:left="200"/>
              <w:spacing w:after="0" w:line="151" w:lineRule="exact"/>
              <w:rPr>
                <w:sz w:val="20"/>
                <w:szCs w:val="20"/>
                <w:color w:val="auto"/>
              </w:rPr>
            </w:pPr>
            <w:r>
              <w:rPr>
                <w:rFonts w:ascii="Arial" w:cs="Arial" w:eastAsia="Arial" w:hAnsi="Arial"/>
                <w:sz w:val="15"/>
                <w:szCs w:val="15"/>
                <w:color w:val="auto"/>
                <w:w w:val="92"/>
              </w:rPr>
              <w:t>Pension and post-retirement liability changes, net of tax benefit of</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0"/>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Stock-based compensation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cash flow hedges, net of tax expense of $0.1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(0.3)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780" w:type="dxa"/>
            <w:vAlign w:val="bottom"/>
            <w:gridSpan w:val="4"/>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stock purchases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(234.2)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b w:val="1"/>
                <w:bCs w:val="1"/>
                <w:color w:val="auto"/>
              </w:rPr>
              <w:t>Balance as of June 30, 2021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1,128.9</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$ 2,576.6</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(93.1)</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50.0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0"/>
              </w:rPr>
              <w:t>$ (3,826.6)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(213.3)</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60" w:type="dxa"/>
            <w:vAlign w:val="bottom"/>
            <w:gridSpan w:val="4"/>
            <w:vMerge w:val="restart"/>
          </w:tcPr>
          <w:p>
            <w:pPr>
              <w:ind w:left="40"/>
              <w:spacing w:after="0"/>
              <w:rPr>
                <w:sz w:val="20"/>
                <w:szCs w:val="20"/>
                <w:color w:val="auto"/>
              </w:rPr>
            </w:pPr>
            <w:r>
              <w:rPr>
                <w:rFonts w:ascii="Arial" w:cs="Arial" w:eastAsia="Arial" w:hAnsi="Arial"/>
                <w:sz w:val="15"/>
                <w:szCs w:val="15"/>
                <w:b w:val="1"/>
                <w:bCs w:val="1"/>
                <w:color w:val="auto"/>
              </w:rPr>
              <w:t>Common</w:t>
            </w:r>
          </w:p>
        </w:tc>
        <w:tc>
          <w:tcPr>
            <w:tcW w:w="20" w:type="dxa"/>
            <w:vAlign w:val="bottom"/>
          </w:tcPr>
          <w:p>
            <w:pPr>
              <w:spacing w:after="0"/>
              <w:rPr>
                <w:sz w:val="24"/>
                <w:szCs w:val="24"/>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rPr>
              <w:t>Additional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Accumulated</w:t>
            </w:r>
          </w:p>
        </w:tc>
        <w:tc>
          <w:tcPr>
            <w:tcW w:w="20" w:type="dxa"/>
            <w:vAlign w:val="bottom"/>
          </w:tcPr>
          <w:p>
            <w:pPr>
              <w:spacing w:after="0"/>
              <w:rPr>
                <w:sz w:val="24"/>
                <w:szCs w:val="24"/>
                <w:color w:val="auto"/>
              </w:rPr>
            </w:pPr>
          </w:p>
        </w:tc>
        <w:tc>
          <w:tcPr>
            <w:tcW w:w="1380" w:type="dxa"/>
            <w:vAlign w:val="bottom"/>
            <w:gridSpan w:val="7"/>
          </w:tcPr>
          <w:p>
            <w:pPr>
              <w:jc w:val="right"/>
              <w:ind w:right="160"/>
              <w:spacing w:after="0"/>
              <w:rPr>
                <w:sz w:val="20"/>
                <w:szCs w:val="20"/>
                <w:color w:val="auto"/>
              </w:rPr>
            </w:pPr>
            <w:r>
              <w:rPr>
                <w:rFonts w:ascii="Arial" w:cs="Arial" w:eastAsia="Arial" w:hAnsi="Arial"/>
                <w:sz w:val="15"/>
                <w:szCs w:val="15"/>
                <w:b w:val="1"/>
                <w:bCs w:val="1"/>
                <w:color w:val="auto"/>
                <w:w w:val="95"/>
              </w:rPr>
              <w:t>Treasury Stock at</w:t>
            </w:r>
          </w:p>
        </w:tc>
        <w:tc>
          <w:tcPr>
            <w:tcW w:w="180" w:type="dxa"/>
            <w:vAlign w:val="bottom"/>
          </w:tcPr>
          <w:p>
            <w:pPr>
              <w:spacing w:after="0"/>
              <w:rPr>
                <w:sz w:val="24"/>
                <w:szCs w:val="24"/>
                <w:color w:val="auto"/>
              </w:rPr>
            </w:pPr>
          </w:p>
        </w:tc>
        <w:tc>
          <w:tcPr>
            <w:tcW w:w="740" w:type="dxa"/>
            <w:vAlign w:val="bottom"/>
            <w:vMerge w:val="restart"/>
          </w:tcPr>
          <w:p>
            <w:pPr>
              <w:jc w:val="center"/>
              <w:ind w:right="10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2" w:lineRule="exact"/>
              <w:rPr>
                <w:sz w:val="20"/>
                <w:szCs w:val="20"/>
                <w:color w:val="auto"/>
              </w:rPr>
            </w:pPr>
            <w:r>
              <w:rPr>
                <w:rFonts w:ascii="Arial" w:cs="Arial" w:eastAsia="Arial" w:hAnsi="Arial"/>
                <w:sz w:val="15"/>
                <w:szCs w:val="15"/>
                <w:b w:val="1"/>
                <w:bCs w:val="1"/>
                <w:color w:val="auto"/>
                <w:w w:val="99"/>
              </w:rPr>
              <w:t>Other</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6"/>
          </w:tcPr>
          <w:p>
            <w:pPr>
              <w:spacing w:after="0" w:line="132" w:lineRule="exact"/>
              <w:rPr>
                <w:sz w:val="20"/>
                <w:szCs w:val="20"/>
                <w:color w:val="auto"/>
              </w:rPr>
            </w:pPr>
            <w:r>
              <w:rPr>
                <w:rFonts w:ascii="Arial" w:cs="Arial" w:eastAsia="Arial" w:hAnsi="Arial"/>
                <w:sz w:val="15"/>
                <w:szCs w:val="15"/>
                <w:b w:val="1"/>
                <w:bCs w:val="1"/>
                <w:color w:val="auto"/>
              </w:rPr>
              <w:t>Cost</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ind w:left="40"/>
              <w:spacing w:after="0" w:line="135" w:lineRule="exact"/>
              <w:rPr>
                <w:sz w:val="20"/>
                <w:szCs w:val="20"/>
                <w:color w:val="auto"/>
              </w:rPr>
            </w:pPr>
            <w:r>
              <w:rPr>
                <w:rFonts w:ascii="Arial" w:cs="Arial" w:eastAsia="Arial" w:hAnsi="Arial"/>
                <w:sz w:val="15"/>
                <w:szCs w:val="15"/>
                <w:b w:val="1"/>
                <w:bCs w:val="1"/>
                <w:color w:val="auto"/>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5"/>
                <w:szCs w:val="15"/>
                <w:b w:val="1"/>
                <w:bCs w:val="1"/>
                <w:color w:val="auto"/>
              </w:rPr>
              <w:t>Paid-In</w:t>
            </w:r>
          </w:p>
        </w:tc>
        <w:tc>
          <w:tcPr>
            <w:tcW w:w="20" w:type="dxa"/>
            <w:vAlign w:val="bottom"/>
          </w:tcPr>
          <w:p>
            <w:pPr>
              <w:spacing w:after="0"/>
              <w:rPr>
                <w:sz w:val="5"/>
                <w:szCs w:val="5"/>
                <w:color w:val="auto"/>
              </w:rPr>
            </w:pPr>
          </w:p>
        </w:tc>
        <w:tc>
          <w:tcPr>
            <w:tcW w:w="780" w:type="dxa"/>
            <w:vAlign w:val="bottom"/>
            <w:gridSpan w:val="4"/>
            <w:vMerge w:val="restart"/>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140" w:type="dxa"/>
            <w:vAlign w:val="bottom"/>
            <w:gridSpan w:val="3"/>
            <w:vMerge w:val="restart"/>
          </w:tcPr>
          <w:p>
            <w:pPr>
              <w:ind w:left="20"/>
              <w:spacing w:after="0" w:line="135" w:lineRule="exact"/>
              <w:rPr>
                <w:sz w:val="20"/>
                <w:szCs w:val="20"/>
                <w:color w:val="auto"/>
              </w:rPr>
            </w:pPr>
            <w:r>
              <w:rPr>
                <w:rFonts w:ascii="Arial" w:cs="Arial" w:eastAsia="Arial" w:hAnsi="Arial"/>
                <w:sz w:val="15"/>
                <w:szCs w:val="15"/>
                <w:b w:val="1"/>
                <w:bCs w:val="1"/>
                <w:color w:val="auto"/>
                <w:w w:val="97"/>
              </w:rPr>
              <w:t>Comprehensive</w:t>
            </w:r>
          </w:p>
        </w:tc>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ind w:left="20"/>
              <w:spacing w:after="0" w:line="135"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20" w:type="dxa"/>
            <w:vAlign w:val="bottom"/>
            <w:vMerge w:val="restart"/>
          </w:tcPr>
          <w:p>
            <w:pPr>
              <w:spacing w:after="0"/>
              <w:rPr>
                <w:sz w:val="20"/>
                <w:szCs w:val="20"/>
                <w:color w:val="auto"/>
              </w:rPr>
            </w:pPr>
            <w:r>
              <w:rPr>
                <w:rFonts w:ascii="Arial" w:cs="Arial" w:eastAsia="Arial" w:hAnsi="Arial"/>
                <w:sz w:val="15"/>
                <w:szCs w:val="15"/>
                <w:b w:val="1"/>
                <w:bCs w:val="1"/>
                <w:i w:val="1"/>
                <w:iCs w:val="1"/>
                <w:color w:val="auto"/>
              </w:rPr>
              <w:t>(For the three months ended June 30, 2020)</w:t>
            </w: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87"/>
              </w:rPr>
              <w:t>Shares</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Arial" w:cs="Arial" w:eastAsia="Arial" w:hAnsi="Arial"/>
                <w:sz w:val="15"/>
                <w:szCs w:val="15"/>
                <w:b w:val="1"/>
                <w:bCs w:val="1"/>
                <w:color w:val="auto"/>
              </w:rPr>
              <w:t>Issued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ind w:left="60"/>
              <w:spacing w:after="0"/>
              <w:rPr>
                <w:sz w:val="20"/>
                <w:szCs w:val="20"/>
                <w:color w:val="auto"/>
              </w:rPr>
            </w:pPr>
            <w:r>
              <w:rPr>
                <w:rFonts w:ascii="Arial" w:cs="Arial" w:eastAsia="Arial" w:hAnsi="Arial"/>
                <w:sz w:val="15"/>
                <w:szCs w:val="15"/>
                <w:b w:val="1"/>
                <w:bCs w:val="1"/>
                <w:color w:val="auto"/>
              </w:rPr>
              <w:t>Capital</w:t>
            </w:r>
          </w:p>
        </w:tc>
        <w:tc>
          <w:tcPr>
            <w:tcW w:w="20" w:type="dxa"/>
            <w:vAlign w:val="bottom"/>
          </w:tcPr>
          <w:p>
            <w:pPr>
              <w:spacing w:after="0"/>
              <w:rPr>
                <w:sz w:val="17"/>
                <w:szCs w:val="17"/>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auto"/>
                <w:w w:val="93"/>
              </w:rPr>
              <w:t>Earnings</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79"/>
              </w:rPr>
              <w:t>Loss</w:t>
            </w:r>
          </w:p>
        </w:tc>
        <w:tc>
          <w:tcPr>
            <w:tcW w:w="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ind w:right="104"/>
              <w:spacing w:after="0"/>
              <w:rPr>
                <w:sz w:val="20"/>
                <w:szCs w:val="20"/>
                <w:color w:val="auto"/>
              </w:rPr>
            </w:pPr>
            <w:r>
              <w:rPr>
                <w:rFonts w:ascii="Arial" w:cs="Arial" w:eastAsia="Arial" w:hAnsi="Arial"/>
                <w:sz w:val="15"/>
                <w:szCs w:val="15"/>
                <w:b w:val="1"/>
                <w:bCs w:val="1"/>
                <w:color w:val="auto"/>
                <w:w w:val="95"/>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as of March 31, 2020</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1,095.2</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89"/>
              </w:rPr>
              <w:t>$ 2,130.9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(133.1)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48.9</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$(3,412.2)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(318.3)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4"/>
              <w:spacing w:after="0"/>
              <w:rPr>
                <w:sz w:val="20"/>
                <w:szCs w:val="20"/>
                <w:color w:val="auto"/>
              </w:rPr>
            </w:pPr>
            <w:r>
              <w:rPr>
                <w:rFonts w:ascii="Arial" w:cs="Arial" w:eastAsia="Arial" w:hAnsi="Arial"/>
                <w:sz w:val="15"/>
                <w:szCs w:val="15"/>
                <w:color w:val="auto"/>
              </w:rPr>
              <w:t>100.0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$0.77 per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shd w:val="clear" w:color="auto" w:fill="CCEEFF"/>
          </w:tcPr>
          <w:p>
            <w:pPr>
              <w:ind w:left="200"/>
              <w:spacing w:after="0" w:line="151" w:lineRule="exact"/>
              <w:rPr>
                <w:sz w:val="20"/>
                <w:szCs w:val="20"/>
                <w:color w:val="auto"/>
              </w:rPr>
            </w:pPr>
            <w:r>
              <w:rPr>
                <w:rFonts w:ascii="Arial" w:cs="Arial" w:eastAsia="Arial" w:hAnsi="Arial"/>
                <w:sz w:val="15"/>
                <w:szCs w:val="15"/>
                <w:color w:val="auto"/>
                <w:w w:val="95"/>
              </w:rPr>
              <w:t>Pension and post-retirement liability changes, net of tax benefit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of $0.1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Stock-based compensation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cash flow hedges, net of tax expense of $3.1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4"/>
          </w:tcPr>
          <w:p>
            <w:pPr>
              <w:jc w:val="right"/>
              <w:spacing w:after="0"/>
              <w:rPr>
                <w:sz w:val="20"/>
                <w:szCs w:val="20"/>
                <w:color w:val="auto"/>
              </w:rPr>
            </w:pPr>
            <w:r>
              <w:rPr>
                <w:rFonts w:ascii="Arial" w:cs="Arial" w:eastAsia="Arial" w:hAnsi="Arial"/>
                <w:sz w:val="15"/>
                <w:szCs w:val="15"/>
                <w:color w:val="auto"/>
              </w:rPr>
              <w:t>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stock purchases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b w:val="1"/>
                <w:bCs w:val="1"/>
                <w:color w:val="auto"/>
              </w:rPr>
              <w:t>Balance as of June 30,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1,102.4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89"/>
              </w:rPr>
              <w:t>$ 2,201.5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(121.7)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48.9</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(3,412.0)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(228.9)</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68580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080"/>
          </w:cols>
          <w:pgMar w:left="900" w:top="886" w:right="9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six months ended June 30, 2021 and 2020 (Unaudited)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 share data)</w:t>
      </w: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jc w:val="center"/>
              <w:ind w:right="200"/>
              <w:spacing w:after="0"/>
              <w:rPr>
                <w:sz w:val="20"/>
                <w:szCs w:val="20"/>
                <w:color w:val="auto"/>
              </w:rPr>
            </w:pPr>
            <w:r>
              <w:rPr>
                <w:rFonts w:ascii="Arial" w:cs="Arial" w:eastAsia="Arial" w:hAnsi="Arial"/>
                <w:sz w:val="15"/>
                <w:szCs w:val="15"/>
                <w:b w:val="1"/>
                <w:bCs w:val="1"/>
                <w:color w:val="auto"/>
                <w:w w:val="92"/>
              </w:rPr>
              <w:t>Common</w:t>
            </w:r>
          </w:p>
        </w:tc>
        <w:tc>
          <w:tcPr>
            <w:tcW w:w="6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Additional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400"/>
              <w:spacing w:after="0" w:line="147" w:lineRule="exact"/>
              <w:rPr>
                <w:sz w:val="20"/>
                <w:szCs w:val="20"/>
                <w:color w:val="auto"/>
              </w:rPr>
            </w:pPr>
            <w:r>
              <w:rPr>
                <w:rFonts w:ascii="Arial" w:cs="Arial" w:eastAsia="Arial" w:hAnsi="Arial"/>
                <w:sz w:val="15"/>
                <w:szCs w:val="15"/>
                <w:b w:val="1"/>
                <w:bCs w:val="1"/>
                <w:color w:val="auto"/>
                <w:w w:val="99"/>
              </w:rPr>
              <w:t>Other</w:t>
            </w:r>
          </w:p>
        </w:tc>
        <w:tc>
          <w:tcPr>
            <w:tcW w:w="1520" w:type="dxa"/>
            <w:vAlign w:val="bottom"/>
            <w:gridSpan w:val="10"/>
            <w:vMerge w:val="restart"/>
          </w:tcPr>
          <w:p>
            <w:pPr>
              <w:jc w:val="center"/>
              <w:ind w:right="40"/>
              <w:spacing w:after="0"/>
              <w:rPr>
                <w:sz w:val="20"/>
                <w:szCs w:val="20"/>
                <w:color w:val="auto"/>
              </w:rPr>
            </w:pPr>
            <w:r>
              <w:rPr>
                <w:rFonts w:ascii="Arial" w:cs="Arial" w:eastAsia="Arial" w:hAnsi="Arial"/>
                <w:sz w:val="15"/>
                <w:szCs w:val="15"/>
                <w:b w:val="1"/>
                <w:bCs w:val="1"/>
                <w:color w:val="auto"/>
                <w:w w:val="90"/>
              </w:rPr>
              <w:t>Treasury Stock at 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0"/>
              <w:spacing w:after="0" w:line="116" w:lineRule="exact"/>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20"/>
              <w:spacing w:after="0" w:line="116"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tcPr>
          <w:p>
            <w:pPr>
              <w:jc w:val="right"/>
              <w:spacing w:after="0" w:line="116"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5"/>
          </w:tcPr>
          <w:p>
            <w:pPr>
              <w:jc w:val="center"/>
              <w:ind w:right="80"/>
              <w:spacing w:after="0" w:line="116" w:lineRule="exact"/>
              <w:rPr>
                <w:sz w:val="20"/>
                <w:szCs w:val="20"/>
                <w:color w:val="auto"/>
              </w:rPr>
            </w:pPr>
            <w:r>
              <w:rPr>
                <w:rFonts w:ascii="Arial" w:cs="Arial" w:eastAsia="Arial" w:hAnsi="Arial"/>
                <w:sz w:val="13"/>
                <w:szCs w:val="13"/>
                <w:b w:val="1"/>
                <w:bCs w:val="1"/>
                <w:color w:val="auto"/>
              </w:rPr>
              <w:t>Comprehensive</w:t>
            </w:r>
          </w:p>
        </w:tc>
        <w:tc>
          <w:tcPr>
            <w:tcW w:w="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10"/>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jc w:val="center"/>
              <w:ind w:right="40"/>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(For the six months ended June 30, 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4"/>
              </w:rPr>
              <w:t>Issued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b w:val="1"/>
                <w:bCs w:val="1"/>
                <w:color w:val="auto"/>
                <w:w w:val="90"/>
              </w:rPr>
              <w:t>Earnings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79"/>
              </w:rPr>
              <w:t>Loss</w:t>
            </w: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w w:val="83"/>
              </w:rPr>
              <w:t>Shares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91"/>
              </w:rPr>
              <w:t>Amount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1,113.2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2,385.8</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(97.2)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48.8</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(3,419.8)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(17.1)</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254.2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shd w:val="clear" w:color="auto" w:fill="CCEEFF"/>
          </w:tcPr>
          <w:p>
            <w:pPr>
              <w:spacing w:after="0"/>
              <w:rPr>
                <w:sz w:val="17"/>
                <w:szCs w:val="17"/>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Dividends, $1.69 per share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(63.4)</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Foreign currency translation adjustments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shd w:val="clear" w:color="auto" w:fill="CCEEFF"/>
          </w:tcPr>
          <w:p>
            <w:pPr>
              <w:spacing w:after="0"/>
              <w:rPr>
                <w:sz w:val="17"/>
                <w:szCs w:val="17"/>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Pension and post-retirement liability changes, net of tax expense $3.2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shd w:val="clear" w:color="auto" w:fill="CCEEFF"/>
          </w:tcPr>
          <w:p>
            <w:pPr>
              <w:spacing w:after="0"/>
              <w:rPr>
                <w:sz w:val="17"/>
                <w:szCs w:val="17"/>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 in cash flow hedges, net of tax expense of $1.2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160"/>
              <w:spacing w:after="0"/>
              <w:rPr>
                <w:sz w:val="20"/>
                <w:szCs w:val="20"/>
                <w:color w:val="auto"/>
              </w:rPr>
            </w:pPr>
            <w:r>
              <w:rPr>
                <w:rFonts w:ascii="Arial" w:cs="Arial" w:eastAsia="Arial" w:hAnsi="Arial"/>
                <w:sz w:val="15"/>
                <w:szCs w:val="15"/>
                <w:color w:val="auto"/>
              </w:rPr>
              <w:t>Treasury shares reissued for 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shd w:val="clear" w:color="auto" w:fill="CCEEFF"/>
          </w:tcPr>
          <w:p>
            <w:pPr>
              <w:spacing w:after="0"/>
              <w:rPr>
                <w:sz w:val="17"/>
                <w:szCs w:val="17"/>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1.3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(410.2)</w:t>
            </w:r>
          </w:p>
        </w:tc>
        <w:tc>
          <w:tcPr>
            <w:tcW w:w="0" w:type="dxa"/>
            <w:vAlign w:val="bottom"/>
          </w:tcPr>
          <w:p>
            <w:pPr>
              <w:spacing w:after="0"/>
              <w:rPr>
                <w:sz w:val="1"/>
                <w:szCs w:val="1"/>
                <w:color w:val="auto"/>
              </w:rPr>
            </w:pPr>
          </w:p>
        </w:tc>
      </w:tr>
      <w:tr>
        <w:trPr>
          <w:trHeight w:val="191"/>
        </w:trPr>
        <w:tc>
          <w:tcPr>
            <w:tcW w:w="4640" w:type="dxa"/>
            <w:vAlign w:val="bottom"/>
            <w:gridSpan w:val="2"/>
          </w:tcPr>
          <w:p>
            <w:pPr>
              <w:ind w:left="20"/>
              <w:spacing w:after="0"/>
              <w:rPr>
                <w:sz w:val="20"/>
                <w:szCs w:val="20"/>
                <w:color w:val="auto"/>
              </w:rPr>
            </w:pPr>
            <w:r>
              <w:rPr>
                <w:rFonts w:ascii="Arial" w:cs="Arial" w:eastAsia="Arial" w:hAnsi="Arial"/>
                <w:sz w:val="15"/>
                <w:szCs w:val="15"/>
                <w:b w:val="1"/>
                <w:bCs w:val="1"/>
                <w:color w:val="auto"/>
              </w:rPr>
              <w:t>Balance as of June 30, 2021</w:t>
            </w: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1,128.9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2,576.6</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(93.1)</w:t>
            </w:r>
          </w:p>
        </w:tc>
        <w:tc>
          <w:tcPr>
            <w:tcW w:w="8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rPr>
              <w:t>50.0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(3,826.6)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(213.3)</w:t>
            </w:r>
          </w:p>
        </w:tc>
        <w:tc>
          <w:tcPr>
            <w:tcW w:w="0" w:type="dxa"/>
            <w:vAlign w:val="bottom"/>
          </w:tcPr>
          <w:p>
            <w:pPr>
              <w:spacing w:after="0"/>
              <w:rPr>
                <w:sz w:val="1"/>
                <w:szCs w:val="1"/>
                <w:color w:val="auto"/>
              </w:rPr>
            </w:pPr>
          </w:p>
        </w:tc>
      </w:tr>
      <w:tr>
        <w:trPr>
          <w:trHeight w:val="330"/>
        </w:trPr>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89"/>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8"/>
          </w:tcPr>
          <w:p>
            <w:pPr>
              <w:jc w:val="right"/>
              <w:ind w:right="160"/>
              <w:spacing w:after="0"/>
              <w:rPr>
                <w:sz w:val="20"/>
                <w:szCs w:val="20"/>
                <w:color w:val="auto"/>
              </w:rPr>
            </w:pPr>
            <w:r>
              <w:rPr>
                <w:rFonts w:ascii="Arial" w:cs="Arial" w:eastAsia="Arial" w:hAnsi="Arial"/>
                <w:sz w:val="15"/>
                <w:szCs w:val="15"/>
                <w:b w:val="1"/>
                <w:bCs w:val="1"/>
                <w:color w:val="auto"/>
                <w:w w:val="95"/>
              </w:rPr>
              <w:t>Treasury Stock at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40"/>
              <w:spacing w:after="0" w:line="132" w:lineRule="exact"/>
              <w:rPr>
                <w:sz w:val="20"/>
                <w:szCs w:val="20"/>
                <w:color w:val="auto"/>
              </w:rPr>
            </w:pPr>
            <w:r>
              <w:rPr>
                <w:rFonts w:ascii="Arial" w:cs="Arial" w:eastAsia="Arial" w:hAnsi="Arial"/>
                <w:sz w:val="15"/>
                <w:szCs w:val="15"/>
                <w:b w:val="1"/>
                <w:bCs w:val="1"/>
                <w:color w:val="auto"/>
                <w:w w:val="99"/>
              </w:rPr>
              <w:t>Other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6"/>
          </w:tcPr>
          <w:p>
            <w:pPr>
              <w:jc w:val="right"/>
              <w:ind w:right="580"/>
              <w:spacing w:after="0" w:line="132" w:lineRule="exact"/>
              <w:rPr>
                <w:sz w:val="20"/>
                <w:szCs w:val="20"/>
                <w:color w:val="auto"/>
              </w:rPr>
            </w:pPr>
            <w:r>
              <w:rPr>
                <w:rFonts w:ascii="Arial" w:cs="Arial" w:eastAsia="Arial" w:hAnsi="Arial"/>
                <w:sz w:val="15"/>
                <w:szCs w:val="15"/>
                <w:b w:val="1"/>
                <w:bCs w:val="1"/>
                <w:color w:val="auto"/>
                <w:w w:val="83"/>
              </w:rPr>
              <w:t>Cost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jc w:val="center"/>
              <w:ind w:right="180"/>
              <w:spacing w:after="0" w:line="135" w:lineRule="exact"/>
              <w:rPr>
                <w:sz w:val="20"/>
                <w:szCs w:val="20"/>
                <w:color w:val="auto"/>
              </w:rPr>
            </w:pPr>
            <w:r>
              <w:rPr>
                <w:rFonts w:ascii="Arial" w:cs="Arial" w:eastAsia="Arial" w:hAnsi="Arial"/>
                <w:sz w:val="15"/>
                <w:szCs w:val="15"/>
                <w:b w:val="1"/>
                <w:bCs w:val="1"/>
                <w:color w:val="auto"/>
                <w:w w:val="89"/>
              </w:rPr>
              <w:t>Common</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jc w:val="right"/>
              <w:ind w:right="160"/>
              <w:spacing w:after="0" w:line="135" w:lineRule="exact"/>
              <w:rPr>
                <w:sz w:val="20"/>
                <w:szCs w:val="20"/>
                <w:color w:val="auto"/>
              </w:rPr>
            </w:pPr>
            <w:r>
              <w:rPr>
                <w:rFonts w:ascii="Arial" w:cs="Arial" w:eastAsia="Arial" w:hAnsi="Arial"/>
                <w:sz w:val="15"/>
                <w:szCs w:val="15"/>
                <w:b w:val="1"/>
                <w:bCs w:val="1"/>
                <w:color w:val="auto"/>
              </w:rPr>
              <w:t>Paid-In</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4"/>
            <w:vMerge w:val="restart"/>
          </w:tcPr>
          <w:p>
            <w:pPr>
              <w:jc w:val="right"/>
              <w:ind w:right="68"/>
              <w:spacing w:after="0" w:line="135" w:lineRule="exact"/>
              <w:rPr>
                <w:sz w:val="20"/>
                <w:szCs w:val="20"/>
                <w:color w:val="auto"/>
              </w:rPr>
            </w:pPr>
            <w:r>
              <w:rPr>
                <w:rFonts w:ascii="Arial" w:cs="Arial" w:eastAsia="Arial" w:hAnsi="Arial"/>
                <w:sz w:val="15"/>
                <w:szCs w:val="15"/>
                <w:b w:val="1"/>
                <w:bCs w:val="1"/>
                <w:color w:val="auto"/>
                <w:w w:val="94"/>
              </w:rPr>
              <w:t>Retained</w:t>
            </w:r>
          </w:p>
        </w:tc>
        <w:tc>
          <w:tcPr>
            <w:tcW w:w="80" w:type="dxa"/>
            <w:vAlign w:val="bottom"/>
          </w:tcPr>
          <w:p>
            <w:pPr>
              <w:spacing w:after="0"/>
              <w:rPr>
                <w:sz w:val="5"/>
                <w:szCs w:val="5"/>
                <w:color w:val="auto"/>
              </w:rPr>
            </w:pPr>
          </w:p>
        </w:tc>
        <w:tc>
          <w:tcPr>
            <w:tcW w:w="1080" w:type="dxa"/>
            <w:vAlign w:val="bottom"/>
            <w:gridSpan w:val="5"/>
            <w:vMerge w:val="restart"/>
          </w:tcPr>
          <w:p>
            <w:pPr>
              <w:jc w:val="center"/>
              <w:spacing w:after="0" w:line="135" w:lineRule="exact"/>
              <w:rPr>
                <w:sz w:val="20"/>
                <w:szCs w:val="20"/>
                <w:color w:val="auto"/>
              </w:rPr>
            </w:pPr>
            <w:r>
              <w:rPr>
                <w:rFonts w:ascii="Arial" w:cs="Arial" w:eastAsia="Arial" w:hAnsi="Arial"/>
                <w:sz w:val="15"/>
                <w:szCs w:val="15"/>
                <w:b w:val="1"/>
                <w:bCs w:val="1"/>
                <w:color w:val="auto"/>
                <w:w w:val="88"/>
              </w:rPr>
              <w:t>Comprehensive</w:t>
            </w:r>
          </w:p>
        </w:tc>
        <w:tc>
          <w:tcPr>
            <w:tcW w:w="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4"/>
            <w:vMerge w:val="restart"/>
          </w:tcPr>
          <w:p>
            <w:pPr>
              <w:jc w:val="center"/>
              <w:ind w:right="100"/>
              <w:spacing w:after="0" w:line="135"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4580" w:type="dxa"/>
            <w:vAlign w:val="bottom"/>
            <w:vMerge w:val="restart"/>
          </w:tcPr>
          <w:p>
            <w:pPr>
              <w:ind w:left="20"/>
              <w:spacing w:after="0"/>
              <w:rPr>
                <w:sz w:val="20"/>
                <w:szCs w:val="20"/>
                <w:color w:val="auto"/>
              </w:rPr>
            </w:pPr>
            <w:r>
              <w:rPr>
                <w:rFonts w:ascii="Arial" w:cs="Arial" w:eastAsia="Arial" w:hAnsi="Arial"/>
                <w:sz w:val="15"/>
                <w:szCs w:val="15"/>
                <w:b w:val="1"/>
                <w:bCs w:val="1"/>
                <w:i w:val="1"/>
                <w:iCs w:val="1"/>
                <w:color w:val="auto"/>
              </w:rPr>
              <w:t>(For the six months ended June 30, 2020)</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w w:val="91"/>
              </w:rPr>
              <w:t>Shares</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auto"/>
                <w:w w:val="91"/>
              </w:rPr>
              <w:t>Amount</w:t>
            </w:r>
          </w:p>
        </w:tc>
        <w:tc>
          <w:tcPr>
            <w:tcW w:w="2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Arial" w:cs="Arial" w:eastAsia="Arial" w:hAnsi="Arial"/>
                <w:sz w:val="15"/>
                <w:szCs w:val="15"/>
                <w:b w:val="1"/>
                <w:bCs w:val="1"/>
                <w:color w:val="auto"/>
                <w:w w:val="95"/>
              </w:rPr>
              <w:t>Stock Issued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68"/>
              <w:spacing w:after="0"/>
              <w:rPr>
                <w:sz w:val="20"/>
                <w:szCs w:val="20"/>
                <w:color w:val="auto"/>
              </w:rPr>
            </w:pPr>
            <w:r>
              <w:rPr>
                <w:rFonts w:ascii="Arial" w:cs="Arial" w:eastAsia="Arial" w:hAnsi="Arial"/>
                <w:sz w:val="15"/>
                <w:szCs w:val="15"/>
                <w:b w:val="1"/>
                <w:bCs w:val="1"/>
                <w:color w:val="auto"/>
                <w:w w:val="93"/>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79"/>
              </w:rPr>
              <w:t>Loss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1,093.5</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2,148.7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(103.8)</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48.6</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 (3,309.5)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4580" w:type="dxa"/>
            <w:vAlign w:val="bottom"/>
          </w:tcPr>
          <w:p>
            <w:pPr>
              <w:ind w:left="220"/>
              <w:spacing w:after="0" w:line="147" w:lineRule="exact"/>
              <w:rPr>
                <w:sz w:val="20"/>
                <w:szCs w:val="20"/>
                <w:color w:val="auto"/>
              </w:rPr>
            </w:pPr>
            <w:r>
              <w:rPr>
                <w:rFonts w:ascii="Arial" w:cs="Arial" w:eastAsia="Arial" w:hAnsi="Arial"/>
                <w:sz w:val="15"/>
                <w:szCs w:val="15"/>
                <w:color w:val="auto"/>
              </w:rPr>
              <w:t>Cumulative effect adjustment upon adoption of new accounting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standard (ASC 2016-13)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Dividends, $1.54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right"/>
              <w:spacing w:after="0"/>
              <w:rPr>
                <w:sz w:val="20"/>
                <w:szCs w:val="20"/>
                <w:color w:val="auto"/>
              </w:rPr>
            </w:pPr>
            <w:r>
              <w:rPr>
                <w:rFonts w:ascii="Arial" w:cs="Arial" w:eastAsia="Arial" w:hAnsi="Arial"/>
                <w:sz w:val="15"/>
                <w:szCs w:val="15"/>
                <w:color w:val="auto"/>
              </w:rPr>
              <w:t>(58.8)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4580" w:type="dxa"/>
            <w:vAlign w:val="bottom"/>
          </w:tcPr>
          <w:p>
            <w:pPr>
              <w:ind w:left="220"/>
              <w:spacing w:after="0" w:line="147" w:lineRule="exact"/>
              <w:rPr>
                <w:sz w:val="20"/>
                <w:szCs w:val="20"/>
                <w:color w:val="auto"/>
              </w:rPr>
            </w:pPr>
            <w:r>
              <w:rPr>
                <w:rFonts w:ascii="Arial" w:cs="Arial" w:eastAsia="Arial" w:hAnsi="Arial"/>
                <w:sz w:val="15"/>
                <w:szCs w:val="15"/>
                <w:color w:val="auto"/>
                <w:w w:val="97"/>
              </w:rPr>
              <w:t>Pension and post-retirement liability changes, net of tax expense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5"/>
                <w:szCs w:val="15"/>
                <w:color w:val="auto"/>
              </w:rPr>
              <w:t>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40" w:type="dxa"/>
            <w:vAlign w:val="bottom"/>
            <w:gridSpan w:val="2"/>
          </w:tcPr>
          <w:p>
            <w:pPr>
              <w:ind w:left="280"/>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Change in cash flow hedges, net of tax benefit of $0.8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right"/>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5"/>
                <w:szCs w:val="15"/>
                <w:color w:val="auto"/>
              </w:rPr>
              <w:t>Treasury stock purchases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2020</w:t>
            </w: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1,102.4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2,201.5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(121.7)</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 (3,412.0)</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68580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400" w:top="886" w:right="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(Amounts in millions)</w:t>
            </w:r>
          </w:p>
        </w:tc>
        <w:tc>
          <w:tcPr>
            <w:tcW w:w="2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7"/>
                <w:szCs w:val="17"/>
                <w:b w:val="1"/>
                <w:bCs w:val="1"/>
                <w:color w:val="auto"/>
                <w:w w:val="94"/>
              </w:rPr>
              <w:t>For the Six Months Ended June 30,</w:t>
            </w:r>
          </w:p>
        </w:tc>
      </w:tr>
      <w:tr>
        <w:trPr>
          <w:trHeight w:val="209"/>
        </w:trPr>
        <w:tc>
          <w:tcPr>
            <w:tcW w:w="7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2020</w:t>
            </w:r>
          </w:p>
        </w:tc>
      </w:tr>
      <w:tr>
        <w:trPr>
          <w:trHeight w:val="193"/>
        </w:trPr>
        <w:tc>
          <w:tcPr>
            <w:tcW w:w="78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i w:val="1"/>
                <w:iCs w:val="1"/>
                <w:color w:val="auto"/>
              </w:rPr>
              <w:t>Cash flows from operating activities:</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254.2</w:t>
            </w:r>
          </w:p>
        </w:tc>
        <w:tc>
          <w:tcPr>
            <w:tcW w:w="12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112.9</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Income from equity method investments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Dividends from affiliates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Restructuring charges, net of cash paid</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Provision for credit losses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Unrealized losses on derivative contracts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Stock-based compensation expense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37.9</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Pension expense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Pension contributions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Other items, net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Accounts and notes receivable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(151.5)</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Other current assets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Accrued expenses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Income taxes payable / (receivable), net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3"/>
        </w:trPr>
        <w:tc>
          <w:tcPr>
            <w:tcW w:w="7820" w:type="dxa"/>
            <w:vAlign w:val="bottom"/>
          </w:tcPr>
          <w:p>
            <w:pPr>
              <w:ind w:left="460"/>
              <w:spacing w:after="0"/>
              <w:rPr>
                <w:sz w:val="20"/>
                <w:szCs w:val="20"/>
                <w:color w:val="auto"/>
              </w:rPr>
            </w:pPr>
            <w:r>
              <w:rPr>
                <w:rFonts w:ascii="Arial" w:cs="Arial" w:eastAsia="Arial" w:hAnsi="Arial"/>
                <w:sz w:val="17"/>
                <w:szCs w:val="17"/>
                <w:color w:val="auto"/>
              </w:rPr>
              <w:t>Leases, net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7"/>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174.5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6.5</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Proceeds from the disposal of property, plant and equipment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plant and equipment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r>
      <w:tr>
        <w:trPr>
          <w:trHeight w:val="21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Proceeds from (purchases of) short-term investments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(44.3)</w:t>
            </w: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debt payments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Short-term debt borrowings</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Asset securitization borrowings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Asset securitization payments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(70.0)</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Long-term debt payments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Borrowings from credit facility</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753.0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1,060.5</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on credit facility</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(863.5)</w:t>
            </w: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Proceeds from employee stock purchases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Repurchases of common stock</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3"/>
        </w:trPr>
        <w:tc>
          <w:tcPr>
            <w:tcW w:w="7820" w:type="dxa"/>
            <w:vAlign w:val="bottom"/>
          </w:tcPr>
          <w:p>
            <w:pPr>
              <w:ind w:left="220"/>
              <w:spacing w:after="0"/>
              <w:rPr>
                <w:sz w:val="20"/>
                <w:szCs w:val="20"/>
                <w:color w:val="auto"/>
              </w:rPr>
            </w:pPr>
            <w:r>
              <w:rPr>
                <w:rFonts w:ascii="Arial" w:cs="Arial" w:eastAsia="Arial" w:hAnsi="Arial"/>
                <w:sz w:val="17"/>
                <w:szCs w:val="17"/>
                <w:color w:val="auto"/>
              </w:rPr>
              <w:t>Repurchases of common stock to satisfy employee withholding tax obligations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dividends paid</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52.3</w:t>
            </w: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 increase in cash and cash equivalents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w:t>
            </w:r>
          </w:p>
        </w:tc>
      </w:tr>
      <w:tr>
        <w:trPr>
          <w:trHeight w:val="207"/>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0"/>
        </w:trPr>
        <w:tc>
          <w:tcPr>
            <w:tcW w:w="7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Supplemental disclosures of cash flow information:</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paid</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7820" w:type="dxa"/>
            <w:vAlign w:val="bottom"/>
          </w:tcPr>
          <w:p>
            <w:pPr>
              <w:ind w:left="220"/>
              <w:spacing w:after="0" w:line="187" w:lineRule="exact"/>
              <w:rPr>
                <w:sz w:val="20"/>
                <w:szCs w:val="20"/>
                <w:color w:val="auto"/>
              </w:rPr>
            </w:pPr>
            <w:r>
              <w:rPr>
                <w:rFonts w:ascii="Arial" w:cs="Arial" w:eastAsia="Arial" w:hAnsi="Arial"/>
                <w:sz w:val="17"/>
                <w:szCs w:val="17"/>
                <w:color w:val="auto"/>
              </w:rPr>
              <w:t>Income taxes paid (net of refunds)</w:t>
            </w:r>
          </w:p>
        </w:tc>
        <w:tc>
          <w:tcPr>
            <w:tcW w:w="260" w:type="dxa"/>
            <w:vAlign w:val="bottom"/>
            <w:tcBorders>
              <w:bottom w:val="single" w:sz="8" w:color="auto"/>
            </w:tcBorders>
          </w:tcPr>
          <w:p>
            <w:pPr>
              <w:jc w:val="right"/>
              <w:ind w:right="76"/>
              <w:spacing w:after="0" w:line="187"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62.6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6"/>
              <w:spacing w:after="0" w:line="187"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22.8</w:t>
            </w: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68580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44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34"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accompanying unaudited Consolidated Balance Sheet as of June 30, 2021, the accompanying unaudited Consolidated Statements of Operations for the three and six months ended June 30, 2021 and 2020, the accompanying unaudited Consolidated Statements of Comprehensive Income for the three and six months ended June 30, 2021 and 2020, the accompanying unaudited Consolidated Statements of Stockholders' Deficit for the three and six months ended June 30, 2021 and 2020, and the accompanying unaudited Consolidated Statements of Cash Flows for the six months ended June 30, 2021 and 2020 should be read in conjunction with our audited consolidated financial statements and footnotes included in our Annual Report on Form 10-K for the year ended December 31, 2020.</w:t>
      </w:r>
    </w:p>
    <w:p>
      <w:pPr>
        <w:spacing w:after="0" w:line="217"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9"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4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 novel strain of coronavirus (“COVID-19”) has surfaced and spread around the world, including to the United States. In March 2020, the World Health Organization declared COVID-19 a pandemic. Currently the COVID-19 pandemic has disrupted our business operations and caused a significant unfavorable impact on our results of operations in 2020. The COVID-19 pandemic is creating supply chain disruptions and higher employee absenteeism in our factories and distribution locations.</w:t>
      </w:r>
    </w:p>
    <w:p>
      <w:pPr>
        <w:spacing w:after="0" w:line="21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the COVID-19 pandemic continues, health concern risks remain. We cannot predict whether any of our manufacturing, operational or distribution facilities will experience disruptions, or how long such disruptions would last. It also remains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9" w:name="page10"/>
    <w:bookmarkEnd w:id="9"/>
    <w:p>
      <w:pPr>
        <w:jc w:val="both"/>
        <w:spacing w:after="0" w:line="258" w:lineRule="auto"/>
        <w:rPr>
          <w:sz w:val="20"/>
          <w:szCs w:val="20"/>
          <w:color w:val="auto"/>
        </w:rPr>
      </w:pPr>
      <w:r>
        <w:rPr>
          <w:rFonts w:ascii="Arial" w:cs="Arial" w:eastAsia="Arial" w:hAnsi="Arial"/>
          <w:sz w:val="18"/>
          <w:szCs w:val="18"/>
          <w:color w:val="auto"/>
        </w:rPr>
        <w:t>unclear how various national, state, and local governments will react if the distribution of vaccines is slower than expected or new variants of the virus become more dominant. If the COVID-19 pandemic worsens or the pandemic continues longer than presently expected, COVID 19 could impact our results of operations, financial position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4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2019-02, in an effort to reduce complexity in accounting for income taxes, removes certain exceptions for measuring intraperiod tax allocations, foreign subsidiary equity method investments and interim period tax losses. ASU 2019-12 is effective for calendar year-end public business entities on January 1, 2021. The adoption of ASU 2019-12 did not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Reportable Business Segments:</w:t>
      </w:r>
    </w:p>
    <w:p>
      <w:pPr>
        <w:spacing w:after="0" w:line="251"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46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 or Services</w:t>
            </w:r>
          </w:p>
        </w:tc>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Markets Served</w:t>
            </w:r>
          </w:p>
        </w:tc>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172"/>
        </w:trPr>
        <w:tc>
          <w:tcPr>
            <w:tcW w:w="18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Residential Heating &amp;</w:t>
            </w:r>
          </w:p>
        </w:tc>
        <w:tc>
          <w:tcPr>
            <w:tcW w:w="100" w:type="dxa"/>
            <w:vAlign w:val="bottom"/>
            <w:tcBorders>
              <w:top w:val="single" w:sz="8" w:color="CCEEFF"/>
            </w:tcBorders>
            <w:shd w:val="clear" w:color="auto" w:fill="CCEEFF"/>
          </w:tcPr>
          <w:p>
            <w:pPr>
              <w:spacing w:after="0"/>
              <w:rPr>
                <w:sz w:val="14"/>
                <w:szCs w:val="14"/>
                <w:color w:val="auto"/>
              </w:rPr>
            </w:pPr>
          </w:p>
        </w:tc>
        <w:tc>
          <w:tcPr>
            <w:tcW w:w="456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0"/>
              </w:rPr>
              <w:t>Furnaces, air conditioners, heat pumps, packaged heating and</w:t>
            </w:r>
          </w:p>
        </w:tc>
        <w:tc>
          <w:tcPr>
            <w:tcW w:w="100" w:type="dxa"/>
            <w:vAlign w:val="bottom"/>
            <w:tcBorders>
              <w:top w:val="single" w:sz="8" w:color="CCEEFF"/>
            </w:tcBorders>
            <w:shd w:val="clear" w:color="auto" w:fill="CCEEFF"/>
          </w:tcPr>
          <w:p>
            <w:pPr>
              <w:spacing w:after="0"/>
              <w:rPr>
                <w:sz w:val="14"/>
                <w:szCs w:val="14"/>
                <w:color w:val="auto"/>
              </w:rPr>
            </w:pPr>
          </w:p>
        </w:tc>
        <w:tc>
          <w:tcPr>
            <w:tcW w:w="278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Residential Replacement;</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United States</w:t>
            </w:r>
          </w:p>
        </w:tc>
      </w:tr>
      <w:tr>
        <w:trPr>
          <w:trHeight w:val="173"/>
        </w:trPr>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Cooling</w:t>
            </w:r>
          </w:p>
        </w:tc>
        <w:tc>
          <w:tcPr>
            <w:tcW w:w="46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cooling systems, indoor air quality equipment, comfort control</w:t>
            </w:r>
          </w:p>
        </w:tc>
        <w:tc>
          <w:tcPr>
            <w:tcW w:w="2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Residential New Construction</w:t>
            </w:r>
          </w:p>
        </w:tc>
        <w:tc>
          <w:tcPr>
            <w:tcW w:w="17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Canada</w:t>
            </w:r>
          </w:p>
        </w:tc>
      </w:tr>
      <w:tr>
        <w:trPr>
          <w:trHeight w:val="227"/>
        </w:trPr>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products, replacement parts and supplies</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3"/>
        </w:trPr>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Commercial Heating &amp;</w:t>
            </w:r>
          </w:p>
        </w:tc>
        <w:tc>
          <w:tcPr>
            <w:tcW w:w="466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Unitary heating and air conditioning equipment, applied</w:t>
            </w:r>
          </w:p>
        </w:tc>
        <w:tc>
          <w:tcPr>
            <w:tcW w:w="28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Light Commercial</w:t>
            </w:r>
          </w:p>
        </w:tc>
        <w:tc>
          <w:tcPr>
            <w:tcW w:w="1720" w:type="dxa"/>
            <w:vAlign w:val="bottom"/>
          </w:tcPr>
          <w:p>
            <w:pPr>
              <w:ind w:left="20"/>
              <w:spacing w:after="0" w:line="174" w:lineRule="exact"/>
              <w:rPr>
                <w:sz w:val="20"/>
                <w:szCs w:val="20"/>
                <w:color w:val="auto"/>
              </w:rPr>
            </w:pPr>
            <w:r>
              <w:rPr>
                <w:rFonts w:ascii="Arial" w:cs="Arial" w:eastAsia="Arial" w:hAnsi="Arial"/>
                <w:sz w:val="18"/>
                <w:szCs w:val="18"/>
                <w:color w:val="auto"/>
              </w:rPr>
              <w:t>United States</w:t>
            </w:r>
          </w:p>
        </w:tc>
      </w:tr>
      <w:tr>
        <w:trPr>
          <w:trHeight w:val="173"/>
        </w:trPr>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Cooling</w:t>
            </w:r>
          </w:p>
        </w:tc>
        <w:tc>
          <w:tcPr>
            <w:tcW w:w="466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systems, controls, installation and service of commercial</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ind w:left="20"/>
              <w:spacing w:after="0" w:line="174" w:lineRule="exact"/>
              <w:rPr>
                <w:sz w:val="20"/>
                <w:szCs w:val="20"/>
                <w:color w:val="auto"/>
              </w:rPr>
            </w:pPr>
            <w:r>
              <w:rPr>
                <w:rFonts w:ascii="Arial" w:cs="Arial" w:eastAsia="Arial" w:hAnsi="Arial"/>
                <w:sz w:val="18"/>
                <w:szCs w:val="18"/>
                <w:color w:val="auto"/>
              </w:rPr>
              <w:t>Canada</w:t>
            </w:r>
          </w:p>
        </w:tc>
      </w:tr>
      <w:tr>
        <w:trPr>
          <w:trHeight w:val="17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6"/>
              </w:rPr>
              <w:t>heating and cooling equipment, and variable refrigerant flow</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7"/>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commercial products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4"/>
        </w:trPr>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Refrigeration</w:t>
            </w:r>
          </w:p>
        </w:tc>
        <w:tc>
          <w:tcPr>
            <w:tcW w:w="46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Condensing units, unit coolers, fluid coolers, air cooled</w:t>
            </w:r>
          </w:p>
        </w:tc>
        <w:tc>
          <w:tcPr>
            <w:tcW w:w="2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Light Commercial;</w:t>
            </w:r>
          </w:p>
        </w:tc>
        <w:tc>
          <w:tcPr>
            <w:tcW w:w="17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United States</w:t>
            </w:r>
          </w:p>
        </w:tc>
      </w:tr>
      <w:tr>
        <w:trPr>
          <w:trHeight w:val="173"/>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condensers, air handlers, process chillers, controls, and</w:t>
            </w:r>
          </w:p>
        </w:tc>
        <w:tc>
          <w:tcPr>
            <w:tcW w:w="2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Food Preservation;</w:t>
            </w:r>
          </w:p>
        </w:tc>
        <w:tc>
          <w:tcPr>
            <w:tcW w:w="17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Canada</w:t>
            </w:r>
          </w:p>
        </w:tc>
      </w:tr>
      <w:tr>
        <w:trPr>
          <w:trHeight w:val="227"/>
        </w:trPr>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compressorized racks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r>
    </w:tbl>
    <w:p>
      <w:pPr>
        <w:spacing w:after="0" w:line="79"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9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21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47"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spacing w:after="0" w:line="162" w:lineRule="exact"/>
              <w:rPr>
                <w:sz w:val="20"/>
                <w:szCs w:val="20"/>
                <w:color w:val="auto"/>
              </w:rPr>
            </w:pPr>
            <w:r>
              <w:rPr>
                <w:rFonts w:ascii="Arial" w:cs="Arial" w:eastAsia="Arial" w:hAnsi="Arial"/>
                <w:sz w:val="16"/>
                <w:szCs w:val="16"/>
                <w:b w:val="1"/>
                <w:bCs w:val="1"/>
                <w:color w:val="auto"/>
                <w:w w:val="99"/>
              </w:rPr>
              <w:t>For the Three Months Ended June</w:t>
            </w:r>
          </w:p>
        </w:tc>
        <w:tc>
          <w:tcPr>
            <w:tcW w:w="2620" w:type="dxa"/>
            <w:vAlign w:val="bottom"/>
            <w:gridSpan w:val="5"/>
            <w:vMerge w:val="restart"/>
          </w:tcPr>
          <w:p>
            <w:pPr>
              <w:jc w:val="right"/>
              <w:ind w:right="12"/>
              <w:spacing w:after="0"/>
              <w:rPr>
                <w:sz w:val="20"/>
                <w:szCs w:val="20"/>
                <w:color w:val="auto"/>
              </w:rPr>
            </w:pPr>
            <w:r>
              <w:rPr>
                <w:rFonts w:ascii="Arial" w:cs="Arial" w:eastAsia="Arial" w:hAnsi="Arial"/>
                <w:sz w:val="16"/>
                <w:szCs w:val="16"/>
                <w:b w:val="1"/>
                <w:bCs w:val="1"/>
                <w:color w:val="auto"/>
                <w:w w:val="94"/>
              </w:rPr>
              <w:t>For the Six Months Ended June 30,</w:t>
            </w:r>
          </w:p>
        </w:tc>
        <w:tc>
          <w:tcPr>
            <w:tcW w:w="0" w:type="dxa"/>
            <w:vAlign w:val="bottom"/>
          </w:tcPr>
          <w:p>
            <w:pPr>
              <w:spacing w:after="0"/>
              <w:rPr>
                <w:sz w:val="1"/>
                <w:szCs w:val="1"/>
                <w:color w:val="auto"/>
              </w:rPr>
            </w:pPr>
          </w:p>
        </w:tc>
      </w:tr>
      <w:tr>
        <w:trPr>
          <w:trHeight w:val="211"/>
        </w:trPr>
        <w:tc>
          <w:tcPr>
            <w:tcW w:w="5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838.0</w:t>
            </w:r>
          </w:p>
        </w:tc>
        <w:tc>
          <w:tcPr>
            <w:tcW w:w="44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1,086.9</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27"/>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Refrigeration</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45"/>
        </w:trPr>
        <w:tc>
          <w:tcPr>
            <w:tcW w:w="5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1,239.0</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189.7</w:t>
            </w:r>
          </w:p>
        </w:tc>
        <w:tc>
          <w:tcPr>
            <w:tcW w:w="44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0"/>
        </w:trPr>
        <w:tc>
          <w:tcPr>
            <w:tcW w:w="5860" w:type="dxa"/>
            <w:vAlign w:val="bottom"/>
          </w:tcPr>
          <w:p>
            <w:pPr>
              <w:ind w:left="220"/>
              <w:spacing w:after="0"/>
              <w:rPr>
                <w:sz w:val="20"/>
                <w:szCs w:val="20"/>
                <w:color w:val="auto"/>
              </w:rPr>
            </w:pPr>
            <w:r>
              <w:rPr>
                <w:rFonts w:ascii="Arial" w:cs="Arial" w:eastAsia="Arial" w:hAnsi="Arial"/>
                <w:sz w:val="18"/>
                <w:szCs w:val="18"/>
                <w:color w:val="auto"/>
              </w:rPr>
              <w:t>Total segment profit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Operating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8"/>
                <w:szCs w:val="18"/>
                <w:color w:val="auto"/>
              </w:rPr>
              <w:t>Special product quality adjustments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natural disasters, net of insurance recoveries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3"/>
        </w:trPr>
        <w:tc>
          <w:tcPr>
            <w:tcW w:w="5860" w:type="dxa"/>
            <w:vAlign w:val="bottom"/>
          </w:tcPr>
          <w:p>
            <w:pPr>
              <w:ind w:left="20"/>
              <w:spacing w:after="0" w:line="174" w:lineRule="exact"/>
              <w:rPr>
                <w:sz w:val="20"/>
                <w:szCs w:val="20"/>
                <w:color w:val="auto"/>
              </w:rPr>
            </w:pPr>
            <w:r>
              <w:rPr>
                <w:rFonts w:ascii="Arial" w:cs="Arial" w:eastAsia="Arial" w:hAnsi="Arial"/>
                <w:sz w:val="18"/>
                <w:szCs w:val="18"/>
                <w:color w:val="auto"/>
                <w:w w:val="90"/>
              </w:rPr>
              <w:t>Items in Losses (gains) and other expenses, net that are excluded from segment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profit (loss)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 w:hanging="173"/>
        <w:spacing w:after="0"/>
        <w:tabs>
          <w:tab w:leader="none" w:pos="420" w:val="left"/>
        </w:tabs>
        <w:numPr>
          <w:ilvl w:val="1"/>
          <w:numId w:val="3"/>
        </w:numPr>
        <w:rPr>
          <w:rFonts w:ascii="Arial" w:cs="Arial" w:eastAsia="Arial" w:hAnsi="Arial"/>
          <w:sz w:val="21"/>
          <w:szCs w:val="21"/>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3" w:lineRule="exact"/>
        <w:rPr>
          <w:rFonts w:ascii="Arial" w:cs="Arial" w:eastAsia="Arial" w:hAnsi="Arial"/>
          <w:sz w:val="21"/>
          <w:szCs w:val="21"/>
          <w:color w:val="auto"/>
          <w:vertAlign w:val="superscript"/>
        </w:rPr>
      </w:pPr>
    </w:p>
    <w:p>
      <w:pPr>
        <w:ind w:left="1040" w:hanging="233"/>
        <w:spacing w:after="0"/>
        <w:tabs>
          <w:tab w:leader="none" w:pos="1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3"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Charges incurred related to COVID-19 pandemic; and</w:t>
      </w:r>
    </w:p>
    <w:p>
      <w:pPr>
        <w:spacing w:after="0" w:line="6" w:lineRule="exact"/>
        <w:rPr>
          <w:rFonts w:ascii="Arial" w:cs="Arial" w:eastAsia="Arial" w:hAnsi="Arial"/>
          <w:sz w:val="18"/>
          <w:szCs w:val="18"/>
          <w:color w:val="auto"/>
        </w:rPr>
      </w:pPr>
    </w:p>
    <w:p>
      <w:pPr>
        <w:ind w:left="1680" w:hanging="232"/>
        <w:spacing w:after="0"/>
        <w:tabs>
          <w:tab w:leader="none" w:pos="1680" w:val="left"/>
        </w:tabs>
        <w:numPr>
          <w:ilvl w:val="3"/>
          <w:numId w:val="3"/>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6" w:lineRule="exact"/>
        <w:rPr>
          <w:rFonts w:ascii="Arial" w:cs="Arial" w:eastAsia="Arial" w:hAnsi="Arial"/>
          <w:sz w:val="18"/>
          <w:szCs w:val="18"/>
          <w:color w:val="auto"/>
        </w:rPr>
      </w:pPr>
    </w:p>
    <w:p>
      <w:pPr>
        <w:ind w:left="1040" w:hanging="233"/>
        <w:spacing w:after="0"/>
        <w:tabs>
          <w:tab w:leader="none" w:pos="1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Special product quality adjustments</w:t>
      </w:r>
    </w:p>
    <w:p>
      <w:pPr>
        <w:spacing w:after="0" w:line="6" w:lineRule="exact"/>
        <w:rPr>
          <w:rFonts w:ascii="Arial" w:cs="Arial" w:eastAsia="Arial" w:hAnsi="Arial"/>
          <w:sz w:val="18"/>
          <w:szCs w:val="18"/>
          <w:color w:val="auto"/>
        </w:rPr>
      </w:pPr>
    </w:p>
    <w:p>
      <w:pPr>
        <w:ind w:left="1040" w:hanging="233"/>
        <w:spacing w:after="0"/>
        <w:tabs>
          <w:tab w:leader="none" w:pos="1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Loss from natural disasters, net of insurance recoveries; and</w:t>
      </w:r>
    </w:p>
    <w:p>
      <w:pPr>
        <w:spacing w:after="0" w:line="6" w:lineRule="exact"/>
        <w:rPr>
          <w:rFonts w:ascii="Arial" w:cs="Arial" w:eastAsia="Arial" w:hAnsi="Arial"/>
          <w:sz w:val="18"/>
          <w:szCs w:val="18"/>
          <w:color w:val="auto"/>
        </w:rPr>
      </w:pPr>
    </w:p>
    <w:p>
      <w:pPr>
        <w:ind w:left="1040" w:hanging="233"/>
        <w:spacing w:after="0"/>
        <w:tabs>
          <w:tab w:leader="none" w:pos="1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29" w:lineRule="exact"/>
        <w:rPr>
          <w:rFonts w:ascii="Arial" w:cs="Arial" w:eastAsia="Arial" w:hAnsi="Arial"/>
          <w:sz w:val="18"/>
          <w:szCs w:val="18"/>
          <w:color w:val="auto"/>
        </w:rPr>
      </w:pPr>
    </w:p>
    <w:p>
      <w:pPr>
        <w:ind w:left="180" w:hanging="173"/>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ind w:left="240"/>
        <w:spacing w:after="0"/>
        <w:rPr>
          <w:sz w:val="20"/>
          <w:szCs w:val="20"/>
          <w:color w:val="auto"/>
        </w:rPr>
      </w:pPr>
      <w:r>
        <w:rPr>
          <w:rFonts w:ascii="Arial" w:cs="Arial" w:eastAsia="Arial" w:hAnsi="Arial"/>
          <w:sz w:val="16"/>
          <w:szCs w:val="16"/>
          <w:color w:val="auto"/>
        </w:rPr>
        <w:t>The computations of basic and diluted earnings per share for Income from continuing operations were as follows (in millions,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620" w:type="dxa"/>
            <w:vAlign w:val="bottom"/>
            <w:gridSpan w:val="7"/>
          </w:tcPr>
          <w:p>
            <w:pPr>
              <w:ind w:left="60"/>
              <w:spacing w:after="0"/>
              <w:rPr>
                <w:sz w:val="20"/>
                <w:szCs w:val="20"/>
                <w:color w:val="auto"/>
              </w:rPr>
            </w:pPr>
            <w:r>
              <w:rPr>
                <w:rFonts w:ascii="Arial" w:cs="Arial" w:eastAsia="Arial" w:hAnsi="Arial"/>
                <w:sz w:val="16"/>
                <w:szCs w:val="16"/>
                <w:b w:val="1"/>
                <w:bCs w:val="1"/>
                <w:color w:val="auto"/>
                <w:w w:val="98"/>
              </w:rPr>
              <w:t>For the Three Months Ended June</w:t>
            </w:r>
          </w:p>
        </w:tc>
        <w:tc>
          <w:tcPr>
            <w:tcW w:w="250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1"/>
              </w:rPr>
              <w:t>For the Six Months Ended June 30,</w:t>
            </w:r>
          </w:p>
        </w:tc>
        <w:tc>
          <w:tcPr>
            <w:tcW w:w="0" w:type="dxa"/>
            <w:vAlign w:val="bottom"/>
          </w:tcPr>
          <w:p>
            <w:pPr>
              <w:spacing w:after="0"/>
              <w:rPr>
                <w:sz w:val="1"/>
                <w:szCs w:val="1"/>
                <w:color w:val="auto"/>
              </w:rPr>
            </w:pPr>
          </w:p>
        </w:tc>
      </w:tr>
      <w:tr>
        <w:trPr>
          <w:trHeight w:val="211"/>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6"/>
                <w:szCs w:val="16"/>
                <w:b w:val="1"/>
                <w:bCs w:val="1"/>
                <w:color w:val="auto"/>
                <w:w w:val="89"/>
              </w:rPr>
              <w:t>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112.9</w:t>
            </w:r>
          </w:p>
        </w:tc>
        <w:tc>
          <w:tcPr>
            <w:tcW w:w="0" w:type="dxa"/>
            <w:vAlign w:val="bottom"/>
          </w:tcPr>
          <w:p>
            <w:pPr>
              <w:spacing w:after="0"/>
              <w:rPr>
                <w:sz w:val="1"/>
                <w:szCs w:val="1"/>
                <w:color w:val="auto"/>
              </w:rPr>
            </w:pPr>
          </w:p>
        </w:tc>
      </w:tr>
      <w:tr>
        <w:trPr>
          <w:trHeight w:val="227"/>
        </w:trPr>
        <w:tc>
          <w:tcPr>
            <w:tcW w:w="6120" w:type="dxa"/>
            <w:vAlign w:val="bottom"/>
          </w:tcPr>
          <w:p>
            <w:pPr>
              <w:ind w:left="20"/>
              <w:spacing w:after="0"/>
              <w:rPr>
                <w:sz w:val="20"/>
                <w:szCs w:val="20"/>
                <w:color w:val="auto"/>
              </w:rPr>
            </w:pPr>
            <w:r>
              <w:rPr>
                <w:rFonts w:ascii="Arial" w:cs="Arial" w:eastAsia="Arial" w:hAnsi="Arial"/>
                <w:sz w:val="18"/>
                <w:szCs w:val="18"/>
                <w:color w:val="auto"/>
              </w:rPr>
              <w:t>Exclude: Income from discontinued operations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5"/>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Add: Potential effect of dilutive securities attributable to stock-based payments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2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4.55</w:t>
            </w:r>
          </w:p>
        </w:tc>
        <w:tc>
          <w:tcPr>
            <w:tcW w:w="44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1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4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7"/>
        </w:trPr>
        <w:tc>
          <w:tcPr>
            <w:tcW w:w="6120" w:type="dxa"/>
            <w:vAlign w:val="bottom"/>
          </w:tcPr>
          <w:p>
            <w:pPr>
              <w:ind w:left="22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160"/>
        <w:spacing w:after="0" w:line="270"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0" w:type="dxa"/>
            <w:vAlign w:val="bottom"/>
          </w:tcPr>
          <w:p>
            <w:pPr>
              <w:spacing w:after="0"/>
              <w:rPr>
                <w:sz w:val="18"/>
                <w:szCs w:val="18"/>
                <w:color w:val="auto"/>
              </w:rPr>
            </w:pPr>
          </w:p>
        </w:tc>
        <w:tc>
          <w:tcPr>
            <w:tcW w:w="3060" w:type="dxa"/>
            <w:vAlign w:val="bottom"/>
            <w:gridSpan w:val="5"/>
          </w:tcPr>
          <w:p>
            <w:pPr>
              <w:ind w:left="180"/>
              <w:spacing w:after="0"/>
              <w:rPr>
                <w:sz w:val="20"/>
                <w:szCs w:val="20"/>
                <w:color w:val="auto"/>
              </w:rPr>
            </w:pPr>
            <w:r>
              <w:rPr>
                <w:rFonts w:ascii="Arial" w:cs="Arial" w:eastAsia="Arial" w:hAnsi="Arial"/>
                <w:sz w:val="16"/>
                <w:szCs w:val="16"/>
                <w:b w:val="1"/>
                <w:bCs w:val="1"/>
                <w:color w:val="auto"/>
              </w:rPr>
              <w:t>For the Three Months Ended June 30,</w:t>
            </w:r>
          </w:p>
        </w:tc>
        <w:tc>
          <w:tcPr>
            <w:tcW w:w="2980" w:type="dxa"/>
            <w:vAlign w:val="bottom"/>
            <w:gridSpan w:val="3"/>
          </w:tcPr>
          <w:p>
            <w:pPr>
              <w:jc w:val="right"/>
              <w:ind w:right="194"/>
              <w:spacing w:after="0"/>
              <w:rPr>
                <w:sz w:val="20"/>
                <w:szCs w:val="20"/>
                <w:color w:val="auto"/>
              </w:rPr>
            </w:pPr>
            <w:r>
              <w:rPr>
                <w:rFonts w:ascii="Arial" w:cs="Arial" w:eastAsia="Arial" w:hAnsi="Arial"/>
                <w:sz w:val="16"/>
                <w:szCs w:val="16"/>
                <w:b w:val="1"/>
                <w:bCs w:val="1"/>
                <w:color w:val="auto"/>
              </w:rPr>
              <w:t>For the Six Months Ended June 30,</w:t>
            </w:r>
          </w:p>
        </w:tc>
      </w:tr>
      <w:tr>
        <w:trPr>
          <w:trHeight w:val="207"/>
        </w:trPr>
        <w:tc>
          <w:tcPr>
            <w:tcW w:w="5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w:t>
            </w: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5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Price per share</w:t>
            </w:r>
          </w:p>
        </w:tc>
        <w:tc>
          <w:tcPr>
            <w:tcW w:w="4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$205.53-$257.08</w:t>
            </w:r>
          </w:p>
        </w:tc>
        <w:tc>
          <w:tcPr>
            <w:tcW w:w="100" w:type="dxa"/>
            <w:vAlign w:val="bottom"/>
          </w:tcPr>
          <w:p>
            <w:pPr>
              <w:spacing w:after="0"/>
              <w:rPr>
                <w:sz w:val="19"/>
                <w:szCs w:val="19"/>
                <w:color w:val="auto"/>
              </w:rPr>
            </w:pPr>
          </w:p>
        </w:tc>
        <w:tc>
          <w:tcPr>
            <w:tcW w:w="1360" w:type="dxa"/>
            <w:vAlign w:val="bottom"/>
            <w:gridSpan w:val="2"/>
          </w:tcPr>
          <w:p>
            <w:pPr>
              <w:jc w:val="center"/>
              <w:ind w:left="736"/>
              <w:spacing w:after="0"/>
              <w:rPr>
                <w:sz w:val="20"/>
                <w:szCs w:val="20"/>
                <w:color w:val="auto"/>
              </w:rPr>
            </w:pPr>
            <w:r>
              <w:rPr>
                <w:rFonts w:ascii="Arial" w:cs="Arial" w:eastAsia="Arial" w:hAnsi="Arial"/>
                <w:sz w:val="18"/>
                <w:szCs w:val="18"/>
                <w:color w:val="auto"/>
                <w:w w:val="92"/>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$205.53-$257.08</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2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jc w:val="both"/>
        <w:ind w:right="100"/>
        <w:spacing w:after="0" w:line="270" w:lineRule="auto"/>
        <w:rPr>
          <w:sz w:val="20"/>
          <w:szCs w:val="20"/>
          <w:color w:val="auto"/>
        </w:rPr>
      </w:pPr>
      <w:r>
        <w:rPr>
          <w:rFonts w:ascii="Arial" w:cs="Arial" w:eastAsia="Arial" w:hAnsi="Arial"/>
          <w:sz w:val="18"/>
          <w:szCs w:val="18"/>
          <w:color w:val="auto"/>
        </w:rPr>
        <w:t>underlying asset used in providing the service by the third-party service provider. These arrangements meet the definition under ASC 842 and therefore are accounted for under ASC 842.</w:t>
      </w:r>
    </w:p>
    <w:p>
      <w:pPr>
        <w:spacing w:after="0" w:line="201" w:lineRule="exact"/>
        <w:rPr>
          <w:sz w:val="20"/>
          <w:szCs w:val="20"/>
          <w:color w:val="auto"/>
        </w:rPr>
      </w:pPr>
    </w:p>
    <w:p>
      <w:pPr>
        <w:jc w:val="both"/>
        <w:ind w:right="100" w:firstLine="240"/>
        <w:spacing w:after="0" w:line="271"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04"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We lease certain real and personal property under non-cancelable operating leases. Approximately 73% of our right-of-use assets and lease liabilities relate to our leases of real estate with the remaining amounts primarily relating to our leases of IT equipment, fleet vehicles and manufacturing and distribution equipment.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47"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13"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of June 30, 2021</w:t>
            </w:r>
          </w:p>
        </w:tc>
        <w:tc>
          <w:tcPr>
            <w:tcW w:w="180" w:type="dxa"/>
            <w:vAlign w:val="bottom"/>
          </w:tcPr>
          <w:p>
            <w:pPr>
              <w:spacing w:after="0"/>
              <w:rPr>
                <w:sz w:val="18"/>
                <w:szCs w:val="18"/>
                <w:color w:val="auto"/>
              </w:rPr>
            </w:pPr>
          </w:p>
        </w:tc>
        <w:tc>
          <w:tcPr>
            <w:tcW w:w="2020" w:type="dxa"/>
            <w:vAlign w:val="bottom"/>
          </w:tcPr>
          <w:p>
            <w:pPr>
              <w:jc w:val="right"/>
              <w:ind w:right="173"/>
              <w:spacing w:after="0"/>
              <w:rPr>
                <w:sz w:val="20"/>
                <w:szCs w:val="20"/>
                <w:color w:val="auto"/>
              </w:rPr>
            </w:pPr>
            <w:r>
              <w:rPr>
                <w:rFonts w:ascii="Arial" w:cs="Arial" w:eastAsia="Arial" w:hAnsi="Arial"/>
                <w:sz w:val="16"/>
                <w:szCs w:val="16"/>
                <w:b w:val="1"/>
                <w:bCs w:val="1"/>
                <w:color w:val="auto"/>
                <w:w w:val="92"/>
              </w:rPr>
              <w:t>As of December 31, 2020</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45"/>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warranty liability</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changes in product warranty liabilities related to continuing operations for the six months ended June 30, 2021 were as follows (in millions):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96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warranty liability as of December 31, 2020</w:t>
            </w:r>
          </w:p>
        </w:tc>
        <w:tc>
          <w:tcPr>
            <w:tcW w:w="72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r>
      <w:tr>
        <w:trPr>
          <w:trHeight w:val="227"/>
        </w:trPr>
        <w:tc>
          <w:tcPr>
            <w:tcW w:w="9660" w:type="dxa"/>
            <w:vAlign w:val="bottom"/>
          </w:tcPr>
          <w:p>
            <w:pPr>
              <w:ind w:left="460"/>
              <w:spacing w:after="0"/>
              <w:rPr>
                <w:sz w:val="20"/>
                <w:szCs w:val="20"/>
                <w:color w:val="auto"/>
              </w:rPr>
            </w:pPr>
            <w:r>
              <w:rPr>
                <w:rFonts w:ascii="Arial" w:cs="Arial" w:eastAsia="Arial" w:hAnsi="Arial"/>
                <w:sz w:val="18"/>
                <w:szCs w:val="18"/>
                <w:color w:val="auto"/>
              </w:rPr>
              <w:t>Warranty claims paid</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7"/>
        </w:trPr>
        <w:tc>
          <w:tcPr>
            <w:tcW w:w="9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resulting from issuance of new warranties</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7"/>
        </w:trPr>
        <w:tc>
          <w:tcPr>
            <w:tcW w:w="9660" w:type="dxa"/>
            <w:vAlign w:val="bottom"/>
          </w:tcPr>
          <w:p>
            <w:pPr>
              <w:ind w:left="460"/>
              <w:spacing w:after="0"/>
              <w:rPr>
                <w:sz w:val="20"/>
                <w:szCs w:val="20"/>
                <w:color w:val="auto"/>
              </w:rPr>
            </w:pPr>
            <w:r>
              <w:rPr>
                <w:rFonts w:ascii="Arial" w:cs="Arial" w:eastAsia="Arial" w:hAnsi="Arial"/>
                <w:sz w:val="18"/>
                <w:szCs w:val="18"/>
                <w:color w:val="auto"/>
              </w:rPr>
              <w:t>Changes in estimates associated with pre-existing liabilities</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7"/>
        </w:trPr>
        <w:tc>
          <w:tcPr>
            <w:tcW w:w="9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foreign currency translation rates and other</w:t>
            </w:r>
          </w:p>
        </w:tc>
        <w:tc>
          <w:tcPr>
            <w:tcW w:w="7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9660" w:type="dxa"/>
            <w:vAlign w:val="bottom"/>
          </w:tcPr>
          <w:p>
            <w:pPr>
              <w:ind w:left="260"/>
              <w:spacing w:after="0"/>
              <w:rPr>
                <w:sz w:val="20"/>
                <w:szCs w:val="20"/>
                <w:color w:val="auto"/>
              </w:rPr>
            </w:pPr>
            <w:r>
              <w:rPr>
                <w:rFonts w:ascii="Arial" w:cs="Arial" w:eastAsia="Arial" w:hAnsi="Arial"/>
                <w:sz w:val="18"/>
                <w:szCs w:val="18"/>
                <w:b w:val="1"/>
                <w:bCs w:val="1"/>
                <w:color w:val="auto"/>
              </w:rPr>
              <w:t>Total warranty liability as of June 30, 2021</w:t>
            </w: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131.8</w:t>
            </w:r>
          </w:p>
        </w:tc>
      </w:tr>
      <w:tr>
        <w:trPr>
          <w:trHeight w:val="20"/>
        </w:trPr>
        <w:tc>
          <w:tcPr>
            <w:tcW w:w="9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both"/>
        <w:ind w:right="100" w:firstLine="240"/>
        <w:spacing w:after="0" w:line="281"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13" w:lineRule="exact"/>
        <w:rPr>
          <w:sz w:val="20"/>
          <w:szCs w:val="20"/>
          <w:color w:val="auto"/>
        </w:rPr>
      </w:pPr>
    </w:p>
    <w:p>
      <w:pPr>
        <w:jc w:val="both"/>
        <w:ind w:right="100" w:firstLine="240"/>
        <w:spacing w:after="0" w:line="269"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We may have greater financial exposure for future</w:t>
      </w: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6" w:right="239" w:bottom="1440" w:gutter="0" w:footer="0" w:header="0"/>
        </w:sectPr>
      </w:pPr>
    </w:p>
    <w:bookmarkStart w:id="13" w:name="page14"/>
    <w:bookmarkEnd w:id="13"/>
    <w:p>
      <w:pPr>
        <w:jc w:val="both"/>
        <w:ind w:right="20"/>
        <w:spacing w:after="0" w:line="270" w:lineRule="auto"/>
        <w:rPr>
          <w:sz w:val="20"/>
          <w:szCs w:val="20"/>
          <w:color w:val="auto"/>
        </w:rPr>
      </w:pPr>
      <w:r>
        <w:rPr>
          <w:rFonts w:ascii="Arial" w:cs="Arial" w:eastAsia="Arial" w:hAnsi="Arial"/>
          <w:sz w:val="18"/>
          <w:szCs w:val="18"/>
          <w:color w:val="auto"/>
        </w:rPr>
        <w:t>settlements and judgments. The following table summarizes the expenses, net of probable insurance recoveries, for known and future asbestos-related litigation recorded in Losses (gains) and other expenses, net in the Consolidated Statements of Operations (in millions):</w:t>
      </w: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640" w:type="dxa"/>
            <w:vAlign w:val="bottom"/>
            <w:gridSpan w:val="7"/>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For the Three Months Ended June</w:t>
            </w:r>
          </w:p>
        </w:tc>
        <w:tc>
          <w:tcPr>
            <w:tcW w:w="25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For the Six Months Ended June 30,</w:t>
            </w:r>
          </w:p>
        </w:tc>
        <w:tc>
          <w:tcPr>
            <w:tcW w:w="0" w:type="dxa"/>
            <w:vAlign w:val="bottom"/>
          </w:tcPr>
          <w:p>
            <w:pPr>
              <w:spacing w:after="0"/>
              <w:rPr>
                <w:sz w:val="1"/>
                <w:szCs w:val="1"/>
                <w:color w:val="auto"/>
              </w:rPr>
            </w:pPr>
          </w:p>
        </w:tc>
      </w:tr>
      <w:tr>
        <w:trPr>
          <w:trHeight w:val="211"/>
        </w:trPr>
        <w:tc>
          <w:tcPr>
            <w:tcW w:w="6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6"/>
                <w:szCs w:val="16"/>
                <w:b w:val="1"/>
                <w:bCs w:val="1"/>
                <w:color w:val="auto"/>
                <w:w w:val="80"/>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for asbestos-related litigation, net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Repurchases:</w:t>
      </w:r>
    </w:p>
    <w:p>
      <w:pPr>
        <w:spacing w:after="0" w:line="251"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Our Board of Directors has authorized a total of $3.0 billion to repurchase shares of our common stock (collectively referred to as the "Share Repurchase Plans"), including a $500 million share repurchase authorization in December 2019.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June 30, 2021, $46 million was available for repurchase under the Share Repurchase Plans.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July 2021, our Board of Directors authorized an additional $1.0 billion of share repurchases.</w:t>
      </w:r>
    </w:p>
    <w:p>
      <w:pPr>
        <w:spacing w:after="0" w:line="24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On February 4, 2021, we entered into a fixed dollar accelerated share repurchase transaction (the "ASR Agreement") with Wells Fargo Bank, to effect an accelerated stock buyback of the Company's common stock. Under the ASR Agreement, we paid Wells Fargo Bank $200.0 million and Wells Fargo Bank delivered to us common stock representing approximately 85% of the shares expected to be purchased under this ASR Agreement. The ASR was completed in April 2021 and Wells Fargo Bank delivered a total of 0.7 million shares of common stock repurchased under this ASR Agreement.</w:t>
      </w:r>
    </w:p>
    <w:p>
      <w:pPr>
        <w:spacing w:after="0" w:line="186"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May 3, 2021, we entered into an ASR Agreement with Bank of America, to effect an accelerated stock buyback of the Company's common stock. Under the ASR Agreement, we paid Bank of America $200.0 million and Bank of America delivered to us common stock representing approximately 85% of the shares expected to be purchased under this ASR Agreement. The ASR was completed in June 2021 and Bank of America delivered a total of 0.6 million shares of common stock repurchased under this ASR Agreement.</w:t>
      </w:r>
    </w:p>
    <w:p>
      <w:pPr>
        <w:spacing w:after="0" w:line="21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also repurchased shares for $10.2 million during the six months ended June 30, 2021 from employees who tendered their shares to satisfy minimum tax withholding obligations upon the vesting and exercise of stock-based compensation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Recognition:</w:t>
      </w:r>
    </w:p>
    <w:p>
      <w:pPr>
        <w:spacing w:after="0" w:line="25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42"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30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6"/>
                <w:szCs w:val="16"/>
                <w:b w:val="1"/>
                <w:bCs w:val="1"/>
                <w:color w:val="auto"/>
              </w:rPr>
              <w:t>For the Three Months Ended June 30, 2021</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Primary Geographic Markets</w:t>
            </w:r>
          </w:p>
        </w:tc>
        <w:tc>
          <w:tcPr>
            <w:tcW w:w="1940" w:type="dxa"/>
            <w:vAlign w:val="bottom"/>
            <w:gridSpan w:val="3"/>
          </w:tcPr>
          <w:p>
            <w:pPr>
              <w:ind w:left="280"/>
              <w:spacing w:after="0" w:line="154" w:lineRule="exact"/>
              <w:rPr>
                <w:sz w:val="20"/>
                <w:szCs w:val="20"/>
                <w:color w:val="auto"/>
              </w:rPr>
            </w:pPr>
            <w:r>
              <w:rPr>
                <w:rFonts w:ascii="Arial" w:cs="Arial" w:eastAsia="Arial" w:hAnsi="Arial"/>
                <w:sz w:val="16"/>
                <w:szCs w:val="16"/>
                <w:b w:val="1"/>
                <w:bCs w:val="1"/>
                <w:color w:val="auto"/>
                <w:w w:val="99"/>
              </w:rPr>
              <w:t>Residential Heating &amp;</w:t>
            </w:r>
          </w:p>
        </w:tc>
        <w:tc>
          <w:tcPr>
            <w:tcW w:w="2000" w:type="dxa"/>
            <w:vAlign w:val="bottom"/>
            <w:gridSpan w:val="3"/>
          </w:tcPr>
          <w:p>
            <w:pPr>
              <w:ind w:left="260"/>
              <w:spacing w:after="0" w:line="154" w:lineRule="exact"/>
              <w:rPr>
                <w:sz w:val="20"/>
                <w:szCs w:val="20"/>
                <w:color w:val="auto"/>
              </w:rPr>
            </w:pPr>
            <w:r>
              <w:rPr>
                <w:rFonts w:ascii="Arial" w:cs="Arial" w:eastAsia="Arial" w:hAnsi="Arial"/>
                <w:sz w:val="16"/>
                <w:szCs w:val="16"/>
                <w:b w:val="1"/>
                <w:bCs w:val="1"/>
                <w:color w:val="auto"/>
              </w:rPr>
              <w:t>Commercial Heating &amp;</w:t>
            </w:r>
          </w:p>
        </w:tc>
        <w:tc>
          <w:tcPr>
            <w:tcW w:w="460" w:type="dxa"/>
            <w:vAlign w:val="bottom"/>
          </w:tcPr>
          <w:p>
            <w:pPr>
              <w:spacing w:after="0"/>
              <w:rPr>
                <w:sz w:val="13"/>
                <w:szCs w:val="13"/>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480" w:type="dxa"/>
            <w:vAlign w:val="bottom"/>
          </w:tcPr>
          <w:p>
            <w:pPr>
              <w:spacing w:after="0"/>
              <w:rPr>
                <w:sz w:val="13"/>
                <w:szCs w:val="13"/>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0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Cooling</w:t>
            </w:r>
          </w:p>
        </w:tc>
        <w:tc>
          <w:tcPr>
            <w:tcW w:w="48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Cooling</w:t>
            </w:r>
          </w:p>
        </w:tc>
        <w:tc>
          <w:tcPr>
            <w:tcW w:w="4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50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1,073.9</w:t>
            </w:r>
          </w:p>
        </w:tc>
        <w:tc>
          <w:tcPr>
            <w:tcW w:w="0" w:type="dxa"/>
            <w:vAlign w:val="bottom"/>
          </w:tcPr>
          <w:p>
            <w:pPr>
              <w:spacing w:after="0"/>
              <w:rPr>
                <w:sz w:val="1"/>
                <w:szCs w:val="1"/>
                <w:color w:val="auto"/>
              </w:rPr>
            </w:pPr>
          </w:p>
        </w:tc>
      </w:tr>
      <w:tr>
        <w:trPr>
          <w:trHeight w:val="211"/>
        </w:trPr>
        <w:tc>
          <w:tcPr>
            <w:tcW w:w="3060" w:type="dxa"/>
            <w:vAlign w:val="bottom"/>
          </w:tcPr>
          <w:p>
            <w:pPr>
              <w:ind w:left="260"/>
              <w:spacing w:after="0"/>
              <w:rPr>
                <w:sz w:val="20"/>
                <w:szCs w:val="20"/>
                <w:color w:val="auto"/>
              </w:rPr>
            </w:pPr>
            <w:r>
              <w:rPr>
                <w:rFonts w:ascii="Arial" w:cs="Arial" w:eastAsia="Arial" w:hAnsi="Arial"/>
                <w:sz w:val="16"/>
                <w:szCs w:val="16"/>
                <w:color w:val="auto"/>
              </w:rPr>
              <w:t>Canada</w:t>
            </w: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international</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0"/>
        </w:trPr>
        <w:tc>
          <w:tcPr>
            <w:tcW w:w="30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838.0</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252.8</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1,239.0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 w:name="page15"/>
    <w:bookmarkEnd w:id="14"/>
    <w:tbl>
      <w:tblPr>
        <w:tblLayout w:type="fixed"/>
        <w:tblInd w:w="300" w:type="dxa"/>
        <w:tblCellMar>
          <w:top w:w="0" w:type="dxa"/>
          <w:left w:w="0" w:type="dxa"/>
          <w:bottom w:w="0" w:type="dxa"/>
          <w:right w:w="0" w:type="dxa"/>
        </w:tblCellMar>
      </w:tblPr>
      <w:tr>
        <w:trPr>
          <w:trHeight w:val="213"/>
        </w:trPr>
        <w:tc>
          <w:tcPr>
            <w:tcW w:w="30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1"/>
              </w:rPr>
              <w:t>For the Three Months Ended June 30, 2020</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3"/>
                <w:szCs w:val="13"/>
                <w:color w:val="auto"/>
              </w:rPr>
            </w:pPr>
          </w:p>
        </w:tc>
        <w:tc>
          <w:tcPr>
            <w:tcW w:w="1920" w:type="dxa"/>
            <w:vAlign w:val="bottom"/>
            <w:gridSpan w:val="4"/>
          </w:tcPr>
          <w:p>
            <w:pPr>
              <w:ind w:left="260"/>
              <w:spacing w:after="0" w:line="154" w:lineRule="exact"/>
              <w:rPr>
                <w:sz w:val="20"/>
                <w:szCs w:val="20"/>
                <w:color w:val="auto"/>
              </w:rPr>
            </w:pPr>
            <w:r>
              <w:rPr>
                <w:rFonts w:ascii="Arial" w:cs="Arial" w:eastAsia="Arial" w:hAnsi="Arial"/>
                <w:sz w:val="16"/>
                <w:szCs w:val="16"/>
                <w:b w:val="1"/>
                <w:bCs w:val="1"/>
                <w:color w:val="auto"/>
                <w:w w:val="99"/>
              </w:rPr>
              <w:t>Residential Heating &amp;</w:t>
            </w:r>
          </w:p>
        </w:tc>
        <w:tc>
          <w:tcPr>
            <w:tcW w:w="2000" w:type="dxa"/>
            <w:vAlign w:val="bottom"/>
            <w:gridSpan w:val="3"/>
          </w:tcPr>
          <w:p>
            <w:pPr>
              <w:ind w:left="260"/>
              <w:spacing w:after="0" w:line="154" w:lineRule="exact"/>
              <w:rPr>
                <w:sz w:val="20"/>
                <w:szCs w:val="20"/>
                <w:color w:val="auto"/>
              </w:rPr>
            </w:pPr>
            <w:r>
              <w:rPr>
                <w:rFonts w:ascii="Arial" w:cs="Arial" w:eastAsia="Arial" w:hAnsi="Arial"/>
                <w:sz w:val="16"/>
                <w:szCs w:val="16"/>
                <w:b w:val="1"/>
                <w:bCs w:val="1"/>
                <w:color w:val="auto"/>
              </w:rPr>
              <w:t>Commercial Heating &amp;</w:t>
            </w:r>
          </w:p>
        </w:tc>
        <w:tc>
          <w:tcPr>
            <w:tcW w:w="460" w:type="dxa"/>
            <w:vAlign w:val="bottom"/>
          </w:tcPr>
          <w:p>
            <w:pPr>
              <w:spacing w:after="0"/>
              <w:rPr>
                <w:sz w:val="13"/>
                <w:szCs w:val="13"/>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480" w:type="dxa"/>
            <w:vAlign w:val="bottom"/>
          </w:tcPr>
          <w:p>
            <w:pPr>
              <w:spacing w:after="0"/>
              <w:rPr>
                <w:sz w:val="13"/>
                <w:szCs w:val="13"/>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Arial" w:cs="Arial" w:eastAsia="Arial" w:hAnsi="Arial"/>
                <w:sz w:val="16"/>
                <w:szCs w:val="16"/>
                <w:b w:val="1"/>
                <w:bCs w:val="1"/>
                <w:color w:val="auto"/>
              </w:rPr>
              <w:t>Cooling</w:t>
            </w:r>
          </w:p>
        </w:tc>
        <w:tc>
          <w:tcPr>
            <w:tcW w:w="48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Cooling</w:t>
            </w:r>
          </w:p>
        </w:tc>
        <w:tc>
          <w:tcPr>
            <w:tcW w:w="4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5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838.2</w:t>
            </w:r>
          </w:p>
        </w:tc>
        <w:tc>
          <w:tcPr>
            <w:tcW w:w="0" w:type="dxa"/>
            <w:vAlign w:val="bottom"/>
          </w:tcPr>
          <w:p>
            <w:pPr>
              <w:spacing w:after="0"/>
              <w:rPr>
                <w:sz w:val="1"/>
                <w:szCs w:val="1"/>
                <w:color w:val="auto"/>
              </w:rPr>
            </w:pPr>
          </w:p>
        </w:tc>
      </w:tr>
      <w:tr>
        <w:trPr>
          <w:trHeight w:val="211"/>
        </w:trPr>
        <w:tc>
          <w:tcPr>
            <w:tcW w:w="3060" w:type="dxa"/>
            <w:vAlign w:val="bottom"/>
          </w:tcPr>
          <w:p>
            <w:pPr>
              <w:ind w:left="26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international</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0"/>
        </w:trPr>
        <w:tc>
          <w:tcPr>
            <w:tcW w:w="30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188.3</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4"/>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For the Six Months Ended June 30, 2021</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3"/>
                <w:szCs w:val="13"/>
                <w:color w:val="auto"/>
              </w:rPr>
            </w:pPr>
          </w:p>
        </w:tc>
        <w:tc>
          <w:tcPr>
            <w:tcW w:w="1920" w:type="dxa"/>
            <w:vAlign w:val="bottom"/>
            <w:gridSpan w:val="4"/>
          </w:tcPr>
          <w:p>
            <w:pPr>
              <w:ind w:left="260"/>
              <w:spacing w:after="0" w:line="156" w:lineRule="exact"/>
              <w:rPr>
                <w:sz w:val="20"/>
                <w:szCs w:val="20"/>
                <w:color w:val="auto"/>
              </w:rPr>
            </w:pPr>
            <w:r>
              <w:rPr>
                <w:rFonts w:ascii="Arial" w:cs="Arial" w:eastAsia="Arial" w:hAnsi="Arial"/>
                <w:sz w:val="16"/>
                <w:szCs w:val="16"/>
                <w:b w:val="1"/>
                <w:bCs w:val="1"/>
                <w:color w:val="auto"/>
                <w:w w:val="99"/>
              </w:rPr>
              <w:t>Residential Heating &amp;</w:t>
            </w:r>
          </w:p>
        </w:tc>
        <w:tc>
          <w:tcPr>
            <w:tcW w:w="2000" w:type="dxa"/>
            <w:vAlign w:val="bottom"/>
            <w:gridSpan w:val="3"/>
          </w:tcPr>
          <w:p>
            <w:pPr>
              <w:ind w:left="260"/>
              <w:spacing w:after="0" w:line="156" w:lineRule="exact"/>
              <w:rPr>
                <w:sz w:val="20"/>
                <w:szCs w:val="20"/>
                <w:color w:val="auto"/>
              </w:rPr>
            </w:pPr>
            <w:r>
              <w:rPr>
                <w:rFonts w:ascii="Arial" w:cs="Arial" w:eastAsia="Arial" w:hAnsi="Arial"/>
                <w:sz w:val="16"/>
                <w:szCs w:val="16"/>
                <w:b w:val="1"/>
                <w:bCs w:val="1"/>
                <w:color w:val="auto"/>
              </w:rPr>
              <w:t>Commercial Heating &amp;</w:t>
            </w:r>
          </w:p>
        </w:tc>
        <w:tc>
          <w:tcPr>
            <w:tcW w:w="460" w:type="dxa"/>
            <w:vAlign w:val="bottom"/>
          </w:tcPr>
          <w:p>
            <w:pPr>
              <w:spacing w:after="0"/>
              <w:rPr>
                <w:sz w:val="13"/>
                <w:szCs w:val="13"/>
                <w:color w:val="auto"/>
              </w:rPr>
            </w:pPr>
          </w:p>
        </w:tc>
        <w:tc>
          <w:tcPr>
            <w:tcW w:w="14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10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0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Cooling</w:t>
            </w:r>
          </w:p>
        </w:tc>
        <w:tc>
          <w:tcPr>
            <w:tcW w:w="120" w:type="dxa"/>
            <w:vAlign w:val="bottom"/>
            <w:tcBorders>
              <w:bottom w:val="single" w:sz="8" w:color="CCEEFF"/>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Cooling</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0" w:type="dxa"/>
            <w:vAlign w:val="bottom"/>
          </w:tcPr>
          <w:p>
            <w:pPr>
              <w:spacing w:after="0"/>
              <w:rPr>
                <w:sz w:val="1"/>
                <w:szCs w:val="1"/>
                <w:color w:val="auto"/>
              </w:rPr>
            </w:pPr>
          </w:p>
        </w:tc>
      </w:tr>
      <w:tr>
        <w:trPr>
          <w:trHeight w:val="211"/>
        </w:trPr>
        <w:tc>
          <w:tcPr>
            <w:tcW w:w="3060" w:type="dxa"/>
            <w:vAlign w:val="bottom"/>
          </w:tcPr>
          <w:p>
            <w:pPr>
              <w:ind w:left="26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international</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07"/>
        </w:trPr>
        <w:tc>
          <w:tcPr>
            <w:tcW w:w="30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1,444.2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452.0</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273.2</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2,169.4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0"/>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For the Six Months Ended June 30, 2020</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3"/>
                <w:szCs w:val="13"/>
                <w:color w:val="auto"/>
              </w:rPr>
            </w:pPr>
          </w:p>
        </w:tc>
        <w:tc>
          <w:tcPr>
            <w:tcW w:w="1920" w:type="dxa"/>
            <w:vAlign w:val="bottom"/>
            <w:gridSpan w:val="4"/>
          </w:tcPr>
          <w:p>
            <w:pPr>
              <w:ind w:left="260"/>
              <w:spacing w:after="0" w:line="156" w:lineRule="exact"/>
              <w:rPr>
                <w:sz w:val="20"/>
                <w:szCs w:val="20"/>
                <w:color w:val="auto"/>
              </w:rPr>
            </w:pPr>
            <w:r>
              <w:rPr>
                <w:rFonts w:ascii="Arial" w:cs="Arial" w:eastAsia="Arial" w:hAnsi="Arial"/>
                <w:sz w:val="16"/>
                <w:szCs w:val="16"/>
                <w:b w:val="1"/>
                <w:bCs w:val="1"/>
                <w:color w:val="auto"/>
                <w:w w:val="99"/>
              </w:rPr>
              <w:t>Residential Heating &amp;</w:t>
            </w:r>
          </w:p>
        </w:tc>
        <w:tc>
          <w:tcPr>
            <w:tcW w:w="2000" w:type="dxa"/>
            <w:vAlign w:val="bottom"/>
            <w:gridSpan w:val="3"/>
          </w:tcPr>
          <w:p>
            <w:pPr>
              <w:ind w:left="260"/>
              <w:spacing w:after="0" w:line="156" w:lineRule="exact"/>
              <w:rPr>
                <w:sz w:val="20"/>
                <w:szCs w:val="20"/>
                <w:color w:val="auto"/>
              </w:rPr>
            </w:pPr>
            <w:r>
              <w:rPr>
                <w:rFonts w:ascii="Arial" w:cs="Arial" w:eastAsia="Arial" w:hAnsi="Arial"/>
                <w:sz w:val="16"/>
                <w:szCs w:val="16"/>
                <w:b w:val="1"/>
                <w:bCs w:val="1"/>
                <w:color w:val="auto"/>
              </w:rPr>
              <w:t>Commercial Heating &amp;</w:t>
            </w:r>
          </w:p>
        </w:tc>
        <w:tc>
          <w:tcPr>
            <w:tcW w:w="460" w:type="dxa"/>
            <w:vAlign w:val="bottom"/>
          </w:tcPr>
          <w:p>
            <w:pPr>
              <w:spacing w:after="0"/>
              <w:rPr>
                <w:sz w:val="13"/>
                <w:szCs w:val="13"/>
                <w:color w:val="auto"/>
              </w:rPr>
            </w:pPr>
          </w:p>
        </w:tc>
        <w:tc>
          <w:tcPr>
            <w:tcW w:w="14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10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0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Cooling</w:t>
            </w:r>
          </w:p>
        </w:tc>
        <w:tc>
          <w:tcPr>
            <w:tcW w:w="120" w:type="dxa"/>
            <w:vAlign w:val="bottom"/>
            <w:tcBorders>
              <w:bottom w:val="single" w:sz="8" w:color="CCEEFF"/>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Cooling</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1,471.3</w:t>
            </w:r>
          </w:p>
        </w:tc>
        <w:tc>
          <w:tcPr>
            <w:tcW w:w="0" w:type="dxa"/>
            <w:vAlign w:val="bottom"/>
          </w:tcPr>
          <w:p>
            <w:pPr>
              <w:spacing w:after="0"/>
              <w:rPr>
                <w:sz w:val="1"/>
                <w:szCs w:val="1"/>
                <w:color w:val="auto"/>
              </w:rPr>
            </w:pPr>
          </w:p>
        </w:tc>
      </w:tr>
      <w:tr>
        <w:trPr>
          <w:trHeight w:val="211"/>
        </w:trPr>
        <w:tc>
          <w:tcPr>
            <w:tcW w:w="3060" w:type="dxa"/>
            <w:vAlign w:val="bottom"/>
          </w:tcPr>
          <w:p>
            <w:pPr>
              <w:ind w:left="26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international</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07"/>
        </w:trPr>
        <w:tc>
          <w:tcPr>
            <w:tcW w:w="30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1,086.9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366.7</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211.5</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1,665.1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b w:val="1"/>
          <w:bCs w:val="1"/>
          <w:color w:val="auto"/>
        </w:rPr>
        <w:t xml:space="preserve">Residential Heating &amp; Cooling </w:t>
      </w:r>
      <w:r>
        <w:rPr>
          <w:rFonts w:ascii="Arial" w:cs="Arial" w:eastAsia="Arial" w:hAnsi="Arial"/>
          <w:sz w:val="16"/>
          <w:szCs w:val="16"/>
          <w:color w:val="auto"/>
        </w:rPr>
        <w:t>- We manufacture and market a broad range of furnaces, air conditioners, heat pumps, packaged heating and cooling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June 30, 2021 and 2020, direct sales represented 76% and 76% of revenues, and sales to independent distributors represented the remainder. For the six months ended June 30, 2021 and 2020, direct sales represented 72% and 75% of revenues, and sales to independent distributors represented the remainder. Given the nature of our business, customer product orders are fulfilled at a point in time and not over a period of time.</w:t>
      </w:r>
    </w:p>
    <w:p>
      <w:pPr>
        <w:spacing w:after="0" w:line="189"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b w:val="1"/>
          <w:bCs w:val="1"/>
          <w:color w:val="auto"/>
        </w:rPr>
        <w:t xml:space="preserve">Commercial Heating &amp; Cooling </w:t>
      </w:r>
      <w:r>
        <w:rPr>
          <w:rFonts w:ascii="Arial" w:cs="Arial" w:eastAsia="Arial" w:hAnsi="Arial"/>
          <w:sz w:val="17"/>
          <w:szCs w:val="17"/>
          <w:color w:val="auto"/>
        </w:rPr>
        <w:t>- In North America, we manufacture and sell unitary heating and cooling equipment used in light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three months ended June 30, 2021 and 2020, equipment sales represented 85% and 86% of revenues and the remainder of our revenue was generated from our service business. For the six months ended June 30, 2021 and 2020, equipment sales represented 84% and 85% of revenues and the remainder of our revenue was generated from our service business.</w:t>
      </w:r>
    </w:p>
    <w:p>
      <w:pPr>
        <w:spacing w:after="0" w:line="204"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6"/>
          <w:szCs w:val="16"/>
          <w:b w:val="1"/>
          <w:bCs w:val="1"/>
          <w:color w:val="auto"/>
        </w:rPr>
        <w:t xml:space="preserve">Refrigeration </w:t>
      </w:r>
      <w:r>
        <w:rPr>
          <w:rFonts w:ascii="Arial" w:cs="Arial" w:eastAsia="Arial" w:hAnsi="Arial"/>
          <w:sz w:val="16"/>
          <w:szCs w:val="16"/>
          <w:color w:val="auto"/>
        </w:rPr>
        <w:t>- We manufacture and market equipment for the global commercial refrigeration markets under the Heatcraft Worldwide Refrigeration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point in time when control transfers to the customer, which is generally at time of shipment. Less than 1% of segment revenue relates to services for start-up and commissioning activities.</w:t>
      </w:r>
    </w:p>
    <w:p>
      <w:pPr>
        <w:jc w:val="both"/>
        <w:ind w:firstLine="240"/>
        <w:spacing w:after="0" w:line="249"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217"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21"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Sheets.</w:t>
      </w:r>
    </w:p>
    <w:p>
      <w:pPr>
        <w:spacing w:after="0" w:line="211"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Sheets. The noncurrent portion of deferred revenue is included in Other liabilities in our Consolidated Balance Sheets.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contract liabilities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0"/>
              </w:rPr>
              <w:t>June 30, 2021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0"/>
              </w:rPr>
              <w:t>December 31, 2020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4"/>
              </w:rPr>
              <w:t>$ Change</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shd w:val="clear" w:color="auto" w:fill="CCEEFF"/>
          </w:tcPr>
          <w:p>
            <w:pPr>
              <w:spacing w:after="0"/>
              <w:rPr>
                <w:sz w:val="18"/>
                <w:szCs w:val="18"/>
                <w:color w:val="auto"/>
              </w:rPr>
            </w:pPr>
          </w:p>
        </w:tc>
      </w:tr>
      <w:tr>
        <w:trPr>
          <w:trHeight w:val="204"/>
        </w:trPr>
        <w:tc>
          <w:tcPr>
            <w:tcW w:w="558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For the three months ended June 30, 2021 and 2020, we recognized revenue of $0.8 million and $2.9 million and for the six months ended June 30, 2021 and 2020 we recognized revenue of $2.4 million and $4.5 million related to our contract liabilities at January 1, 2021 and 2020, respectively. Impairment losses recognized in our receivables and contract assets were de minimis in 2021 and 2020.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 w:name="page17"/>
    <w:bookmarkEnd w:id="16"/>
    <w:p>
      <w:pPr>
        <w:ind w:right="8400" w:firstLine="7"/>
        <w:spacing w:after="0" w:line="257" w:lineRule="auto"/>
        <w:tabs>
          <w:tab w:leader="none" w:pos="17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Statement Details: Inventories:</w:t>
      </w: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are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June 30, 2021</w:t>
            </w:r>
          </w:p>
        </w:tc>
        <w:tc>
          <w:tcPr>
            <w:tcW w:w="208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December 31, 2020</w:t>
            </w:r>
          </w:p>
        </w:tc>
      </w:tr>
      <w:tr>
        <w:trPr>
          <w:trHeight w:val="223"/>
        </w:trPr>
        <w:tc>
          <w:tcPr>
            <w:tcW w:w="71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r>
      <w:tr>
        <w:trPr>
          <w:trHeight w:val="227"/>
        </w:trPr>
        <w:tc>
          <w:tcPr>
            <w:tcW w:w="7120" w:type="dxa"/>
            <w:vAlign w:val="bottom"/>
          </w:tcPr>
          <w:p>
            <w:pPr>
              <w:ind w:left="26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7"/>
        </w:trPr>
        <w:tc>
          <w:tcPr>
            <w:tcW w:w="7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Raw materials and parts</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20"/>
        </w:trPr>
        <w:tc>
          <w:tcPr>
            <w:tcW w:w="7120" w:type="dxa"/>
            <w:vAlign w:val="bottom"/>
          </w:tcPr>
          <w:p>
            <w:pPr>
              <w:ind w:left="460"/>
              <w:spacing w:after="0"/>
              <w:rPr>
                <w:sz w:val="20"/>
                <w:szCs w:val="20"/>
                <w:color w:val="auto"/>
              </w:rPr>
            </w:pPr>
            <w:r>
              <w:rPr>
                <w:rFonts w:ascii="Arial" w:cs="Arial" w:eastAsia="Arial" w:hAnsi="Arial"/>
                <w:sz w:val="18"/>
                <w:szCs w:val="18"/>
                <w:color w:val="auto"/>
              </w:rPr>
              <w:t>Subtotal</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495.4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27"/>
        </w:trPr>
        <w:tc>
          <w:tcPr>
            <w:tcW w:w="7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Excess of current cost over last-in, first-out cost</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0"/>
        </w:trPr>
        <w:tc>
          <w:tcPr>
            <w:tcW w:w="7120" w:type="dxa"/>
            <w:vAlign w:val="bottom"/>
          </w:tcPr>
          <w:p>
            <w:pPr>
              <w:ind w:left="260"/>
              <w:spacing w:after="0"/>
              <w:rPr>
                <w:sz w:val="20"/>
                <w:szCs w:val="20"/>
                <w:color w:val="auto"/>
              </w:rPr>
            </w:pPr>
            <w:r>
              <w:rPr>
                <w:rFonts w:ascii="Arial" w:cs="Arial" w:eastAsia="Arial" w:hAnsi="Arial"/>
                <w:sz w:val="18"/>
                <w:szCs w:val="18"/>
                <w:b w:val="1"/>
                <w:bCs w:val="1"/>
                <w:color w:val="auto"/>
              </w:rPr>
              <w:t>Total inventories, net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433.8</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439.4</w:t>
            </w:r>
          </w:p>
        </w:tc>
      </w:tr>
      <w:tr>
        <w:trPr>
          <w:trHeight w:val="20"/>
        </w:trPr>
        <w:tc>
          <w:tcPr>
            <w:tcW w:w="7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in 2021, in total and by segment, are summarized in the table below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Changes in foreign</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Balance at June 30,</w:t>
            </w:r>
          </w:p>
        </w:tc>
        <w:tc>
          <w:tcPr>
            <w:tcW w:w="0" w:type="dxa"/>
            <w:vAlign w:val="bottom"/>
          </w:tcPr>
          <w:p>
            <w:pPr>
              <w:spacing w:after="0"/>
              <w:rPr>
                <w:sz w:val="1"/>
                <w:szCs w:val="1"/>
                <w:color w:val="auto"/>
              </w:rPr>
            </w:pPr>
          </w:p>
        </w:tc>
      </w:tr>
      <w:tr>
        <w:trPr>
          <w:trHeight w:val="133"/>
        </w:trPr>
        <w:tc>
          <w:tcPr>
            <w:tcW w:w="6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6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2"/>
              </w:rPr>
              <w:t>currency translation</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880" w:type="dxa"/>
            <w:vAlign w:val="bottom"/>
          </w:tcPr>
          <w:p>
            <w:pPr>
              <w:spacing w:after="0"/>
              <w:rPr>
                <w:sz w:val="16"/>
                <w:szCs w:val="16"/>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December 31, 2020</w:t>
            </w:r>
          </w:p>
        </w:tc>
        <w:tc>
          <w:tcPr>
            <w:tcW w:w="1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rates</w:t>
            </w: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1"/>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7"/>
        </w:trPr>
        <w:tc>
          <w:tcPr>
            <w:tcW w:w="688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7"/>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Total Goodwill</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186.9</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monitor our reporting units for indicators of impairment throughout the year to determine if a change in facts or circumstances warrants a re-evaluation of our goodwill. We have not recorded any goodwill impairments for the six months ended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4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have foreign exchange forward contracts and commodity futures contracts designated as cash flow hedges that are scheduled to mature through November 2022. Unrealized gains or losses from our cash flow hedges are included in Accumulated other comprehensive loss (“AOCL”) and are expected to be reclassified into earnings within the next 18 months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 w:name="page18"/>
    <w:bookmarkEnd w:id="17"/>
    <w:p>
      <w:pPr>
        <w:ind w:right="100"/>
        <w:spacing w:after="0" w:line="270" w:lineRule="auto"/>
        <w:rPr>
          <w:sz w:val="20"/>
          <w:szCs w:val="20"/>
          <w:color w:val="auto"/>
        </w:rPr>
      </w:pPr>
      <w:r>
        <w:rPr>
          <w:rFonts w:ascii="Arial" w:cs="Arial" w:eastAsia="Arial" w:hAnsi="Arial"/>
          <w:sz w:val="18"/>
          <w:szCs w:val="18"/>
          <w:color w:val="auto"/>
        </w:rPr>
        <w:t>based on the prices of the commodities and foreign currencies at the settlement dates. We recorded the following amounts in AOCL related to our cash flow hedges (in millions):</w:t>
      </w:r>
    </w:p>
    <w:p>
      <w:pPr>
        <w:spacing w:after="0" w:line="2"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7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June 30, 2021</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December 31, 202</w:t>
            </w:r>
          </w:p>
        </w:tc>
      </w:tr>
      <w:tr>
        <w:trPr>
          <w:trHeight w:val="223"/>
        </w:trPr>
        <w:tc>
          <w:tcPr>
            <w:tcW w:w="72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Unrealized gains on unsettled contracts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72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7220" w:type="dxa"/>
            <w:vAlign w:val="bottom"/>
            <w:shd w:val="clear" w:color="auto" w:fill="CCEEFF"/>
          </w:tcPr>
          <w:p>
            <w:pPr>
              <w:ind w:left="460"/>
              <w:spacing w:after="0" w:line="220" w:lineRule="exact"/>
              <w:rPr>
                <w:sz w:val="20"/>
                <w:szCs w:val="20"/>
                <w:color w:val="auto"/>
              </w:rPr>
            </w:pPr>
            <w:r>
              <w:rPr>
                <w:rFonts w:ascii="Arial" w:cs="Arial" w:eastAsia="Arial" w:hAnsi="Arial"/>
                <w:sz w:val="18"/>
                <w:szCs w:val="18"/>
                <w:color w:val="auto"/>
              </w:rPr>
              <w:t xml:space="preserve">Gains included in AOCL, net of tax </w:t>
            </w:r>
            <w:r>
              <w:rPr>
                <w:rFonts w:ascii="Arial" w:cs="Arial" w:eastAsia="Arial" w:hAnsi="Arial"/>
                <w:sz w:val="23"/>
                <w:szCs w:val="23"/>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132" w:lineRule="exact"/>
        <w:rPr>
          <w:sz w:val="20"/>
          <w:szCs w:val="20"/>
          <w:color w:val="auto"/>
        </w:rPr>
      </w:pPr>
    </w:p>
    <w:p>
      <w:pPr>
        <w:ind w:left="480" w:right="100" w:hanging="153"/>
        <w:spacing w:after="0" w:line="258" w:lineRule="auto"/>
        <w:tabs>
          <w:tab w:leader="none" w:pos="50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Assuming commodity prices and foreign currency exchange rates remain constant, we expect to reclassify $12.8 million of derivative gains as of June 30, 2021 into earnings within the next 12 months.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1" w:lineRule="exact"/>
        <w:rPr>
          <w:sz w:val="20"/>
          <w:szCs w:val="20"/>
          <w:color w:val="auto"/>
        </w:rPr>
      </w:pPr>
    </w:p>
    <w:p>
      <w:pPr>
        <w:jc w:val="both"/>
        <w:ind w:right="100" w:firstLine="240"/>
        <w:spacing w:after="0" w:line="278"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680" w:type="dxa"/>
            <w:vAlign w:val="bottom"/>
            <w:gridSpan w:val="7"/>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For the Three Months Ended June</w:t>
            </w:r>
          </w:p>
        </w:tc>
        <w:tc>
          <w:tcPr>
            <w:tcW w:w="25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For the Six Months Ended June 30,</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6"/>
                <w:szCs w:val="16"/>
                <w:b w:val="1"/>
                <w:bCs w:val="1"/>
                <w:color w:val="auto"/>
                <w:w w:val="80"/>
              </w:rPr>
              <w:t>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20" w:hanging="173"/>
        <w:spacing w:after="0"/>
        <w:tabs>
          <w:tab w:leader="none" w:pos="420" w:val="left"/>
        </w:tabs>
        <w:numPr>
          <w:ilvl w:val="1"/>
          <w:numId w:val="7"/>
        </w:numPr>
        <w:rPr>
          <w:rFonts w:ascii="Arial" w:cs="Arial" w:eastAsia="Arial" w:hAnsi="Arial"/>
          <w:sz w:val="21"/>
          <w:szCs w:val="21"/>
          <w:color w:val="auto"/>
          <w:vertAlign w:val="superscript"/>
        </w:rPr>
      </w:pPr>
      <w:r>
        <w:rPr>
          <w:rFonts w:ascii="Arial" w:cs="Arial" w:eastAsia="Arial" w:hAnsi="Arial"/>
          <w:sz w:val="16"/>
          <w:szCs w:val="16"/>
          <w:color w:val="auto"/>
        </w:rPr>
        <w:t>All expense was recorded in our Corporate and Other business segment.</w:t>
      </w:r>
    </w:p>
    <w:p>
      <w:pPr>
        <w:spacing w:after="0" w:line="223" w:lineRule="exact"/>
        <w:rPr>
          <w:rFonts w:ascii="Arial" w:cs="Arial" w:eastAsia="Arial" w:hAnsi="Arial"/>
          <w:sz w:val="21"/>
          <w:szCs w:val="21"/>
          <w:color w:val="auto"/>
          <w:vertAlign w:val="superscript"/>
        </w:rPr>
      </w:pPr>
    </w:p>
    <w:p>
      <w:pPr>
        <w:ind w:left="180" w:hanging="173"/>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Benefit Plans: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periodic benefit cost for pension benefits were as follows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5"/>
                <w:szCs w:val="15"/>
                <w:color w:val="auto"/>
              </w:rPr>
            </w:pPr>
          </w:p>
        </w:tc>
        <w:tc>
          <w:tcPr>
            <w:tcW w:w="2680" w:type="dxa"/>
            <w:vAlign w:val="bottom"/>
            <w:gridSpan w:val="7"/>
          </w:tcPr>
          <w:p>
            <w:pPr>
              <w:ind w:left="100"/>
              <w:spacing w:after="0"/>
              <w:rPr>
                <w:sz w:val="20"/>
                <w:szCs w:val="20"/>
                <w:color w:val="auto"/>
              </w:rPr>
            </w:pPr>
            <w:r>
              <w:rPr>
                <w:rFonts w:ascii="Arial" w:cs="Arial" w:eastAsia="Arial" w:hAnsi="Arial"/>
                <w:sz w:val="16"/>
                <w:szCs w:val="16"/>
                <w:b w:val="1"/>
                <w:bCs w:val="1"/>
                <w:color w:val="auto"/>
                <w:w w:val="98"/>
              </w:rPr>
              <w:t>For the Three Months Ended June</w:t>
            </w:r>
          </w:p>
        </w:tc>
        <w:tc>
          <w:tcPr>
            <w:tcW w:w="25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For the Six Months Ended June 30,</w:t>
            </w:r>
          </w:p>
        </w:tc>
        <w:tc>
          <w:tcPr>
            <w:tcW w:w="0" w:type="dxa"/>
            <w:vAlign w:val="bottom"/>
          </w:tcPr>
          <w:p>
            <w:pPr>
              <w:spacing w:after="0"/>
              <w:rPr>
                <w:sz w:val="1"/>
                <w:szCs w:val="1"/>
                <w:color w:val="auto"/>
              </w:rPr>
            </w:pPr>
          </w:p>
        </w:tc>
      </w:tr>
      <w:tr>
        <w:trPr>
          <w:trHeight w:val="211"/>
        </w:trPr>
        <w:tc>
          <w:tcPr>
            <w:tcW w:w="59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6"/>
                <w:szCs w:val="16"/>
                <w:b w:val="1"/>
                <w:bCs w:val="1"/>
                <w:color w:val="auto"/>
                <w:w w:val="89"/>
              </w:rPr>
              <w:t>30,</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0"/>
        </w:trPr>
        <w:tc>
          <w:tcPr>
            <w:tcW w:w="59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60" w:type="dxa"/>
            <w:vAlign w:val="bottom"/>
          </w:tcPr>
          <w:p>
            <w:pPr>
              <w:jc w:val="center"/>
              <w:ind w:left="492"/>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7"/>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452"/>
              <w:spacing w:after="0"/>
              <w:rPr>
                <w:sz w:val="20"/>
                <w:szCs w:val="20"/>
                <w:color w:val="auto"/>
              </w:rPr>
            </w:pPr>
            <w:r>
              <w:rPr>
                <w:rFonts w:ascii="Arial" w:cs="Arial" w:eastAsia="Arial" w:hAnsi="Arial"/>
                <w:sz w:val="18"/>
                <w:szCs w:val="18"/>
                <w:color w:val="auto"/>
                <w:w w:val="91"/>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Settlements and curtailments</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80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b w:val="1"/>
                <w:bCs w:val="1"/>
                <w:color w:val="auto"/>
                <w:w w:val="87"/>
              </w:rPr>
              <w:t>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1"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As of June 30, 2021, we had approximately $3.4 million in total gross unrecognized tax benefits. All of this amount, if recognized, would be recorded through the Consolidated Statements of Operations.</w:t>
      </w:r>
    </w:p>
    <w:p>
      <w:pPr>
        <w:spacing w:after="0" w:line="201"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We are currently under examination for our U.S. federal income taxes under the Internal Revenue Service's Compliance Assurance Program for 2020 and are subject to examination by numerous other taxing authorities in the U.S. and in foreign jurisdictions. We are generally no longer subject to U.S. federal, state and local, or non-U.S. income tax examinations by taxing authorities for years prior to 2014.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As of June 30, 2021</w:t>
            </w:r>
          </w:p>
        </w:tc>
        <w:tc>
          <w:tcPr>
            <w:tcW w:w="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172"/>
              <w:spacing w:after="0"/>
              <w:rPr>
                <w:sz w:val="20"/>
                <w:szCs w:val="20"/>
                <w:color w:val="auto"/>
              </w:rPr>
            </w:pPr>
            <w:r>
              <w:rPr>
                <w:rFonts w:ascii="Arial" w:cs="Arial" w:eastAsia="Arial" w:hAnsi="Arial"/>
                <w:sz w:val="16"/>
                <w:szCs w:val="16"/>
                <w:b w:val="1"/>
                <w:bCs w:val="1"/>
                <w:color w:val="auto"/>
                <w:w w:val="92"/>
              </w:rPr>
              <w:t>As of December 31, 2020</w:t>
            </w:r>
          </w:p>
        </w:tc>
      </w:tr>
      <w:tr>
        <w:trPr>
          <w:trHeight w:val="207"/>
        </w:trPr>
        <w:tc>
          <w:tcPr>
            <w:tcW w:w="61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5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Asset securitization program</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180" w:type="dxa"/>
            <w:vAlign w:val="bottom"/>
          </w:tcPr>
          <w:p>
            <w:pPr>
              <w:ind w:left="260"/>
              <w:spacing w:after="0"/>
              <w:rPr>
                <w:sz w:val="20"/>
                <w:szCs w:val="20"/>
                <w:color w:val="auto"/>
              </w:rPr>
            </w:pPr>
            <w:r>
              <w:rPr>
                <w:rFonts w:ascii="Arial" w:cs="Arial" w:eastAsia="Arial" w:hAnsi="Arial"/>
                <w:sz w:val="18"/>
                <w:szCs w:val="18"/>
                <w:color w:val="auto"/>
              </w:rPr>
              <w:t>Finance lease obligations</w:t>
            </w:r>
          </w:p>
        </w:tc>
        <w:tc>
          <w:tcPr>
            <w:tcW w:w="5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5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0"/>
        </w:trPr>
        <w:tc>
          <w:tcPr>
            <w:tcW w:w="6180" w:type="dxa"/>
            <w:vAlign w:val="bottom"/>
          </w:tcPr>
          <w:p>
            <w:pPr>
              <w:ind w:left="440"/>
              <w:spacing w:after="0"/>
              <w:rPr>
                <w:sz w:val="20"/>
                <w:szCs w:val="20"/>
                <w:color w:val="auto"/>
              </w:rPr>
            </w:pPr>
            <w:r>
              <w:rPr>
                <w:rFonts w:ascii="Arial" w:cs="Arial" w:eastAsia="Arial" w:hAnsi="Arial"/>
                <w:sz w:val="18"/>
                <w:szCs w:val="18"/>
                <w:color w:val="auto"/>
              </w:rPr>
              <w:t>Total current maturities of long-term debt</w:t>
            </w: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265.9</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Long-Term Debt:</w:t>
            </w:r>
          </w:p>
        </w:tc>
        <w:tc>
          <w:tcPr>
            <w:tcW w:w="5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7"/>
        </w:trPr>
        <w:tc>
          <w:tcPr>
            <w:tcW w:w="6180" w:type="dxa"/>
            <w:vAlign w:val="bottom"/>
          </w:tcPr>
          <w:p>
            <w:pPr>
              <w:ind w:left="260"/>
              <w:spacing w:after="0"/>
              <w:rPr>
                <w:sz w:val="20"/>
                <w:szCs w:val="20"/>
                <w:color w:val="auto"/>
              </w:rPr>
            </w:pPr>
            <w:r>
              <w:rPr>
                <w:rFonts w:ascii="Arial" w:cs="Arial" w:eastAsia="Arial" w:hAnsi="Arial"/>
                <w:sz w:val="18"/>
                <w:szCs w:val="18"/>
                <w:color w:val="auto"/>
              </w:rPr>
              <w:t>Finance lease obligations</w:t>
            </w:r>
          </w:p>
        </w:tc>
        <w:tc>
          <w:tcPr>
            <w:tcW w:w="5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Domestic credit facility</w:t>
            </w:r>
          </w:p>
        </w:tc>
        <w:tc>
          <w:tcPr>
            <w:tcW w:w="5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180" w:type="dxa"/>
            <w:vAlign w:val="bottom"/>
          </w:tcPr>
          <w:p>
            <w:pPr>
              <w:ind w:left="260"/>
              <w:spacing w:after="0"/>
              <w:rPr>
                <w:sz w:val="20"/>
                <w:szCs w:val="20"/>
                <w:color w:val="auto"/>
              </w:rPr>
            </w:pPr>
            <w:r>
              <w:rPr>
                <w:rFonts w:ascii="Arial" w:cs="Arial" w:eastAsia="Arial" w:hAnsi="Arial"/>
                <w:sz w:val="18"/>
                <w:szCs w:val="18"/>
                <w:color w:val="auto"/>
              </w:rPr>
              <w:t>Senior unsecured notes</w:t>
            </w:r>
          </w:p>
        </w:tc>
        <w:tc>
          <w:tcPr>
            <w:tcW w:w="5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950.0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27"/>
        </w:trPr>
        <w:tc>
          <w:tcPr>
            <w:tcW w:w="6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5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0"/>
        </w:trPr>
        <w:tc>
          <w:tcPr>
            <w:tcW w:w="6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long-term debt</w:t>
            </w: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w:t>
            </w:r>
          </w:p>
        </w:tc>
      </w:tr>
      <w:tr>
        <w:trPr>
          <w:trHeight w:val="245"/>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debt</w:t>
            </w:r>
          </w:p>
        </w:tc>
        <w:tc>
          <w:tcPr>
            <w:tcW w:w="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Through several of our foreign subsidiaries, we have facilities available to assist us in financing seasonal borrowing needs for our foreign locations. We had no outstanding foreign obligations as of June 30, 2021 or December 31, 2020 and there were no borrowings or repayments on these facilities during the six months ended June 30,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47"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4" w:lineRule="exact"/>
        <w:rPr>
          <w:sz w:val="20"/>
          <w:szCs w:val="20"/>
          <w:color w:val="auto"/>
        </w:rPr>
      </w:pPr>
    </w:p>
    <w:p>
      <w:pPr>
        <w:jc w:val="both"/>
        <w:ind w:firstLine="240"/>
        <w:spacing w:after="0" w:line="291" w:lineRule="auto"/>
        <w:rPr>
          <w:sz w:val="20"/>
          <w:szCs w:val="20"/>
          <w:color w:val="auto"/>
        </w:rPr>
      </w:pPr>
      <w:r>
        <w:rPr>
          <w:rFonts w:ascii="Arial" w:cs="Arial" w:eastAsia="Arial" w:hAnsi="Arial"/>
          <w:sz w:val="16"/>
          <w:szCs w:val="16"/>
          <w:color w:val="auto"/>
        </w:rPr>
        <w:t>We renewed the ASP in November 2019, extending its term to November 2021 and increasing the maximum securitization amount to a range from $250.0 million to $400.0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tbl>
      <w:tblPr>
        <w:tblLayout w:type="fixed"/>
        <w:tblInd w:w="240" w:type="dxa"/>
        <w:tblCellMar>
          <w:top w:w="0" w:type="dxa"/>
          <w:left w:w="0" w:type="dxa"/>
          <w:bottom w:w="0" w:type="dxa"/>
          <w:right w:w="0" w:type="dxa"/>
        </w:tblCellMar>
      </w:tblPr>
      <w:tr>
        <w:trPr>
          <w:trHeight w:val="163"/>
        </w:trPr>
        <w:tc>
          <w:tcPr>
            <w:tcW w:w="7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As of June 30, 2021</w:t>
            </w:r>
          </w:p>
        </w:tc>
        <w:tc>
          <w:tcPr>
            <w:tcW w:w="400" w:type="dxa"/>
            <w:vAlign w:val="bottom"/>
          </w:tcPr>
          <w:p>
            <w:pPr>
              <w:spacing w:after="0"/>
              <w:rPr>
                <w:sz w:val="14"/>
                <w:szCs w:val="14"/>
                <w:color w:val="auto"/>
              </w:rPr>
            </w:pPr>
          </w:p>
        </w:tc>
        <w:tc>
          <w:tcPr>
            <w:tcW w:w="1560" w:type="dxa"/>
            <w:vAlign w:val="bottom"/>
          </w:tcPr>
          <w:p>
            <w:pPr>
              <w:jc w:val="right"/>
              <w:ind w:right="115"/>
              <w:spacing w:after="0" w:line="163" w:lineRule="exact"/>
              <w:rPr>
                <w:sz w:val="20"/>
                <w:szCs w:val="20"/>
                <w:color w:val="auto"/>
              </w:rPr>
            </w:pPr>
            <w:r>
              <w:rPr>
                <w:rFonts w:ascii="Arial" w:cs="Arial" w:eastAsia="Arial" w:hAnsi="Arial"/>
                <w:sz w:val="16"/>
                <w:szCs w:val="16"/>
                <w:b w:val="1"/>
                <w:bCs w:val="1"/>
                <w:color w:val="auto"/>
                <w:w w:val="90"/>
              </w:rPr>
              <w:t>As of December 31,</w:t>
            </w:r>
          </w:p>
        </w:tc>
        <w:tc>
          <w:tcPr>
            <w:tcW w:w="0" w:type="dxa"/>
            <w:vAlign w:val="bottom"/>
          </w:tcPr>
          <w:p>
            <w:pPr>
              <w:spacing w:after="0"/>
              <w:rPr>
                <w:sz w:val="1"/>
                <w:szCs w:val="1"/>
                <w:color w:val="auto"/>
              </w:rPr>
            </w:pPr>
          </w:p>
        </w:tc>
      </w:tr>
      <w:tr>
        <w:trPr>
          <w:trHeight w:val="211"/>
        </w:trPr>
        <w:tc>
          <w:tcPr>
            <w:tcW w:w="7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jc w:val="right"/>
              <w:ind w:right="7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7"/>
        </w:trPr>
        <w:tc>
          <w:tcPr>
            <w:tcW w:w="7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Less: Beneficial interest transferred</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7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Remaining amount available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interests sold and calculated on either the average LIBOR rate or floating commercial paper rate determined by the purchaser of the beneficial interest, plus a program fee of 0.70%. The average rates as of June 30, 2021 and December 31, 2020 were 0.80% and zero%, respectively. The unused fee 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9" w:name="page20"/>
    <w:bookmarkEnd w:id="19"/>
    <w:p>
      <w:pPr>
        <w:jc w:val="both"/>
        <w:ind w:right="20"/>
        <w:spacing w:after="0" w:line="258" w:lineRule="auto"/>
        <w:rPr>
          <w:sz w:val="20"/>
          <w:szCs w:val="20"/>
          <w:color w:val="auto"/>
        </w:rPr>
      </w:pPr>
      <w:r>
        <w:rPr>
          <w:rFonts w:ascii="Arial" w:cs="Arial" w:eastAsia="Arial" w:hAnsi="Arial"/>
          <w:sz w:val="18"/>
          <w:szCs w:val="18"/>
          <w:color w:val="auto"/>
        </w:rPr>
        <w:t>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13" w:lineRule="exact"/>
        <w:rPr>
          <w:sz w:val="20"/>
          <w:szCs w:val="20"/>
          <w:color w:val="auto"/>
        </w:rPr>
      </w:pPr>
    </w:p>
    <w:p>
      <w:pPr>
        <w:jc w:val="both"/>
        <w:ind w:right="20" w:firstLine="240"/>
        <w:spacing w:after="0" w:line="255"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existing credit facility, senior unsecured notes and any other indebtedness we may have over $75.0 million. The administrative agent under the ASP is also a participant in our existing credit facility. The participating financial institutions have investment grade credit ratings. As of June 30, 2021, we believe we were in compliance with all covenant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47" w:lineRule="exact"/>
        <w:rPr>
          <w:sz w:val="20"/>
          <w:szCs w:val="20"/>
          <w:color w:val="auto"/>
        </w:rPr>
      </w:pPr>
    </w:p>
    <w:p>
      <w:pPr>
        <w:jc w:val="both"/>
        <w:ind w:right="20" w:firstLine="240"/>
        <w:spacing w:after="0" w:line="239" w:lineRule="auto"/>
        <w:rPr>
          <w:sz w:val="20"/>
          <w:szCs w:val="20"/>
          <w:color w:val="auto"/>
        </w:rPr>
      </w:pPr>
      <w:r>
        <w:rPr>
          <w:rFonts w:ascii="Arial" w:cs="Arial" w:eastAsia="Arial" w:hAnsi="Arial"/>
          <w:sz w:val="18"/>
          <w:szCs w:val="18"/>
          <w:color w:val="auto"/>
        </w:rPr>
        <w:t>The Seventh Amended and Restated Credit Facility (the "Prior Credit Agreement") consisted of a $750.0 million unsecured revolving credit facility and was set to mature in August 2022. We had outstanding borrowings of $4.5 million as well as $2.2 million committed to standby letters of credit as of June 30, 2021. Subject to covenant limitations, $743.3 million was available for future borrowings. The Prior Credit Agreement included a subfacility for swingline loans of up to $65.0 million.</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47"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9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As of June 30, 2021</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w w:val="91"/>
              </w:rPr>
              <w:t>As of December 31, 2020</w:t>
            </w:r>
          </w:p>
        </w:tc>
        <w:tc>
          <w:tcPr>
            <w:tcW w:w="220" w:type="dxa"/>
            <w:vAlign w:val="bottom"/>
            <w:tcBorders>
              <w:bottom w:val="single" w:sz="8" w:color="auto"/>
            </w:tcBorders>
          </w:tcPr>
          <w:p>
            <w:pPr>
              <w:spacing w:after="0"/>
              <w:rPr>
                <w:sz w:val="18"/>
                <w:szCs w:val="18"/>
                <w:color w:val="auto"/>
              </w:rPr>
            </w:pPr>
          </w:p>
        </w:tc>
      </w:tr>
      <w:tr>
        <w:trPr>
          <w:trHeight w:val="223"/>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borrowing rate</w:t>
            </w:r>
          </w:p>
        </w:tc>
        <w:tc>
          <w:tcPr>
            <w:tcW w:w="2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jc w:val="both"/>
        <w:ind w:right="20" w:firstLine="240"/>
        <w:spacing w:after="0" w:line="258" w:lineRule="auto"/>
        <w:rPr>
          <w:sz w:val="20"/>
          <w:szCs w:val="20"/>
          <w:color w:val="auto"/>
        </w:rPr>
      </w:pPr>
      <w:r>
        <w:rPr>
          <w:rFonts w:ascii="Arial" w:cs="Arial" w:eastAsia="Arial" w:hAnsi="Arial"/>
          <w:sz w:val="18"/>
          <w:szCs w:val="18"/>
          <w:color w:val="auto"/>
        </w:rPr>
        <w:t>In July 2021, we entered into a new Credit Agreement (the “Credit Agreement”) with JPMorgan Chase Bank, N.A., as administrative agent, and the other lenders party thereto, which refinanced and replaced the Prior Credit Agreement, among the Company, JPMorgan Chase Bank, N.A., as administrative agent, and the other lenders party thereto.</w:t>
      </w:r>
    </w:p>
    <w:p>
      <w:pPr>
        <w:spacing w:after="0" w:line="213" w:lineRule="exact"/>
        <w:rPr>
          <w:sz w:val="20"/>
          <w:szCs w:val="20"/>
          <w:color w:val="auto"/>
        </w:rPr>
      </w:pPr>
    </w:p>
    <w:p>
      <w:pPr>
        <w:jc w:val="both"/>
        <w:ind w:right="20" w:firstLine="240"/>
        <w:spacing w:after="0" w:line="292" w:lineRule="auto"/>
        <w:rPr>
          <w:sz w:val="20"/>
          <w:szCs w:val="20"/>
          <w:color w:val="auto"/>
        </w:rPr>
      </w:pPr>
      <w:r>
        <w:rPr>
          <w:rFonts w:ascii="Arial" w:cs="Arial" w:eastAsia="Arial" w:hAnsi="Arial"/>
          <w:sz w:val="16"/>
          <w:szCs w:val="16"/>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188" w:lineRule="exact"/>
        <w:rPr>
          <w:sz w:val="20"/>
          <w:szCs w:val="20"/>
          <w:color w:val="auto"/>
        </w:rPr>
      </w:pPr>
    </w:p>
    <w:p>
      <w:pPr>
        <w:jc w:val="both"/>
        <w:ind w:right="20" w:firstLine="240"/>
        <w:spacing w:after="0" w:line="250" w:lineRule="auto"/>
        <w:rPr>
          <w:sz w:val="20"/>
          <w:szCs w:val="20"/>
          <w:color w:val="auto"/>
        </w:rPr>
      </w:pPr>
      <w:r>
        <w:rPr>
          <w:rFonts w:ascii="Arial" w:cs="Arial" w:eastAsia="Arial" w:hAnsi="Arial"/>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June 30, 2021, we believe we were in compliance with all covenant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47" w:lineRule="exact"/>
        <w:rPr>
          <w:sz w:val="20"/>
          <w:szCs w:val="20"/>
          <w:color w:val="auto"/>
        </w:rPr>
      </w:pPr>
    </w:p>
    <w:p>
      <w:pPr>
        <w:jc w:val="both"/>
        <w:ind w:right="20" w:firstLine="240"/>
        <w:spacing w:after="0" w:line="296" w:lineRule="auto"/>
        <w:rPr>
          <w:sz w:val="20"/>
          <w:szCs w:val="20"/>
          <w:color w:val="auto"/>
        </w:rPr>
      </w:pPr>
      <w:r>
        <w:rPr>
          <w:rFonts w:ascii="Arial" w:cs="Arial" w:eastAsia="Arial" w:hAnsi="Arial"/>
          <w:sz w:val="16"/>
          <w:szCs w:val="16"/>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186" w:lineRule="exact"/>
        <w:rPr>
          <w:sz w:val="20"/>
          <w:szCs w:val="20"/>
          <w:color w:val="auto"/>
        </w:rPr>
      </w:pPr>
    </w:p>
    <w:p>
      <w:pPr>
        <w:jc w:val="both"/>
        <w:ind w:right="20" w:firstLine="240"/>
        <w:spacing w:after="0" w:line="252" w:lineRule="auto"/>
        <w:rPr>
          <w:sz w:val="20"/>
          <w:szCs w:val="20"/>
          <w:color w:val="auto"/>
        </w:rPr>
      </w:pPr>
      <w:r>
        <w:rPr>
          <w:rFonts w:ascii="Arial" w:cs="Arial" w:eastAsia="Arial" w:hAnsi="Arial"/>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2021, we believe we were in compliance with all covenant requirements.</w:t>
      </w:r>
    </w:p>
    <w:p>
      <w:pPr>
        <w:sectPr>
          <w:pgSz w:w="11900" w:h="16838" w:orient="portrait"/>
          <w:cols w:equalWidth="0" w:num="1">
            <w:col w:w="11260"/>
          </w:cols>
          <w:pgMar w:left="320" w:top="1046" w:right="31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046"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Comprehensive Income (Loss):</w:t>
      </w:r>
    </w:p>
    <w:p>
      <w:pPr>
        <w:spacing w:after="0" w:line="251"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2420" w:type="dxa"/>
            <w:vAlign w:val="bottom"/>
            <w:gridSpan w:val="6"/>
          </w:tcPr>
          <w:p>
            <w:pPr>
              <w:ind w:left="160"/>
              <w:spacing w:after="0"/>
              <w:rPr>
                <w:sz w:val="20"/>
                <w:szCs w:val="20"/>
                <w:color w:val="auto"/>
              </w:rPr>
            </w:pPr>
            <w:r>
              <w:rPr>
                <w:rFonts w:ascii="Arial" w:cs="Arial" w:eastAsia="Arial" w:hAnsi="Arial"/>
                <w:sz w:val="16"/>
                <w:szCs w:val="16"/>
                <w:b w:val="1"/>
                <w:bCs w:val="1"/>
                <w:color w:val="auto"/>
              </w:rPr>
              <w:t>For the Three Months Ended</w:t>
            </w:r>
          </w:p>
        </w:tc>
        <w:tc>
          <w:tcPr>
            <w:tcW w:w="2280" w:type="dxa"/>
            <w:vAlign w:val="bottom"/>
            <w:gridSpan w:val="5"/>
          </w:tcPr>
          <w:p>
            <w:pPr>
              <w:jc w:val="right"/>
              <w:spacing w:after="0"/>
              <w:rPr>
                <w:sz w:val="20"/>
                <w:szCs w:val="20"/>
                <w:color w:val="auto"/>
              </w:rPr>
            </w:pPr>
            <w:r>
              <w:rPr>
                <w:rFonts w:ascii="Arial" w:cs="Arial" w:eastAsia="Arial" w:hAnsi="Arial"/>
                <w:sz w:val="16"/>
                <w:szCs w:val="16"/>
                <w:b w:val="1"/>
                <w:bCs w:val="1"/>
                <w:color w:val="auto"/>
                <w:w w:val="91"/>
              </w:rPr>
              <w:t>For the Six Months Ended June</w:t>
            </w:r>
          </w:p>
        </w:tc>
        <w:tc>
          <w:tcPr>
            <w:tcW w:w="1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vMerge w:val="restart"/>
          </w:tcPr>
          <w:p>
            <w:pPr>
              <w:spacing w:after="0"/>
              <w:rPr>
                <w:sz w:val="20"/>
                <w:szCs w:val="20"/>
                <w:color w:val="auto"/>
              </w:rPr>
            </w:pPr>
            <w:r>
              <w:rPr>
                <w:rFonts w:ascii="Arial" w:cs="Arial" w:eastAsia="Arial" w:hAnsi="Arial"/>
                <w:sz w:val="16"/>
                <w:szCs w:val="16"/>
                <w:b w:val="1"/>
                <w:bCs w:val="1"/>
                <w:color w:val="auto"/>
                <w:w w:val="93"/>
              </w:rPr>
              <w:t>Affected Line Item(s) in the Consolidated Statements of</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line="20" w:lineRule="exact"/>
              <w:rPr>
                <w:sz w:val="1"/>
                <w:szCs w:val="1"/>
                <w:color w:val="auto"/>
              </w:rPr>
            </w:pPr>
          </w:p>
        </w:tc>
        <w:tc>
          <w:tcPr>
            <w:tcW w:w="3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156"/>
        </w:trPr>
        <w:tc>
          <w:tcPr>
            <w:tcW w:w="24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i w:val="1"/>
                <w:iCs w:val="1"/>
                <w:color w:val="auto"/>
                <w:w w:val="97"/>
              </w:rPr>
              <w:t>(Losses) Gains on Cash Flow</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Hedges: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tcPr>
          <w:p>
            <w:pPr>
              <w:ind w:left="20"/>
              <w:spacing w:after="0"/>
              <w:rPr>
                <w:sz w:val="20"/>
                <w:szCs w:val="20"/>
                <w:color w:val="auto"/>
              </w:rPr>
            </w:pPr>
            <w:r>
              <w:rPr>
                <w:rFonts w:ascii="Arial" w:cs="Arial" w:eastAsia="Arial" w:hAnsi="Arial"/>
                <w:sz w:val="18"/>
                <w:szCs w:val="18"/>
                <w:color w:val="auto"/>
              </w:rPr>
              <w:t>Derivatives contracts</w:t>
            </w:r>
          </w:p>
        </w:tc>
        <w:tc>
          <w:tcPr>
            <w:tcW w:w="720" w:type="dxa"/>
            <w:vAlign w:val="bottom"/>
            <w:vMerge w:val="restart"/>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320" w:type="dxa"/>
            <w:vAlign w:val="bottom"/>
            <w:vMerge w:val="restart"/>
          </w:tcPr>
          <w:p>
            <w:pPr>
              <w:jc w:val="right"/>
              <w:ind w:right="111"/>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5"/>
                <w:szCs w:val="15"/>
                <w:color w:val="auto"/>
              </w:rPr>
            </w:pPr>
          </w:p>
        </w:tc>
        <w:tc>
          <w:tcPr>
            <w:tcW w:w="240" w:type="dxa"/>
            <w:vAlign w:val="bottom"/>
            <w:vMerge w:val="restart"/>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5"/>
                <w:szCs w:val="15"/>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8"/>
                <w:szCs w:val="18"/>
                <w:color w:val="auto"/>
                <w:w w:val="88"/>
              </w:rPr>
              <w:t>Cost of goods sold; Losses (gains) and other expenses,</w:t>
            </w:r>
          </w:p>
        </w:tc>
        <w:tc>
          <w:tcPr>
            <w:tcW w:w="0" w:type="dxa"/>
            <w:vAlign w:val="bottom"/>
          </w:tcPr>
          <w:p>
            <w:pPr>
              <w:spacing w:after="0"/>
              <w:rPr>
                <w:sz w:val="1"/>
                <w:szCs w:val="1"/>
                <w:color w:val="auto"/>
              </w:rPr>
            </w:pPr>
          </w:p>
        </w:tc>
      </w:tr>
      <w:tr>
        <w:trPr>
          <w:trHeight w:val="227"/>
        </w:trPr>
        <w:tc>
          <w:tcPr>
            <w:tcW w:w="24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248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4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Pension and post-retirement</w:t>
            </w:r>
          </w:p>
        </w:tc>
        <w:tc>
          <w:tcPr>
            <w:tcW w:w="720" w:type="dxa"/>
            <w:vAlign w:val="bottom"/>
            <w:vMerge w:val="restart"/>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(2.1)</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w w:val="90"/>
              </w:rPr>
              <w:t>Cost of goods sold; Selling, general and administrative</w:t>
            </w: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costs</w:t>
            </w: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27"/>
        </w:trPr>
        <w:tc>
          <w:tcPr>
            <w:tcW w:w="2480" w:type="dxa"/>
            <w:vAlign w:val="bottom"/>
          </w:tcPr>
          <w:p>
            <w:pPr>
              <w:ind w:left="20"/>
              <w:spacing w:after="0"/>
              <w:rPr>
                <w:sz w:val="20"/>
                <w:szCs w:val="20"/>
                <w:color w:val="auto"/>
              </w:rPr>
            </w:pPr>
            <w:r>
              <w:rPr>
                <w:rFonts w:ascii="Arial" w:cs="Arial" w:eastAsia="Arial" w:hAnsi="Arial"/>
                <w:sz w:val="18"/>
                <w:szCs w:val="18"/>
                <w:color w:val="auto"/>
              </w:rPr>
              <w:t>Pension settlement</w:t>
            </w:r>
          </w:p>
        </w:tc>
        <w:tc>
          <w:tcPr>
            <w:tcW w:w="7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Pension settlement</w:t>
            </w: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2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48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b w:val="1"/>
                <w:bCs w:val="1"/>
                <w:color w:val="auto"/>
              </w:rPr>
              <w:t>Total reclassifications from</w:t>
            </w:r>
          </w:p>
        </w:tc>
        <w:tc>
          <w:tcPr>
            <w:tcW w:w="720" w:type="dxa"/>
            <w:vAlign w:val="bottom"/>
            <w:vMerge w:val="restart"/>
            <w:shd w:val="clear" w:color="auto" w:fill="CCEEFF"/>
          </w:tcPr>
          <w:p>
            <w:pPr>
              <w:jc w:val="right"/>
              <w:ind w:right="514"/>
              <w:spacing w:after="0"/>
              <w:rPr>
                <w:sz w:val="20"/>
                <w:szCs w:val="20"/>
                <w:color w:val="auto"/>
              </w:rPr>
            </w:pPr>
            <w:r>
              <w:rPr>
                <w:rFonts w:ascii="Arial" w:cs="Arial" w:eastAsia="Arial" w:hAnsi="Arial"/>
                <w:sz w:val="18"/>
                <w:szCs w:val="18"/>
                <w:b w:val="1"/>
                <w:bCs w:val="1"/>
                <w:color w:val="auto"/>
                <w:w w:val="9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480" w:type="dxa"/>
            <w:vAlign w:val="bottom"/>
            <w:tcBorders>
              <w:bottom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AOCL</w:t>
            </w: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information on changes in AOCL, by component (net of tax), for the six months ended June 30, 2021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 of equity</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Gains (Losses) on</w:t>
            </w:r>
          </w:p>
        </w:tc>
        <w:tc>
          <w:tcPr>
            <w:tcW w:w="140" w:type="dxa"/>
            <w:vAlign w:val="bottom"/>
          </w:tcPr>
          <w:p>
            <w:pPr>
              <w:spacing w:after="0"/>
              <w:rPr>
                <w:sz w:val="13"/>
                <w:szCs w:val="13"/>
                <w:color w:val="auto"/>
              </w:rPr>
            </w:pPr>
          </w:p>
        </w:tc>
        <w:tc>
          <w:tcPr>
            <w:tcW w:w="1380" w:type="dxa"/>
            <w:vAlign w:val="bottom"/>
            <w:gridSpan w:val="2"/>
          </w:tcPr>
          <w:p>
            <w:pPr>
              <w:jc w:val="center"/>
              <w:ind w:right="300"/>
              <w:spacing w:after="0" w:line="160" w:lineRule="exact"/>
              <w:rPr>
                <w:sz w:val="20"/>
                <w:szCs w:val="20"/>
                <w:color w:val="auto"/>
              </w:rPr>
            </w:pPr>
            <w:r>
              <w:rPr>
                <w:rFonts w:ascii="Arial" w:cs="Arial" w:eastAsia="Arial" w:hAnsi="Arial"/>
                <w:sz w:val="16"/>
                <w:szCs w:val="16"/>
                <w:b w:val="1"/>
                <w:bCs w:val="1"/>
                <w:color w:val="auto"/>
                <w:w w:val="89"/>
              </w:rPr>
              <w:t>method</w:t>
            </w:r>
          </w:p>
        </w:tc>
        <w:tc>
          <w:tcPr>
            <w:tcW w:w="136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0"/>
              </w:rPr>
              <w:t>Defined Benefit</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520" w:type="dxa"/>
            <w:vAlign w:val="bottom"/>
            <w:gridSpan w:val="3"/>
          </w:tcPr>
          <w:p>
            <w:pPr>
              <w:jc w:val="center"/>
              <w:ind w:right="140"/>
              <w:spacing w:after="0" w:line="160" w:lineRule="exact"/>
              <w:rPr>
                <w:sz w:val="20"/>
                <w:szCs w:val="20"/>
                <w:color w:val="auto"/>
              </w:rPr>
            </w:pPr>
            <w:r>
              <w:rPr>
                <w:rFonts w:ascii="Arial" w:cs="Arial" w:eastAsia="Arial" w:hAnsi="Arial"/>
                <w:sz w:val="16"/>
                <w:szCs w:val="16"/>
                <w:b w:val="1"/>
                <w:bCs w:val="1"/>
                <w:color w:val="auto"/>
                <w:w w:val="88"/>
              </w:rPr>
              <w:t>investments other</w:t>
            </w:r>
          </w:p>
        </w:tc>
        <w:tc>
          <w:tcPr>
            <w:tcW w:w="13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0" w:lineRule="exact"/>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20"/>
              <w:spacing w:after="0" w:line="160" w:lineRule="exact"/>
              <w:rPr>
                <w:sz w:val="20"/>
                <w:szCs w:val="20"/>
                <w:color w:val="auto"/>
              </w:rPr>
            </w:pPr>
            <w:r>
              <w:rPr>
                <w:rFonts w:ascii="Arial" w:cs="Arial" w:eastAsia="Arial" w:hAnsi="Arial"/>
                <w:sz w:val="16"/>
                <w:szCs w:val="16"/>
                <w:b w:val="1"/>
                <w:bCs w:val="1"/>
                <w:color w:val="auto"/>
                <w:w w:val="89"/>
              </w:rPr>
              <w:t>Cash Flow</w:t>
            </w: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auto"/>
                <w:w w:val="86"/>
              </w:rPr>
              <w:t>comprehensive</w:t>
            </w: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auto"/>
                <w:w w:val="89"/>
              </w:rPr>
              <w:t>Pension Plan</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0" w:lineRule="exact"/>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3"/>
                <w:szCs w:val="13"/>
                <w:color w:val="auto"/>
              </w:rPr>
            </w:pPr>
          </w:p>
        </w:tc>
        <w:tc>
          <w:tcPr>
            <w:tcW w:w="108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w w:val="99"/>
              </w:rPr>
              <w:t>Total AOCL</w:t>
            </w:r>
          </w:p>
        </w:tc>
        <w:tc>
          <w:tcPr>
            <w:tcW w:w="0" w:type="dxa"/>
            <w:vAlign w:val="bottom"/>
          </w:tcPr>
          <w:p>
            <w:pPr>
              <w:spacing w:after="0"/>
              <w:rPr>
                <w:sz w:val="1"/>
                <w:szCs w:val="1"/>
                <w:color w:val="auto"/>
              </w:rPr>
            </w:pPr>
          </w:p>
        </w:tc>
      </w:tr>
      <w:tr>
        <w:trPr>
          <w:trHeight w:val="211"/>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Hedges</w:t>
            </w: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income</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Items</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w:t>
            </w:r>
          </w:p>
        </w:tc>
        <w:tc>
          <w:tcPr>
            <w:tcW w:w="0" w:type="dxa"/>
            <w:vAlign w:val="bottom"/>
          </w:tcPr>
          <w:p>
            <w:pPr>
              <w:spacing w:after="0"/>
              <w:rPr>
                <w:sz w:val="1"/>
                <w:szCs w:val="1"/>
                <w:color w:val="auto"/>
              </w:rPr>
            </w:pPr>
          </w:p>
        </w:tc>
      </w:tr>
      <w:tr>
        <w:trPr>
          <w:trHeight w:val="173"/>
        </w:trPr>
        <w:tc>
          <w:tcPr>
            <w:tcW w:w="4320" w:type="dxa"/>
            <w:vAlign w:val="bottom"/>
          </w:tcPr>
          <w:p>
            <w:pPr>
              <w:ind w:left="20"/>
              <w:spacing w:after="0" w:line="174"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methodologies used to determine the fair value of our financial assets and liabilities at June 30, 2021 were the same as those used at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47"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2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June 30, 2021</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As of December 31, 2020</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1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5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On July 8, 2021, Todd M. Bluedorn, our Chairman of the Board and Chief Executive Officer advised our Board of Directors that he intended to resign as Chief Executive Officer and as Chairman and a member of our Board of Directors in mid-2022.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commenced a search for our next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9"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In addition to the specific uncertainties discussed elsewhere in this Quarterly Report on Form 10-Q, the risk factors set forth in Part I, “Item 1A. Risk Factors” in our Annual Report on Form 10-K for the year ended December 31, 2020,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1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86"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2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247" w:lineRule="exact"/>
        <w:rPr>
          <w:sz w:val="20"/>
          <w:szCs w:val="20"/>
          <w:color w:val="auto"/>
        </w:rPr>
      </w:pPr>
    </w:p>
    <w:p>
      <w:pPr>
        <w:jc w:val="both"/>
        <w:ind w:firstLine="240"/>
        <w:spacing w:after="0" w:line="239" w:lineRule="auto"/>
        <w:rPr>
          <w:sz w:val="20"/>
          <w:szCs w:val="20"/>
          <w:color w:val="auto"/>
        </w:rPr>
      </w:pPr>
      <w:r>
        <w:rPr>
          <w:rFonts w:ascii="Arial" w:cs="Arial" w:eastAsia="Arial" w:hAnsi="Arial"/>
          <w:sz w:val="18"/>
          <w:szCs w:val="18"/>
          <w:color w:val="auto"/>
        </w:rPr>
        <w:t>A novel strain of coronavirus (“COVID-19”) has surfaced and spread around the world, including to the United States. In March 2020, the World Health Organization declared COVID-19 a pandemic. Currently the COVID-19 pandemic has disrupted our business operations and caused a significant unfavorable impact on our results of operations in 2020. The COVID-19 pandemic is creating supply chain disruptions and higher employee absenteeism in our factories and distribution locations.</w:t>
      </w:r>
    </w:p>
    <w:p>
      <w:pPr>
        <w:spacing w:after="0" w:line="216"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the COVID-19 pandemic continues, health concern risks remain. We cannot predict whether any of our manufacturing, operational or distribution facilities will experience disruptions, or how long such disruptions would last. It also remains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23" w:name="page24"/>
    <w:bookmarkEnd w:id="23"/>
    <w:p>
      <w:pPr>
        <w:jc w:val="both"/>
        <w:spacing w:after="0" w:line="258" w:lineRule="auto"/>
        <w:rPr>
          <w:sz w:val="20"/>
          <w:szCs w:val="20"/>
          <w:color w:val="auto"/>
        </w:rPr>
      </w:pPr>
      <w:r>
        <w:rPr>
          <w:rFonts w:ascii="Arial" w:cs="Arial" w:eastAsia="Arial" w:hAnsi="Arial"/>
          <w:sz w:val="18"/>
          <w:szCs w:val="18"/>
          <w:color w:val="auto"/>
        </w:rPr>
        <w:t>unclear how various national, state, and local governments will react if the distribution of vaccines is slower than expected or new variants of the virus become more dominant. If the COVID-19 pandemic worsens or the pandemic continues longer than presently expected, COVID 19 could impact our results of operations, financial position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Results for the second quarter of 2021 were driven by year over year sales and profit increases across all of our business segments. The Residential Heating &amp; Cooling segment saw a 30% increase in net sales and a $62 million increase in segment profit. The Commercial Heating &amp; Cooling segment had a 34% increase in net sales and a $10 million increase in segment profit. The Refrigeration segment had a 37% increase in net sales and a $5 million increase in segment profit.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7" w:lineRule="exact"/>
        <w:rPr>
          <w:sz w:val="20"/>
          <w:szCs w:val="20"/>
          <w:color w:val="auto"/>
        </w:rPr>
      </w:pPr>
    </w:p>
    <w:p>
      <w:pPr>
        <w:ind w:left="640" w:hanging="313"/>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sales increased $298 million to $1,239 million in the second quarter of 2021 driven by net volume increases and favorable price and mix.</w:t>
      </w:r>
    </w:p>
    <w:p>
      <w:pPr>
        <w:spacing w:after="0" w:line="30" w:lineRule="exact"/>
        <w:rPr>
          <w:rFonts w:ascii="Arial" w:cs="Arial" w:eastAsia="Arial" w:hAnsi="Arial"/>
          <w:sz w:val="17"/>
          <w:szCs w:val="17"/>
          <w:color w:val="auto"/>
        </w:rPr>
      </w:pPr>
    </w:p>
    <w:p>
      <w:pPr>
        <w:ind w:left="640" w:hanging="313"/>
        <w:spacing w:after="0" w:line="24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in the second quarter of 2021 increased $80 million to $216 million primarily driven by higher net sales and an improved gross margin percentage partially offset by higher SG&amp;A costs.</w:t>
      </w: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for the second quarter of 2021 increased $70 million to $170 million.</w:t>
      </w:r>
    </w:p>
    <w:p>
      <w:pPr>
        <w:spacing w:after="0" w:line="6"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$4.51 per share in the second quarter of 2021 compared to $2.62 per share in the second quarter of 2020.</w:t>
      </w:r>
    </w:p>
    <w:p>
      <w:pPr>
        <w:ind w:left="640" w:hanging="313"/>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six months ended June 30, 2021, we returned $59 million to shareholders through dividend payments and repurchased $400 million of common stock through our share repurchase program.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2021 Compared to Second Quarter of 2020 - Consolidated Results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rPr>
              <w:t>For the Three Months Ended June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180"/>
              <w:spacing w:after="0"/>
              <w:rPr>
                <w:sz w:val="20"/>
                <w:szCs w:val="20"/>
                <w:color w:val="auto"/>
              </w:rPr>
            </w:pPr>
            <w:r>
              <w:rPr>
                <w:rFonts w:ascii="Arial" w:cs="Arial" w:eastAsia="Arial" w:hAnsi="Arial"/>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Percent</w:t>
            </w:r>
          </w:p>
        </w:tc>
        <w:tc>
          <w:tcPr>
            <w:tcW w:w="248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7" w:lineRule="exact"/>
              <w:rPr>
                <w:sz w:val="20"/>
                <w:szCs w:val="20"/>
                <w:color w:val="auto"/>
              </w:rPr>
            </w:pPr>
            <w:r>
              <w:rPr>
                <w:rFonts w:ascii="Arial" w:cs="Arial" w:eastAsia="Arial" w:hAnsi="Arial"/>
                <w:sz w:val="14"/>
                <w:szCs w:val="14"/>
                <w:b w:val="1"/>
                <w:bCs w:val="1"/>
                <w:color w:val="auto"/>
              </w:rPr>
              <w:t>Change</w:t>
            </w:r>
          </w:p>
        </w:tc>
        <w:tc>
          <w:tcPr>
            <w:tcW w:w="118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1"/>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Fav/(Unfav)</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941.3</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31.6 %</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2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(28.6)</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129.5</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natural disasters, net of insurance recoveries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58.8 %</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17.4 %</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increased 32% in the second quarter of 2021 compared to the second quarter of 2020 driven by higher sales volumes of 27%, favorable combined price and mix of 3% and favorable foreign currency of 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4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Gross profit margin in the second quarter of 2021 increased 160 basis points ("bps") to 30.9% compared to 29.3% in the second quarter of 2020. We saw margin increases of 260 bps from favorable price and mix, and 90 bps from factory productivity, which were partially offset by 120 bps from higher commodity costs, 40 bps from higher other product costs, 10 bps from higher product warranty costs, 10 bps from higher tariff costs, and 10 bps from higher freight and distribution costs.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7" w:lineRule="exact"/>
        <w:rPr>
          <w:sz w:val="20"/>
          <w:szCs w:val="20"/>
          <w:color w:val="auto"/>
        </w:rPr>
      </w:pPr>
    </w:p>
    <w:p>
      <w:pPr>
        <w:ind w:firstLine="240"/>
        <w:spacing w:after="0" w:line="258" w:lineRule="auto"/>
        <w:rPr>
          <w:sz w:val="20"/>
          <w:szCs w:val="20"/>
          <w:color w:val="auto"/>
        </w:rPr>
      </w:pPr>
      <w:r>
        <w:rPr>
          <w:rFonts w:ascii="Arial" w:cs="Arial" w:eastAsia="Arial" w:hAnsi="Arial"/>
          <w:sz w:val="18"/>
          <w:szCs w:val="18"/>
          <w:color w:val="auto"/>
        </w:rPr>
        <w:t xml:space="preserve">Selling, general and administrative expenses ("SG&amp;A") increased $38 million to $168 million in the second quarter of 2021 compared to $130 million in the second quarter of 2020 due to higher incentive compensation and other employee costs. As a percentage of net sales, SG&amp;A decreased 30 bps to 13.5%. </w:t>
      </w:r>
      <w:r>
        <w:rPr>
          <w:rFonts w:ascii="Arial" w:cs="Arial" w:eastAsia="Arial" w:hAnsi="Arial"/>
          <w:sz w:val="18"/>
          <w:szCs w:val="18"/>
          <w:i w:val="1"/>
          <w:iCs w:val="1"/>
          <w:color w:val="auto"/>
        </w:rPr>
        <w:t>Losses (gains) and Other Expenses, Net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(gains) losses and other expenses, net for the second quarter of 2021 and 2020 included the following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00" w:type="dxa"/>
            <w:vAlign w:val="bottom"/>
          </w:tcPr>
          <w:p>
            <w:pPr>
              <w:spacing w:after="0"/>
              <w:rPr>
                <w:sz w:val="18"/>
                <w:szCs w:val="18"/>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For the Three Months Ended June 30,</w:t>
            </w:r>
          </w:p>
        </w:tc>
      </w:tr>
      <w:tr>
        <w:trPr>
          <w:trHeight w:val="207"/>
        </w:trPr>
        <w:tc>
          <w:tcPr>
            <w:tcW w:w="85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 losses on settled futures contracts</w:t>
            </w: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95"/>
              </w:rPr>
              <w:t>0.1</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Foreign currency exchange gains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512"/>
              <w:spacing w:after="0"/>
              <w:rPr>
                <w:sz w:val="20"/>
                <w:szCs w:val="20"/>
                <w:color w:val="auto"/>
              </w:rPr>
            </w:pPr>
            <w:r>
              <w:rPr>
                <w:rFonts w:ascii="Arial" w:cs="Arial" w:eastAsia="Arial" w:hAnsi="Arial"/>
                <w:sz w:val="18"/>
                <w:szCs w:val="18"/>
                <w:color w:val="auto"/>
                <w:w w:val="91"/>
              </w:rPr>
              <w:t>(2.1)</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disposal of fixed assets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1"/>
              </w:rPr>
              <w:t>(0.2)</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512"/>
              <w:spacing w:after="0"/>
              <w:rPr>
                <w:sz w:val="20"/>
                <w:szCs w:val="20"/>
                <w:color w:val="auto"/>
              </w:rPr>
            </w:pPr>
            <w:r>
              <w:rPr>
                <w:rFonts w:ascii="Arial" w:cs="Arial" w:eastAsia="Arial" w:hAnsi="Arial"/>
                <w:sz w:val="18"/>
                <w:szCs w:val="18"/>
                <w:color w:val="auto"/>
                <w:w w:val="91"/>
              </w:rPr>
              <w:t>(1.2)</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95"/>
              </w:rPr>
              <w:t>0.8</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Special legal contingency charges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532"/>
              <w:spacing w:after="0"/>
              <w:rPr>
                <w:sz w:val="20"/>
                <w:szCs w:val="20"/>
                <w:color w:val="auto"/>
              </w:rPr>
            </w:pPr>
            <w:r>
              <w:rPr>
                <w:rFonts w:ascii="Arial" w:cs="Arial" w:eastAsia="Arial" w:hAnsi="Arial"/>
                <w:sz w:val="18"/>
                <w:szCs w:val="18"/>
                <w:color w:val="auto"/>
                <w:w w:val="95"/>
              </w:rPr>
              <w:t>0.7</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Asbestos-related litigation</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95"/>
              </w:rPr>
              <w:t>1.2</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Environmental liabilities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532"/>
              <w:spacing w:after="0"/>
              <w:rPr>
                <w:sz w:val="20"/>
                <w:szCs w:val="20"/>
                <w:color w:val="auto"/>
              </w:rPr>
            </w:pPr>
            <w:r>
              <w:rPr>
                <w:rFonts w:ascii="Arial" w:cs="Arial" w:eastAsia="Arial" w:hAnsi="Arial"/>
                <w:sz w:val="18"/>
                <w:szCs w:val="18"/>
                <w:color w:val="auto"/>
                <w:w w:val="95"/>
              </w:rPr>
              <w:t>1.1</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incurred related to COVID-19 pandemic</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95"/>
              </w:rPr>
              <w:t>3.4</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net</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91"/>
              </w:rPr>
              <w:t>(0.2)</w:t>
            </w:r>
          </w:p>
        </w:tc>
      </w:tr>
      <w:tr>
        <w:trPr>
          <w:trHeight w:val="245"/>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Losses (gains) and other expenses, net (pre-tax)</w:t>
            </w:r>
          </w:p>
        </w:tc>
        <w:tc>
          <w:tcPr>
            <w:tcW w:w="86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8"/>
                <w:szCs w:val="18"/>
                <w:color w:val="auto"/>
                <w:w w:val="95"/>
              </w:rPr>
              <w:t>3.6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net change in unrealized (gains) losses on unsettled futures contracts was due to changes in commodity prices relative to the unsettled futures contract prices. For more information on our futures contracts, see Note 7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Restructuring charges were $1 million in the second quarter of 2021 compared to $10 million in the second quarter of 2020. Restructuring charges related to ongoing cost reduction actions taken in prior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related to Natural Disasters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insignificant charges recorded during 2020 were for continuing costs incurred related to natural disasters that occurred in prior years.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4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$4 million in the second quarter of 2021 was down slightly compared to the second quarter of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Interest expense, net was down $1 million to $6 million in the second quarter of 2021 from $7 million in the second quarter of 2020 due to lower borrowing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Income Taxes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Our effective tax rate was 18.6% for the second quarter of 2021 compared to 21.4% for the second quarter of 2020. The rate decreased primarily due to an increase in excess tax benefits from stock based compensation.</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expect our annual effective tax rate in 2021 to be approximately 20%, after excluding the impacts of excess tax benefits recorded under ASU No. 2016-09.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2021 Compared to Second Quarter of 2020 - Results by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second quarter of 2021 and 2020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Three Months Ended June 30,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5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4"/>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838.0</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644.8</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27"/>
        </w:trPr>
        <w:tc>
          <w:tcPr>
            <w:tcW w:w="5280" w:type="dxa"/>
            <w:vAlign w:val="bottom"/>
          </w:tcPr>
          <w:p>
            <w:pPr>
              <w:ind w:left="2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49.0 %</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7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increased 30% in the second quarter of 2021 compared to the second quarter of 2020. Sales volume was 27% higher, price and mix combined improved 2% and foreign currency improved 1%.</w:t>
      </w:r>
    </w:p>
    <w:p>
      <w:pPr>
        <w:spacing w:after="0" w:line="201"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Segment profit in the second quarter of 2021 compared to 2020 increased $62 million primarily due to $54 million from higher volume, $18 million from favorable price, $13 million of higher factory productivity, $4 million of favorable foreign currency, $2 million of sourcing and engineering-led cost reductions, and $1 million of favorable freight and distribution expense. Partially offsetting these increases were $13 million of higher commodity costs and tariffs, $13 million of higher SG&amp;A, $2 million from unfavorable mix and $2 million of higher product costs and warranties.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second quarter of 2021 and 2020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June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252.8</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188.3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r>
      <w:tr>
        <w:trPr>
          <w:trHeight w:val="227"/>
        </w:trPr>
        <w:tc>
          <w:tcPr>
            <w:tcW w:w="5340" w:type="dxa"/>
            <w:vAlign w:val="bottom"/>
          </w:tcPr>
          <w:p>
            <w:pPr>
              <w:ind w:left="2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27.2 %</w:t>
            </w:r>
          </w:p>
        </w:tc>
      </w:tr>
      <w:tr>
        <w:trPr>
          <w:trHeight w:val="22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increased 34% in the second quarter of 2021 compared to the second quarter of 2020. Sales volume was 29% higher, price and mix combined improved 4%, and foreign currency improved 1%.</w:t>
      </w:r>
    </w:p>
    <w:p>
      <w:pPr>
        <w:spacing w:after="0" w:line="20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Segment profit in the second quarter of 2021 compared to 2020 increased $10 million primarily due to $19 million from higher volume and $4 million from favorable mix. Partially offsetting these increases were $4 million of higher SG&amp;A, $3 million of higher other product costs, $2 million of factory inefficiencies, $2 million of higher material costs and tariffs, $1 million of sourcing and engineering-led cost increases and $1 million of higher freight and distribution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Refrigeration</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second quarter of 2021 and 2020 (dollars in millions):</w:t>
      </w:r>
    </w:p>
    <w:p>
      <w:pPr>
        <w:spacing w:after="0" w:line="47"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4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6"/>
                <w:szCs w:val="16"/>
                <w:b w:val="1"/>
                <w:bCs w:val="1"/>
                <w:color w:val="auto"/>
                <w:w w:val="97"/>
              </w:rPr>
              <w:t>For the Three Months Ended June 30,</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215"/>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400" w:type="dxa"/>
            <w:vAlign w:val="bottom"/>
          </w:tcPr>
          <w:p>
            <w:pPr>
              <w:jc w:val="right"/>
              <w:ind w:right="74"/>
              <w:spacing w:after="0"/>
              <w:rPr>
                <w:sz w:val="20"/>
                <w:szCs w:val="20"/>
                <w:color w:val="auto"/>
              </w:rPr>
            </w:pPr>
            <w:r>
              <w:rPr>
                <w:rFonts w:ascii="Arial" w:cs="Arial" w:eastAsia="Arial" w:hAnsi="Arial"/>
                <w:sz w:val="16"/>
                <w:szCs w:val="16"/>
                <w:b w:val="1"/>
                <w:bCs w:val="1"/>
                <w:color w:val="auto"/>
              </w:rPr>
              <w:t>% Change</w:t>
            </w:r>
          </w:p>
        </w:tc>
      </w:tr>
      <w:tr>
        <w:trPr>
          <w:trHeight w:val="223"/>
        </w:trPr>
        <w:tc>
          <w:tcPr>
            <w:tcW w:w="4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5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148.2</w:t>
            </w:r>
          </w:p>
        </w:tc>
        <w:tc>
          <w:tcPr>
            <w:tcW w:w="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108.2</w:t>
            </w:r>
          </w:p>
        </w:tc>
        <w:tc>
          <w:tcPr>
            <w:tcW w:w="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37.0</w:t>
            </w:r>
          </w:p>
        </w:tc>
      </w:tr>
      <w:tr>
        <w:trPr>
          <w:trHeight w:val="227"/>
        </w:trPr>
        <w:tc>
          <w:tcPr>
            <w:tcW w:w="4140" w:type="dxa"/>
            <w:vAlign w:val="bottom"/>
          </w:tcPr>
          <w:p>
            <w:pPr>
              <w:ind w:left="260"/>
              <w:spacing w:after="0"/>
              <w:rPr>
                <w:sz w:val="20"/>
                <w:szCs w:val="20"/>
                <w:color w:val="auto"/>
              </w:rPr>
            </w:pPr>
            <w:r>
              <w:rPr>
                <w:rFonts w:ascii="Arial" w:cs="Arial" w:eastAsia="Arial" w:hAnsi="Arial"/>
                <w:sz w:val="18"/>
                <w:szCs w:val="18"/>
                <w:color w:val="auto"/>
              </w:rPr>
              <w:t>Profit</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8.9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400" w:type="dxa"/>
            <w:vAlign w:val="bottom"/>
          </w:tcPr>
          <w:p>
            <w:pPr>
              <w:jc w:val="right"/>
              <w:ind w:right="254"/>
              <w:spacing w:after="0"/>
              <w:rPr>
                <w:sz w:val="20"/>
                <w:szCs w:val="20"/>
                <w:color w:val="auto"/>
              </w:rPr>
            </w:pPr>
            <w:r>
              <w:rPr>
                <w:rFonts w:ascii="Arial" w:cs="Arial" w:eastAsia="Arial" w:hAnsi="Arial"/>
                <w:sz w:val="18"/>
                <w:szCs w:val="18"/>
                <w:color w:val="auto"/>
              </w:rPr>
              <w:t>51.7</w:t>
            </w:r>
          </w:p>
        </w:tc>
      </w:tr>
      <w:tr>
        <w:trPr>
          <w:trHeight w:val="227"/>
        </w:trPr>
        <w:tc>
          <w:tcPr>
            <w:tcW w:w="4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of net sales</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ind w:right="120" w:firstLine="240"/>
        <w:spacing w:after="0" w:line="255" w:lineRule="auto"/>
        <w:rPr>
          <w:sz w:val="20"/>
          <w:szCs w:val="20"/>
          <w:color w:val="auto"/>
        </w:rPr>
      </w:pPr>
      <w:r>
        <w:rPr>
          <w:rFonts w:ascii="Arial" w:cs="Arial" w:eastAsia="Arial" w:hAnsi="Arial"/>
          <w:sz w:val="18"/>
          <w:szCs w:val="18"/>
          <w:color w:val="auto"/>
        </w:rPr>
        <w:t>Net sales increased 37% in the second quarter of 2021 compared to the second quarter of 2020. Sales volume was 30% higher, foreign currency was 5% favorable, and combined price and mix improved 2%.</w:t>
      </w:r>
    </w:p>
    <w:p>
      <w:pPr>
        <w:jc w:val="both"/>
        <w:ind w:right="100" w:firstLine="240"/>
        <w:spacing w:after="0" w:line="250" w:lineRule="auto"/>
        <w:rPr>
          <w:sz w:val="20"/>
          <w:szCs w:val="20"/>
          <w:color w:val="auto"/>
        </w:rPr>
      </w:pPr>
      <w:r>
        <w:rPr>
          <w:rFonts w:ascii="Arial" w:cs="Arial" w:eastAsia="Arial" w:hAnsi="Arial"/>
          <w:sz w:val="18"/>
          <w:szCs w:val="18"/>
          <w:color w:val="auto"/>
        </w:rPr>
        <w:t>Segment profit in the second quarter of 2021 compared to 2020 increased $5 million compared to 2020 primarily due to $11 million from higher volume, $2 million from favorable price, and $1 million of sourcing and engineering-led cost reductions. Partially offsetting these increases were $6 million from higher SG&amp;A, $1 million of higher freight and distribution expense, $1 million from higher commodity costs, and $1 million from unfavorable foreign currency exchange.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47"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Corporate and other expenses increased $8 million to $27 million in the second quarter of 2021 compared to 2020 primarily due to $6 million of increased variable compensation costs associated with performance and $2 million of higher employee costs.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2021 Compared to Year-to-Date through June 30, 2020 - Consolidated Results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For the Six Months Ended June 30,</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Percent</w:t>
            </w:r>
          </w:p>
        </w:tc>
        <w:tc>
          <w:tcPr>
            <w:tcW w:w="262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1"/>
                <w:szCs w:val="11"/>
                <w:color w:val="auto"/>
              </w:rPr>
            </w:pPr>
          </w:p>
        </w:tc>
        <w:tc>
          <w:tcPr>
            <w:tcW w:w="1320" w:type="dxa"/>
            <w:vAlign w:val="bottom"/>
            <w:gridSpan w:val="2"/>
          </w:tcPr>
          <w:p>
            <w:pPr>
              <w:jc w:val="center"/>
              <w:ind w:right="160"/>
              <w:spacing w:after="0" w:line="127" w:lineRule="exact"/>
              <w:rPr>
                <w:sz w:val="20"/>
                <w:szCs w:val="20"/>
                <w:color w:val="auto"/>
              </w:rPr>
            </w:pPr>
            <w:r>
              <w:rPr>
                <w:rFonts w:ascii="Arial" w:cs="Arial" w:eastAsia="Arial" w:hAnsi="Arial"/>
                <w:sz w:val="14"/>
                <w:szCs w:val="14"/>
                <w:b w:val="1"/>
                <w:bCs w:val="1"/>
                <w:color w:val="auto"/>
              </w:rPr>
              <w:t>Change</w:t>
            </w:r>
          </w:p>
        </w:tc>
        <w:tc>
          <w:tcPr>
            <w:tcW w:w="124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Fav/(Unfav)</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2,169.4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1,665.1</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Pr>
          <w:p>
            <w:pPr>
              <w:spacing w:after="0"/>
              <w:rPr>
                <w:sz w:val="19"/>
                <w:szCs w:val="19"/>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Loss (gain) from natural disasters, net of insurance recoveries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equity method investments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15.2 %</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47" w:lineRule="exact"/>
        <w:rPr>
          <w:sz w:val="20"/>
          <w:szCs w:val="20"/>
          <w:color w:val="auto"/>
        </w:rPr>
      </w:pPr>
    </w:p>
    <w:p>
      <w:pPr>
        <w:jc w:val="both"/>
        <w:ind w:right="120" w:firstLine="240"/>
        <w:spacing w:after="0" w:line="255" w:lineRule="auto"/>
        <w:rPr>
          <w:sz w:val="20"/>
          <w:szCs w:val="20"/>
          <w:color w:val="auto"/>
        </w:rPr>
      </w:pPr>
      <w:r>
        <w:rPr>
          <w:rFonts w:ascii="Arial" w:cs="Arial" w:eastAsia="Arial" w:hAnsi="Arial"/>
          <w:sz w:val="18"/>
          <w:szCs w:val="18"/>
          <w:color w:val="auto"/>
        </w:rPr>
        <w:t>Net sales increased 30% in the six months ended June 30, 2021 compared to the six months ended June 30, 2020 due to higher sales volumes of 26%, favorable combined price and mix of 3%, and a 1% increase due to foreign currency.</w:t>
      </w:r>
    </w:p>
    <w:p>
      <w:pPr>
        <w:spacing w:after="0"/>
        <w:rPr>
          <w:sz w:val="20"/>
          <w:szCs w:val="20"/>
          <w:color w:val="auto"/>
        </w:rPr>
      </w:pPr>
      <w:r>
        <w:rPr>
          <w:rFonts w:ascii="Arial" w:cs="Arial" w:eastAsia="Arial" w:hAnsi="Arial"/>
          <w:sz w:val="18"/>
          <w:szCs w:val="18"/>
          <w:i w:val="1"/>
          <w:iCs w:val="1"/>
          <w:color w:val="auto"/>
        </w:rPr>
        <w:t>Gross Profit</w:t>
      </w:r>
    </w:p>
    <w:p>
      <w:pPr>
        <w:spacing w:after="0" w:line="234" w:lineRule="exact"/>
        <w:rPr>
          <w:sz w:val="20"/>
          <w:szCs w:val="20"/>
          <w:color w:val="auto"/>
        </w:rPr>
      </w:pPr>
    </w:p>
    <w:p>
      <w:pPr>
        <w:jc w:val="both"/>
        <w:ind w:right="100" w:firstLine="240"/>
        <w:spacing w:after="0" w:line="258" w:lineRule="auto"/>
        <w:rPr>
          <w:sz w:val="20"/>
          <w:szCs w:val="20"/>
          <w:color w:val="auto"/>
        </w:rPr>
      </w:pPr>
      <w:r>
        <w:rPr>
          <w:rFonts w:ascii="Arial" w:cs="Arial" w:eastAsia="Arial" w:hAnsi="Arial"/>
          <w:sz w:val="18"/>
          <w:szCs w:val="18"/>
          <w:color w:val="auto"/>
        </w:rPr>
        <w:t>Gross profit margins for the six months ended June 30, 2021 increased 300 bps to 29.5% compared to 26.5% for the six months ended June 30, 2020. We saw margin increases of 280 bps from favorable price and mix, 100 bps from factory productivity, and 40 bps from sourcing and engineering-led cost reductions which were partially offset by 80 bps from higher</w:t>
      </w:r>
    </w:p>
    <w:p>
      <w:pPr>
        <w:spacing w:after="0" w:line="200" w:lineRule="exact"/>
        <w:rPr>
          <w:sz w:val="20"/>
          <w:szCs w:val="20"/>
          <w:color w:val="auto"/>
        </w:rPr>
      </w:pPr>
    </w:p>
    <w:p>
      <w:pPr>
        <w:spacing w:after="0" w:line="3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commodity costs and 40 bps from higher other product costs.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SG&amp;A increased $52 million to $313 million for the six months ended June 30, 2021 compared to $261 million for the six months ended June 30, 2020 primarily due to higher incentive compensation costs and higher other employee related costs. As a percentage of net sales, SG&amp;A decreased 130 bps to 14.4% from 15.7%.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(gains) and other expenses, net for the six months ended June 30, 2021 and 2020 included the following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8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380" w:type="dxa"/>
            <w:vAlign w:val="bottom"/>
            <w:tcBorders>
              <w:bottom w:val="single" w:sz="8" w:color="auto"/>
            </w:tcBorders>
          </w:tcPr>
          <w:p>
            <w:pPr>
              <w:spacing w:after="0"/>
              <w:rPr>
                <w:sz w:val="18"/>
                <w:szCs w:val="18"/>
                <w:color w:val="auto"/>
              </w:rPr>
            </w:pPr>
          </w:p>
        </w:tc>
      </w:tr>
      <w:tr>
        <w:trPr>
          <w:trHeight w:val="210"/>
        </w:trPr>
        <w:tc>
          <w:tcPr>
            <w:tcW w:w="85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shd w:val="clear" w:color="auto" w:fill="CCEEFF"/>
          </w:tcPr>
          <w:p>
            <w:pPr>
              <w:spacing w:after="0"/>
              <w:rPr>
                <w:sz w:val="18"/>
                <w:szCs w:val="18"/>
                <w:color w:val="auto"/>
              </w:rPr>
            </w:pPr>
          </w:p>
        </w:tc>
      </w:tr>
      <w:tr>
        <w:trPr>
          <w:trHeight w:val="220"/>
        </w:trPr>
        <w:tc>
          <w:tcPr>
            <w:tcW w:w="8580" w:type="dxa"/>
            <w:vAlign w:val="bottom"/>
          </w:tcPr>
          <w:p>
            <w:pPr>
              <w:ind w:left="20"/>
              <w:spacing w:after="0"/>
              <w:rPr>
                <w:sz w:val="20"/>
                <w:szCs w:val="20"/>
                <w:color w:val="auto"/>
              </w:rPr>
            </w:pPr>
            <w:r>
              <w:rPr>
                <w:rFonts w:ascii="Arial" w:cs="Arial" w:eastAsia="Arial" w:hAnsi="Arial"/>
                <w:sz w:val="18"/>
                <w:szCs w:val="18"/>
                <w:color w:val="auto"/>
              </w:rPr>
              <w:t>Realized (gains) losses on settled futures contracts</w:t>
            </w:r>
          </w:p>
        </w:tc>
        <w:tc>
          <w:tcPr>
            <w:tcW w:w="840" w:type="dxa"/>
            <w:vAlign w:val="bottom"/>
          </w:tcPr>
          <w:p>
            <w:pPr>
              <w:jc w:val="right"/>
              <w:ind w:right="657"/>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97"/>
              </w:rPr>
              <w:t>(0.6)</w:t>
            </w:r>
          </w:p>
        </w:tc>
        <w:tc>
          <w:tcPr>
            <w:tcW w:w="16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gains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w:t>
            </w:r>
          </w:p>
        </w:tc>
      </w:tr>
      <w:tr>
        <w:trPr>
          <w:trHeight w:val="227"/>
        </w:trPr>
        <w:tc>
          <w:tcPr>
            <w:tcW w:w="8580" w:type="dxa"/>
            <w:vAlign w:val="bottom"/>
          </w:tcPr>
          <w:p>
            <w:pPr>
              <w:ind w:left="20"/>
              <w:spacing w:after="0"/>
              <w:rPr>
                <w:sz w:val="20"/>
                <w:szCs w:val="20"/>
                <w:color w:val="auto"/>
              </w:rPr>
            </w:pPr>
            <w:r>
              <w:rPr>
                <w:rFonts w:ascii="Arial" w:cs="Arial" w:eastAsia="Arial" w:hAnsi="Arial"/>
                <w:sz w:val="18"/>
                <w:szCs w:val="18"/>
                <w:color w:val="auto"/>
              </w:rPr>
              <w:t>Gain on disposal of fixed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7"/>
              </w:rPr>
              <w:t>(0.5)</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1"/>
              </w:rPr>
              <w:t>(0.1)</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(0.6)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w:t>
            </w:r>
          </w:p>
        </w:tc>
      </w:tr>
      <w:tr>
        <w:trPr>
          <w:trHeight w:val="227"/>
        </w:trPr>
        <w:tc>
          <w:tcPr>
            <w:tcW w:w="8580" w:type="dxa"/>
            <w:vAlign w:val="bottom"/>
          </w:tcPr>
          <w:p>
            <w:pPr>
              <w:ind w:left="20"/>
              <w:spacing w:after="0"/>
              <w:rPr>
                <w:sz w:val="20"/>
                <w:szCs w:val="20"/>
                <w:color w:val="auto"/>
              </w:rPr>
            </w:pPr>
            <w:r>
              <w:rPr>
                <w:rFonts w:ascii="Arial" w:cs="Arial" w:eastAsia="Arial" w:hAnsi="Arial"/>
                <w:sz w:val="18"/>
                <w:szCs w:val="18"/>
                <w:color w:val="auto"/>
              </w:rPr>
              <w:t>Net change in unrealized (gains) losses on unsettled futures contracts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7"/>
              </w:rPr>
              <w:t>(0.2)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7"/>
        </w:trPr>
        <w:tc>
          <w:tcPr>
            <w:tcW w:w="8580" w:type="dxa"/>
            <w:vAlign w:val="bottom"/>
          </w:tcPr>
          <w:p>
            <w:pPr>
              <w:ind w:left="2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(0.5)</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liabilities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8580" w:type="dxa"/>
            <w:vAlign w:val="bottom"/>
          </w:tcPr>
          <w:p>
            <w:pPr>
              <w:ind w:left="20"/>
              <w:spacing w:after="0"/>
              <w:rPr>
                <w:sz w:val="20"/>
                <w:szCs w:val="20"/>
                <w:color w:val="auto"/>
              </w:rPr>
            </w:pPr>
            <w:r>
              <w:rPr>
                <w:rFonts w:ascii="Arial" w:cs="Arial" w:eastAsia="Arial" w:hAnsi="Arial"/>
                <w:sz w:val="18"/>
                <w:szCs w:val="18"/>
                <w:color w:val="auto"/>
              </w:rPr>
              <w:t>Charges incurred related to COVID-19 pandemic</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 net</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(0.2)</w:t>
            </w: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(0.2)</w:t>
            </w:r>
          </w:p>
        </w:tc>
      </w:tr>
      <w:tr>
        <w:trPr>
          <w:trHeight w:val="220"/>
        </w:trPr>
        <w:tc>
          <w:tcPr>
            <w:tcW w:w="8580" w:type="dxa"/>
            <w:vAlign w:val="bottom"/>
          </w:tcPr>
          <w:p>
            <w:pPr>
              <w:ind w:left="220"/>
              <w:spacing w:after="0"/>
              <w:rPr>
                <w:sz w:val="20"/>
                <w:szCs w:val="20"/>
                <w:color w:val="auto"/>
              </w:rPr>
            </w:pPr>
            <w:r>
              <w:rPr>
                <w:rFonts w:ascii="Arial" w:cs="Arial" w:eastAsia="Arial" w:hAnsi="Arial"/>
                <w:sz w:val="18"/>
                <w:szCs w:val="18"/>
                <w:color w:val="auto"/>
              </w:rPr>
              <w:t>Losses (gains) and other expenses, net (pre-tax)</w:t>
            </w:r>
          </w:p>
        </w:tc>
        <w:tc>
          <w:tcPr>
            <w:tcW w:w="84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net change in unrealized losses on unsettled futures contracts was due to changes in commodity prices relative to the unsettled futures contract prices. For more information on our futures contracts, see Note 7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Restructuring charges were $1 million in the first six months of 2021 and $11 million for the six months ended June 30, 2020. Charges in prior years related to several cost reduction actions taken in response to the economic impact of the COVID-19 pandemic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related to Natural Disasters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insignificant charges recorded during 2020 were for continuing costs incurred related to natural disasters that occurred in prior years.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Income from equity method investments of $7 million for the six months ended June 30, 2021 was consistent with the amount for the six months ended June 30,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Interest expense, net was down $3 million for the six months ended June 30, 2021 compared to the six months ended June 30, 2020 primarily due to lower borrowing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Income Taxes</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effective tax rate decreased to 19.3% for the six months ended June 30, 2021 compared to 26.8% for the six months ended June 30, 2020 primarily due to higher excess tax benefits from stock-based compensation and the recording of a valuation allowance on certain foreign deferred tax assets recorded in the first quarter of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2021 Compared to Year-to-Date through June 30, 2020 - Results by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six months ended June 30, 2021 and 2020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Borders>
              <w:top w:val="single" w:sz="8" w:color="CCEEFF"/>
            </w:tcBorders>
            <w:shd w:val="clear" w:color="auto" w:fill="CCEEFF"/>
          </w:tcPr>
          <w:p>
            <w:pPr>
              <w:jc w:val="right"/>
              <w:ind w:right="23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53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1,444.2</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1,086.9</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32.9 %</w:t>
            </w:r>
          </w:p>
        </w:tc>
      </w:tr>
      <w:tr>
        <w:trPr>
          <w:trHeight w:val="22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286.1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79.0 %</w:t>
            </w:r>
          </w:p>
        </w:tc>
      </w:tr>
      <w:tr>
        <w:trPr>
          <w:trHeight w:val="226"/>
        </w:trPr>
        <w:tc>
          <w:tcPr>
            <w:tcW w:w="53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7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increased 33% in the six months ended June 30, 2021 compared to the six months ended June 30, 2020. Sales volume was 29% higher, price and mix combined improved 3%, and foreign currency improved 1%.</w:t>
      </w:r>
    </w:p>
    <w:p>
      <w:pPr>
        <w:spacing w:after="0" w:line="201"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Segment profit in the first six months of 2021 compared to 2020 increased $126 million primarily due to $100 million from higher volume, $25 million from favorable price and mix, $23 million of higher factory productivity, $7 million of sourcing and engineering-led cost reductions, $5 million of favorable currency exchange and $4 million of favorable freight and distribution expense. Partially offsetting these increases were $16 million from higher commodity costs and tariffs, $16 million of higher SG&amp;A, and $6 million of higher warranty and other product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4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six months ended June 30, 2021 and 2020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5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5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452.0</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366.7</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23.3 %</w:t>
            </w:r>
          </w:p>
        </w:tc>
      </w:tr>
      <w:tr>
        <w:trPr>
          <w:trHeight w:val="22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r>
      <w:tr>
        <w:trPr>
          <w:trHeight w:val="226"/>
        </w:trPr>
        <w:tc>
          <w:tcPr>
            <w:tcW w:w="530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306"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Net sales increased 23% in the six months ended June 30, 2021 compared to the six months ended June 30, 2020. Sales volume was 22% higher and price and mix combined improved 1%.</w:t>
      </w:r>
    </w:p>
    <w:p>
      <w:pPr>
        <w:jc w:val="both"/>
        <w:ind w:firstLine="240"/>
        <w:spacing w:after="0" w:line="273" w:lineRule="auto"/>
        <w:rPr>
          <w:sz w:val="20"/>
          <w:szCs w:val="20"/>
          <w:color w:val="auto"/>
        </w:rPr>
      </w:pPr>
      <w:r>
        <w:rPr>
          <w:rFonts w:ascii="Arial" w:cs="Arial" w:eastAsia="Arial" w:hAnsi="Arial"/>
          <w:sz w:val="17"/>
          <w:szCs w:val="17"/>
          <w:color w:val="auto"/>
        </w:rPr>
        <w:t>Segment profit in the first six months of 2021 compared to 2020 increased $18 million primarily due to $27 million from higher volume and $3 million from favorable price and mix. Partially offsetting these improvements were $4 million of higher other product costs, $3 million of higher SG&amp;A, $3 million of factory inefficiencies, $1 million of higher material costs and tariffs, and $1 million of higher freight and distribution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Refrigeration</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Refrigeration segment's net sales and profit for the six months ended June 30, 2021 and 2020 (dollars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440" w:type="dxa"/>
            <w:vAlign w:val="bottom"/>
            <w:tcBorders>
              <w:top w:val="single" w:sz="8" w:color="CCEEFF"/>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52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273.2</w:t>
            </w:r>
          </w:p>
        </w:tc>
        <w:tc>
          <w:tcPr>
            <w:tcW w:w="160" w:type="dxa"/>
            <w:vAlign w:val="bottom"/>
          </w:tcPr>
          <w:p>
            <w:pPr>
              <w:spacing w:after="0"/>
              <w:rPr>
                <w:sz w:val="19"/>
                <w:szCs w:val="19"/>
                <w:color w:val="auto"/>
              </w:rPr>
            </w:pP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211.5</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29.2 %</w:t>
            </w: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122.9 %</w:t>
            </w:r>
          </w:p>
        </w:tc>
      </w:tr>
      <w:tr>
        <w:trPr>
          <w:trHeight w:val="226"/>
        </w:trPr>
        <w:tc>
          <w:tcPr>
            <w:tcW w:w="52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32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sales increased 29% for the six months ended June 30, 2021 compared to the six months ended June 30, 2020. Sales volume was 23% higher, foreign currency improved 4% and combined price and mix was 2% higher.</w:t>
      </w:r>
    </w:p>
    <w:p>
      <w:pPr>
        <w:spacing w:after="0" w:line="20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Segment profit in the first six months of 2021 compared to 2020 increased $12 million primarily due to $16 million from higher volume, $5 million from favorable price and mix, $2 million from sourcing and engineering-led cost reductions, and $1 million of higher factory productivity. Partially offsetting these increases were $8 million of higher SG&amp;A, $1 million of higher commodity costs, $1 million of higher freight and distribution expense, $1 million of higher other product costs, and $1 million of unfavorable foreign currency exchange</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and Other</w:t>
      </w:r>
    </w:p>
    <w:p>
      <w:pPr>
        <w:spacing w:after="0" w:line="24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Corporate and other expenses increased $10 million in the six months ended June 30, 2021 compared to the six months ended June 30, 2020 primarily due to higher incentive compensation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six months ended June 30, 2021 and 2020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40" w:type="dxa"/>
            <w:vAlign w:val="bottom"/>
            <w:tcBorders>
              <w:bottom w:val="single" w:sz="8" w:color="CCEEFF"/>
            </w:tcBorders>
          </w:tcPr>
          <w:p>
            <w:pPr>
              <w:spacing w:after="0"/>
              <w:rPr>
                <w:sz w:val="18"/>
                <w:szCs w:val="18"/>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For the Six Months Ended June 30,</w:t>
            </w:r>
          </w:p>
        </w:tc>
      </w:tr>
      <w:tr>
        <w:trPr>
          <w:trHeight w:val="210"/>
        </w:trPr>
        <w:tc>
          <w:tcPr>
            <w:tcW w:w="8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20"/>
        </w:trPr>
        <w:tc>
          <w:tcPr>
            <w:tcW w:w="86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174.5</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6"/>
        </w:trPr>
        <w:tc>
          <w:tcPr>
            <w:tcW w:w="864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r>
    </w:tbl>
    <w:p>
      <w:pPr>
        <w:spacing w:after="0" w:line="306"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change in net cash used in operating activities for the six months ended June,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reflects an increase in operating income and favorable changes in working capital.</w:t>
      </w:r>
    </w:p>
    <w:p>
      <w:pPr>
        <w:spacing w:after="0" w:line="20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Capital expenditures were $46 million in the six months ended June 30, 2021 compared to $44 million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2020. Capital expenditures in 2021 were primarily related to the expansion of manufacturing capacity and equipment, and investments in systems and software to support the overall enterprise.</w:t>
      </w:r>
    </w:p>
    <w:p>
      <w:pPr>
        <w:spacing w:after="0" w:line="2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i w:val="1"/>
          <w:iCs w:val="1"/>
          <w:color w:val="auto"/>
        </w:rPr>
        <w:t xml:space="preserve">Net Cash (Used in) provided by Financing Activities - </w:t>
      </w:r>
      <w:r>
        <w:rPr>
          <w:rFonts w:ascii="Arial" w:cs="Arial" w:eastAsia="Arial" w:hAnsi="Arial"/>
          <w:sz w:val="18"/>
          <w:szCs w:val="18"/>
          <w:color w:val="auto"/>
        </w:rPr>
        <w:t>Net cash (used in) provided by financing activities in the six months ended June 30, 2021 changed</w:t>
      </w:r>
      <w:r>
        <w:rPr>
          <w:rFonts w:ascii="Arial" w:cs="Arial" w:eastAsia="Arial" w:hAnsi="Arial"/>
          <w:sz w:val="18"/>
          <w:szCs w:val="18"/>
          <w:i w:val="1"/>
          <w:iCs w:val="1"/>
          <w:color w:val="auto"/>
        </w:rPr>
        <w:t xml:space="preserve"> </w:t>
      </w:r>
      <w:r>
        <w:rPr>
          <w:rFonts w:ascii="Arial" w:cs="Arial" w:eastAsia="Arial" w:hAnsi="Arial"/>
          <w:sz w:val="18"/>
          <w:szCs w:val="18"/>
          <w:color w:val="auto"/>
        </w:rPr>
        <w:t>to a net use of cash of $211 million compared to a net cash inflow of $52 million in the same period of 2020. The change was primarily due to increased share repurchases in the current year compared to the prior year partially offset by increased net borrowings. We repurchased $400 million of shares for the six months ended June 30, 2021 and returned $59 million to shareholders through dividend payments. For additional information on share repurchases, refer to Note 5 in the Notes to the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Debt Position</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lines of credit and financing arrangements as of June 30, 2021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Outstanding</w:t>
            </w:r>
          </w:p>
        </w:tc>
      </w:tr>
      <w:tr>
        <w:trPr>
          <w:trHeight w:val="209"/>
        </w:trPr>
        <w:tc>
          <w:tcPr>
            <w:tcW w:w="9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Borrowings</w:t>
            </w:r>
          </w:p>
        </w:tc>
      </w:tr>
      <w:tr>
        <w:trPr>
          <w:trHeight w:val="211"/>
        </w:trPr>
        <w:tc>
          <w:tcPr>
            <w:tcW w:w="9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8"/>
        </w:trPr>
        <w:tc>
          <w:tcPr>
            <w:tcW w:w="97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27"/>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0"/>
        </w:trPr>
        <w:tc>
          <w:tcPr>
            <w:tcW w:w="9740" w:type="dxa"/>
            <w:vAlign w:val="bottom"/>
          </w:tcPr>
          <w:p>
            <w:pPr>
              <w:ind w:left="240"/>
              <w:spacing w:after="0"/>
              <w:rPr>
                <w:sz w:val="20"/>
                <w:szCs w:val="20"/>
                <w:color w:val="auto"/>
              </w:rPr>
            </w:pPr>
            <w:r>
              <w:rPr>
                <w:rFonts w:ascii="Arial" w:cs="Arial" w:eastAsia="Arial" w:hAnsi="Arial"/>
                <w:sz w:val="18"/>
                <w:szCs w:val="18"/>
                <w:color w:val="auto"/>
              </w:rPr>
              <w:t>Total current maturities of long-term debt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265.9</w:t>
            </w: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7"/>
        </w:trPr>
        <w:tc>
          <w:tcPr>
            <w:tcW w:w="97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7"/>
        </w:trPr>
        <w:tc>
          <w:tcPr>
            <w:tcW w:w="974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0"/>
        </w:trPr>
        <w:tc>
          <w:tcPr>
            <w:tcW w:w="9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w:t>
            </w:r>
          </w:p>
        </w:tc>
      </w:tr>
      <w:tr>
        <w:trPr>
          <w:trHeight w:val="245"/>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1,243.3</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320" w:hanging="313"/>
        <w:spacing w:after="0" w:line="264" w:lineRule="auto"/>
        <w:tabs>
          <w:tab w:leader="none" w:pos="185"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available future borrowings on our domestic credit facility are $743.3 million, after being reduced by the outstanding borrowings and $2.2 million in outstanding standby letters of credit. Refer to Note 10 in the Notes to the Consolidated Financial Statements related to the terms of the Domestic Credit Facility.</w:t>
      </w:r>
    </w:p>
    <w:p>
      <w:pPr>
        <w:spacing w:after="0" w:line="23" w:lineRule="exact"/>
        <w:rPr>
          <w:rFonts w:ascii="Arial" w:cs="Arial" w:eastAsia="Arial" w:hAnsi="Arial"/>
          <w:sz w:val="21"/>
          <w:szCs w:val="21"/>
          <w:color w:val="auto"/>
          <w:vertAlign w:val="superscript"/>
        </w:rPr>
      </w:pPr>
    </w:p>
    <w:p>
      <w:pPr>
        <w:ind w:left="320" w:hanging="313"/>
        <w:spacing w:after="0" w:line="245" w:lineRule="auto"/>
        <w:tabs>
          <w:tab w:leader="none" w:pos="193"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The maximum securitization amount ranges from $250.0 million to $400.0 million, depending on the period. The maximum capacity of the ASP is the lesser of the maximum securitization amount or 100% of the net pool balance less reserves, as defined under the ASP. Refer to Note 10 in the Notes to the Consolidated Financial Statements for more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Credit Agreement</w:t>
      </w:r>
    </w:p>
    <w:p>
      <w:pPr>
        <w:spacing w:after="0" w:line="24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In July 2021, we entered into the Credit Agreement (the “Credit Agreement”) with JPMorgan Chase Bank, N.A., as administrative agent, and the other lenders party thereto, which refinanced and replaced the Prior Credit Agreement, among the Company, JPMorgan Chase Bank, N.A., as administrative agent, and the other lenders party thereto.</w:t>
      </w:r>
    </w:p>
    <w:p>
      <w:pPr>
        <w:spacing w:after="0" w:line="21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188"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Credit Agreement is guaranteed by certain of our subsidiaries and contains customary covenants applicable to us and its subsidiaries including limitations on indebtedness, liens, dividends, stock repurchases, mergers and sales of all or substantially all of its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4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decreased to 121% at June 30, 2021 from 102% at December 31, 2020.</w:t>
      </w:r>
    </w:p>
    <w:p>
      <w:pPr>
        <w:sectPr>
          <w:pgSz w:w="11900" w:h="16838" w:orient="portrait"/>
          <w:cols w:equalWidth="0" w:num="1">
            <w:col w:w="11240"/>
          </w:cols>
          <w:pgMar w:left="320" w:top="1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type w:val="continuous"/>
        </w:sectPr>
      </w:pPr>
    </w:p>
    <w:bookmarkStart w:id="31" w:name="page32"/>
    <w:bookmarkEnd w:id="31"/>
    <w:p>
      <w:pPr>
        <w:jc w:val="both"/>
        <w:ind w:firstLine="240"/>
        <w:spacing w:after="0" w:line="274" w:lineRule="auto"/>
        <w:rPr>
          <w:sz w:val="20"/>
          <w:szCs w:val="20"/>
          <w:color w:val="auto"/>
        </w:rPr>
      </w:pPr>
      <w:r>
        <w:rPr>
          <w:rFonts w:ascii="Arial" w:cs="Arial" w:eastAsia="Arial" w:hAnsi="Arial"/>
          <w:sz w:val="17"/>
          <w:szCs w:val="17"/>
          <w:color w:val="auto"/>
        </w:rPr>
        <w:t>As of June 30, 2021,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4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6"/>
          <w:szCs w:val="16"/>
          <w:color w:val="auto"/>
        </w:rPr>
        <w:t>We believe our cash and cash equivalents of $45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$45 million as of June 30, 2021 was $20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related to our Debt Obligations</w:t>
      </w:r>
    </w:p>
    <w:p>
      <w:pPr>
        <w:spacing w:after="0" w:line="23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20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6"/>
          <w:szCs w:val="16"/>
          <w:color w:val="auto"/>
        </w:rPr>
        <w:t>In connection with the Credit Agreement we entered into in July 2021, Heatcraft Technologies Inc., Lennox National Account Services Inc., Lennox Procurement Company Inc. and Lennox Services LLC became additional guarantors of our debt obligations, guaranteeing the payment when due of all monetary obligations under the Credit Agreement and the Notes. In addition, Lennox Switzerland GmbH was released as a guarantor of all monetary</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obligations under the Credit Agreement and the Notes</w:t>
      </w:r>
      <w:r>
        <w:rPr>
          <w:rFonts w:ascii="Arial" w:cs="Arial" w:eastAsia="Arial" w:hAnsi="Arial"/>
          <w:sz w:val="19"/>
          <w:szCs w:val="19"/>
          <w:color w:val="auto"/>
        </w:rPr>
        <w:t>.</w:t>
      </w:r>
      <w:r>
        <w:rPr>
          <w:rFonts w:ascii="Arial" w:cs="Arial" w:eastAsia="Arial" w:hAnsi="Arial"/>
          <w:sz w:val="18"/>
          <w:szCs w:val="18"/>
          <w:color w:val="auto"/>
        </w:rPr>
        <w:t xml:space="preserve"> These changes did not result in a material change to the Parent and Guarantor Subsidiaries financial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1"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information regarding our commitments, contingencies and guarantees, see Note 4 in the Notes to the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2020. Our exposure to market risk has not changed materially since December 31,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1"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2021,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2020, which could materially affect our business, financial condition or results of operations. There have been no material changes to our risk factors from those disclosed in our Annual Report on Form 10-K for the year ended December 31, 2020 and in Form 10-Q for the quarter ended March 31, 2021.</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second quarter of 2021, we purchased shares of our common stock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9"/>
              </w:rPr>
              <w:t>Average Price Paid</w:t>
            </w:r>
          </w:p>
        </w:tc>
        <w:tc>
          <w:tcPr>
            <w:tcW w:w="1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Arial" w:cs="Arial" w:eastAsia="Arial" w:hAnsi="Arial"/>
                <w:sz w:val="16"/>
                <w:szCs w:val="16"/>
                <w:b w:val="1"/>
                <w:bCs w:val="1"/>
                <w:color w:val="auto"/>
                <w:w w:val="88"/>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rPr>
              <w:t>Total 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89"/>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ind w:right="220"/>
              <w:spacing w:after="0" w:line="160" w:lineRule="exact"/>
              <w:rPr>
                <w:sz w:val="20"/>
                <w:szCs w:val="20"/>
                <w:color w:val="auto"/>
              </w:rPr>
            </w:pPr>
            <w:r>
              <w:rPr>
                <w:rFonts w:ascii="Arial" w:cs="Arial" w:eastAsia="Arial" w:hAnsi="Arial"/>
                <w:sz w:val="16"/>
                <w:szCs w:val="16"/>
                <w:b w:val="1"/>
                <w:bCs w:val="1"/>
                <w:color w:val="auto"/>
                <w:w w:val="90"/>
              </w:rPr>
              <w:t>per Share (including</w:t>
            </w:r>
          </w:p>
        </w:tc>
        <w:tc>
          <w:tcPr>
            <w:tcW w:w="19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0"/>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Arial" w:cs="Arial" w:eastAsia="Arial" w:hAnsi="Arial"/>
                <w:sz w:val="16"/>
                <w:szCs w:val="16"/>
                <w:b w:val="1"/>
                <w:bCs w:val="1"/>
                <w:color w:val="auto"/>
                <w:w w:val="87"/>
              </w:rPr>
              <w:t>Repurchase Plans</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60" w:type="dxa"/>
            <w:vAlign w:val="bottom"/>
          </w:tcPr>
          <w:p>
            <w:pPr>
              <w:jc w:val="right"/>
              <w:spacing w:after="0" w:line="213" w:lineRule="exact"/>
              <w:rPr>
                <w:sz w:val="20"/>
                <w:szCs w:val="20"/>
                <w:color w:val="auto"/>
              </w:rPr>
            </w:pPr>
            <w:r>
              <w:rPr>
                <w:rFonts w:ascii="Arial" w:cs="Arial" w:eastAsia="Arial" w:hAnsi="Arial"/>
                <w:sz w:val="16"/>
                <w:szCs w:val="16"/>
                <w:b w:val="1"/>
                <w:bCs w:val="1"/>
                <w:color w:val="auto"/>
                <w:w w:val="87"/>
              </w:rPr>
              <w:t xml:space="preserve">Shares Purchased </w:t>
            </w:r>
            <w:r>
              <w:rPr>
                <w:rFonts w:ascii="Arial" w:cs="Arial" w:eastAsia="Arial" w:hAnsi="Arial"/>
                <w:sz w:val="20"/>
                <w:szCs w:val="20"/>
                <w:b w:val="1"/>
                <w:bCs w:val="1"/>
                <w:color w:val="auto"/>
                <w:w w:val="87"/>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fees)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6"/>
              <w:spacing w:after="0" w:line="213" w:lineRule="exact"/>
              <w:rPr>
                <w:sz w:val="20"/>
                <w:szCs w:val="20"/>
                <w:color w:val="auto"/>
              </w:rPr>
            </w:pPr>
            <w:r>
              <w:rPr>
                <w:rFonts w:ascii="Arial" w:cs="Arial" w:eastAsia="Arial" w:hAnsi="Arial"/>
                <w:sz w:val="16"/>
                <w:szCs w:val="16"/>
                <w:b w:val="1"/>
                <w:bCs w:val="1"/>
                <w:color w:val="auto"/>
                <w:w w:val="88"/>
              </w:rPr>
              <w:t xml:space="preserve">(in millions) </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through May 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54,038</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302.85</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Arial" w:cs="Arial" w:eastAsia="Arial" w:hAnsi="Arial"/>
                <w:sz w:val="18"/>
                <w:szCs w:val="18"/>
                <w:color w:val="auto"/>
              </w:rPr>
              <w:t>May 2 through May 29</w:t>
            </w:r>
          </w:p>
        </w:tc>
        <w:tc>
          <w:tcPr>
            <w:tcW w:w="1460" w:type="dxa"/>
            <w:vAlign w:val="bottom"/>
          </w:tcPr>
          <w:p>
            <w:pPr>
              <w:jc w:val="right"/>
              <w:spacing w:after="0"/>
              <w:rPr>
                <w:sz w:val="20"/>
                <w:szCs w:val="20"/>
                <w:color w:val="auto"/>
              </w:rPr>
            </w:pPr>
            <w:r>
              <w:rPr>
                <w:rFonts w:ascii="Arial" w:cs="Arial" w:eastAsia="Arial" w:hAnsi="Arial"/>
                <w:sz w:val="18"/>
                <w:szCs w:val="18"/>
                <w:color w:val="auto"/>
              </w:rPr>
              <w:t>506,054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340.39</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500,029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30 through June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340.30</w:t>
            </w:r>
          </w:p>
        </w:tc>
        <w:tc>
          <w:tcPr>
            <w:tcW w:w="2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400" w:hanging="153"/>
        <w:spacing w:after="0" w:line="258" w:lineRule="auto"/>
        <w:tabs>
          <w:tab w:leader="none" w:pos="419"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12,136 shares of common stock we repurchased in April, May and June of 2021 to satisfy employee tax-withholding obligations in connection with the exercise of long-term incentive awards.</w:t>
      </w:r>
    </w:p>
    <w:p>
      <w:pPr>
        <w:spacing w:after="0" w:line="22" w:lineRule="exact"/>
        <w:rPr>
          <w:rFonts w:ascii="Arial" w:cs="Arial" w:eastAsia="Arial" w:hAnsi="Arial"/>
          <w:sz w:val="21"/>
          <w:szCs w:val="21"/>
          <w:color w:val="auto"/>
          <w:vertAlign w:val="superscript"/>
        </w:rPr>
      </w:pPr>
    </w:p>
    <w:p>
      <w:pPr>
        <w:jc w:val="both"/>
        <w:ind w:left="400" w:hanging="153"/>
        <w:spacing w:after="0" w:line="286" w:lineRule="auto"/>
        <w:tabs>
          <w:tab w:leader="none" w:pos="417"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After $200.0 million related to the repurchase under the ASR agreement executed in May 2021. The stock repurchase were executed pursuant to a previously announced repurchase plan. In July 2021, the Board of Directors authorized an additional $1.0 billion of stock repurchases. See Note 5 in the Notes to the Consolidated Financial Statement for further details.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9980" w:type="dxa"/>
            <w:vAlign w:val="bottom"/>
            <w:tcBorders>
              <w:right w:val="single" w:sz="8" w:color="CCEEFF"/>
            </w:tcBorders>
            <w:gridSpan w:val="21"/>
            <w:shd w:val="clear" w:color="auto" w:fill="CCEEFF"/>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Underwriting Agreement, dated as of July 22, 2020, by and among the Company, the guarantors party thereto, and J.P. Morgan Securities</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10220" w:type="dxa"/>
            <w:vAlign w:val="bottom"/>
            <w:tcBorders>
              <w:right w:val="single" w:sz="8" w:color="CCEEFF"/>
            </w:tcBorders>
            <w:gridSpan w:val="22"/>
            <w:shd w:val="clear" w:color="auto" w:fill="CCEEFF"/>
          </w:tcPr>
          <w:p>
            <w:pPr>
              <w:spacing w:after="0" w:line="154" w:lineRule="exact"/>
              <w:rPr>
                <w:rFonts w:ascii="Arial" w:cs="Arial" w:eastAsia="Arial" w:hAnsi="Arial"/>
                <w:sz w:val="17"/>
                <w:szCs w:val="17"/>
                <w:color w:val="0000FF"/>
                <w:w w:val="95"/>
              </w:rPr>
            </w:pPr>
            <w:hyperlink r:id="rId45">
              <w:r>
                <w:rPr>
                  <w:rFonts w:ascii="Arial" w:cs="Arial" w:eastAsia="Arial" w:hAnsi="Arial"/>
                  <w:sz w:val="17"/>
                  <w:szCs w:val="17"/>
                  <w:color w:val="0000FF"/>
                  <w:w w:val="95"/>
                </w:rPr>
                <w:t>LLC and Wells Fargo Securities, LLC, as representatives of the several underwriters named therein (filed as Exhibit 1.1 to LII’s Current Report</w:t>
              </w:r>
            </w:hyperlink>
          </w:p>
        </w:tc>
        <w:tc>
          <w:tcPr>
            <w:tcW w:w="0" w:type="dxa"/>
            <w:vAlign w:val="bottom"/>
          </w:tcPr>
          <w:p>
            <w:pPr>
              <w:spacing w:after="0"/>
              <w:rPr>
                <w:sz w:val="1"/>
                <w:szCs w:val="1"/>
                <w:color w:val="auto"/>
              </w:rPr>
            </w:pPr>
          </w:p>
        </w:tc>
      </w:tr>
      <w:tr>
        <w:trPr>
          <w:trHeight w:val="173"/>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5340" w:type="dxa"/>
            <w:vAlign w:val="bottom"/>
            <w:tcBorders>
              <w:top w:val="single" w:sz="8" w:color="0000FF"/>
              <w:bottom w:val="single" w:sz="8" w:color="0000FF"/>
            </w:tcBorders>
            <w:gridSpan w:val="9"/>
            <w:shd w:val="clear" w:color="auto" w:fill="CCEEFF"/>
          </w:tcPr>
          <w:p>
            <w:pPr>
              <w:spacing w:after="0" w:line="154" w:lineRule="exact"/>
              <w:rPr>
                <w:rFonts w:ascii="Arial" w:cs="Arial" w:eastAsia="Arial" w:hAnsi="Arial"/>
                <w:sz w:val="17"/>
                <w:szCs w:val="17"/>
                <w:color w:val="0000FF"/>
                <w:w w:val="95"/>
              </w:rPr>
            </w:pPr>
            <w:hyperlink r:id="rId45">
              <w:r>
                <w:rPr>
                  <w:rFonts w:ascii="Arial" w:cs="Arial" w:eastAsia="Arial" w:hAnsi="Arial"/>
                  <w:sz w:val="17"/>
                  <w:szCs w:val="17"/>
                  <w:color w:val="0000FF"/>
                  <w:w w:val="95"/>
                </w:rPr>
                <w:t>on Form 8-K filed on July 30, 2020, and incorporated herein by reference).</w:t>
              </w:r>
            </w:hyperlink>
          </w:p>
        </w:tc>
        <w:tc>
          <w:tcPr>
            <w:tcW w:w="4880" w:type="dxa"/>
            <w:vAlign w:val="bottom"/>
            <w:tcBorders>
              <w:top w:val="single" w:sz="8" w:color="0000FF"/>
              <w:bottom w:val="single" w:sz="8" w:color="CCEEFF"/>
              <w:right w:val="single" w:sz="8" w:color="CCEEFF"/>
            </w:tcBorders>
            <w:gridSpan w:val="1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9980" w:type="dxa"/>
            <w:vAlign w:val="bottom"/>
            <w:tcBorders>
              <w:bottom w:val="single" w:sz="8" w:color="0000FF"/>
            </w:tcBorders>
            <w:gridSpan w:val="21"/>
          </w:tcPr>
          <w:p>
            <w:pPr>
              <w:spacing w:after="0" w:line="187"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Restated Certificate of Incorporation of Lennox International Inc. (“LII”) (filed as Exhibit 3.1 to LII’s Registration Statement on Form S-1</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gridSpan w:val="22"/>
          </w:tcPr>
          <w:p>
            <w:pPr>
              <w:spacing w:after="0" w:line="154" w:lineRule="exact"/>
              <w:rPr>
                <w:rFonts w:ascii="Arial" w:cs="Arial" w:eastAsia="Arial" w:hAnsi="Arial"/>
                <w:sz w:val="17"/>
                <w:szCs w:val="17"/>
                <w:color w:val="0000FF"/>
              </w:rPr>
            </w:pPr>
            <w:hyperlink r:id="rId46">
              <w:r>
                <w:rPr>
                  <w:rFonts w:ascii="Arial" w:cs="Arial" w:eastAsia="Arial" w:hAnsi="Arial"/>
                  <w:sz w:val="17"/>
                  <w:szCs w:val="17"/>
                  <w:color w:val="0000FF"/>
                </w:rPr>
                <w:t>(Registration Statement No. 333-75725) filed on April 6, 1999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1"/>
            <w:shd w:val="clear" w:color="auto" w:fill="CCEEFF"/>
          </w:tcPr>
          <w:p>
            <w:pPr>
              <w:spacing w:after="0" w:line="187"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Amended and Restated Bylaws of LII (filed as Exhibit 3.1 to LII’s Current Report on Form 8-K filed on December 16, 2013 and</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9420" w:type="dxa"/>
            <w:vAlign w:val="bottom"/>
            <w:tcBorders>
              <w:right w:val="single" w:sz="8" w:color="CCEEFF"/>
            </w:tcBorders>
            <w:gridSpan w:val="14"/>
            <w:shd w:val="clear" w:color="auto" w:fill="CCEEFF"/>
          </w:tcPr>
          <w:p>
            <w:pPr>
              <w:spacing w:after="0" w:line="154" w:lineRule="exact"/>
              <w:rPr>
                <w:rFonts w:ascii="Arial" w:cs="Arial" w:eastAsia="Arial" w:hAnsi="Arial"/>
                <w:sz w:val="17"/>
                <w:szCs w:val="17"/>
                <w:color w:val="0000FF"/>
              </w:rPr>
            </w:pPr>
            <w:hyperlink r:id="rId47">
              <w:r>
                <w:rPr>
                  <w:rFonts w:ascii="Arial" w:cs="Arial" w:eastAsia="Arial" w:hAnsi="Arial"/>
                  <w:sz w:val="17"/>
                  <w:szCs w:val="17"/>
                  <w:color w:val="0000FF"/>
                </w:rPr>
                <w:t>incorporated herein by reference)</w:t>
              </w:r>
              <w:r>
                <w:rPr>
                  <w:rFonts w:ascii="Arial" w:cs="Arial" w:eastAsia="Arial" w:hAnsi="Arial"/>
                  <w:sz w:val="17"/>
                  <w:szCs w:val="17"/>
                  <w:color w:val="000000"/>
                </w:rPr>
                <w:t>.</w:t>
              </w:r>
            </w:hyperlink>
          </w:p>
        </w:tc>
        <w:tc>
          <w:tcPr>
            <w:tcW w:w="120" w:type="dxa"/>
            <w:vAlign w:val="bottom"/>
            <w:vMerge w:val="continue"/>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28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9980" w:type="dxa"/>
            <w:vAlign w:val="bottom"/>
            <w:tcBorders>
              <w:bottom w:val="single" w:sz="8" w:color="0000FF"/>
            </w:tcBorders>
            <w:gridSpan w:val="21"/>
          </w:tcPr>
          <w:p>
            <w:pPr>
              <w:spacing w:after="0" w:line="187"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Specimen Stock Certificate for the Common Stock, par value $.01 per share, of LII (filed as Exhibit 4.1 to LII’s Amendment to Registration</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gridSpan w:val="22"/>
          </w:tcPr>
          <w:p>
            <w:pPr>
              <w:spacing w:after="0" w:line="154" w:lineRule="exact"/>
              <w:rPr>
                <w:rFonts w:ascii="Arial" w:cs="Arial" w:eastAsia="Arial" w:hAnsi="Arial"/>
                <w:sz w:val="17"/>
                <w:szCs w:val="17"/>
                <w:color w:val="0000FF"/>
              </w:rPr>
            </w:pPr>
            <w:hyperlink r:id="rId48">
              <w:r>
                <w:rPr>
                  <w:rFonts w:ascii="Arial" w:cs="Arial" w:eastAsia="Arial" w:hAnsi="Arial"/>
                  <w:sz w:val="17"/>
                  <w:szCs w:val="17"/>
                  <w:color w:val="0000FF"/>
                </w:rPr>
                <w:t>Statement on Form S-1/A (Registration No. 333-75725) filed on June 16, 1999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1"/>
            <w:shd w:val="clear" w:color="auto" w:fill="CCEEFF"/>
          </w:tcPr>
          <w:p>
            <w:pPr>
              <w:spacing w:after="0" w:line="187"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Indenture, dated as of May 3, 2010, between LII and U.S. Bank National Association, as trustee (filed as Exhibit 4.3 to LII’s Post-Effective</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FF"/>
              <w:right w:val="single" w:sz="8" w:color="CCEEFF"/>
            </w:tcBorders>
            <w:gridSpan w:val="22"/>
            <w:shd w:val="clear" w:color="auto" w:fill="CCEEFF"/>
          </w:tcPr>
          <w:p>
            <w:pPr>
              <w:spacing w:after="0" w:line="154" w:lineRule="exact"/>
              <w:rPr>
                <w:rFonts w:ascii="Arial" w:cs="Arial" w:eastAsia="Arial" w:hAnsi="Arial"/>
                <w:sz w:val="17"/>
                <w:szCs w:val="17"/>
                <w:color w:val="0000FF"/>
                <w:w w:val="95"/>
              </w:rPr>
            </w:pPr>
            <w:hyperlink r:id="rId49">
              <w:r>
                <w:rPr>
                  <w:rFonts w:ascii="Arial" w:cs="Arial" w:eastAsia="Arial" w:hAnsi="Arial"/>
                  <w:sz w:val="17"/>
                  <w:szCs w:val="17"/>
                  <w:color w:val="0000FF"/>
                  <w:w w:val="95"/>
                </w:rPr>
                <w:t>Amendment No. 1 to Registration Statement on S-3 (Registration No. 333-155796) filed on May 3, 2010, and incorporated herein by reference</w:t>
              </w:r>
            </w:hyperlink>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6"/>
                <w:szCs w:val="16"/>
                <w:color w:val="auto"/>
              </w:rPr>
            </w:pPr>
          </w:p>
        </w:tc>
        <w:tc>
          <w:tcPr>
            <w:tcW w:w="9180" w:type="dxa"/>
            <w:vAlign w:val="bottom"/>
            <w:tcBorders>
              <w:bottom w:val="single" w:sz="8" w:color="0000FF"/>
            </w:tcBorders>
            <w:gridSpan w:val="13"/>
          </w:tcPr>
          <w:p>
            <w:pPr>
              <w:spacing w:after="0" w:line="187"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Form of Supplemental Indenture among LII, the guarantors party thereto and U.S. Bank National Association, as trustee (filed as</w:t>
              </w:r>
            </w:hyperlink>
          </w:p>
        </w:tc>
        <w:tc>
          <w:tcPr>
            <w:tcW w:w="8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9420" w:type="dxa"/>
            <w:vAlign w:val="bottom"/>
            <w:gridSpan w:val="14"/>
          </w:tcPr>
          <w:p>
            <w:pPr>
              <w:spacing w:after="0" w:line="154" w:lineRule="exact"/>
              <w:rPr>
                <w:rFonts w:ascii="Arial" w:cs="Arial" w:eastAsia="Arial" w:hAnsi="Arial"/>
                <w:sz w:val="17"/>
                <w:szCs w:val="17"/>
                <w:color w:val="0000FF"/>
                <w:w w:val="96"/>
              </w:rPr>
            </w:pPr>
            <w:hyperlink r:id="rId50">
              <w:r>
                <w:rPr>
                  <w:rFonts w:ascii="Arial" w:cs="Arial" w:eastAsia="Arial" w:hAnsi="Arial"/>
                  <w:sz w:val="17"/>
                  <w:szCs w:val="17"/>
                  <w:color w:val="0000FF"/>
                  <w:w w:val="96"/>
                </w:rPr>
                <w:t>Exhibit 4.11 to LII’s Post-Effective Amendment No. 1 to Registration Statement on S-3 (Registration No. 333-155796) filed on May</w:t>
              </w:r>
            </w:hyperlink>
          </w:p>
        </w:tc>
        <w:tc>
          <w:tcPr>
            <w:tcW w:w="800" w:type="dxa"/>
            <w:vAlign w:val="bottom"/>
            <w:gridSpan w:val="8"/>
          </w:tcPr>
          <w:p>
            <w:pPr>
              <w:jc w:val="right"/>
              <w:ind w:right="77"/>
              <w:spacing w:after="0" w:line="154" w:lineRule="exact"/>
              <w:rPr>
                <w:rFonts w:ascii="Arial" w:cs="Arial" w:eastAsia="Arial" w:hAnsi="Arial"/>
                <w:sz w:val="17"/>
                <w:szCs w:val="17"/>
                <w:color w:val="0000FF"/>
              </w:rPr>
            </w:pPr>
            <w:hyperlink r:id="rId50">
              <w:r>
                <w:rPr>
                  <w:rFonts w:ascii="Arial" w:cs="Arial" w:eastAsia="Arial" w:hAnsi="Arial"/>
                  <w:sz w:val="17"/>
                  <w:szCs w:val="17"/>
                  <w:color w:val="0000FF"/>
                </w:rPr>
                <w:t>3, 2010,</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50">
              <w:r>
                <w:rPr>
                  <w:rFonts w:ascii="Arial" w:cs="Arial" w:eastAsia="Arial" w:hAnsi="Arial"/>
                  <w:sz w:val="17"/>
                  <w:szCs w:val="17"/>
                  <w:color w:val="0000FF"/>
                </w:rPr>
                <w:t>and incorporated herein by reference)</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Borders>
              <w:bottom w:val="single" w:sz="8" w:color="CCEEFF"/>
            </w:tcBorders>
            <w:shd w:val="clear" w:color="auto" w:fill="CCEEFF"/>
          </w:tcPr>
          <w:p>
            <w:pPr>
              <w:ind w:left="260"/>
              <w:spacing w:after="0" w:line="187" w:lineRule="exact"/>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shd w:val="clear" w:color="auto" w:fill="CCEEFF"/>
          </w:tcPr>
          <w:p>
            <w:pPr>
              <w:spacing w:after="0"/>
              <w:rPr>
                <w:sz w:val="16"/>
                <w:szCs w:val="16"/>
                <w:color w:val="auto"/>
              </w:rPr>
            </w:pPr>
          </w:p>
        </w:tc>
        <w:tc>
          <w:tcPr>
            <w:tcW w:w="9700" w:type="dxa"/>
            <w:vAlign w:val="bottom"/>
            <w:tcBorders>
              <w:bottom w:val="single" w:sz="8" w:color="0000FF"/>
            </w:tcBorders>
            <w:gridSpan w:val="20"/>
            <w:shd w:val="clear" w:color="auto" w:fill="CCEEFF"/>
          </w:tcPr>
          <w:p>
            <w:pPr>
              <w:spacing w:after="0" w:line="187"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Sixth Supplemental Indenture, dated as of November 3, 2016, among LII, each other existing Guarantor under the Indenture, dated as of</w:t>
              </w:r>
            </w:hyperlink>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9940" w:type="dxa"/>
            <w:vAlign w:val="bottom"/>
            <w:gridSpan w:val="21"/>
            <w:shd w:val="clear" w:color="auto" w:fill="CCEEFF"/>
          </w:tcPr>
          <w:p>
            <w:pPr>
              <w:spacing w:after="0" w:line="154" w:lineRule="exact"/>
              <w:rPr>
                <w:rFonts w:ascii="Arial" w:cs="Arial" w:eastAsia="Arial" w:hAnsi="Arial"/>
                <w:sz w:val="17"/>
                <w:szCs w:val="17"/>
                <w:color w:val="0000FF"/>
                <w:w w:val="95"/>
              </w:rPr>
            </w:pPr>
            <w:hyperlink r:id="rId51">
              <w:r>
                <w:rPr>
                  <w:rFonts w:ascii="Arial" w:cs="Arial" w:eastAsia="Arial" w:hAnsi="Arial"/>
                  <w:sz w:val="17"/>
                  <w:szCs w:val="17"/>
                  <w:color w:val="0000FF"/>
                  <w:w w:val="95"/>
                </w:rPr>
                <w:t>May 3, 2010, as subsequently supplemented, and US Bank National Association, as trustee (filed as Exhibit 4.2 to LII’s Current Report on</w:t>
              </w:r>
            </w:hyperlink>
          </w:p>
        </w:tc>
        <w:tc>
          <w:tcPr>
            <w:tcW w:w="280" w:type="dxa"/>
            <w:vAlign w:val="bottom"/>
            <w:tcBorders>
              <w:right w:val="single" w:sz="8" w:color="CCEEFF"/>
            </w:tcBorders>
            <w:shd w:val="clear" w:color="auto" w:fill="CCEEFF"/>
          </w:tcPr>
          <w:p>
            <w:pPr>
              <w:jc w:val="right"/>
              <w:spacing w:after="0" w:line="154" w:lineRule="exact"/>
              <w:rPr>
                <w:rFonts w:ascii="Arial" w:cs="Arial" w:eastAsia="Arial" w:hAnsi="Arial"/>
                <w:sz w:val="17"/>
                <w:szCs w:val="17"/>
                <w:color w:val="0000FF"/>
                <w:w w:val="70"/>
              </w:rPr>
            </w:pPr>
            <w:hyperlink r:id="rId51">
              <w:r>
                <w:rPr>
                  <w:rFonts w:ascii="Arial" w:cs="Arial" w:eastAsia="Arial" w:hAnsi="Arial"/>
                  <w:sz w:val="17"/>
                  <w:szCs w:val="17"/>
                  <w:color w:val="0000FF"/>
                  <w:w w:val="70"/>
                </w:rPr>
                <w:t>For</w:t>
              </w:r>
            </w:hyperlink>
          </w:p>
        </w:tc>
        <w:tc>
          <w:tcPr>
            <w:tcW w:w="0" w:type="dxa"/>
            <w:vAlign w:val="bottom"/>
          </w:tcPr>
          <w:p>
            <w:pPr>
              <w:spacing w:after="0"/>
              <w:rPr>
                <w:sz w:val="1"/>
                <w:szCs w:val="1"/>
                <w:color w:val="auto"/>
              </w:rPr>
            </w:pPr>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right w:val="single" w:sz="8" w:color="CCEEFF"/>
            </w:tcBorders>
            <w:gridSpan w:val="22"/>
            <w:shd w:val="clear" w:color="auto" w:fill="CCEEFF"/>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8-K filed on November 3, 2016,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6"/>
                <w:szCs w:val="16"/>
                <w:color w:val="auto"/>
              </w:rPr>
            </w:pPr>
          </w:p>
        </w:tc>
        <w:tc>
          <w:tcPr>
            <w:tcW w:w="9640" w:type="dxa"/>
            <w:vAlign w:val="bottom"/>
            <w:tcBorders>
              <w:bottom w:val="single" w:sz="8" w:color="0000FF"/>
            </w:tcBorders>
            <w:gridSpan w:val="18"/>
          </w:tcPr>
          <w:p>
            <w:pPr>
              <w:spacing w:after="0" w:line="187"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Seventh Supplemental Indenture, dated as of January 23, 2019, among LII Mexico Holdings Ltd., Lennox International Inc., each other</w:t>
              </w:r>
            </w:hyperlink>
          </w:p>
        </w:tc>
        <w:tc>
          <w:tcPr>
            <w:tcW w:w="3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gridSpan w:val="22"/>
          </w:tcPr>
          <w:p>
            <w:pPr>
              <w:spacing w:after="0" w:line="154" w:lineRule="exact"/>
              <w:rPr>
                <w:rFonts w:ascii="Arial" w:cs="Arial" w:eastAsia="Arial" w:hAnsi="Arial"/>
                <w:sz w:val="17"/>
                <w:szCs w:val="17"/>
                <w:color w:val="0000FF"/>
                <w:w w:val="94"/>
              </w:rPr>
            </w:pPr>
            <w:hyperlink r:id="rId52">
              <w:r>
                <w:rPr>
                  <w:rFonts w:ascii="Arial" w:cs="Arial" w:eastAsia="Arial" w:hAnsi="Arial"/>
                  <w:sz w:val="17"/>
                  <w:szCs w:val="17"/>
                  <w:color w:val="0000FF"/>
                  <w:w w:val="94"/>
                </w:rPr>
                <w:t>existing Guarantor under the Indenture, dated as of May 3, 2010, as subsequently supplemented, and US Bank National Association, as trustee</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52">
              <w:r>
                <w:rPr>
                  <w:rFonts w:ascii="Arial" w:cs="Arial" w:eastAsia="Arial" w:hAnsi="Arial"/>
                  <w:sz w:val="17"/>
                  <w:szCs w:val="17"/>
                  <w:color w:val="0000FF"/>
                </w:rPr>
                <w:t>(filed as Exhibit 2.5 to LII's Annual Report on Form 10-K filed on February 19, 2019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1"/>
            <w:shd w:val="clear" w:color="auto" w:fill="CCEEFF"/>
          </w:tcPr>
          <w:p>
            <w:pPr>
              <w:spacing w:after="0" w:line="187"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Form of 3.000% Notes due 2023 (filed as Exhibit A in Exhibit 4.2 to LII’s Current Report on Form 8-K filed on November 3, 2016, and</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CCEEFF"/>
            </w:tcBorders>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0000FF"/>
            </w:tcBorders>
            <w:gridSpan w:val="3"/>
            <w:shd w:val="clear" w:color="auto" w:fill="CCEEFF"/>
          </w:tcPr>
          <w:p>
            <w:pPr>
              <w:spacing w:after="0" w:line="154" w:lineRule="exact"/>
              <w:rPr>
                <w:rFonts w:ascii="Arial" w:cs="Arial" w:eastAsia="Arial" w:hAnsi="Arial"/>
                <w:sz w:val="17"/>
                <w:szCs w:val="17"/>
                <w:color w:val="0000FF"/>
                <w:w w:val="93"/>
              </w:rPr>
            </w:pPr>
            <w:hyperlink r:id="rId51">
              <w:r>
                <w:rPr>
                  <w:rFonts w:ascii="Arial" w:cs="Arial" w:eastAsia="Arial" w:hAnsi="Arial"/>
                  <w:sz w:val="17"/>
                  <w:szCs w:val="17"/>
                  <w:color w:val="0000FF"/>
                  <w:w w:val="93"/>
                </w:rPr>
                <w:t>incorporated herein by reference).</w:t>
              </w:r>
            </w:hyperlink>
          </w:p>
        </w:tc>
        <w:tc>
          <w:tcPr>
            <w:tcW w:w="7500" w:type="dxa"/>
            <w:vAlign w:val="bottom"/>
            <w:tcBorders>
              <w:bottom w:val="single" w:sz="8" w:color="CCEEFF"/>
            </w:tcBorders>
            <w:gridSpan w:val="17"/>
            <w:shd w:val="clear" w:color="auto" w:fill="CCEEFF"/>
          </w:tcPr>
          <w:p>
            <w:pPr>
              <w:spacing w:after="0"/>
              <w:rPr>
                <w:sz w:val="15"/>
                <w:szCs w:val="15"/>
                <w:color w:val="auto"/>
              </w:rPr>
            </w:pPr>
          </w:p>
        </w:tc>
        <w:tc>
          <w:tcPr>
            <w:tcW w:w="30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6"/>
                <w:szCs w:val="16"/>
                <w:color w:val="auto"/>
              </w:rPr>
            </w:pPr>
          </w:p>
        </w:tc>
        <w:tc>
          <w:tcPr>
            <w:tcW w:w="9980" w:type="dxa"/>
            <w:vAlign w:val="bottom"/>
            <w:tcBorders>
              <w:bottom w:val="single" w:sz="8" w:color="0000FF"/>
            </w:tcBorders>
            <w:gridSpan w:val="21"/>
          </w:tcPr>
          <w:p>
            <w:pPr>
              <w:spacing w:after="0" w:line="187"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Eighth Supplemental Indenture, dated as of May 22, 2020, among Lennox Switzerland GmbH, Lennox International Inc., each other existin</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gridSpan w:val="22"/>
          </w:tcPr>
          <w:p>
            <w:pPr>
              <w:spacing w:after="0" w:line="154" w:lineRule="exact"/>
              <w:rPr>
                <w:rFonts w:ascii="Arial" w:cs="Arial" w:eastAsia="Arial" w:hAnsi="Arial"/>
                <w:sz w:val="17"/>
                <w:szCs w:val="17"/>
                <w:color w:val="0000FF"/>
                <w:w w:val="94"/>
              </w:rPr>
            </w:pPr>
            <w:hyperlink r:id="rId53">
              <w:r>
                <w:rPr>
                  <w:rFonts w:ascii="Arial" w:cs="Arial" w:eastAsia="Arial" w:hAnsi="Arial"/>
                  <w:sz w:val="17"/>
                  <w:szCs w:val="17"/>
                  <w:color w:val="0000FF"/>
                  <w:w w:val="94"/>
                </w:rPr>
                <w:t>Guarantor under the Indenture, dated as of May 3, 2010, as subsequently supplemented, and US Bank National Association, as trustee (filed as</w:t>
              </w:r>
            </w:hyperlink>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53">
              <w:r>
                <w:rPr>
                  <w:rFonts w:ascii="Arial" w:cs="Arial" w:eastAsia="Arial" w:hAnsi="Arial"/>
                  <w:sz w:val="17"/>
                  <w:szCs w:val="17"/>
                  <w:color w:val="0000FF"/>
                </w:rPr>
                <w:t>Exhibit 4.7 to LII’s Quarterly Report on Form 10-Q filed on July 20, 2020,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1"/>
            <w:shd w:val="clear" w:color="auto" w:fill="CCEEFF"/>
          </w:tcPr>
          <w:p>
            <w:pPr>
              <w:spacing w:after="0" w:line="187"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Ninth Supplemental Indenture, dated July 30, 2020, among LII, each existing Guarantor under the Indenture, dated as of May 3, 2010, as</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CCEEFF"/>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10220" w:type="dxa"/>
            <w:vAlign w:val="bottom"/>
            <w:tcBorders>
              <w:right w:val="single" w:sz="8" w:color="CCEEFF"/>
            </w:tcBorders>
            <w:gridSpan w:val="22"/>
            <w:shd w:val="clear" w:color="auto" w:fill="CCEEFF"/>
          </w:tcPr>
          <w:p>
            <w:pPr>
              <w:spacing w:after="0" w:line="154" w:lineRule="exact"/>
              <w:rPr>
                <w:rFonts w:ascii="Arial" w:cs="Arial" w:eastAsia="Arial" w:hAnsi="Arial"/>
                <w:sz w:val="17"/>
                <w:szCs w:val="17"/>
                <w:color w:val="0000FF"/>
                <w:w w:val="96"/>
              </w:rPr>
            </w:pPr>
            <w:hyperlink r:id="rId54">
              <w:r>
                <w:rPr>
                  <w:rFonts w:ascii="Arial" w:cs="Arial" w:eastAsia="Arial" w:hAnsi="Arial"/>
                  <w:sz w:val="17"/>
                  <w:szCs w:val="17"/>
                  <w:color w:val="0000FF"/>
                  <w:w w:val="96"/>
                </w:rPr>
                <w:t>subsequently supplemented, and U.S. Bank National Association, as trustee (filed as Exhibit 4.2 to LII’s Current Report on Form 8-K filed on</w:t>
              </w:r>
            </w:hyperlink>
          </w:p>
        </w:tc>
        <w:tc>
          <w:tcPr>
            <w:tcW w:w="0" w:type="dxa"/>
            <w:vAlign w:val="bottom"/>
          </w:tcPr>
          <w:p>
            <w:pPr>
              <w:spacing w:after="0"/>
              <w:rPr>
                <w:sz w:val="1"/>
                <w:szCs w:val="1"/>
                <w:color w:val="auto"/>
              </w:rPr>
            </w:pPr>
          </w:p>
        </w:tc>
      </w:tr>
      <w:tr>
        <w:trPr>
          <w:trHeight w:val="173"/>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3780" w:type="dxa"/>
            <w:vAlign w:val="bottom"/>
            <w:tcBorders>
              <w:top w:val="single" w:sz="8" w:color="0000FF"/>
              <w:bottom w:val="single" w:sz="8" w:color="0000FF"/>
            </w:tcBorders>
            <w:gridSpan w:val="5"/>
            <w:shd w:val="clear" w:color="auto" w:fill="CCEEFF"/>
          </w:tcPr>
          <w:p>
            <w:pPr>
              <w:spacing w:after="0" w:line="154" w:lineRule="exact"/>
              <w:rPr>
                <w:rFonts w:ascii="Arial" w:cs="Arial" w:eastAsia="Arial" w:hAnsi="Arial"/>
                <w:sz w:val="17"/>
                <w:szCs w:val="17"/>
                <w:color w:val="0000FF"/>
                <w:w w:val="94"/>
              </w:rPr>
            </w:pPr>
            <w:hyperlink r:id="rId54">
              <w:r>
                <w:rPr>
                  <w:rFonts w:ascii="Arial" w:cs="Arial" w:eastAsia="Arial" w:hAnsi="Arial"/>
                  <w:sz w:val="17"/>
                  <w:szCs w:val="17"/>
                  <w:color w:val="0000FF"/>
                  <w:w w:val="94"/>
                </w:rPr>
                <w:t>July 30, 2020, and incorporated herein by reference).</w:t>
              </w:r>
            </w:hyperlink>
          </w:p>
        </w:tc>
        <w:tc>
          <w:tcPr>
            <w:tcW w:w="6440" w:type="dxa"/>
            <w:vAlign w:val="bottom"/>
            <w:tcBorders>
              <w:top w:val="single" w:sz="8" w:color="0000FF"/>
              <w:bottom w:val="single" w:sz="8" w:color="CCEEFF"/>
              <w:right w:val="single" w:sz="8" w:color="CCEEFF"/>
            </w:tcBorders>
            <w:gridSpan w:val="1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4.9</w:t>
            </w:r>
          </w:p>
        </w:tc>
        <w:tc>
          <w:tcPr>
            <w:tcW w:w="240" w:type="dxa"/>
            <w:vAlign w:val="bottom"/>
          </w:tcPr>
          <w:p>
            <w:pPr>
              <w:spacing w:after="0"/>
              <w:rPr>
                <w:sz w:val="16"/>
                <w:szCs w:val="16"/>
                <w:color w:val="auto"/>
              </w:rPr>
            </w:pPr>
          </w:p>
        </w:tc>
        <w:tc>
          <w:tcPr>
            <w:tcW w:w="9320" w:type="dxa"/>
            <w:vAlign w:val="bottom"/>
            <w:tcBorders>
              <w:bottom w:val="single" w:sz="8" w:color="0000FF"/>
            </w:tcBorders>
            <w:gridSpan w:val="15"/>
          </w:tcPr>
          <w:p>
            <w:pPr>
              <w:spacing w:after="0" w:line="187"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Form of 1.350% Notes due 2025 (filed as Exhibit A in Exhibit 4.2 to LII’s Current Report on Form 8-K filed on July 30, 2020, and</w:t>
              </w:r>
            </w:hyperlink>
          </w:p>
        </w:tc>
        <w:tc>
          <w:tcPr>
            <w:tcW w:w="6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9560" w:type="dxa"/>
            <w:vAlign w:val="bottom"/>
            <w:gridSpan w:val="16"/>
          </w:tcPr>
          <w:p>
            <w:pPr>
              <w:spacing w:after="0" w:line="154" w:lineRule="exact"/>
              <w:rPr>
                <w:rFonts w:ascii="Arial" w:cs="Arial" w:eastAsia="Arial" w:hAnsi="Arial"/>
                <w:sz w:val="17"/>
                <w:szCs w:val="17"/>
                <w:color w:val="0000FF"/>
              </w:rPr>
            </w:pPr>
            <w:hyperlink r:id="rId54">
              <w:r>
                <w:rPr>
                  <w:rFonts w:ascii="Arial" w:cs="Arial" w:eastAsia="Arial" w:hAnsi="Arial"/>
                  <w:sz w:val="17"/>
                  <w:szCs w:val="17"/>
                  <w:color w:val="0000FF"/>
                </w:rPr>
                <w:t>incorporated herein by reference).</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1"/>
            <w:shd w:val="clear" w:color="auto" w:fill="CCEEFF"/>
          </w:tcPr>
          <w:p>
            <w:pPr>
              <w:spacing w:after="0" w:line="187" w:lineRule="exact"/>
              <w:rPr>
                <w:rFonts w:ascii="Arial" w:cs="Arial" w:eastAsia="Arial" w:hAnsi="Arial"/>
                <w:sz w:val="18"/>
                <w:szCs w:val="18"/>
                <w:color w:val="0000FF"/>
                <w:w w:val="97"/>
              </w:rPr>
            </w:pPr>
            <w:hyperlink r:id="rId54">
              <w:r>
                <w:rPr>
                  <w:rFonts w:ascii="Arial" w:cs="Arial" w:eastAsia="Arial" w:hAnsi="Arial"/>
                  <w:sz w:val="18"/>
                  <w:szCs w:val="18"/>
                  <w:color w:val="0000FF"/>
                  <w:w w:val="97"/>
                </w:rPr>
                <w:t>Form of 1.700% Notes due 2027 (filed as Exhibit B in Exhibit 4.2 to LII’s Current Report on Form 8-K filed on July 30, 2020, and</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40" w:type="dxa"/>
            <w:vAlign w:val="bottom"/>
            <w:gridSpan w:val="8"/>
            <w:shd w:val="clear" w:color="auto" w:fill="0000FF"/>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560" w:type="dxa"/>
            <w:vAlign w:val="bottom"/>
            <w:tcBorders>
              <w:right w:val="single" w:sz="8" w:color="CCEEFF"/>
            </w:tcBorders>
            <w:gridSpan w:val="4"/>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0000FF"/>
            </w:tcBorders>
            <w:gridSpan w:val="3"/>
            <w:shd w:val="clear" w:color="auto" w:fill="CCEEFF"/>
          </w:tcPr>
          <w:p>
            <w:pPr>
              <w:spacing w:after="0" w:line="154" w:lineRule="exact"/>
              <w:rPr>
                <w:rFonts w:ascii="Arial" w:cs="Arial" w:eastAsia="Arial" w:hAnsi="Arial"/>
                <w:sz w:val="17"/>
                <w:szCs w:val="17"/>
                <w:color w:val="0000FF"/>
                <w:w w:val="93"/>
              </w:rPr>
            </w:pPr>
            <w:hyperlink r:id="rId54">
              <w:r>
                <w:rPr>
                  <w:rFonts w:ascii="Arial" w:cs="Arial" w:eastAsia="Arial" w:hAnsi="Arial"/>
                  <w:sz w:val="17"/>
                  <w:szCs w:val="17"/>
                  <w:color w:val="0000FF"/>
                  <w:w w:val="93"/>
                </w:rPr>
                <w:t>incorporated herein by reference).</w:t>
              </w:r>
            </w:hyperlink>
          </w:p>
        </w:tc>
        <w:tc>
          <w:tcPr>
            <w:tcW w:w="7120" w:type="dxa"/>
            <w:vAlign w:val="bottom"/>
            <w:tcBorders>
              <w:bottom w:val="single" w:sz="8" w:color="CCEEFF"/>
            </w:tcBorders>
            <w:gridSpan w:val="12"/>
            <w:shd w:val="clear" w:color="auto" w:fill="CCEEFF"/>
          </w:tcPr>
          <w:p>
            <w:pPr>
              <w:spacing w:after="0"/>
              <w:rPr>
                <w:sz w:val="15"/>
                <w:szCs w:val="15"/>
                <w:color w:val="auto"/>
              </w:rPr>
            </w:pPr>
          </w:p>
        </w:tc>
        <w:tc>
          <w:tcPr>
            <w:tcW w:w="6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560" w:type="dxa"/>
            <w:vAlign w:val="bottom"/>
            <w:tcBorders>
              <w:bottom w:val="single" w:sz="8" w:color="CCEEFF"/>
              <w:right w:val="single" w:sz="8" w:color="CCEEFF"/>
            </w:tcBorders>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9980" w:type="dxa"/>
            <w:vAlign w:val="bottom"/>
            <w:gridSpan w:val="21"/>
          </w:tcPr>
          <w:p>
            <w:pPr>
              <w:spacing w:after="0" w:line="187"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Seventh Amended and Restated Credit Facility Agreement, dated as of July 30, 2020, among Lennox International Inc., a Delaware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900" w:type="dxa"/>
            <w:vAlign w:val="bottom"/>
            <w:gridSpan w:val="10"/>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gridSpan w:val="4"/>
            <w:vMerge w:val="restart"/>
          </w:tcPr>
          <w:p>
            <w:pPr>
              <w:jc w:val="right"/>
              <w:spacing w:after="0" w:line="174"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Report</w:t>
              </w:r>
            </w:hyperlink>
          </w:p>
        </w:tc>
        <w:tc>
          <w:tcPr>
            <w:tcW w:w="0" w:type="dxa"/>
            <w:vAlign w:val="bottom"/>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9600" w:type="dxa"/>
            <w:vAlign w:val="bottom"/>
            <w:gridSpan w:val="17"/>
          </w:tcPr>
          <w:p>
            <w:pPr>
              <w:spacing w:after="0" w:line="154" w:lineRule="exact"/>
              <w:rPr>
                <w:rFonts w:ascii="Arial" w:cs="Arial" w:eastAsia="Arial" w:hAnsi="Arial"/>
                <w:sz w:val="17"/>
                <w:szCs w:val="17"/>
                <w:color w:val="0000FF"/>
                <w:w w:val="95"/>
              </w:rPr>
            </w:pPr>
            <w:hyperlink r:id="rId55">
              <w:r>
                <w:rPr>
                  <w:rFonts w:ascii="Arial" w:cs="Arial" w:eastAsia="Arial" w:hAnsi="Arial"/>
                  <w:sz w:val="17"/>
                  <w:szCs w:val="17"/>
                  <w:color w:val="0000FF"/>
                  <w:w w:val="95"/>
                </w:rPr>
                <w:t>corporation, the Lenders party thereto, and JPMorgan Chase Bank, N.A., as Administrative Agent (filed as Exhibit 10.1 to LII’s Current</w:t>
              </w:r>
            </w:hyperlink>
          </w:p>
        </w:tc>
        <w:tc>
          <w:tcPr>
            <w:tcW w:w="60" w:type="dxa"/>
            <w:vAlign w:val="bottom"/>
            <w:vMerge w:val="continue"/>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55">
              <w:r>
                <w:rPr>
                  <w:rFonts w:ascii="Arial" w:cs="Arial" w:eastAsia="Arial" w:hAnsi="Arial"/>
                  <w:sz w:val="17"/>
                  <w:szCs w:val="17"/>
                  <w:color w:val="0000FF"/>
                </w:rPr>
                <w:t>on Form 8-K filed on July 30, 2020,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1"/>
            <w:shd w:val="clear" w:color="auto" w:fill="CCEEFF"/>
          </w:tcPr>
          <w:p>
            <w:pPr>
              <w:spacing w:after="0" w:line="187"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Credit Agreement, dated as of July 14, 2021, among Lennox International Inc., a Delaware corporation, the Banks party thereto, and</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960" w:type="dxa"/>
            <w:vAlign w:val="bottom"/>
            <w:gridSpan w:val="11"/>
            <w:shd w:val="clear" w:color="auto" w:fill="0000FF"/>
          </w:tcPr>
          <w:p>
            <w:pPr>
              <w:spacing w:after="0" w:line="20" w:lineRule="exact"/>
              <w:rPr>
                <w:sz w:val="1"/>
                <w:szCs w:val="1"/>
                <w:color w:val="auto"/>
              </w:rPr>
            </w:pPr>
          </w:p>
        </w:tc>
        <w:tc>
          <w:tcPr>
            <w:tcW w:w="560" w:type="dxa"/>
            <w:vAlign w:val="bottom"/>
            <w:tcBorders>
              <w:right w:val="single" w:sz="8" w:color="CCEEFF"/>
            </w:tcBorders>
            <w:gridSpan w:val="4"/>
            <w:vMerge w:val="restart"/>
            <w:shd w:val="clear" w:color="auto" w:fill="CCEEFF"/>
          </w:tcPr>
          <w:p>
            <w:pPr>
              <w:jc w:val="right"/>
              <w:ind w:right="117"/>
              <w:spacing w:after="0" w:line="174" w:lineRule="exact"/>
              <w:rPr>
                <w:rFonts w:ascii="Arial" w:cs="Arial" w:eastAsia="Arial" w:hAnsi="Arial"/>
                <w:sz w:val="18"/>
                <w:szCs w:val="18"/>
                <w:color w:val="0000FF"/>
              </w:rPr>
            </w:pPr>
            <w:hyperlink r:id="rId56">
              <w:r>
                <w:rPr>
                  <w:rFonts w:ascii="Arial" w:cs="Arial" w:eastAsia="Arial" w:hAnsi="Arial"/>
                  <w:sz w:val="18"/>
                  <w:szCs w:val="18"/>
                  <w:color w:val="0000FF"/>
                </w:rPr>
                <w:t>and</w:t>
              </w:r>
            </w:hyperlink>
          </w:p>
        </w:tc>
        <w:tc>
          <w:tcPr>
            <w:tcW w:w="0" w:type="dxa"/>
            <w:vAlign w:val="bottom"/>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9660" w:type="dxa"/>
            <w:vAlign w:val="bottom"/>
            <w:gridSpan w:val="18"/>
            <w:shd w:val="clear" w:color="auto" w:fill="CCEEFF"/>
          </w:tcPr>
          <w:p>
            <w:pPr>
              <w:spacing w:after="0" w:line="154" w:lineRule="exact"/>
              <w:rPr>
                <w:rFonts w:ascii="Arial" w:cs="Arial" w:eastAsia="Arial" w:hAnsi="Arial"/>
                <w:sz w:val="17"/>
                <w:szCs w:val="17"/>
                <w:color w:val="0000FF"/>
                <w:w w:val="96"/>
              </w:rPr>
            </w:pPr>
            <w:hyperlink r:id="rId56">
              <w:r>
                <w:rPr>
                  <w:rFonts w:ascii="Arial" w:cs="Arial" w:eastAsia="Arial" w:hAnsi="Arial"/>
                  <w:sz w:val="17"/>
                  <w:szCs w:val="17"/>
                  <w:color w:val="0000FF"/>
                  <w:w w:val="96"/>
                </w:rPr>
                <w:t>JPMorgan Chase Bank, N.A., as Administrative Agent ( filed as Exhibit 10.1 to LII's Current Report on Form 8-K filed on July 15,2021,</w:t>
              </w:r>
            </w:hyperlink>
          </w:p>
        </w:tc>
        <w:tc>
          <w:tcPr>
            <w:tcW w:w="560" w:type="dxa"/>
            <w:vAlign w:val="bottom"/>
            <w:tcBorders>
              <w:right w:val="single" w:sz="8" w:color="CCEEFF"/>
            </w:tcBorders>
            <w:gridSpan w:val="4"/>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2420" w:type="dxa"/>
            <w:vAlign w:val="bottom"/>
            <w:tcBorders>
              <w:top w:val="single" w:sz="8" w:color="0000FF"/>
              <w:bottom w:val="single" w:sz="8" w:color="0000FF"/>
            </w:tcBorders>
            <w:gridSpan w:val="3"/>
            <w:shd w:val="clear" w:color="auto" w:fill="CCEEFF"/>
          </w:tcPr>
          <w:p>
            <w:pPr>
              <w:spacing w:after="0" w:line="154" w:lineRule="exact"/>
              <w:rPr>
                <w:rFonts w:ascii="Arial" w:cs="Arial" w:eastAsia="Arial" w:hAnsi="Arial"/>
                <w:sz w:val="17"/>
                <w:szCs w:val="17"/>
                <w:color w:val="0000FF"/>
                <w:w w:val="93"/>
              </w:rPr>
            </w:pPr>
            <w:hyperlink r:id="rId56">
              <w:r>
                <w:rPr>
                  <w:rFonts w:ascii="Arial" w:cs="Arial" w:eastAsia="Arial" w:hAnsi="Arial"/>
                  <w:sz w:val="17"/>
                  <w:szCs w:val="17"/>
                  <w:color w:val="0000FF"/>
                  <w:w w:val="93"/>
                </w:rPr>
                <w:t>incorporated herein by reference).</w:t>
              </w:r>
            </w:hyperlink>
          </w:p>
        </w:tc>
        <w:tc>
          <w:tcPr>
            <w:tcW w:w="7800" w:type="dxa"/>
            <w:vAlign w:val="bottom"/>
            <w:tcBorders>
              <w:top w:val="single" w:sz="8" w:color="0000FF"/>
              <w:bottom w:val="single" w:sz="8" w:color="CCEEFF"/>
              <w:right w:val="single" w:sz="8" w:color="CCEEFF"/>
            </w:tcBorders>
            <w:gridSpan w:val="1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Pr>
          <w:p>
            <w:pPr>
              <w:ind w:left="260"/>
              <w:spacing w:after="0" w:line="187" w:lineRule="exact"/>
              <w:rPr>
                <w:sz w:val="20"/>
                <w:szCs w:val="20"/>
                <w:color w:val="auto"/>
              </w:rPr>
            </w:pPr>
            <w:r>
              <w:rPr>
                <w:rFonts w:ascii="Arial" w:cs="Arial" w:eastAsia="Arial" w:hAnsi="Arial"/>
                <w:sz w:val="18"/>
                <w:szCs w:val="18"/>
                <w:color w:val="auto"/>
              </w:rPr>
              <w:t>22.1</w:t>
            </w:r>
          </w:p>
        </w:tc>
        <w:tc>
          <w:tcPr>
            <w:tcW w:w="240" w:type="dxa"/>
            <w:vAlign w:val="bottom"/>
          </w:tcPr>
          <w:p>
            <w:pPr>
              <w:spacing w:after="0"/>
              <w:rPr>
                <w:sz w:val="16"/>
                <w:szCs w:val="16"/>
                <w:color w:val="auto"/>
              </w:rPr>
            </w:pPr>
          </w:p>
        </w:tc>
        <w:tc>
          <w:tcPr>
            <w:tcW w:w="9980" w:type="dxa"/>
            <w:vAlign w:val="bottom"/>
            <w:gridSpan w:val="21"/>
          </w:tcPr>
          <w:p>
            <w:pPr>
              <w:spacing w:after="0" w:line="187" w:lineRule="exact"/>
              <w:rPr>
                <w:rFonts w:ascii="Arial" w:cs="Arial" w:eastAsia="Arial" w:hAnsi="Arial"/>
                <w:sz w:val="18"/>
                <w:szCs w:val="18"/>
                <w:color w:val="0000FF"/>
              </w:rPr>
            </w:pPr>
            <w:hyperlink w:anchor="page37">
              <w:r>
                <w:rPr>
                  <w:rFonts w:ascii="Arial" w:cs="Arial" w:eastAsia="Arial" w:hAnsi="Arial"/>
                  <w:sz w:val="18"/>
                  <w:szCs w:val="18"/>
                  <w:color w:val="0000FF"/>
                </w:rPr>
                <w:t>List of Guarantor Subsidiaries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7"/>
                <w:szCs w:val="17"/>
                <w:color w:val="auto"/>
              </w:rPr>
            </w:pPr>
          </w:p>
        </w:tc>
        <w:tc>
          <w:tcPr>
            <w:tcW w:w="9980" w:type="dxa"/>
            <w:vAlign w:val="bottom"/>
            <w:tcBorders>
              <w:right w:val="single" w:sz="8" w:color="CCEEFF"/>
            </w:tcBorders>
            <w:gridSpan w:val="21"/>
            <w:shd w:val="clear" w:color="auto" w:fill="CCEEFF"/>
          </w:tcPr>
          <w:p>
            <w:pPr>
              <w:spacing w:after="0" w:line="187" w:lineRule="exact"/>
              <w:rPr>
                <w:rFonts w:ascii="Arial" w:cs="Arial" w:eastAsia="Arial" w:hAnsi="Arial"/>
                <w:sz w:val="18"/>
                <w:szCs w:val="18"/>
                <w:color w:val="0000FF"/>
              </w:rPr>
            </w:pPr>
            <w:hyperlink w:anchor="page38">
              <w:r>
                <w:rPr>
                  <w:rFonts w:ascii="Arial" w:cs="Arial" w:eastAsia="Arial" w:hAnsi="Arial"/>
                  <w:sz w:val="18"/>
                  <w:szCs w:val="18"/>
                  <w:color w:val="0000FF"/>
                </w:rPr>
                <w:t>Certification of the principal executive officer (filed herewith).</w:t>
              </w:r>
            </w:hyperlink>
          </w:p>
        </w:tc>
        <w:tc>
          <w:tcPr>
            <w:tcW w:w="0" w:type="dxa"/>
            <w:vAlign w:val="bottom"/>
          </w:tcPr>
          <w:p>
            <w:pPr>
              <w:spacing w:after="0"/>
              <w:rPr>
                <w:sz w:val="1"/>
                <w:szCs w:val="1"/>
                <w:color w:val="auto"/>
              </w:rPr>
            </w:pPr>
          </w:p>
        </w:tc>
      </w:tr>
      <w:tr>
        <w:trPr>
          <w:trHeight w:val="187"/>
        </w:trPr>
        <w:tc>
          <w:tcPr>
            <w:tcW w:w="920" w:type="dxa"/>
            <w:vAlign w:val="bottom"/>
            <w:tcBorders>
              <w:top w:val="single" w:sz="8" w:color="CCEEFF"/>
            </w:tcBorders>
          </w:tcPr>
          <w:p>
            <w:pPr>
              <w:ind w:left="260"/>
              <w:spacing w:after="0" w:line="187" w:lineRule="exact"/>
              <w:rPr>
                <w:sz w:val="20"/>
                <w:szCs w:val="20"/>
                <w:color w:val="auto"/>
              </w:rPr>
            </w:pPr>
            <w:r>
              <w:rPr>
                <w:rFonts w:ascii="Arial" w:cs="Arial" w:eastAsia="Arial" w:hAnsi="Arial"/>
                <w:sz w:val="18"/>
                <w:szCs w:val="18"/>
                <w:color w:val="auto"/>
              </w:rPr>
              <w:t>31.2</w:t>
            </w:r>
          </w:p>
        </w:tc>
        <w:tc>
          <w:tcPr>
            <w:tcW w:w="240" w:type="dxa"/>
            <w:vAlign w:val="bottom"/>
            <w:tcBorders>
              <w:top w:val="single" w:sz="8" w:color="CCEEFF"/>
            </w:tcBorders>
          </w:tcPr>
          <w:p>
            <w:pPr>
              <w:spacing w:after="0"/>
              <w:rPr>
                <w:sz w:val="16"/>
                <w:szCs w:val="16"/>
                <w:color w:val="auto"/>
              </w:rPr>
            </w:pPr>
          </w:p>
        </w:tc>
        <w:tc>
          <w:tcPr>
            <w:tcW w:w="4460" w:type="dxa"/>
            <w:vAlign w:val="bottom"/>
            <w:tcBorders>
              <w:top w:val="single" w:sz="8" w:color="0000FF"/>
            </w:tcBorders>
            <w:gridSpan w:val="6"/>
          </w:tcPr>
          <w:p>
            <w:pPr>
              <w:spacing w:after="0" w:line="187" w:lineRule="exact"/>
              <w:rPr>
                <w:rFonts w:ascii="Arial" w:cs="Arial" w:eastAsia="Arial" w:hAnsi="Arial"/>
                <w:sz w:val="18"/>
                <w:szCs w:val="18"/>
                <w:color w:val="0000FF"/>
                <w:w w:val="95"/>
              </w:rPr>
            </w:pPr>
            <w:hyperlink w:anchor="page39">
              <w:r>
                <w:rPr>
                  <w:rFonts w:ascii="Arial" w:cs="Arial" w:eastAsia="Arial" w:hAnsi="Arial"/>
                  <w:sz w:val="18"/>
                  <w:szCs w:val="18"/>
                  <w:color w:val="0000FF"/>
                  <w:w w:val="95"/>
                </w:rPr>
                <w:t>Certification of the principal financial officer (filed herewith)</w:t>
              </w:r>
            </w:hyperlink>
          </w:p>
        </w:tc>
        <w:tc>
          <w:tcPr>
            <w:tcW w:w="5520" w:type="dxa"/>
            <w:vAlign w:val="bottom"/>
            <w:tcBorders>
              <w:top w:val="single" w:sz="8" w:color="CCEEFF"/>
            </w:tcBorders>
            <w:gridSpan w:val="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6"/>
                <w:szCs w:val="16"/>
                <w:color w:val="auto"/>
              </w:rPr>
            </w:pPr>
          </w:p>
        </w:tc>
        <w:tc>
          <w:tcPr>
            <w:tcW w:w="9980" w:type="dxa"/>
            <w:vAlign w:val="bottom"/>
            <w:tcBorders>
              <w:right w:val="single" w:sz="8" w:color="CCEEFF"/>
            </w:tcBorders>
            <w:gridSpan w:val="21"/>
            <w:shd w:val="clear" w:color="auto" w:fill="CCEEFF"/>
          </w:tcPr>
          <w:p>
            <w:pPr>
              <w:spacing w:after="0" w:line="187" w:lineRule="exact"/>
              <w:rPr>
                <w:rFonts w:ascii="Arial" w:cs="Arial" w:eastAsia="Arial" w:hAnsi="Arial"/>
                <w:sz w:val="18"/>
                <w:szCs w:val="18"/>
                <w:color w:val="0000FF"/>
                <w:w w:val="92"/>
              </w:rPr>
            </w:pPr>
            <w:hyperlink w:anchor="page40">
              <w:r>
                <w:rPr>
                  <w:rFonts w:ascii="Arial" w:cs="Arial" w:eastAsia="Arial" w:hAnsi="Arial"/>
                  <w:sz w:val="18"/>
                  <w:szCs w:val="18"/>
                  <w:color w:val="0000FF"/>
                  <w:w w:val="92"/>
                </w:rPr>
                <w:t>Certification of the principal executive officer and the principal financial officer pursuant to 18 U.S.C. Section 1350 (furnished herewith).</w:t>
              </w:r>
            </w:hyperlink>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60" w:right="160" w:hanging="655"/>
        <w:spacing w:after="0" w:line="231"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 XBRL Instance Document. The instance document does not appear in the Interactive Data File because its XBRL tags are embedded within the Inline XBRL document.</w:t>
      </w:r>
    </w:p>
    <w:p>
      <w:pPr>
        <w:spacing w:after="0" w:line="20"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8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101</w:t>
            </w: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SCH Inline XBRL Taxonomy Extension Schema Document</w:t>
            </w:r>
          </w:p>
        </w:tc>
      </w:tr>
      <w:tr>
        <w:trPr>
          <w:trHeight w:val="227"/>
        </w:trPr>
        <w:tc>
          <w:tcPr>
            <w:tcW w:w="84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10260" w:type="dxa"/>
            <w:vAlign w:val="bottom"/>
          </w:tcPr>
          <w:p>
            <w:pPr>
              <w:ind w:left="320"/>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27"/>
        </w:trPr>
        <w:tc>
          <w:tcPr>
            <w:tcW w:w="8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101</w:t>
            </w: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LAB Inline XBRL Taxonomy Extension Label Linkbase Document</w:t>
            </w:r>
          </w:p>
        </w:tc>
      </w:tr>
    </w:tbl>
    <w:p>
      <w:pPr>
        <w:ind w:left="1400" w:hanging="89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 Inline XBRL Taxonomy Extension Presentation Linkbase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2" w:right="239" w:bottom="1440" w:gutter="0" w:footer="0" w:header="0"/>
        </w:sectPr>
      </w:pPr>
    </w:p>
    <w:bookmarkStart w:id="34" w:name="page35"/>
    <w:bookmarkEnd w:id="34"/>
    <w:p>
      <w:pPr>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-130175</wp:posOffset>
            </wp:positionV>
            <wp:extent cx="7044055"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044055" cy="144145"/>
                    </a:xfrm>
                    <a:prstGeom prst="rect">
                      <a:avLst/>
                    </a:prstGeom>
                    <a:noFill/>
                  </pic:spPr>
                </pic:pic>
              </a:graphicData>
            </a:graphic>
          </wp:anchor>
        </w:drawing>
      </w:r>
    </w:p>
    <w:p>
      <w:pPr>
        <w:ind w:left="900" w:hanging="89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0"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68580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639"/>
          </w:cols>
          <w:pgMar w:left="820" w:top="926" w:right="1440" w:bottom="1440" w:gutter="0" w:footer="0" w:header="0"/>
        </w:sectPr>
      </w:pPr>
    </w:p>
    <w:bookmarkStart w:id="35" w:name="page36"/>
    <w:bookmarkEnd w:id="35"/>
    <w:p>
      <w:pPr>
        <w:ind w:left="5100"/>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LENNOX INTERNATIONAL INC.</w:t>
      </w:r>
    </w:p>
    <w:p>
      <w:pPr>
        <w:spacing w:after="0" w:line="24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Joseph W. Reitmeier</w:t>
      </w:r>
    </w:p>
    <w:p>
      <w:pPr>
        <w:spacing w:after="0" w:line="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00"/>
          </w:cols>
          <w:pgMar w:left="320" w:top="1122" w:right="1179" w:bottom="1440" w:gutter="0" w:footer="0" w:header="0"/>
        </w:sectPr>
      </w:pPr>
    </w:p>
    <w:bookmarkStart w:id="36" w:name="page37"/>
    <w:bookmarkEnd w:id="36"/>
    <w:p>
      <w:pPr>
        <w:jc w:val="right"/>
        <w:spacing w:after="0"/>
        <w:rPr>
          <w:sz w:val="20"/>
          <w:szCs w:val="20"/>
          <w:color w:val="auto"/>
        </w:rPr>
      </w:pPr>
      <w:r>
        <w:rPr>
          <w:rFonts w:ascii="Arial" w:cs="Arial" w:eastAsia="Arial" w:hAnsi="Arial"/>
          <w:sz w:val="21"/>
          <w:szCs w:val="21"/>
          <w:color w:val="auto"/>
        </w:rPr>
        <w:t>Exhibit 22.1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Guarantor Subsidiaries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subsidiaries of Lennox International Inc. (the “Company”) are guarantors with respect to the Company’s (1) 3.00%</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Notes due 2023, (2) 1.35% Notes due 2025, and (3) 1.70% Notes due 2027:</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9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Guarantor</w:t>
            </w:r>
          </w:p>
        </w:tc>
        <w:tc>
          <w:tcPr>
            <w:tcW w:w="526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0"/>
                <w:szCs w:val="20"/>
                <w:b w:val="1"/>
                <w:bCs w:val="1"/>
                <w:color w:val="auto"/>
              </w:rPr>
              <w:t>State or Other Jurisdiction of Formation</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Advanced Distributor Products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Allied Air Enterprises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Inc.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Refrigeration Products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Technologies Inc.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Global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Lennox Industries Inc.</w:t>
            </w:r>
          </w:p>
        </w:tc>
        <w:tc>
          <w:tcPr>
            <w:tcW w:w="5260" w:type="dxa"/>
            <w:vAlign w:val="bottom"/>
            <w:tcBorders>
              <w:bottom w:val="single" w:sz="8" w:color="auto"/>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Lennox National Account Services Inc.</w:t>
            </w:r>
          </w:p>
        </w:tc>
        <w:tc>
          <w:tcPr>
            <w:tcW w:w="5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4"/>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Lennox National Account Services, LLC</w:t>
            </w:r>
          </w:p>
        </w:tc>
        <w:tc>
          <w:tcPr>
            <w:tcW w:w="5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Procurement Company Inc.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Services, LLC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Australia (US) Inc.</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r>
        <w:trPr>
          <w:trHeight w:val="234"/>
        </w:trPr>
        <w:tc>
          <w:tcPr>
            <w:tcW w:w="59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Europe Holding Co.</w:t>
            </w:r>
          </w:p>
        </w:tc>
        <w:tc>
          <w:tcPr>
            <w:tcW w:w="526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141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3" w:lineRule="exact"/>
        <w:rPr>
          <w:sz w:val="20"/>
          <w:szCs w:val="20"/>
          <w:color w:val="auto"/>
        </w:rPr>
      </w:pPr>
    </w:p>
    <w:p>
      <w:pPr>
        <w:ind w:left="640" w:hanging="63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3" w:lineRule="exact"/>
        <w:rPr>
          <w:rFonts w:ascii="Arial" w:cs="Arial" w:eastAsia="Arial" w:hAnsi="Arial"/>
          <w:sz w:val="18"/>
          <w:szCs w:val="18"/>
          <w:color w:val="auto"/>
        </w:rPr>
      </w:pPr>
    </w:p>
    <w:p>
      <w:pPr>
        <w:jc w:val="both"/>
        <w:ind w:left="640" w:right="240" w:hanging="633"/>
        <w:spacing w:after="0" w:line="25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8"/>
          <w:szCs w:val="18"/>
          <w:color w:val="auto"/>
        </w:rPr>
      </w:pPr>
    </w:p>
    <w:p>
      <w:pPr>
        <w:ind w:left="640" w:right="220" w:hanging="633"/>
        <w:spacing w:after="0" w:line="300"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left="640" w:right="240" w:hanging="633"/>
        <w:spacing w:after="0" w:line="25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960" w:right="180" w:hanging="313"/>
        <w:spacing w:after="0" w:line="258" w:lineRule="auto"/>
        <w:tabs>
          <w:tab w:leader="none" w:pos="9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960" w:right="500" w:hanging="313"/>
        <w:spacing w:after="0" w:line="258" w:lineRule="auto"/>
        <w:tabs>
          <w:tab w:leader="none" w:pos="9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960" w:right="660" w:hanging="313"/>
        <w:spacing w:after="0" w:line="397" w:lineRule="auto"/>
        <w:tabs>
          <w:tab w:leader="none" w:pos="957" w:val="left"/>
        </w:tabs>
        <w:numPr>
          <w:ilvl w:val="1"/>
          <w:numId w:val="1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960" w:right="180" w:hanging="313"/>
        <w:spacing w:after="0" w:line="258" w:lineRule="auto"/>
        <w:tabs>
          <w:tab w:leader="none" w:pos="9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640" w:right="220" w:hanging="633"/>
        <w:spacing w:after="0" w:line="333"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16"/>
          <w:szCs w:val="16"/>
          <w:color w:val="auto"/>
        </w:rPr>
      </w:pPr>
    </w:p>
    <w:p>
      <w:pPr>
        <w:ind w:left="960" w:right="80" w:hanging="313"/>
        <w:spacing w:after="0" w:line="300" w:lineRule="auto"/>
        <w:tabs>
          <w:tab w:leader="none" w:pos="95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Arial" w:cs="Arial" w:eastAsia="Arial" w:hAnsi="Arial"/>
          <w:sz w:val="17"/>
          <w:szCs w:val="17"/>
          <w:color w:val="auto"/>
        </w:rPr>
      </w:pPr>
    </w:p>
    <w:p>
      <w:pPr>
        <w:ind w:left="960" w:right="60" w:hanging="313"/>
        <w:spacing w:after="0" w:line="270" w:lineRule="auto"/>
        <w:tabs>
          <w:tab w:leader="none" w:pos="9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2021</w:t>
      </w:r>
    </w:p>
    <w:p>
      <w:pPr>
        <w:spacing w:after="0" w:line="20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13335</wp:posOffset>
            </wp:positionV>
            <wp:extent cx="27876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Todd M. Bluedorn</w:t>
      </w:r>
    </w:p>
    <w:p>
      <w:pPr>
        <w:spacing w:after="0" w:line="2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3" w:lineRule="exact"/>
        <w:rPr>
          <w:sz w:val="20"/>
          <w:szCs w:val="20"/>
          <w:color w:val="auto"/>
        </w:rPr>
      </w:pPr>
    </w:p>
    <w:p>
      <w:pPr>
        <w:ind w:left="640" w:hanging="63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3" w:lineRule="exact"/>
        <w:rPr>
          <w:rFonts w:ascii="Arial" w:cs="Arial" w:eastAsia="Arial" w:hAnsi="Arial"/>
          <w:sz w:val="18"/>
          <w:szCs w:val="18"/>
          <w:color w:val="auto"/>
        </w:rPr>
      </w:pPr>
    </w:p>
    <w:p>
      <w:pPr>
        <w:jc w:val="both"/>
        <w:ind w:left="640" w:right="240" w:hanging="633"/>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8"/>
          <w:szCs w:val="18"/>
          <w:color w:val="auto"/>
        </w:rPr>
      </w:pPr>
    </w:p>
    <w:p>
      <w:pPr>
        <w:ind w:left="640" w:right="220" w:hanging="633"/>
        <w:spacing w:after="0" w:line="300"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left="640" w:right="240" w:hanging="633"/>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280" w:right="40" w:hanging="633"/>
        <w:spacing w:after="0" w:line="258" w:lineRule="auto"/>
        <w:tabs>
          <w:tab w:leader="none" w:pos="12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280" w:right="180" w:hanging="633"/>
        <w:spacing w:after="0" w:line="258" w:lineRule="auto"/>
        <w:tabs>
          <w:tab w:leader="none" w:pos="12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1280" w:right="340" w:hanging="633"/>
        <w:spacing w:after="0" w:line="397" w:lineRule="auto"/>
        <w:tabs>
          <w:tab w:leader="none" w:pos="1277" w:val="left"/>
        </w:tabs>
        <w:numPr>
          <w:ilvl w:val="1"/>
          <w:numId w:val="1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280" w:right="40" w:hanging="633"/>
        <w:spacing w:after="0" w:line="258" w:lineRule="auto"/>
        <w:tabs>
          <w:tab w:leader="none" w:pos="12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640" w:right="220" w:hanging="633"/>
        <w:spacing w:after="0" w:line="333"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16"/>
          <w:szCs w:val="16"/>
          <w:color w:val="auto"/>
        </w:rPr>
      </w:pPr>
    </w:p>
    <w:p>
      <w:pPr>
        <w:ind w:left="1280" w:right="580" w:hanging="633"/>
        <w:spacing w:after="0" w:line="333" w:lineRule="auto"/>
        <w:tabs>
          <w:tab w:leader="none" w:pos="12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Arial" w:cs="Arial" w:eastAsia="Arial" w:hAnsi="Arial"/>
          <w:sz w:val="16"/>
          <w:szCs w:val="16"/>
          <w:color w:val="auto"/>
        </w:rPr>
      </w:pPr>
    </w:p>
    <w:p>
      <w:pPr>
        <w:ind w:left="1280" w:right="280" w:hanging="633"/>
        <w:spacing w:after="0" w:line="270" w:lineRule="auto"/>
        <w:tabs>
          <w:tab w:leader="none" w:pos="12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2021</w:t>
      </w:r>
    </w:p>
    <w:p>
      <w:pPr>
        <w:spacing w:after="0" w:line="20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13335</wp:posOffset>
            </wp:positionV>
            <wp:extent cx="27876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Joseph W. Reitmeier</w:t>
      </w:r>
    </w:p>
    <w:p>
      <w:pPr>
        <w:spacing w:after="0" w:line="2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June 30, 2021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4" w:lineRule="exact"/>
        <w:rPr>
          <w:sz w:val="20"/>
          <w:szCs w:val="20"/>
          <w:color w:val="auto"/>
        </w:rPr>
      </w:pP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6" w:lineRule="exact"/>
        <w:rPr>
          <w:rFonts w:ascii="Arial" w:cs="Arial" w:eastAsia="Arial" w:hAnsi="Arial"/>
          <w:sz w:val="18"/>
          <w:szCs w:val="18"/>
          <w:color w:val="auto"/>
        </w:rPr>
      </w:pPr>
    </w:p>
    <w:p>
      <w:pPr>
        <w:ind w:left="640" w:hanging="313"/>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13335</wp:posOffset>
            </wp:positionV>
            <wp:extent cx="2618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2618105" cy="825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Todd M. Bluedorn</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78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W. Reitmeier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p>
      <w:pPr>
        <w:spacing w:after="0" w:line="167"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3">
    <w:nsid w:val="216231B"/>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4">
    <w:nsid w:val="1F16E9E8"/>
    <w:multiLevelType w:val="hybridMultilevel"/>
    <w:lvl w:ilvl="0">
      <w:lvlJc w:val="left"/>
      <w:lvlText w:val="%1."/>
      <w:numFmt w:val="decimal"/>
      <w:start w:val="7"/>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lvl w:ilvl="1">
      <w:lvlJc w:val="left"/>
      <w:lvlText w:val="(%2)"/>
      <w:numFmt w:val="decimal"/>
      <w:start w:val="1"/>
    </w:lvl>
  </w:abstractNum>
  <w:abstractNum w:abstractNumId="7">
    <w:nsid w:val="140E0F76"/>
    <w:multiLevelType w:val="hybridMultilevel"/>
    <w:lvl w:ilvl="0">
      <w:lvlJc w:val="left"/>
      <w:lvlText w:val="%1."/>
      <w:numFmt w:val="decimal"/>
      <w:start w:val="8"/>
    </w:lvl>
    <w:lvl w:ilvl="1">
      <w:lvlJc w:val="left"/>
      <w:lvlText w:val="%2"/>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0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45" Type="http://schemas.openxmlformats.org/officeDocument/2006/relationships/hyperlink" Target="http://www.sec.gov/Archives/edgar/data/1069202/000119312520203588/d22651dex11.htm" TargetMode="External"/><Relationship Id="rId46" Type="http://schemas.openxmlformats.org/officeDocument/2006/relationships/hyperlink" Target="http://www.sec.gov/Archives/edgar/data/1069202/0000950134-99-002720-index.html" TargetMode="External"/><Relationship Id="rId47" Type="http://schemas.openxmlformats.org/officeDocument/2006/relationships/hyperlink" Target="http://www.sec.gov/Archives/edgar/data/1069202/000119312513474576/d644537dex31.htm" TargetMode="External"/><Relationship Id="rId48" Type="http://schemas.openxmlformats.org/officeDocument/2006/relationships/hyperlink" Target="http://www.sec.gov/Archives/edgar/data/1069202/0000950134-99-005530-index.html" TargetMode="External"/><Relationship Id="rId49" Type="http://schemas.openxmlformats.org/officeDocument/2006/relationships/hyperlink" Target="http://www.sec.gov/Archives/edgar/data/1017609/000095012310042399/d72548exv4w3.htm" TargetMode="External"/><Relationship Id="rId50" Type="http://schemas.openxmlformats.org/officeDocument/2006/relationships/hyperlink" Target="http://www.sec.gov/Archives/edgar/data/1017609/000095012310042399/d72548exv4w11.htm" TargetMode="External"/><Relationship Id="rId51" Type="http://schemas.openxmlformats.org/officeDocument/2006/relationships/hyperlink" Target="http://www.sec.gov/Archives/edgar/data/1069202/000119312516758285/d284193dex42.htm" TargetMode="External"/><Relationship Id="rId52" Type="http://schemas.openxmlformats.org/officeDocument/2006/relationships/hyperlink" Target="http://www.sec.gov/Archives/edgar/data/1069202/000106920219000008/lii-ex45_20181231x10k.htm" TargetMode="External"/><Relationship Id="rId53" Type="http://schemas.openxmlformats.org/officeDocument/2006/relationships/hyperlink" Target="http://www.sec.gov/Archives/edgar/data/1069202/000106920220000039/lii-ex472020lennoxeigh.htm" TargetMode="External"/><Relationship Id="rId54" Type="http://schemas.openxmlformats.org/officeDocument/2006/relationships/hyperlink" Target="http://www.sec.gov/Archives/edgar/data/1069202/000119312520203588/d22651dex42.htm" TargetMode="External"/><Relationship Id="rId55" Type="http://schemas.openxmlformats.org/officeDocument/2006/relationships/hyperlink" Target="http://www.sec.gov/Archives/edgar/data/1069202/000119312520203588/d22651dex101.htm" TargetMode="External"/><Relationship Id="rId56" Type="http://schemas.openxmlformats.org/officeDocument/2006/relationships/hyperlink" Target="http://www.sec.gov/Archives/edgar/data/1069202/000119312521216428/d19224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2021-07-26T13:03:57Z</dcterms:created>
  <dcterms:modified xsi:type="dcterms:W3CDTF">2021-07-26T13:03:57Z</dcterms:modified>
</cp:coreProperties>
</file>