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487045</wp:posOffset>
            </wp:positionH>
            <wp:positionV relativeFrom="page">
              <wp:posOffset>673735</wp:posOffset>
            </wp:positionV>
            <wp:extent cx="69170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7055" cy="8255"/>
                    </a:xfrm>
                    <a:prstGeom prst="rect">
                      <a:avLst/>
                    </a:prstGeom>
                    <a:noFill/>
                  </pic:spPr>
                </pic:pic>
              </a:graphicData>
            </a:graphic>
          </wp:anchor>
        </w:drawing>
        <w:drawing>
          <wp:anchor simplePos="0" relativeHeight="251657728" behindDoc="1" locked="0" layoutInCell="0" allowOverlap="1">
            <wp:simplePos x="0" y="0"/>
            <wp:positionH relativeFrom="page">
              <wp:posOffset>487045</wp:posOffset>
            </wp:positionH>
            <wp:positionV relativeFrom="page">
              <wp:posOffset>699135</wp:posOffset>
            </wp:positionV>
            <wp:extent cx="6917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055" cy="8255"/>
                    </a:xfrm>
                    <a:prstGeom prst="rect">
                      <a:avLst/>
                    </a:prstGeom>
                    <a:noFill/>
                  </pic:spPr>
                </pic:pic>
              </a:graphicData>
            </a:graphic>
          </wp:anchor>
        </w:drawing>
        <w:t>UNITED STATES</w:t>
      </w:r>
    </w:p>
    <w:p>
      <w:pPr>
        <w:spacing w:after="0" w:line="3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5"/>
          <w:szCs w:val="25"/>
          <w:b w:val="1"/>
          <w:bCs w:val="1"/>
          <w:color w:val="auto"/>
        </w:rPr>
        <w:t>Washington, D. C. 20549</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4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September 30, 2024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5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_____to ______</w:t>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001-15149</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LENNOX INTERNATIONAL INC</w:t>
      </w:r>
      <w:r>
        <w:rPr>
          <w:rFonts w:ascii="Times New Roman" w:cs="Times New Roman" w:eastAsia="Times New Roman" w:hAnsi="Times New Roman"/>
          <w:sz w:val="35"/>
          <w:szCs w:val="35"/>
          <w:b w:val="1"/>
          <w:bCs w:val="1"/>
          <w:color w:val="auto"/>
        </w:rPr>
        <w:t>.</w:t>
      </w:r>
    </w:p>
    <w:p>
      <w:pPr>
        <w:spacing w:after="0" w:line="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Incorporated pursuant to the laws of the State of Delaware</w:t>
      </w:r>
    </w:p>
    <w:p>
      <w:pPr>
        <w:spacing w:after="0" w:line="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Internal Revenue Service Employer Identification No. 42-0991521</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29" w:lineRule="exact"/>
        <w:rPr>
          <w:sz w:val="24"/>
          <w:szCs w:val="24"/>
          <w:color w:val="auto"/>
        </w:rPr>
      </w:pPr>
    </w:p>
    <w:p>
      <w:pPr>
        <w:ind w:left="5500" w:hanging="432"/>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497-5000</w:t>
      </w:r>
    </w:p>
    <w:p>
      <w:pPr>
        <w:spacing w:after="0" w:line="6" w:lineRule="exact"/>
        <w:rPr>
          <w:rFonts w:ascii="Times New Roman" w:cs="Times New Roman" w:eastAsia="Times New Roman" w:hAnsi="Times New Roman"/>
          <w:sz w:val="18"/>
          <w:szCs w:val="18"/>
          <w:b w:val="1"/>
          <w:bCs w:val="1"/>
          <w:color w:val="auto"/>
        </w:rPr>
      </w:pPr>
    </w:p>
    <w:p>
      <w:pPr>
        <w:ind w:left="3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w:t>
      </w:r>
    </w:p>
    <w:p>
      <w:pPr>
        <w:spacing w:after="0" w:line="6"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20" w:right="339" w:bottom="1440" w:gutter="0" w:footer="0" w:header="0"/>
        </w:sectPr>
      </w:pPr>
    </w:p>
    <w:p>
      <w:pPr>
        <w:spacing w:after="0" w:line="24"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9"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48" w:lineRule="exact"/>
        <w:rPr>
          <w:sz w:val="24"/>
          <w:szCs w:val="24"/>
          <w:color w:val="auto"/>
        </w:rPr>
      </w:pPr>
    </w:p>
    <w:p>
      <w:pPr>
        <w:sectPr>
          <w:pgSz w:w="11900" w:h="16838" w:orient="portrait"/>
          <w:cols w:equalWidth="0" w:num="3">
            <w:col w:w="4380" w:space="720"/>
            <w:col w:w="1420" w:space="720"/>
            <w:col w:w="4000"/>
          </w:cols>
          <w:pgMar w:left="320" w:top="1420" w:right="339" w:bottom="1440" w:gutter="0" w:footer="0" w:header="0"/>
          <w:type w:val="continuous"/>
        </w:sectPr>
      </w:pPr>
    </w:p>
    <w:p>
      <w:pPr>
        <w:jc w:val="both"/>
        <w:ind w:firstLine="240"/>
        <w:spacing w:after="0" w:line="2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 w:lineRule="exact"/>
        <w:rPr>
          <w:sz w:val="24"/>
          <w:szCs w:val="24"/>
          <w:color w:val="auto"/>
        </w:rPr>
      </w:pPr>
    </w:p>
    <w:p>
      <w:pPr>
        <w:jc w:val="both"/>
        <w:ind w:firstLine="240"/>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jc w:val="both"/>
        <w:ind w:firstLine="24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26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60"/>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40" w:lineRule="exact"/>
        <w:rPr>
          <w:sz w:val="24"/>
          <w:szCs w:val="24"/>
          <w:color w:val="auto"/>
        </w:rPr>
      </w:pPr>
    </w:p>
    <w:p>
      <w:pPr>
        <w:ind w:firstLine="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 w:lineRule="exact"/>
        <w:rPr>
          <w:sz w:val="24"/>
          <w:szCs w:val="24"/>
          <w:color w:val="auto"/>
        </w:rPr>
      </w:pPr>
    </w:p>
    <w:p>
      <w:pPr>
        <w:ind w:left="240"/>
        <w:spacing w:after="0" w:line="184" w:lineRule="exact"/>
        <w:tabs>
          <w:tab w:leader="none" w:pos="76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October 14, 2024, the number of shares outstanding of the registrant’s common stock, par value $0.01 per share, was 35,623,280.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828040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52705</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78105</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0"/>
        </w:trPr>
        <w:tc>
          <w:tcPr>
            <w:tcW w:w="72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Part I</w:t>
            </w:r>
          </w:p>
        </w:tc>
        <w:tc>
          <w:tcPr>
            <w:tcW w:w="80" w:type="dxa"/>
            <w:vAlign w:val="bottom"/>
            <w:shd w:val="clear" w:color="auto" w:fill="CCEEFF"/>
          </w:tcPr>
          <w:p>
            <w:pPr>
              <w:spacing w:after="0"/>
              <w:rPr>
                <w:sz w:val="13"/>
                <w:szCs w:val="13"/>
                <w:color w:val="auto"/>
              </w:rPr>
            </w:pPr>
          </w:p>
        </w:tc>
        <w:tc>
          <w:tcPr>
            <w:tcW w:w="9760" w:type="dxa"/>
            <w:vAlign w:val="bottom"/>
            <w:gridSpan w:val="20"/>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FF"/>
              </w:rPr>
              <w:t>Financial Information</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60" w:type="dxa"/>
            <w:vAlign w:val="bottom"/>
            <w:gridSpan w:val="20"/>
          </w:tcPr>
          <w:p>
            <w:pPr>
              <w:spacing w:after="0" w:line="174"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Balance Sheets - September 30, 2024 (Unaudited) and December 31, 2023</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1</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Operations (Unaudited) - Three and Nine Months Ended September 30, 2024 and 2023</w:t>
            </w: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w:t>
            </w:r>
          </w:p>
        </w:tc>
        <w:tc>
          <w:tcPr>
            <w:tcW w:w="24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 Three and Nine Months Ended September 30, 2024 and 2023</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 (Unaudited) - Three and Nine Months Ended September 30, 2024 and 2023</w:t>
            </w:r>
          </w:p>
        </w:tc>
        <w:tc>
          <w:tcPr>
            <w:tcW w:w="1360" w:type="dxa"/>
            <w:vAlign w:val="bottom"/>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4</w:t>
            </w:r>
          </w:p>
        </w:tc>
        <w:tc>
          <w:tcPr>
            <w:tcW w:w="24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7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Consolidated Statements of Cash Flows (Unaudited) - Nine Months Ended September 30, 2024 and 2023</w:t>
            </w:r>
          </w:p>
        </w:tc>
        <w:tc>
          <w:tcPr>
            <w:tcW w:w="2800" w:type="dxa"/>
            <w:vAlign w:val="bottom"/>
            <w:gridSpan w:val="4"/>
            <w:shd w:val="clear" w:color="auto" w:fill="CCEEFF"/>
          </w:tcPr>
          <w:p>
            <w:pPr>
              <w:spacing w:after="0"/>
              <w:rPr>
                <w:sz w:val="16"/>
                <w:szCs w:val="16"/>
                <w:color w:val="auto"/>
              </w:rPr>
            </w:pP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6</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76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2800" w:type="dxa"/>
            <w:vAlign w:val="bottom"/>
            <w:gridSpan w:val="4"/>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7</w:t>
            </w:r>
          </w:p>
        </w:tc>
        <w:tc>
          <w:tcPr>
            <w:tcW w:w="24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76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19</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540" w:type="dxa"/>
            <w:vAlign w:val="bottom"/>
            <w:gridSpan w:val="5"/>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28</w:t>
            </w:r>
          </w:p>
        </w:tc>
        <w:tc>
          <w:tcPr>
            <w:tcW w:w="24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Item 4. Controls and Procedures</w:t>
            </w:r>
          </w:p>
        </w:tc>
        <w:tc>
          <w:tcPr>
            <w:tcW w:w="7680" w:type="dxa"/>
            <w:vAlign w:val="bottom"/>
            <w:gridSpan w:val="10"/>
            <w:shd w:val="clear" w:color="auto" w:fill="CCEEFF"/>
          </w:tcPr>
          <w:p>
            <w:pPr>
              <w:spacing w:after="0"/>
              <w:rPr>
                <w:sz w:val="17"/>
                <w:szCs w:val="17"/>
                <w:color w:val="auto"/>
              </w:rPr>
            </w:pP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28</w:t>
            </w:r>
          </w:p>
        </w:tc>
        <w:tc>
          <w:tcPr>
            <w:tcW w:w="240" w:type="dxa"/>
            <w:vAlign w:val="bottom"/>
            <w:shd w:val="clear" w:color="auto" w:fill="CCEEFF"/>
          </w:tcPr>
          <w:p>
            <w:pPr>
              <w:spacing w:after="0"/>
              <w:rPr>
                <w:sz w:val="17"/>
                <w:szCs w:val="17"/>
                <w:color w:val="auto"/>
              </w:rPr>
            </w:pPr>
          </w:p>
        </w:tc>
      </w:tr>
      <w:tr>
        <w:trPr>
          <w:trHeight w:val="173"/>
        </w:trPr>
        <w:tc>
          <w:tcPr>
            <w:tcW w:w="72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Part II</w:t>
            </w:r>
          </w:p>
        </w:tc>
        <w:tc>
          <w:tcPr>
            <w:tcW w:w="80" w:type="dxa"/>
            <w:vAlign w:val="bottom"/>
            <w:tcBorders>
              <w:top w:val="single" w:sz="8" w:color="CCEEFF"/>
            </w:tcBorders>
          </w:tcPr>
          <w:p>
            <w:pPr>
              <w:spacing w:after="0"/>
              <w:rPr>
                <w:sz w:val="15"/>
                <w:szCs w:val="15"/>
                <w:color w:val="auto"/>
              </w:rPr>
            </w:pPr>
          </w:p>
        </w:tc>
        <w:tc>
          <w:tcPr>
            <w:tcW w:w="2080" w:type="dxa"/>
            <w:vAlign w:val="bottom"/>
            <w:tcBorders>
              <w:top w:val="single" w:sz="8" w:color="0000FF"/>
            </w:tcBorders>
            <w:gridSpan w:val="10"/>
          </w:tcPr>
          <w:p>
            <w:pPr>
              <w:spacing w:after="0" w:line="174" w:lineRule="exact"/>
              <w:rPr>
                <w:sz w:val="20"/>
                <w:szCs w:val="20"/>
                <w:color w:val="auto"/>
              </w:rPr>
            </w:pPr>
            <w:r>
              <w:rPr>
                <w:rFonts w:ascii="Times New Roman" w:cs="Times New Roman" w:eastAsia="Times New Roman" w:hAnsi="Times New Roman"/>
                <w:sz w:val="16"/>
                <w:szCs w:val="16"/>
                <w:color w:val="0000FF"/>
              </w:rPr>
              <w:t>Other Information</w:t>
            </w:r>
          </w:p>
        </w:tc>
        <w:tc>
          <w:tcPr>
            <w:tcW w:w="7680" w:type="dxa"/>
            <w:vAlign w:val="bottom"/>
            <w:tcBorders>
              <w:top w:val="single" w:sz="8" w:color="CCEEFF"/>
            </w:tcBorders>
            <w:gridSpan w:val="10"/>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w:t>
            </w:r>
          </w:p>
        </w:tc>
        <w:tc>
          <w:tcPr>
            <w:tcW w:w="928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Legal Proceedings</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29</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8080" w:type="dxa"/>
            <w:vAlign w:val="bottom"/>
            <w:gridSpan w:val="12"/>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29</w:t>
            </w:r>
          </w:p>
        </w:tc>
        <w:tc>
          <w:tcPr>
            <w:tcW w:w="24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w:t>
            </w:r>
          </w:p>
        </w:tc>
        <w:tc>
          <w:tcPr>
            <w:tcW w:w="928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29</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5.</w:t>
            </w:r>
          </w:p>
        </w:tc>
        <w:tc>
          <w:tcPr>
            <w:tcW w:w="388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0000FF"/>
              </w:rPr>
              <w:t>Other Information</w:t>
            </w:r>
          </w:p>
        </w:tc>
        <w:tc>
          <w:tcPr>
            <w:tcW w:w="5400" w:type="dxa"/>
            <w:vAlign w:val="bottom"/>
            <w:gridSpan w:val="8"/>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29</w:t>
            </w:r>
          </w:p>
        </w:tc>
        <w:tc>
          <w:tcPr>
            <w:tcW w:w="240" w:type="dxa"/>
            <w:vAlign w:val="bottom"/>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72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0000FF"/>
              </w:rPr>
              <w:t>Item 6.</w:t>
            </w:r>
          </w:p>
        </w:tc>
        <w:tc>
          <w:tcPr>
            <w:tcW w:w="928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Exhibits</w:t>
            </w:r>
          </w:p>
        </w:tc>
        <w:tc>
          <w:tcPr>
            <w:tcW w:w="400" w:type="dxa"/>
            <w:vAlign w:val="bottom"/>
            <w:gridSpan w:val="4"/>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shd w:val="clear" w:color="auto" w:fill="CCEEFF"/>
          </w:tcPr>
          <w:p>
            <w:pPr>
              <w:spacing w:after="0"/>
              <w:rPr>
                <w:sz w:val="16"/>
                <w:szCs w:val="16"/>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160" w:type="dxa"/>
            <w:vAlign w:val="bottom"/>
          </w:tcPr>
          <w:p>
            <w:pPr>
              <w:spacing w:after="0"/>
              <w:rPr>
                <w:sz w:val="18"/>
                <w:szCs w:val="18"/>
                <w:color w:val="auto"/>
              </w:rPr>
            </w:pP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80" w:type="dxa"/>
            <w:vAlign w:val="bottom"/>
          </w:tcPr>
          <w:p>
            <w:pPr>
              <w:spacing w:after="0"/>
              <w:rPr>
                <w:sz w:val="18"/>
                <w:szCs w:val="18"/>
                <w:color w:val="auto"/>
              </w:rPr>
            </w:pPr>
          </w:p>
        </w:tc>
        <w:tc>
          <w:tcPr>
            <w:tcW w:w="18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89"/>
        </w:trPr>
        <w:tc>
          <w:tcPr>
            <w:tcW w:w="69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investments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9"/>
              </w:rPr>
              <w:t>Accounts and notes receivable, net of allowances of $16.2 and $14.4 in 2024 and 2023, respectively</w:t>
            </w: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594.6</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 net</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699.1</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1,433.5</w:t>
            </w:r>
          </w:p>
        </w:tc>
        <w:tc>
          <w:tcPr>
            <w:tcW w:w="0" w:type="dxa"/>
            <w:vAlign w:val="bottom"/>
          </w:tcPr>
          <w:p>
            <w:pPr>
              <w:spacing w:after="0"/>
              <w:rPr>
                <w:sz w:val="1"/>
                <w:szCs w:val="1"/>
                <w:color w:val="auto"/>
              </w:rPr>
            </w:pPr>
          </w:p>
        </w:tc>
      </w:tr>
      <w:tr>
        <w:trPr>
          <w:trHeight w:val="169"/>
        </w:trPr>
        <w:tc>
          <w:tcPr>
            <w:tcW w:w="69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$952.6 and $910.8 in 2024 and</w:t>
            </w:r>
          </w:p>
        </w:tc>
        <w:tc>
          <w:tcPr>
            <w:tcW w:w="16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720.4</w:t>
            </w:r>
          </w:p>
        </w:tc>
        <w:tc>
          <w:tcPr>
            <w:tcW w:w="0" w:type="dxa"/>
            <w:vAlign w:val="bottom"/>
          </w:tcPr>
          <w:p>
            <w:pPr>
              <w:spacing w:after="0"/>
              <w:rPr>
                <w:sz w:val="1"/>
                <w:szCs w:val="1"/>
                <w:color w:val="auto"/>
              </w:rPr>
            </w:pPr>
          </w:p>
        </w:tc>
      </w:tr>
      <w:tr>
        <w:trPr>
          <w:trHeight w:val="22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 respectively</w:t>
            </w:r>
          </w:p>
        </w:tc>
        <w:tc>
          <w:tcPr>
            <w:tcW w:w="16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213.6</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0" w:type="dxa"/>
            <w:vAlign w:val="bottom"/>
          </w:tcPr>
          <w:p>
            <w:pPr>
              <w:spacing w:after="0"/>
              <w:rPr>
                <w:sz w:val="1"/>
                <w:szCs w:val="1"/>
                <w:color w:val="auto"/>
              </w:rPr>
            </w:pPr>
          </w:p>
        </w:tc>
      </w:tr>
      <w:tr>
        <w:trPr>
          <w:trHeight w:val="227"/>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0" w:type="dxa"/>
            <w:vAlign w:val="bottom"/>
          </w:tcPr>
          <w:p>
            <w:pPr>
              <w:spacing w:after="0"/>
              <w:rPr>
                <w:sz w:val="1"/>
                <w:szCs w:val="1"/>
                <w:color w:val="auto"/>
              </w:rPr>
            </w:pPr>
          </w:p>
        </w:tc>
      </w:tr>
      <w:tr>
        <w:trPr>
          <w:trHeight w:val="224"/>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3,313.2</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2,798.3</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477.5</w:t>
            </w:r>
          </w:p>
        </w:tc>
        <w:tc>
          <w:tcPr>
            <w:tcW w:w="1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taxes payable</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16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16"/>
        </w:trPr>
        <w:tc>
          <w:tcPr>
            <w:tcW w:w="69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1,014.6</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Pensions</w:t>
            </w: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184.4</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0" w:type="dxa"/>
            <w:vAlign w:val="bottom"/>
          </w:tcPr>
          <w:p>
            <w:pPr>
              <w:spacing w:after="0"/>
              <w:rPr>
                <w:sz w:val="1"/>
                <w:szCs w:val="1"/>
                <w:color w:val="auto"/>
              </w:rPr>
            </w:pPr>
          </w:p>
        </w:tc>
      </w:tr>
      <w:tr>
        <w:trPr>
          <w:trHeight w:val="22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2,559.2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2,513.0</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tc>
        <w:tc>
          <w:tcPr>
            <w:tcW w:w="160" w:type="dxa"/>
            <w:vAlign w:val="bottom"/>
          </w:tcPr>
          <w:p>
            <w:pPr>
              <w:spacing w:after="0"/>
              <w:rPr>
                <w:sz w:val="19"/>
                <w:szCs w:val="19"/>
                <w:color w:val="auto"/>
              </w:rPr>
            </w:pP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1,184.6</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3,506.2</w:t>
            </w:r>
          </w:p>
        </w:tc>
        <w:tc>
          <w:tcPr>
            <w:tcW w:w="0" w:type="dxa"/>
            <w:vAlign w:val="bottom"/>
          </w:tcPr>
          <w:p>
            <w:pPr>
              <w:spacing w:after="0"/>
              <w:rPr>
                <w:sz w:val="1"/>
                <w:szCs w:val="1"/>
                <w:color w:val="auto"/>
              </w:rPr>
            </w:pPr>
          </w:p>
        </w:tc>
      </w:tr>
      <w:tr>
        <w:trPr>
          <w:trHeight w:val="223"/>
        </w:trPr>
        <w:tc>
          <w:tcPr>
            <w:tcW w:w="6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0" w:type="dxa"/>
            <w:vAlign w:val="bottom"/>
          </w:tcPr>
          <w:p>
            <w:pPr>
              <w:spacing w:after="0"/>
              <w:rPr>
                <w:sz w:val="1"/>
                <w:szCs w:val="1"/>
                <w:color w:val="auto"/>
              </w:rPr>
            </w:pPr>
          </w:p>
        </w:tc>
      </w:tr>
      <w:tr>
        <w:trPr>
          <w:trHeight w:val="231"/>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Treasury stock, at cost, 51,537,964 shares and 51,588,103 shares for 2024 and 2023, respectively</w:t>
            </w:r>
          </w:p>
        </w:tc>
        <w:tc>
          <w:tcPr>
            <w:tcW w:w="16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(4,375.1)</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(4,349.5)</w:t>
            </w:r>
          </w:p>
        </w:tc>
        <w:tc>
          <w:tcPr>
            <w:tcW w:w="0" w:type="dxa"/>
            <w:vAlign w:val="bottom"/>
          </w:tcPr>
          <w:p>
            <w:pPr>
              <w:spacing w:after="0"/>
              <w:rPr>
                <w:sz w:val="1"/>
                <w:szCs w:val="1"/>
                <w:color w:val="auto"/>
              </w:rPr>
            </w:pPr>
          </w:p>
        </w:tc>
      </w:tr>
      <w:tr>
        <w:trPr>
          <w:trHeight w:val="218"/>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754.0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285.3</w:t>
            </w:r>
          </w:p>
        </w:tc>
        <w:tc>
          <w:tcPr>
            <w:tcW w:w="0" w:type="dxa"/>
            <w:vAlign w:val="bottom"/>
          </w:tcPr>
          <w:p>
            <w:pPr>
              <w:spacing w:after="0"/>
              <w:rPr>
                <w:sz w:val="1"/>
                <w:szCs w:val="1"/>
                <w:color w:val="auto"/>
              </w:rPr>
            </w:pPr>
          </w:p>
        </w:tc>
      </w:tr>
      <w:tr>
        <w:trPr>
          <w:trHeight w:val="247"/>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3,313.2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2,798.3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200" w:type="dxa"/>
            <w:vAlign w:val="bottom"/>
            <w:shd w:val="clear" w:color="auto" w:fill="CCEEFF"/>
          </w:tcPr>
          <w:p>
            <w:pPr>
              <w:spacing w:after="0"/>
              <w:rPr>
                <w:sz w:val="16"/>
                <w:szCs w:val="16"/>
                <w:color w:val="auto"/>
              </w:rPr>
            </w:pPr>
          </w:p>
        </w:tc>
        <w:tc>
          <w:tcPr>
            <w:tcW w:w="25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shd w:val="clear" w:color="auto" w:fill="CCEEFF"/>
          </w:tcPr>
          <w:p>
            <w:pPr>
              <w:spacing w:after="0"/>
              <w:rPr>
                <w:sz w:val="16"/>
                <w:szCs w:val="16"/>
                <w:color w:val="auto"/>
              </w:rPr>
            </w:pPr>
          </w:p>
        </w:tc>
        <w:tc>
          <w:tcPr>
            <w:tcW w:w="2380" w:type="dxa"/>
            <w:vAlign w:val="bottom"/>
            <w:gridSpan w:val="4"/>
            <w:shd w:val="clear" w:color="auto" w:fill="CCEEFF"/>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2"/>
        </w:trPr>
        <w:tc>
          <w:tcPr>
            <w:tcW w:w="584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3,827.1</w:t>
            </w: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0" w:type="dxa"/>
            <w:vAlign w:val="bottom"/>
          </w:tcPr>
          <w:p>
            <w:pPr>
              <w:spacing w:after="0"/>
              <w:rPr>
                <w:sz w:val="1"/>
                <w:szCs w:val="1"/>
                <w:color w:val="auto"/>
              </w:rPr>
            </w:pPr>
          </w:p>
        </w:tc>
      </w:tr>
      <w:tr>
        <w:trPr>
          <w:trHeight w:val="22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0" w:type="dxa"/>
            <w:vAlign w:val="bottom"/>
          </w:tcPr>
          <w:p>
            <w:pPr>
              <w:spacing w:after="0"/>
              <w:rPr>
                <w:sz w:val="1"/>
                <w:szCs w:val="1"/>
                <w:color w:val="auto"/>
              </w:rPr>
            </w:pPr>
          </w:p>
        </w:tc>
      </w:tr>
      <w:tr>
        <w:trPr>
          <w:trHeight w:val="227"/>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other expenses, net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on assets held for sale</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604.8</w:t>
            </w:r>
          </w:p>
        </w:tc>
        <w:tc>
          <w:tcPr>
            <w:tcW w:w="0" w:type="dxa"/>
            <w:vAlign w:val="bottom"/>
          </w:tcPr>
          <w:p>
            <w:pPr>
              <w:spacing w:after="0"/>
              <w:rPr>
                <w:sz w:val="1"/>
                <w:szCs w:val="1"/>
                <w:color w:val="auto"/>
              </w:rPr>
            </w:pPr>
          </w:p>
        </w:tc>
      </w:tr>
      <w:tr>
        <w:trPr>
          <w:trHeight w:val="22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0" w:type="dxa"/>
            <w:vAlign w:val="bottom"/>
          </w:tcPr>
          <w:p>
            <w:pPr>
              <w:spacing w:after="0"/>
              <w:rPr>
                <w:sz w:val="1"/>
                <w:szCs w:val="1"/>
                <w:color w:val="auto"/>
              </w:rPr>
            </w:pPr>
          </w:p>
        </w:tc>
      </w:tr>
      <w:tr>
        <w:trPr>
          <w:trHeight w:val="227"/>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45"/>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118"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100" w:type="dxa"/>
            <w:vAlign w:val="bottom"/>
          </w:tcPr>
          <w:p>
            <w:pPr>
              <w:spacing w:after="0"/>
              <w:rPr>
                <w:sz w:val="16"/>
                <w:szCs w:val="16"/>
                <w:color w:val="auto"/>
              </w:rPr>
            </w:pPr>
          </w:p>
        </w:tc>
        <w:tc>
          <w:tcPr>
            <w:tcW w:w="224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140" w:type="dxa"/>
            <w:vAlign w:val="bottom"/>
          </w:tcPr>
          <w:p>
            <w:pPr>
              <w:spacing w:after="0"/>
              <w:rPr>
                <w:sz w:val="16"/>
                <w:szCs w:val="16"/>
                <w:color w:val="auto"/>
              </w:rPr>
            </w:pPr>
          </w:p>
        </w:tc>
        <w:tc>
          <w:tcPr>
            <w:tcW w:w="210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2"/>
        </w:trPr>
        <w:tc>
          <w:tcPr>
            <w:tcW w:w="6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2100" w:type="dxa"/>
            <w:vAlign w:val="bottom"/>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445.6</w:t>
            </w:r>
          </w:p>
        </w:tc>
        <w:tc>
          <w:tcPr>
            <w:tcW w:w="0" w:type="dxa"/>
            <w:vAlign w:val="bottom"/>
          </w:tcPr>
          <w:p>
            <w:pPr>
              <w:spacing w:after="0"/>
              <w:rPr>
                <w:sz w:val="1"/>
                <w:szCs w:val="1"/>
                <w:color w:val="auto"/>
              </w:rPr>
            </w:pPr>
          </w:p>
        </w:tc>
      </w:tr>
      <w:tr>
        <w:trPr>
          <w:trHeight w:val="20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(loss) income:</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7"/>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7"/>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settlements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of equity method investments other comprehensive income</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cash flow hedge losses into earnings</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0"/>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0" w:type="dxa"/>
            <w:vAlign w:val="bottom"/>
          </w:tcPr>
          <w:p>
            <w:pPr>
              <w:spacing w:after="0"/>
              <w:rPr>
                <w:sz w:val="1"/>
                <w:szCs w:val="1"/>
                <w:color w:val="auto"/>
              </w:rPr>
            </w:pPr>
          </w:p>
        </w:tc>
      </w:tr>
      <w:tr>
        <w:trPr>
          <w:trHeight w:val="245"/>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2024 and 2023</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2"/>
                <w:szCs w:val="12"/>
                <w:color w:val="auto"/>
              </w:rPr>
            </w:pPr>
          </w:p>
        </w:tc>
        <w:tc>
          <w:tcPr>
            <w:tcW w:w="1640" w:type="dxa"/>
            <w:vAlign w:val="bottom"/>
            <w:gridSpan w:val="5"/>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0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restart"/>
          </w:tcPr>
          <w:p>
            <w:pPr>
              <w:jc w:val="center"/>
              <w:ind w:right="200"/>
              <w:spacing w:after="0" w:line="160" w:lineRule="exact"/>
              <w:rPr>
                <w:sz w:val="20"/>
                <w:szCs w:val="20"/>
                <w:color w:val="auto"/>
              </w:rPr>
            </w:pPr>
            <w:r>
              <w:rPr>
                <w:rFonts w:ascii="Times New Roman" w:cs="Times New Roman" w:eastAsia="Times New Roman" w:hAnsi="Times New Roman"/>
                <w:sz w:val="15"/>
                <w:szCs w:val="15"/>
                <w:b w:val="1"/>
                <w:bCs w:val="1"/>
                <w:color w:val="auto"/>
                <w:w w:val="97"/>
              </w:rPr>
              <w:t>Common</w:t>
            </w:r>
          </w:p>
        </w:tc>
        <w:tc>
          <w:tcPr>
            <w:tcW w:w="80" w:type="dxa"/>
            <w:vAlign w:val="bottom"/>
          </w:tcPr>
          <w:p>
            <w:pPr>
              <w:spacing w:after="0"/>
              <w:rPr>
                <w:sz w:val="8"/>
                <w:szCs w:val="8"/>
                <w:color w:val="auto"/>
              </w:rPr>
            </w:pPr>
          </w:p>
        </w:tc>
        <w:tc>
          <w:tcPr>
            <w:tcW w:w="88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line="160"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20" w:type="dxa"/>
            <w:vAlign w:val="bottom"/>
            <w:gridSpan w:val="5"/>
            <w:vMerge w:val="restart"/>
          </w:tcPr>
          <w:p>
            <w:pPr>
              <w:jc w:val="center"/>
              <w:ind w:right="100"/>
              <w:spacing w:after="0" w:line="160"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5"/>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September 30, 2024)</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12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3"/>
                <w:szCs w:val="3"/>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Loss</w:t>
            </w:r>
          </w:p>
        </w:tc>
        <w:tc>
          <w:tcPr>
            <w:tcW w:w="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1,197.9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3,796.0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(60.8)</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51.5</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(4,356.6)</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577.4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239.0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$1.15 per share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ind w:left="220"/>
              <w:spacing w:after="0" w:line="147" w:lineRule="exact"/>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2024</w:t>
            </w: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1,204.9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3,994.0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(70.7)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51.5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(4,375.1)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754.0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2"/>
                <w:szCs w:val="12"/>
                <w:color w:val="auto"/>
              </w:rPr>
            </w:pPr>
          </w:p>
        </w:tc>
        <w:tc>
          <w:tcPr>
            <w:tcW w:w="17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restart"/>
          </w:tcPr>
          <w:p>
            <w:pPr>
              <w:spacing w:after="0" w:line="147" w:lineRule="exact"/>
              <w:rPr>
                <w:sz w:val="20"/>
                <w:szCs w:val="20"/>
                <w:color w:val="auto"/>
              </w:rPr>
            </w:pPr>
            <w:r>
              <w:rPr>
                <w:rFonts w:ascii="Times New Roman" w:cs="Times New Roman" w:eastAsia="Times New Roman" w:hAnsi="Times New Roman"/>
                <w:sz w:val="15"/>
                <w:szCs w:val="15"/>
                <w:b w:val="1"/>
                <w:bCs w:val="1"/>
                <w:color w:val="auto"/>
              </w:rPr>
              <w:t>Common</w:t>
            </w:r>
          </w:p>
        </w:tc>
        <w:tc>
          <w:tcPr>
            <w:tcW w:w="80" w:type="dxa"/>
            <w:vAlign w:val="bottom"/>
          </w:tcPr>
          <w:p>
            <w:pPr>
              <w:spacing w:after="0"/>
              <w:rPr>
                <w:sz w:val="8"/>
                <w:szCs w:val="8"/>
                <w:color w:val="auto"/>
              </w:rPr>
            </w:pPr>
          </w:p>
        </w:tc>
        <w:tc>
          <w:tcPr>
            <w:tcW w:w="880" w:type="dxa"/>
            <w:vAlign w:val="bottom"/>
            <w:gridSpan w:val="2"/>
            <w:vMerge w:val="restart"/>
          </w:tcPr>
          <w:p>
            <w:pPr>
              <w:jc w:val="center"/>
              <w:ind w:right="180"/>
              <w:spacing w:after="0" w:line="147"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40" w:type="dxa"/>
            <w:vAlign w:val="bottom"/>
          </w:tcPr>
          <w:p>
            <w:pPr>
              <w:spacing w:after="0"/>
              <w:rPr>
                <w:sz w:val="8"/>
                <w:szCs w:val="8"/>
                <w:color w:val="auto"/>
              </w:rPr>
            </w:pPr>
          </w:p>
        </w:tc>
        <w:tc>
          <w:tcPr>
            <w:tcW w:w="1080" w:type="dxa"/>
            <w:vAlign w:val="bottom"/>
            <w:gridSpan w:val="4"/>
            <w:vMerge w:val="restart"/>
          </w:tcPr>
          <w:p>
            <w:pPr>
              <w:jc w:val="center"/>
              <w:ind w:right="60"/>
              <w:spacing w:after="0" w:line="147"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60" w:type="dxa"/>
            <w:vAlign w:val="bottom"/>
          </w:tcPr>
          <w:p>
            <w:pPr>
              <w:spacing w:after="0"/>
              <w:rPr>
                <w:sz w:val="8"/>
                <w:szCs w:val="8"/>
                <w:color w:val="auto"/>
              </w:rPr>
            </w:pPr>
          </w:p>
        </w:tc>
        <w:tc>
          <w:tcPr>
            <w:tcW w:w="1700" w:type="dxa"/>
            <w:vAlign w:val="bottom"/>
            <w:tcBorders>
              <w:bottom w:val="single" w:sz="8" w:color="auto"/>
            </w:tcBorders>
            <w:gridSpan w:val="6"/>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100"/>
              <w:spacing w:after="0" w:line="147"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4"/>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September 30, 2023)</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8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Loss</w:t>
            </w:r>
          </w:p>
        </w:tc>
        <w:tc>
          <w:tcPr>
            <w:tcW w:w="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2023</w:t>
            </w: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1,169.3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3,309.0</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(75.8)</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(4,340.8)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62.6</w:t>
            </w: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130.4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Dividends, $1.10 per share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ind w:left="200"/>
              <w:spacing w:after="0" w:line="147" w:lineRule="exact"/>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Treasury stock purchases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20"/>
        </w:trPr>
        <w:tc>
          <w:tcPr>
            <w:tcW w:w="4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2023</w:t>
            </w: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1,178.9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3,400.3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(77.0)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(4,343.6)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159.5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84"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2024 and 2023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5"/>
                <w:szCs w:val="15"/>
                <w:b w:val="1"/>
                <w:bCs w:val="1"/>
                <w:color w:val="auto"/>
              </w:rPr>
              <w:t>Other</w:t>
            </w:r>
          </w:p>
        </w:tc>
        <w:tc>
          <w:tcPr>
            <w:tcW w:w="20" w:type="dxa"/>
            <w:vAlign w:val="bottom"/>
          </w:tcPr>
          <w:p>
            <w:pPr>
              <w:spacing w:after="0"/>
              <w:rPr>
                <w:sz w:val="12"/>
                <w:szCs w:val="12"/>
                <w:color w:val="auto"/>
              </w:rPr>
            </w:pPr>
          </w:p>
        </w:tc>
        <w:tc>
          <w:tcPr>
            <w:tcW w:w="1720" w:type="dxa"/>
            <w:vAlign w:val="bottom"/>
            <w:gridSpan w:val="6"/>
            <w:vMerge w:val="restart"/>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1"/>
                <w:szCs w:val="11"/>
                <w:color w:val="auto"/>
              </w:rPr>
            </w:pPr>
          </w:p>
        </w:tc>
        <w:tc>
          <w:tcPr>
            <w:tcW w:w="1120" w:type="dxa"/>
            <w:vAlign w:val="bottom"/>
            <w:gridSpan w:val="4"/>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6"/>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(For the nine months ended September 30, 2024)</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Stock Issued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20" w:type="dxa"/>
            <w:vAlign w:val="bottom"/>
          </w:tcPr>
          <w:p>
            <w:pPr>
              <w:spacing w:after="0"/>
              <w:rPr>
                <w:sz w:val="17"/>
                <w:szCs w:val="17"/>
                <w:color w:val="auto"/>
              </w:rPr>
            </w:pPr>
          </w:p>
        </w:tc>
        <w:tc>
          <w:tcPr>
            <w:tcW w:w="88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0" w:type="dxa"/>
            <w:vAlign w:val="bottom"/>
          </w:tcPr>
          <w:p>
            <w:pPr>
              <w:spacing w:after="0"/>
              <w:rPr>
                <w:sz w:val="17"/>
                <w:szCs w:val="17"/>
                <w:color w:val="auto"/>
              </w:rPr>
            </w:pPr>
          </w:p>
        </w:tc>
        <w:tc>
          <w:tcPr>
            <w:tcW w:w="8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1,184.6</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3,506.2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(4,349.5)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609.2</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Dividends, $3.4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ind w:left="200"/>
              <w:spacing w:after="0" w:line="147" w:lineRule="exact"/>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income</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0" w:type="dxa"/>
            <w:vAlign w:val="bottom"/>
          </w:tcPr>
          <w:p>
            <w:pPr>
              <w:spacing w:after="0"/>
              <w:rPr>
                <w:sz w:val="1"/>
                <w:szCs w:val="1"/>
                <w:color w:val="auto"/>
              </w:rPr>
            </w:pPr>
          </w:p>
        </w:tc>
      </w:tr>
      <w:tr>
        <w:trPr>
          <w:trHeight w:val="22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September 30, 2024</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1,204.9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3,994.0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(4,375.1)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754.0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vMerge w:val="restart"/>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0" w:type="dxa"/>
            <w:vAlign w:val="bottom"/>
          </w:tcPr>
          <w:p>
            <w:pPr>
              <w:spacing w:after="0"/>
              <w:rPr>
                <w:sz w:val="15"/>
                <w:szCs w:val="15"/>
                <w:color w:val="auto"/>
              </w:rPr>
            </w:pPr>
          </w:p>
        </w:tc>
        <w:tc>
          <w:tcPr>
            <w:tcW w:w="1800" w:type="dxa"/>
            <w:vAlign w:val="bottom"/>
            <w:gridSpan w:val="7"/>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jc w:val="center"/>
              <w:ind w:right="160"/>
              <w:spacing w:after="0" w:line="120" w:lineRule="exact"/>
              <w:rPr>
                <w:sz w:val="20"/>
                <w:szCs w:val="20"/>
                <w:color w:val="auto"/>
              </w:rPr>
            </w:pPr>
            <w:r>
              <w:rPr>
                <w:rFonts w:ascii="Times New Roman" w:cs="Times New Roman" w:eastAsia="Times New Roman" w:hAnsi="Times New Roman"/>
                <w:sz w:val="13"/>
                <w:szCs w:val="13"/>
                <w:b w:val="1"/>
                <w:bCs w:val="1"/>
                <w:color w:val="auto"/>
              </w:rPr>
              <w:t>Paid-In</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4"/>
            <w:vMerge w:val="restart"/>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nine months ended September 30, 2023)</w:t>
            </w: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2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Equity (Deficit)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1,155.2</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3,070.6</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(90.6)</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51.7</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(4,339.2)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$3.26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Pension and post-retirement liability changes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2023</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1,178.</w:t>
            </w:r>
            <w:r>
              <w:rPr>
                <w:rFonts w:ascii="Times New Roman" w:cs="Times New Roman" w:eastAsia="Times New Roman" w:hAnsi="Times New Roman"/>
                <w:sz w:val="15"/>
                <w:szCs w:val="15"/>
                <w:b w:val="1"/>
                <w:bCs w:val="1"/>
                <w:u w:val="single" w:color="auto"/>
                <w:color w:val="auto"/>
              </w:rPr>
              <w:t>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3,400.</w:t>
            </w:r>
            <w:r>
              <w:rPr>
                <w:rFonts w:ascii="Times New Roman" w:cs="Times New Roman" w:eastAsia="Times New Roman" w:hAnsi="Times New Roman"/>
                <w:sz w:val="15"/>
                <w:szCs w:val="15"/>
                <w:b w:val="1"/>
                <w:bCs w:val="1"/>
                <w:u w:val="single" w:color="auto"/>
                <w:color w:val="auto"/>
              </w:rPr>
              <w:t>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(77.0)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(4,343.6)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60" w:top="884" w:right="3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(Amounts in millions)</w:t>
            </w:r>
          </w:p>
        </w:tc>
        <w:tc>
          <w:tcPr>
            <w:tcW w:w="1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98"/>
              </w:rPr>
              <w:t>For the Nine Months Ended September 30,</w:t>
            </w:r>
          </w:p>
        </w:tc>
      </w:tr>
      <w:tr>
        <w:trPr>
          <w:trHeight w:val="225"/>
        </w:trPr>
        <w:tc>
          <w:tcPr>
            <w:tcW w:w="7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609.2</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445.6</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Gain on sale from previous dispositions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from equity method investments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Dividends from affiliates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Impairment on assets held for sale</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Unrealized (gains) losses, net on derivative contracts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Deferred income taxes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Pension expense</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Pension contributions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items, net</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 net of effects of acquisitions and divestitures: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and notes receivable</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taxes payable and receivable, net</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Leases, net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net</w:t>
            </w:r>
          </w:p>
        </w:tc>
        <w:tc>
          <w:tcPr>
            <w:tcW w:w="1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613.3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429.9</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proceeds from previous disposition</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Acquisitions, net of cash</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Purchases of investments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(124.5)</w:t>
            </w: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 borrowings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paper payments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Borrowings from debt arrangements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1,737.5</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on debt arrangements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(2,290.1)</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Issuance of senior unsecured notes</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of deferred financing costs</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employee stock purchases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 tax obligations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w:t>
            </w: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(327.4)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(215.6)</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in cash and cash equivalents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r>
      <w:tr>
        <w:trPr>
          <w:trHeight w:val="23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balances classified as assets held for sale</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243.1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132.0</w:t>
            </w:r>
          </w:p>
        </w:tc>
      </w:tr>
      <w:tr>
        <w:trPr>
          <w:trHeight w:val="45"/>
        </w:trPr>
        <w:tc>
          <w:tcPr>
            <w:tcW w:w="78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1"/>
        </w:trPr>
        <w:tc>
          <w:tcPr>
            <w:tcW w:w="78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r>
      <w:tr>
        <w:trPr>
          <w:trHeight w:val="25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151.3</w:t>
            </w:r>
          </w:p>
        </w:tc>
      </w:tr>
      <w:tr>
        <w:trPr>
          <w:trHeight w:val="20"/>
        </w:trPr>
        <w:tc>
          <w:tcPr>
            <w:tcW w:w="7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180"/>
          </w:cols>
          <w:pgMar w:left="360" w:top="437" w:right="359" w:bottom="1440" w:gutter="0" w:footer="0" w:header="0"/>
        </w:sectPr>
      </w:pP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85725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437" w:right="3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References in this Quarterly Report on Form 10-Q to "we","our","us","LII" or the "Company" refer to Lennox International Inc. and its subsidiaries, unless the context requires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Balance Sheet as of September 30, 2024, the accompanying unaudited Consolidated Statements of Operations for the three and nine months ended September 30, 2024 and 2023, the accompanying unaudited Consolidated Statements of Comprehensive Income for the three and nine months ended September 30, 2024 and 2023, the accompanying unaudited Consolidated Statements of Stockholders' Equity for the three and nine months ended September 30, 2024 and 2023, and the accompanying unaudited Consolidated Statements of Cash Flows for the nine months ended September 30, 2024 and 2023 should be read in conjunction with our audited consolidated financial statements and footnotes included in our Annual Report on Form 10-K for the year ended December 31, 2023.</w:t>
      </w:r>
    </w:p>
    <w:p>
      <w:pPr>
        <w:spacing w:after="0" w:line="212"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Reportable Business Segments:</w:t>
      </w:r>
    </w:p>
    <w:p>
      <w:pPr>
        <w:spacing w:after="0" w:line="251" w:lineRule="exact"/>
        <w:rPr>
          <w:sz w:val="20"/>
          <w:szCs w:val="20"/>
          <w:color w:val="auto"/>
        </w:rPr>
      </w:pPr>
    </w:p>
    <w:p>
      <w:pPr>
        <w:jc w:val="both"/>
        <w:ind w:right="20" w:firstLine="240"/>
        <w:spacing w:after="0" w:line="272" w:lineRule="auto"/>
        <w:rPr>
          <w:sz w:val="20"/>
          <w:szCs w:val="20"/>
          <w:color w:val="auto"/>
        </w:rPr>
      </w:pPr>
      <w:r>
        <w:rPr>
          <w:rFonts w:ascii="Times New Roman" w:cs="Times New Roman" w:eastAsia="Times New Roman" w:hAnsi="Times New Roman"/>
          <w:sz w:val="18"/>
          <w:szCs w:val="18"/>
          <w:color w:val="auto"/>
        </w:rPr>
        <w:t>We operate in two reportable business segments of the heating, ventilation, air conditioning and refrigeration (“HVACR”) industry. Our segments are organized primarily by the nature of the products and services we provide. The following table describes each segment:</w:t>
      </w:r>
    </w:p>
    <w:tbl>
      <w:tblPr>
        <w:tblLayout w:type="fixed"/>
        <w:tblInd w:w="40" w:type="dxa"/>
        <w:tblCellMar>
          <w:top w:w="0" w:type="dxa"/>
          <w:left w:w="0" w:type="dxa"/>
          <w:bottom w:w="0" w:type="dxa"/>
          <w:right w:w="0" w:type="dxa"/>
        </w:tblCellMar>
      </w:tblPr>
      <w:tr>
        <w:trPr>
          <w:trHeight w:val="21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Product or Services</w:t>
            </w:r>
          </w:p>
        </w:tc>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Markets Served</w:t>
            </w:r>
          </w:p>
        </w:tc>
        <w:tc>
          <w:tcPr>
            <w:tcW w:w="1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Areas</w:t>
            </w:r>
          </w:p>
        </w:tc>
      </w:tr>
      <w:tr>
        <w:trPr>
          <w:trHeight w:val="169"/>
        </w:trPr>
        <w:tc>
          <w:tcPr>
            <w:tcW w:w="18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i w:val="1"/>
                <w:iCs w:val="1"/>
                <w:color w:val="auto"/>
                <w:w w:val="99"/>
              </w:rPr>
              <w:t>Home Comfort Solutions</w:t>
            </w:r>
          </w:p>
        </w:tc>
        <w:tc>
          <w:tcPr>
            <w:tcW w:w="100" w:type="dxa"/>
            <w:vAlign w:val="bottom"/>
            <w:tcBorders>
              <w:top w:val="single" w:sz="8" w:color="CCEEFF"/>
            </w:tcBorders>
            <w:shd w:val="clear" w:color="auto" w:fill="CCEEFF"/>
          </w:tcPr>
          <w:p>
            <w:pPr>
              <w:spacing w:after="0"/>
              <w:rPr>
                <w:sz w:val="14"/>
                <w:szCs w:val="14"/>
                <w:color w:val="auto"/>
              </w:rPr>
            </w:pPr>
          </w:p>
        </w:tc>
        <w:tc>
          <w:tcPr>
            <w:tcW w:w="454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2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Residential Replacement;</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28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Residential New Construction</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replacement parts and supplies</w:t>
            </w:r>
          </w:p>
        </w:tc>
        <w:tc>
          <w:tcPr>
            <w:tcW w:w="2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73"/>
        </w:trPr>
        <w:tc>
          <w:tcPr>
            <w:tcW w:w="19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i w:val="1"/>
                <w:iCs w:val="1"/>
                <w:color w:val="auto"/>
              </w:rPr>
              <w:t>Building Climate</w:t>
            </w:r>
          </w:p>
        </w:tc>
        <w:tc>
          <w:tcPr>
            <w:tcW w:w="46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Commercial heating, air conditioning and refrigeration</w:t>
            </w:r>
          </w:p>
        </w:tc>
        <w:tc>
          <w:tcPr>
            <w:tcW w:w="28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Solutions</w:t>
            </w:r>
          </w:p>
        </w:tc>
        <w:tc>
          <w:tcPr>
            <w:tcW w:w="4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systems. Products include rooftop packaged units, variable</w:t>
            </w:r>
          </w:p>
        </w:tc>
        <w:tc>
          <w:tcPr>
            <w:tcW w:w="2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Food Preservation;</w:t>
            </w:r>
          </w:p>
        </w:tc>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178"/>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refrigerant flow systems, heat pumps, air cooled condensing</w:t>
            </w:r>
          </w:p>
        </w:tc>
        <w:tc>
          <w:tcPr>
            <w:tcW w:w="28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Non-Food Industry</w:t>
            </w:r>
          </w:p>
        </w:tc>
        <w:tc>
          <w:tcPr>
            <w:tcW w:w="1720" w:type="dxa"/>
            <w:vAlign w:val="bottom"/>
          </w:tcPr>
          <w:p>
            <w:pPr>
              <w:spacing w:after="0"/>
              <w:rPr>
                <w:sz w:val="15"/>
                <w:szCs w:val="15"/>
                <w:color w:val="auto"/>
              </w:rPr>
            </w:pPr>
          </w:p>
        </w:tc>
      </w:tr>
      <w:tr>
        <w:trPr>
          <w:trHeight w:val="173"/>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units, air handlers, unit coolers, and process chillers. Services</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2"/>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include installation, energy monitoring, service and</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32"/>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maintenance, and HVAC recycling.</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 Any intercompany sales and associated profit (and any other intercompany items) are eliminated from segment results. There were no significant intercompany eliminations for the periods presented.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 and Profit (Loss)</w:t>
      </w:r>
    </w:p>
    <w:p>
      <w:pPr>
        <w:spacing w:after="0" w:line="251" w:lineRule="exact"/>
        <w:rPr>
          <w:sz w:val="20"/>
          <w:szCs w:val="20"/>
          <w:color w:val="auto"/>
        </w:rPr>
      </w:pPr>
    </w:p>
    <w:p>
      <w:pPr>
        <w:jc w:val="both"/>
        <w:ind w:firstLine="240"/>
        <w:spacing w:after="0" w:line="272" w:lineRule="auto"/>
        <w:rPr>
          <w:sz w:val="20"/>
          <w:szCs w:val="20"/>
          <w:color w:val="auto"/>
        </w:rPr>
      </w:pPr>
      <w:r>
        <w:rPr>
          <w:rFonts w:ascii="Times New Roman" w:cs="Times New Roman" w:eastAsia="Times New Roman" w:hAnsi="Times New Roman"/>
          <w:sz w:val="18"/>
          <w:szCs w:val="18"/>
          <w:color w:val="auto"/>
        </w:rPr>
        <w:t>Net sales and segment profit (loss) for each segment, along with a reconciliation of segment profit (loss) to Operating income, are shown below (in millions):</w:t>
      </w:r>
    </w:p>
    <w:tbl>
      <w:tblPr>
        <w:tblLayout w:type="fixed"/>
        <w:tblInd w:w="0" w:type="dxa"/>
        <w:tblCellMar>
          <w:top w:w="0" w:type="dxa"/>
          <w:left w:w="0" w:type="dxa"/>
          <w:bottom w:w="0" w:type="dxa"/>
          <w:right w:w="0" w:type="dxa"/>
        </w:tblCellMar>
      </w:tblPr>
      <w:tr>
        <w:trPr>
          <w:trHeight w:val="163"/>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jc w:val="center"/>
              <w:ind w:right="340"/>
              <w:spacing w:after="0" w:line="163" w:lineRule="exact"/>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40" w:type="dxa"/>
            <w:vAlign w:val="bottom"/>
          </w:tcPr>
          <w:p>
            <w:pPr>
              <w:spacing w:after="0"/>
              <w:rPr>
                <w:sz w:val="14"/>
                <w:szCs w:val="14"/>
                <w:color w:val="auto"/>
              </w:rPr>
            </w:pPr>
          </w:p>
        </w:tc>
        <w:tc>
          <w:tcPr>
            <w:tcW w:w="2380" w:type="dxa"/>
            <w:vAlign w:val="bottom"/>
            <w:gridSpan w:val="4"/>
          </w:tcPr>
          <w:p>
            <w:pPr>
              <w:jc w:val="right"/>
              <w:ind w:right="252"/>
              <w:spacing w:after="0" w:line="163" w:lineRule="exact"/>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38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7"/>
        </w:trPr>
        <w:tc>
          <w:tcPr>
            <w:tcW w:w="57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2,513.6</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Climate Solutions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w:t>
            </w:r>
          </w:p>
        </w:tc>
      </w:tr>
      <w:tr>
        <w:trPr>
          <w:trHeight w:val="227"/>
        </w:trPr>
        <w:tc>
          <w:tcPr>
            <w:tcW w:w="574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45"/>
        </w:trPr>
        <w:tc>
          <w:tcPr>
            <w:tcW w:w="5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net sales</w:t>
            </w: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3,827.1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27"/>
        </w:trPr>
        <w:tc>
          <w:tcPr>
            <w:tcW w:w="57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Segment profit (loss) </w:t>
            </w:r>
            <w:r>
              <w:rPr>
                <w:rFonts w:ascii="Times New Roman" w:cs="Times New Roman" w:eastAsia="Times New Roman" w:hAnsi="Times New Roman"/>
                <w:sz w:val="23"/>
                <w:szCs w:val="23"/>
                <w:b w:val="1"/>
                <w:bCs w:val="1"/>
                <w:color w:val="auto"/>
                <w:vertAlign w:val="superscript"/>
              </w:rPr>
              <w:t>(2)</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Climate Solutions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27"/>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0"/>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profit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on assets held for sale</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3"/>
        </w:trPr>
        <w:tc>
          <w:tcPr>
            <w:tcW w:w="57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Items in Losses (gains) and other expenses, net that are excluded from segment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0"/>
        </w:trPr>
        <w:tc>
          <w:tcPr>
            <w:tcW w:w="574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 xml:space="preserve">profit (loss)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5"/>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400" w:hanging="153"/>
        <w:spacing w:after="0" w:line="227" w:lineRule="auto"/>
        <w:tabs>
          <w:tab w:leader="none" w:pos="43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Corporate and Other segment included our European portfolio. In the fourth quarter of 2023 we completed the divestiture of our European operations.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0" w:name="page11"/>
    <w:bookmarkEnd w:id="10"/>
    <w:p>
      <w:pPr>
        <w:ind w:left="420" w:hanging="173"/>
        <w:spacing w:after="0"/>
        <w:tabs>
          <w:tab w:leader="none" w:pos="420" w:val="left"/>
        </w:tabs>
        <w:numPr>
          <w:ilvl w:val="1"/>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define segment profit (loss) as a segment's operating income included in the accompanying Consolidated Statements of Operations, excluding:</w:t>
      </w:r>
    </w:p>
    <w:p>
      <w:pPr>
        <w:spacing w:after="0" w:line="1" w:lineRule="exact"/>
        <w:rPr>
          <w:rFonts w:ascii="Times New Roman" w:cs="Times New Roman" w:eastAsia="Times New Roman" w:hAnsi="Times New Roman"/>
          <w:sz w:val="22"/>
          <w:szCs w:val="22"/>
          <w:color w:val="auto"/>
          <w:vertAlign w:val="superscript"/>
        </w:rPr>
      </w:pPr>
    </w:p>
    <w:p>
      <w:pPr>
        <w:ind w:left="1040" w:hanging="233"/>
        <w:spacing w:after="0"/>
        <w:tabs>
          <w:tab w:leader="none" w:pos="10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and other expenses, net:</w:t>
      </w:r>
    </w:p>
    <w:p>
      <w:pPr>
        <w:spacing w:after="0" w:line="5" w:lineRule="exact"/>
        <w:rPr>
          <w:rFonts w:ascii="Times New Roman" w:cs="Times New Roman" w:eastAsia="Times New Roman" w:hAnsi="Times New Roman"/>
          <w:sz w:val="18"/>
          <w:szCs w:val="18"/>
          <w:color w:val="auto"/>
        </w:rPr>
      </w:pPr>
    </w:p>
    <w:p>
      <w:pPr>
        <w:ind w:left="1680" w:hanging="232"/>
        <w:spacing w:after="0"/>
        <w:tabs>
          <w:tab w:leader="none" w:pos="168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losses (gains) on unsettled futures contracts,</w:t>
      </w:r>
    </w:p>
    <w:p>
      <w:pPr>
        <w:spacing w:after="0" w:line="6" w:lineRule="exact"/>
        <w:rPr>
          <w:rFonts w:ascii="Times New Roman" w:cs="Times New Roman" w:eastAsia="Times New Roman" w:hAnsi="Times New Roman"/>
          <w:sz w:val="18"/>
          <w:szCs w:val="18"/>
          <w:color w:val="auto"/>
        </w:rPr>
      </w:pPr>
    </w:p>
    <w:p>
      <w:pPr>
        <w:ind w:left="1680" w:hanging="232"/>
        <w:spacing w:after="0"/>
        <w:tabs>
          <w:tab w:leader="none" w:pos="168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and special litigation charges, and</w:t>
      </w:r>
    </w:p>
    <w:p>
      <w:pPr>
        <w:spacing w:after="0" w:line="6" w:lineRule="exact"/>
        <w:rPr>
          <w:rFonts w:ascii="Times New Roman" w:cs="Times New Roman" w:eastAsia="Times New Roman" w:hAnsi="Times New Roman"/>
          <w:sz w:val="18"/>
          <w:szCs w:val="18"/>
          <w:color w:val="auto"/>
        </w:rPr>
      </w:pPr>
    </w:p>
    <w:p>
      <w:pPr>
        <w:ind w:left="1680" w:hanging="232"/>
        <w:spacing w:after="0"/>
        <w:tabs>
          <w:tab w:leader="none" w:pos="168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6" w:lineRule="exact"/>
        <w:rPr>
          <w:rFonts w:ascii="Times New Roman" w:cs="Times New Roman" w:eastAsia="Times New Roman" w:hAnsi="Times New Roman"/>
          <w:sz w:val="18"/>
          <w:szCs w:val="18"/>
          <w:color w:val="auto"/>
        </w:rPr>
      </w:pPr>
    </w:p>
    <w:p>
      <w:pPr>
        <w:ind w:left="1040" w:hanging="233"/>
        <w:spacing w:after="0"/>
        <w:tabs>
          <w:tab w:leader="none" w:pos="10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6" w:lineRule="exact"/>
        <w:rPr>
          <w:rFonts w:ascii="Times New Roman" w:cs="Times New Roman" w:eastAsia="Times New Roman" w:hAnsi="Times New Roman"/>
          <w:sz w:val="18"/>
          <w:szCs w:val="18"/>
          <w:color w:val="auto"/>
        </w:rPr>
      </w:pPr>
    </w:p>
    <w:p>
      <w:pPr>
        <w:ind w:left="1040" w:hanging="233"/>
        <w:spacing w:after="0"/>
        <w:tabs>
          <w:tab w:leader="none" w:pos="10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on assets held for sale; and</w:t>
      </w:r>
    </w:p>
    <w:p>
      <w:pPr>
        <w:spacing w:after="0" w:line="6" w:lineRule="exact"/>
        <w:rPr>
          <w:rFonts w:ascii="Times New Roman" w:cs="Times New Roman" w:eastAsia="Times New Roman" w:hAnsi="Times New Roman"/>
          <w:sz w:val="18"/>
          <w:szCs w:val="18"/>
          <w:color w:val="auto"/>
        </w:rPr>
      </w:pPr>
    </w:p>
    <w:p>
      <w:pPr>
        <w:ind w:left="1040" w:hanging="233"/>
        <w:spacing w:after="0"/>
        <w:tabs>
          <w:tab w:leader="none" w:pos="10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from previous dispositions</w:t>
      </w:r>
    </w:p>
    <w:p>
      <w:pPr>
        <w:spacing w:after="0" w:line="223"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90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6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2"/>
        </w:trPr>
        <w:tc>
          <w:tcPr>
            <w:tcW w:w="55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1020" w:type="dxa"/>
            <w:vAlign w:val="bottom"/>
            <w:tcBorders>
              <w:bottom w:val="single" w:sz="8" w:color="auto"/>
            </w:tcBorders>
          </w:tcPr>
          <w:p>
            <w:pPr>
              <w:spacing w:after="0"/>
              <w:rPr>
                <w:sz w:val="18"/>
                <w:szCs w:val="18"/>
                <w:color w:val="auto"/>
              </w:rPr>
            </w:pPr>
          </w:p>
        </w:tc>
      </w:tr>
      <w:tr>
        <w:trPr>
          <w:trHeight w:val="207"/>
        </w:trPr>
        <w:tc>
          <w:tcPr>
            <w:tcW w:w="55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239.0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445.6</w:t>
            </w:r>
          </w:p>
        </w:tc>
      </w:tr>
      <w:tr>
        <w:trPr>
          <w:trHeight w:val="267"/>
        </w:trPr>
        <w:tc>
          <w:tcPr>
            <w:tcW w:w="5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r>
      <w:tr>
        <w:trPr>
          <w:trHeight w:val="173"/>
        </w:trPr>
        <w:tc>
          <w:tcPr>
            <w:tcW w:w="55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Add: Potential effect of dilutive securities attributable to stock-based</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8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7"/>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46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5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7"/>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460" w:type="dxa"/>
            <w:vAlign w:val="bottom"/>
            <w:gridSpan w:val="3"/>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160"/>
        <w:spacing w:after="0" w:line="277" w:lineRule="auto"/>
        <w:rPr>
          <w:sz w:val="20"/>
          <w:szCs w:val="20"/>
          <w:color w:val="auto"/>
        </w:rPr>
      </w:pPr>
      <w:r>
        <w:rPr>
          <w:rFonts w:ascii="Times New Roman" w:cs="Times New Roman" w:eastAsia="Times New Roman" w:hAnsi="Times New Roman"/>
          <w:sz w:val="18"/>
          <w:szCs w:val="18"/>
          <w:color w:val="auto"/>
        </w:rPr>
        <w:t>The following stock appreciation rights and restricted stock units were outstanding but not included in the diluted earnings per share calculation as the assumed exercise of such rights would have been anti-dilutive (in millions, except for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460" w:type="dxa"/>
            <w:vAlign w:val="bottom"/>
            <w:gridSpan w:val="4"/>
          </w:tcPr>
          <w:p>
            <w:pPr>
              <w:jc w:val="center"/>
              <w:ind w:left="26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2"/>
        </w:trPr>
        <w:tc>
          <w:tcPr>
            <w:tcW w:w="55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191"/>
              <w:spacing w:after="0"/>
              <w:rPr>
                <w:sz w:val="20"/>
                <w:szCs w:val="20"/>
                <w:color w:val="auto"/>
              </w:rPr>
            </w:pPr>
            <w:r>
              <w:rPr>
                <w:rFonts w:ascii="Times New Roman" w:cs="Times New Roman" w:eastAsia="Times New Roman" w:hAnsi="Times New Roman"/>
                <w:sz w:val="16"/>
                <w:szCs w:val="16"/>
                <w:b w:val="1"/>
                <w:bCs w:val="1"/>
                <w:color w:val="auto"/>
                <w:w w:val="99"/>
              </w:rPr>
              <w:t>30,</w:t>
            </w:r>
          </w:p>
        </w:tc>
      </w:tr>
      <w:tr>
        <w:trPr>
          <w:trHeight w:val="207"/>
        </w:trPr>
        <w:tc>
          <w:tcPr>
            <w:tcW w:w="5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gridSpan w:val="3"/>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2"/>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8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Many of our lease agreements contain renewal options; however, we do not recognize right-of-use assets or lease liabilities for renewal periods unless it is determined that we are reasonably certain of renewing the lease at inception or when a triggering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8"/>
          <w:szCs w:val="18"/>
          <w:color w:val="auto"/>
        </w:rPr>
        <w:t>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periods (ranging from 1-year through 30-years), a comparable market yield curve consistent with our credit quality was calibrated to our publicly outstanding debt instruments.</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Approximately 79% of our right-of-use assets and lease liabilities relate to our leases of real estate with the remaining amounts primarily relating to our leases of IT equipment, fleet vehicles and manufacturing and distribution equipment.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Liabilities for estimated product warranty costs are included in the following captions on the accompanying Consolidated Balance Sheets (in millions) 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18"/>
                <w:szCs w:val="18"/>
                <w:color w:val="auto"/>
              </w:rPr>
            </w:pPr>
          </w:p>
        </w:tc>
        <w:tc>
          <w:tcPr>
            <w:tcW w:w="17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45"/>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warranty liability</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441"/>
        </w:trPr>
        <w:tc>
          <w:tcPr>
            <w:tcW w:w="9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changes in product warranty liabilities for the nine months ended September 30, 2024 were as follows (in millions):</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2023</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142.8</w:t>
            </w:r>
          </w:p>
        </w:tc>
      </w:tr>
      <w:tr>
        <w:trPr>
          <w:trHeight w:val="227"/>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claims paid</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7"/>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7"/>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September 30, 2024</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156.9</w:t>
            </w:r>
          </w:p>
        </w:tc>
      </w:tr>
      <w:tr>
        <w:trPr>
          <w:trHeight w:val="20"/>
        </w:trPr>
        <w:tc>
          <w:tcPr>
            <w:tcW w:w="7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incidental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5. Stock Repurchases:</w:t>
      </w:r>
    </w:p>
    <w:p>
      <w:pPr>
        <w:spacing w:after="0" w:line="251" w:lineRule="exact"/>
        <w:rPr>
          <w:sz w:val="20"/>
          <w:szCs w:val="20"/>
          <w:color w:val="auto"/>
        </w:rPr>
      </w:pPr>
    </w:p>
    <w:p>
      <w:pPr>
        <w:jc w:val="both"/>
        <w:ind w:right="100" w:firstLine="240"/>
        <w:spacing w:after="0" w:line="252" w:lineRule="auto"/>
        <w:rPr>
          <w:sz w:val="20"/>
          <w:szCs w:val="20"/>
          <w:color w:val="auto"/>
        </w:rPr>
      </w:pPr>
      <w:r>
        <w:rPr>
          <w:rFonts w:ascii="Times New Roman" w:cs="Times New Roman" w:eastAsia="Times New Roman" w:hAnsi="Times New Roman"/>
          <w:sz w:val="18"/>
          <w:szCs w:val="18"/>
          <w:color w:val="auto"/>
        </w:rPr>
        <w:t>Our Board of Directors has authorized a total of $4.0 billion to repurchase shares of our common stock (collectively referred to as the "Share Repurchase Plans"), including a $1.0 billion share repurchase authorization in July 2021. The Share Repurchase Plans allow us to repurchase shares from time to time in open market transactions and in privately negotiated transactions based on business, market, applicable legal requirements and other considerations. Such repurchases may also be made in compliance with Rule 10b5-1 trading plans entered into by us, which would permit common stock to be repurchased when the Company might otherwise be precluded from doing so under insider trading laws or self-imposed trading restrictions. The Share Repurchase Plans do not require the repurchase of a specific number of shares and may be terminated at any time. As of September 30, 2024, $532.5 million was available for repurchase under the Share Repurchase Plans.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three and nine months ended September 30, 2024, we repurchased 23,000 shares at an aggregate cost, inclusive of fees, of $13.5 million.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51" w:lineRule="exact"/>
        <w:rPr>
          <w:sz w:val="20"/>
          <w:szCs w:val="20"/>
          <w:color w:val="auto"/>
        </w:rPr>
      </w:pPr>
    </w:p>
    <w:p>
      <w:pPr>
        <w:jc w:val="both"/>
        <w:ind w:right="100" w:firstLine="240"/>
        <w:spacing w:after="0" w:line="262"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 All amount presented reflect the revised segment presentation.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tcBorders>
            <w:gridSpan w:val="9"/>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Home Comfort Solutions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114"/>
              <w:spacing w:after="0" w:line="154"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820" w:type="dxa"/>
            <w:vAlign w:val="bottom"/>
            <w:gridSpan w:val="2"/>
            <w:vMerge w:val="continue"/>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1,032.8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465.3</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6"/>
          </w:tcPr>
          <w:p>
            <w:pPr>
              <w:spacing w:after="0"/>
              <w:rPr>
                <w:sz w:val="24"/>
                <w:szCs w:val="24"/>
                <w:color w:val="auto"/>
              </w:rPr>
            </w:pPr>
          </w:p>
        </w:tc>
        <w:tc>
          <w:tcPr>
            <w:tcW w:w="14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80" w:type="dxa"/>
            <w:vAlign w:val="bottom"/>
            <w:tcBorders>
              <w:bottom w:val="single" w:sz="8" w:color="auto"/>
            </w:tcBorders>
            <w:gridSpan w:val="9"/>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Home Comfort Solutions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114"/>
              <w:spacing w:after="0" w:line="155"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820" w:type="dxa"/>
            <w:vAlign w:val="bottom"/>
            <w:gridSpan w:val="2"/>
            <w:vMerge w:val="continue"/>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254"/>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405.5</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0"/>
        </w:trPr>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5"/>
          </w:tcPr>
          <w:p>
            <w:pPr>
              <w:spacing w:after="0"/>
              <w:rPr>
                <w:sz w:val="24"/>
                <w:szCs w:val="24"/>
                <w:color w:val="auto"/>
              </w:rPr>
            </w:pPr>
          </w:p>
        </w:tc>
        <w:tc>
          <w:tcPr>
            <w:tcW w:w="176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40" w:type="dxa"/>
            <w:vAlign w:val="bottom"/>
            <w:tcBorders>
              <w:bottom w:val="single" w:sz="8" w:color="auto"/>
            </w:tcBorders>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2024</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240" w:type="dxa"/>
            <w:vAlign w:val="bottom"/>
          </w:tcPr>
          <w:p>
            <w:pPr>
              <w:spacing w:after="0"/>
              <w:rPr>
                <w:sz w:val="13"/>
                <w:szCs w:val="13"/>
                <w:color w:val="auto"/>
              </w:rPr>
            </w:pPr>
          </w:p>
        </w:tc>
        <w:tc>
          <w:tcPr>
            <w:tcW w:w="17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left="54"/>
              <w:spacing w:after="0" w:line="155"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40" w:type="dxa"/>
            <w:vAlign w:val="bottom"/>
          </w:tcPr>
          <w:p>
            <w:pPr>
              <w:spacing w:after="0"/>
              <w:rPr>
                <w:sz w:val="13"/>
                <w:szCs w:val="13"/>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2,689.7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1,306.6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3,996.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4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40" w:type="dxa"/>
            <w:vAlign w:val="bottom"/>
            <w:tcBorders>
              <w:bottom w:val="single" w:sz="8" w:color="auto"/>
            </w:tcBorders>
            <w:gridSpan w:val="11"/>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2023</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240" w:type="dxa"/>
            <w:vAlign w:val="bottom"/>
          </w:tcPr>
          <w:p>
            <w:pPr>
              <w:spacing w:after="0"/>
              <w:rPr>
                <w:sz w:val="13"/>
                <w:szCs w:val="13"/>
                <w:color w:val="auto"/>
              </w:rPr>
            </w:pPr>
          </w:p>
        </w:tc>
        <w:tc>
          <w:tcPr>
            <w:tcW w:w="17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left="54"/>
              <w:spacing w:after="0" w:line="155" w:lineRule="exact"/>
              <w:rPr>
                <w:sz w:val="20"/>
                <w:szCs w:val="20"/>
                <w:color w:val="auto"/>
              </w:rPr>
            </w:pPr>
            <w:r>
              <w:rPr>
                <w:rFonts w:ascii="Times New Roman" w:cs="Times New Roman" w:eastAsia="Times New Roman" w:hAnsi="Times New Roman"/>
                <w:sz w:val="16"/>
                <w:szCs w:val="16"/>
                <w:b w:val="1"/>
                <w:bCs w:val="1"/>
                <w:color w:val="auto"/>
                <w:w w:val="99"/>
              </w:rPr>
              <w:t>Building Climate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and Other</w:t>
            </w:r>
          </w:p>
        </w:tc>
        <w:tc>
          <w:tcPr>
            <w:tcW w:w="140" w:type="dxa"/>
            <w:vAlign w:val="bottom"/>
          </w:tcPr>
          <w:p>
            <w:pPr>
              <w:spacing w:after="0"/>
              <w:rPr>
                <w:sz w:val="13"/>
                <w:szCs w:val="13"/>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3,403.</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2,513.6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1,121.5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192.0</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3,827.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gridSpan w:val="4"/>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4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878" w:right="239" w:bottom="1440" w:gutter="0" w:footer="0" w:header="0"/>
        </w:sectPr>
      </w:pPr>
    </w:p>
    <w:bookmarkStart w:id="13" w:name="page14"/>
    <w:bookmarkEnd w:id="13"/>
    <w:p>
      <w:pPr>
        <w:jc w:val="both"/>
        <w:ind w:firstLine="2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Home Comfort Solutions </w:t>
      </w:r>
      <w:r>
        <w:rPr>
          <w:rFonts w:ascii="Times New Roman" w:cs="Times New Roman" w:eastAsia="Times New Roman" w:hAnsi="Times New Roman"/>
          <w:sz w:val="17"/>
          <w:szCs w:val="17"/>
          <w:color w:val="auto"/>
        </w:rPr>
        <w:t>- We manufacture and market a broad range of furnaces, air conditioners, heat pumps, packaged heating and cooling systems,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September 30, 2024 and 2023, direct sales represented 73% and 77% of revenues, and sales to independent distributors represented the remainder. For the nine months ended September 30, 2024 and 2023, direct sales represented 74% and 75% of revenues, and sales to independent distributors represented the remainder. Given the nature of our business, customer product orders are fulfilled at a point in time and not over a period of time.</w:t>
      </w:r>
    </w:p>
    <w:p>
      <w:pPr>
        <w:spacing w:after="0" w:line="195"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Building Climate Solutions </w:t>
      </w:r>
      <w:r>
        <w:rPr>
          <w:rFonts w:ascii="Times New Roman" w:cs="Times New Roman" w:eastAsia="Times New Roman" w:hAnsi="Times New Roman"/>
          <w:sz w:val="18"/>
          <w:szCs w:val="18"/>
          <w:color w:val="auto"/>
        </w:rPr>
        <w:t>- In North America, we manufacture and sell unitary heating and cooling equipment used in light commercial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low-rise 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end-users. Lennox National Account Services provides installation, service and preventive maintenance for HVAC national account customers in the United States and Canada. AES manufactures curb, curb adapters, drop box diffusers, offers HVAC recycling and salvage services and focuses on multi-family HVAC replacement for expired mechanical assets. Revenue related to service contracts is recognized as the services are performed under the contract based on the relative fair value of the services provided. For the three months ended September 30, 2024 and 2023, equipment sales represented 80% and 88% of revenues and the remainder of our revenue was generated from our service business. For the nine months ended September 30, 2024 and 2023, equipment sales represented 81% and 87% of revenues and the remainder of our revenue was generated from our services business.</w:t>
      </w:r>
    </w:p>
    <w:p>
      <w:pPr>
        <w:spacing w:after="0" w:line="215" w:lineRule="exact"/>
        <w:rPr>
          <w:sz w:val="20"/>
          <w:szCs w:val="20"/>
          <w:color w:val="auto"/>
        </w:rPr>
      </w:pPr>
    </w:p>
    <w:p>
      <w:pPr>
        <w:jc w:val="both"/>
        <w:ind w:firstLine="2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 In Europe, we manufactured and marketed equipment for the global commercial refrigeration markets. We also manufactured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sold unitary heating and cooling products and applied systems. A de minimis amount of segment revenue related to services for start-up and commissioning activities. In the fourth quarter of 2023, we completed the divestiture of our European operations</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Net contract liabilities consisted of the following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millions) as of:</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5"/>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For the three months ended September 30, 2024 and 2023, we recognized revenue of $0.7 million and $2.8 million and for the nine months ended September 30, 2024 and 2023, we recognized revenue of $6.8 million and $7.0 million related to our contract liabilities at January 1, 2024 and 2023, respectively. Impairment losses recognized in our receivables and contract assets were de minimis in 2024 and 2023.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4" w:name="page15"/>
    <w:bookmarkEnd w:id="14"/>
    <w:p>
      <w:pPr>
        <w:ind w:right="8400" w:firstLine="7"/>
        <w:spacing w:after="0" w:line="260" w:lineRule="auto"/>
        <w:tabs>
          <w:tab w:leader="none" w:pos="17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Statement Details: Inventories:</w:t>
      </w:r>
    </w:p>
    <w:p>
      <w:pPr>
        <w:spacing w:after="0" w:line="1"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are as follows (in millions) as of:</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18"/>
                <w:szCs w:val="18"/>
                <w:color w:val="auto"/>
              </w:rPr>
            </w:pPr>
          </w:p>
        </w:tc>
        <w:tc>
          <w:tcPr>
            <w:tcW w:w="17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2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in 2024, in total and by segment, are summarized in the table below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300" w:type="dxa"/>
            <w:vAlign w:val="bottom"/>
          </w:tcPr>
          <w:p>
            <w:pPr>
              <w:spacing w:after="0"/>
              <w:rPr>
                <w:sz w:val="16"/>
                <w:szCs w:val="16"/>
                <w:color w:val="auto"/>
              </w:rPr>
            </w:pPr>
          </w:p>
        </w:tc>
        <w:tc>
          <w:tcPr>
            <w:tcW w:w="16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60" w:type="dxa"/>
            <w:vAlign w:val="bottom"/>
          </w:tcPr>
          <w:p>
            <w:pPr>
              <w:spacing w:after="0"/>
              <w:rPr>
                <w:sz w:val="16"/>
                <w:szCs w:val="16"/>
                <w:color w:val="auto"/>
              </w:rPr>
            </w:pPr>
          </w:p>
        </w:tc>
        <w:tc>
          <w:tcPr>
            <w:tcW w:w="16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Balance as of</w:t>
            </w:r>
          </w:p>
        </w:tc>
      </w:tr>
      <w:tr>
        <w:trPr>
          <w:trHeight w:val="213"/>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Pr>
          <w:p>
            <w:pPr>
              <w:spacing w:after="0"/>
              <w:rPr>
                <w:sz w:val="18"/>
                <w:szCs w:val="18"/>
                <w:color w:val="auto"/>
              </w:rPr>
            </w:pPr>
          </w:p>
        </w:tc>
        <w:tc>
          <w:tcPr>
            <w:tcW w:w="1660" w:type="dxa"/>
            <w:vAlign w:val="bottom"/>
            <w:gridSpan w:val="2"/>
          </w:tcPr>
          <w:p>
            <w:pPr>
              <w:ind w:left="18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Adjustment </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8"/>
                <w:szCs w:val="18"/>
                <w:color w:val="auto"/>
              </w:rPr>
            </w:pPr>
          </w:p>
        </w:tc>
        <w:tc>
          <w:tcPr>
            <w:tcW w:w="166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0"/>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7"/>
        </w:trPr>
        <w:tc>
          <w:tcPr>
            <w:tcW w:w="5500" w:type="dxa"/>
            <w:vAlign w:val="bottom"/>
            <w:tcBorders>
              <w:bottom w:val="single" w:sz="8" w:color="CCEEFF"/>
            </w:tcBorders>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Building Climate Solutions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4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222.1</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40" w:firstLine="7"/>
        <w:spacing w:after="0" w:line="227" w:lineRule="auto"/>
        <w:tabs>
          <w:tab w:leader="none" w:pos="83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discussed in Note 13, an update to our purchase price allocation of AES in the first quarter of 2024 resulted in a $2.2 million reduction of goodwill.</w:t>
      </w:r>
    </w:p>
    <w:p>
      <w:pPr>
        <w:spacing w:after="0" w:line="22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monitor our reporting units for indicators of impairment throughout the year to determine if a change in facts or circumstances warrants a re-evaluation of our goodwill. We have not recorded any goodwill impairments for the nine months ended September 30, 2024 or in any periods presented for our continuing businesses.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4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08"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A portion of our debt bears interest at variable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0"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have foreign exchange forward contracts and commodity futures contracts designated as cash flow hedges that are scheduled to mature through February 2026. Unrealized gains or losses from our cash flow hedges are included in Accumulated other comprehensive loss (“AOCL”) and are expected to be reclassified into earnings within the next 17 months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5" w:name="page16"/>
    <w:bookmarkEnd w:id="15"/>
    <w:p>
      <w:pPr>
        <w:spacing w:after="0" w:line="272" w:lineRule="auto"/>
        <w:rPr>
          <w:sz w:val="20"/>
          <w:szCs w:val="20"/>
          <w:color w:val="auto"/>
        </w:rPr>
      </w:pPr>
      <w:r>
        <w:rPr>
          <w:rFonts w:ascii="Times New Roman" w:cs="Times New Roman" w:eastAsia="Times New Roman" w:hAnsi="Times New Roman"/>
          <w:sz w:val="18"/>
          <w:szCs w:val="18"/>
          <w:color w:val="auto"/>
        </w:rPr>
        <w:t>based on the prices of the commodities and foreign currencies at the settlement dates. We recorded the following amounts in AOCL related to our cash flow hedges (in millions) as of:</w:t>
      </w: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18"/>
                <w:szCs w:val="18"/>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(gains), net on unsettled contracts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center"/>
              <w:ind w:left="1253"/>
              <w:spacing w:after="0"/>
              <w:rPr>
                <w:sz w:val="20"/>
                <w:szCs w:val="20"/>
                <w:color w:val="auto"/>
              </w:rPr>
            </w:pPr>
            <w:r>
              <w:rPr>
                <w:rFonts w:ascii="Times New Roman" w:cs="Times New Roman" w:eastAsia="Times New Roman" w:hAnsi="Times New Roman"/>
                <w:sz w:val="18"/>
                <w:szCs w:val="18"/>
                <w:color w:val="auto"/>
                <w:w w:val="98"/>
              </w:rPr>
              <w:t>(5.5)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rPr>
              <w:t>2.6</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w w:val="97"/>
              </w:rPr>
              <w:t>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273"/>
              <w:spacing w:after="0"/>
              <w:rPr>
                <w:sz w:val="20"/>
                <w:szCs w:val="20"/>
                <w:color w:val="auto"/>
              </w:rPr>
            </w:pPr>
            <w:r>
              <w:rPr>
                <w:rFonts w:ascii="Times New Roman" w:cs="Times New Roman" w:eastAsia="Times New Roman" w:hAnsi="Times New Roman"/>
                <w:sz w:val="18"/>
                <w:szCs w:val="18"/>
                <w:color w:val="auto"/>
                <w:w w:val="98"/>
              </w:rPr>
              <w:t>(0.6)</w:t>
            </w:r>
          </w:p>
        </w:tc>
      </w:tr>
      <w:tr>
        <w:trPr>
          <w:trHeight w:val="245"/>
        </w:trPr>
        <w:tc>
          <w:tcPr>
            <w:tcW w:w="7160" w:type="dxa"/>
            <w:vAlign w:val="bottom"/>
            <w:tcBorders>
              <w:bottom w:val="single" w:sz="8" w:color="CCEEFF"/>
            </w:tcBorders>
            <w:shd w:val="clear" w:color="auto" w:fill="CCEEFF"/>
          </w:tcPr>
          <w:p>
            <w:pPr>
              <w:ind w:left="220"/>
              <w:spacing w:after="0" w:line="220" w:lineRule="exact"/>
              <w:rPr>
                <w:sz w:val="20"/>
                <w:szCs w:val="20"/>
                <w:color w:val="auto"/>
              </w:rPr>
            </w:pPr>
            <w:r>
              <w:rPr>
                <w:rFonts w:ascii="Times New Roman" w:cs="Times New Roman" w:eastAsia="Times New Roman" w:hAnsi="Times New Roman"/>
                <w:sz w:val="18"/>
                <w:szCs w:val="18"/>
                <w:color w:val="auto"/>
              </w:rPr>
              <w:t xml:space="preserve">Unrealized losses (gains), net included in AOCL, net of tax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center"/>
              <w:ind w:left="1253"/>
              <w:spacing w:after="0"/>
              <w:rPr>
                <w:sz w:val="20"/>
                <w:szCs w:val="20"/>
                <w:color w:val="auto"/>
              </w:rPr>
            </w:pPr>
            <w:r>
              <w:rPr>
                <w:rFonts w:ascii="Times New Roman" w:cs="Times New Roman" w:eastAsia="Times New Roman" w:hAnsi="Times New Roman"/>
                <w:sz w:val="18"/>
                <w:szCs w:val="18"/>
                <w:color w:val="auto"/>
                <w:w w:val="98"/>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480" w:hanging="153"/>
        <w:spacing w:after="0" w:line="227" w:lineRule="auto"/>
        <w:tabs>
          <w:tab w:leader="none" w:pos="526"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Assuming commodity prices and foreign currency exchange rates remain constant, we expect to reclassify $4.0 million of derivative gain as of September 30, 2024 into earnings within the next 12 months.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issue various long-term incentive awards, including performance share units, restricted stock units and stock appreciation rights under the Lennox International Inc. 2019 Equity and Incentive Plan, as it may be amended and restated from time to time. Stock-based compensation expense related to continuing operations is included in Selling, general and administrative expenses in the accompanying Consolidated Statements of Operations as follows (in millions):</w:t>
      </w: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2960" w:type="dxa"/>
            <w:vAlign w:val="bottom"/>
            <w:gridSpan w:val="7"/>
          </w:tcPr>
          <w:p>
            <w:pPr>
              <w:ind w:left="40"/>
              <w:spacing w:after="0" w:line="173" w:lineRule="exact"/>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740" w:type="dxa"/>
            <w:vAlign w:val="bottom"/>
            <w:gridSpan w:val="6"/>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2"/>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020" w:type="dxa"/>
            <w:vAlign w:val="bottom"/>
            <w:tcBorders>
              <w:bottom w:val="single" w:sz="8" w:color="auto"/>
            </w:tcBorders>
          </w:tcPr>
          <w:p>
            <w:pPr>
              <w:spacing w:after="0"/>
              <w:rPr>
                <w:sz w:val="18"/>
                <w:szCs w:val="18"/>
                <w:color w:val="auto"/>
              </w:rPr>
            </w:pPr>
          </w:p>
        </w:tc>
      </w:tr>
      <w:tr>
        <w:trPr>
          <w:trHeight w:val="207"/>
        </w:trPr>
        <w:tc>
          <w:tcPr>
            <w:tcW w:w="55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Pension Benefit Plans: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net periodic benefit cost for pension benefits were as follows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5"/>
                <w:szCs w:val="15"/>
                <w:color w:val="auto"/>
              </w:rPr>
            </w:pPr>
          </w:p>
        </w:tc>
        <w:tc>
          <w:tcPr>
            <w:tcW w:w="29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For the Nine Months Ended September</w:t>
            </w:r>
          </w:p>
        </w:tc>
      </w:tr>
      <w:tr>
        <w:trPr>
          <w:trHeight w:val="212"/>
        </w:trPr>
        <w:tc>
          <w:tcPr>
            <w:tcW w:w="53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8"/>
        </w:trPr>
        <w:tc>
          <w:tcPr>
            <w:tcW w:w="53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7"/>
              </w:rPr>
              <w:t>1.6</w:t>
            </w:r>
          </w:p>
        </w:tc>
      </w:tr>
      <w:tr>
        <w:trPr>
          <w:trHeight w:val="2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6.7</w:t>
            </w:r>
          </w:p>
        </w:tc>
      </w:tr>
      <w:tr>
        <w:trPr>
          <w:trHeight w:val="22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(7.1)</w:t>
            </w:r>
          </w:p>
        </w:tc>
      </w:tr>
      <w:tr>
        <w:trPr>
          <w:trHeight w:val="2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0.6</w:t>
            </w:r>
          </w:p>
        </w:tc>
      </w:tr>
      <w:tr>
        <w:trPr>
          <w:trHeight w:val="22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(0.1)</w:t>
            </w:r>
          </w:p>
        </w:tc>
      </w:tr>
      <w:tr>
        <w:trPr>
          <w:trHeight w:val="2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0.4</w:t>
            </w: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7"/>
              </w:rPr>
              <w:t>2.1</w:t>
            </w:r>
          </w:p>
        </w:tc>
      </w:tr>
      <w:tr>
        <w:trPr>
          <w:trHeight w:val="20"/>
        </w:trPr>
        <w:tc>
          <w:tcPr>
            <w:tcW w:w="5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As of September 30, 2024, we had approximately $4.5 million in total gross unrecognized tax benefits. If recognized, $4.5 million would be recorded through the Consolidated Statements of Operations.</w:t>
      </w:r>
    </w:p>
    <w:p>
      <w:pPr>
        <w:spacing w:after="0" w:line="176" w:lineRule="exact"/>
        <w:rPr>
          <w:sz w:val="20"/>
          <w:szCs w:val="20"/>
          <w:color w:val="auto"/>
        </w:rPr>
      </w:pPr>
    </w:p>
    <w:p>
      <w:pPr>
        <w:ind w:right="120" w:firstLine="240"/>
        <w:spacing w:after="0" w:line="261" w:lineRule="auto"/>
        <w:rPr>
          <w:sz w:val="20"/>
          <w:szCs w:val="20"/>
          <w:color w:val="auto"/>
        </w:rPr>
      </w:pPr>
      <w:r>
        <w:rPr>
          <w:rFonts w:ascii="Times New Roman" w:cs="Times New Roman" w:eastAsia="Times New Roman" w:hAnsi="Times New Roman"/>
          <w:sz w:val="18"/>
          <w:szCs w:val="18"/>
          <w:color w:val="auto"/>
        </w:rPr>
        <w:t>Our effective tax rate was 19.3% for the nine months ended September 30, 2024 compared to 21.0% for the nine months ended September 30, 2023. The decrease in rate is primarily due to a discrete adjustment in the third quarter of 2023 related to the 2023 European divestiture.</w:t>
      </w:r>
    </w:p>
    <w:p>
      <w:pPr>
        <w:spacing w:after="0" w:line="20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currently under a limited scope audit by the Internal Revenue Service for our 2021 and 2022 tax years. There are also ongoing U.S. state and local audits and other foreign audits covering fiscal years 2017 through 2023. We are generally no longer subject to U.S. federal, state and local, or non-U.S. income tax examinations by taxing authorities for years prior to 2017.</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outstanding debt obligations and their classification in the accompanying Consolidated Balance Sheets (in millions)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22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1,140.3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1,305.2</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Obligations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Through several of our foreign subsidiaries, we have facilities available to assist us in financing seasonal borrowing needs for our foreign locations. We had no outstanding foreign obligations as of September 30, 2024 or December 31, 2023 and there were no borrowings or repayments on these facilities during the nine months ended September 30,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35"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7"/>
          <w:szCs w:val="17"/>
          <w:color w:val="auto"/>
        </w:rPr>
        <w:t>On October 25, 2023, we established a commercial paper program (the “Program”), as a replacement to our Asset Securitization Program which expired in November 2023,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were no CP Notes currently outstanding under the Program as of September 30, 2024.</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Program was as follows as of: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22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8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08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w w:val="95"/>
              </w:rPr>
              <w:t>— %</w:t>
            </w:r>
          </w:p>
        </w:tc>
        <w:tc>
          <w:tcPr>
            <w:tcW w:w="14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5.66 %</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8"/>
          <w:szCs w:val="18"/>
          <w:color w:val="auto"/>
        </w:rPr>
        <w:t>We have an existing $1.1 billion unsecured revolving credit facility dated as of July 14, 2021 (as amended, the "Credit Agreement"), with JPMorgan Chase Bank, N.A., as administrative agent, and the other lenders party thereto. We had no outstanding borrowings and $1.7 million committed to standby letters of credit as of September 30, 2024. Subject to covenant limitations, $1,098.3 million was available for future borrowings after taking into consideration outstanding borrowings under our Program. The Credit Agreement includes a subfacility for swingline loans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7" w:name="page18"/>
    <w:bookmarkEnd w:id="17"/>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facility was as follows as of: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22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8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08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w w:val="95"/>
              </w:rPr>
              <w:t>— %</w:t>
            </w:r>
          </w:p>
        </w:tc>
        <w:tc>
          <w:tcPr>
            <w:tcW w:w="14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6.67 %</w:t>
            </w:r>
          </w:p>
        </w:tc>
      </w:tr>
    </w:tbl>
    <w:p>
      <w:pPr>
        <w:spacing w:after="0" w:line="30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10" w:lineRule="exact"/>
        <w:rPr>
          <w:sz w:val="20"/>
          <w:szCs w:val="20"/>
          <w:color w:val="auto"/>
        </w:rPr>
      </w:pPr>
    </w:p>
    <w:p>
      <w:pPr>
        <w:jc w:val="both"/>
        <w:ind w:firstLine="240"/>
        <w:spacing w:after="0" w:line="246" w:lineRule="auto"/>
        <w:rPr>
          <w:sz w:val="20"/>
          <w:szCs w:val="20"/>
          <w:color w:val="auto"/>
        </w:rPr>
      </w:pPr>
      <w:r>
        <w:rPr>
          <w:rFonts w:ascii="Times New Roman" w:cs="Times New Roman" w:eastAsia="Times New Roman" w:hAnsi="Times New Roman"/>
          <w:sz w:val="18"/>
          <w:szCs w:val="18"/>
          <w:color w:val="auto"/>
        </w:rPr>
        <w:t>Our Credit Agreement contains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facility could occur if:</w:t>
      </w:r>
    </w:p>
    <w:p>
      <w:pPr>
        <w:spacing w:after="0" w:line="204" w:lineRule="exact"/>
        <w:rPr>
          <w:sz w:val="20"/>
          <w:szCs w:val="20"/>
          <w:color w:val="auto"/>
        </w:rPr>
      </w:pPr>
    </w:p>
    <w:p>
      <w:pPr>
        <w:ind w:left="360" w:hanging="113"/>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w:t>
      </w:r>
      <w:r>
        <w:rPr>
          <w:rFonts w:ascii="Times New Roman" w:cs="Times New Roman" w:eastAsia="Times New Roman" w:hAnsi="Times New Roman"/>
          <w:sz w:val="16"/>
          <w:szCs w:val="16"/>
          <w:color w:val="auto"/>
        </w:rPr>
        <w:t>tization</w:t>
      </w:r>
      <w:r>
        <w:rPr>
          <w:rFonts w:ascii="Times New Roman" w:cs="Times New Roman" w:eastAsia="Times New Roman" w:hAnsi="Times New Roman"/>
          <w:sz w:val="18"/>
          <w:szCs w:val="18"/>
          <w:color w:val="auto"/>
        </w:rPr>
        <w:t xml:space="preserve"> exceeding $75.0 million; or</w:t>
      </w:r>
    </w:p>
    <w:p>
      <w:pPr>
        <w:spacing w:after="0" w:line="233" w:lineRule="exact"/>
        <w:rPr>
          <w:rFonts w:ascii="Times New Roman" w:cs="Times New Roman" w:eastAsia="Times New Roman" w:hAnsi="Times New Roman"/>
          <w:sz w:val="18"/>
          <w:szCs w:val="18"/>
          <w:color w:val="auto"/>
        </w:rPr>
      </w:pPr>
    </w:p>
    <w:p>
      <w:pPr>
        <w:ind w:firstLine="247"/>
        <w:spacing w:after="0" w:line="246" w:lineRule="auto"/>
        <w:tabs>
          <w:tab w:leader="none" w:pos="3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spacing w:after="0" w:line="18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Credit Agreement or our senior unsecured notes were to occur, it could have a wider impact on our liquidity than might otherwise occur from a default of a single debt instrument or lease commitment.</w:t>
      </w:r>
    </w:p>
    <w:p>
      <w:pPr>
        <w:spacing w:after="0" w:line="19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are currently in compliance with all covenant requirements.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and collectively with the 2025 Notes and the 2028 Notes, the "Notes") with interest being paid semi-annually in February and August at 1.35% and 1.70% respectively, per annum.</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certain of our subsidiaries that guarantee indebtedness under our Credit Agreement (the "Guarantor Subsidiaries").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We are currently in compliance with all covenant requirements.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Comprehensive Income (Loss):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on items reclassified from AOCL to Net income in the accompanying Consolidated Statements of Operations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32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40" w:type="dxa"/>
            <w:vAlign w:val="bottom"/>
          </w:tcPr>
          <w:p>
            <w:pPr>
              <w:spacing w:after="0"/>
              <w:rPr>
                <w:sz w:val="16"/>
                <w:szCs w:val="16"/>
                <w:color w:val="auto"/>
              </w:rPr>
            </w:pPr>
          </w:p>
        </w:tc>
        <w:tc>
          <w:tcPr>
            <w:tcW w:w="21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00" w:type="dxa"/>
            <w:vAlign w:val="bottom"/>
          </w:tcPr>
          <w:p>
            <w:pPr>
              <w:spacing w:after="0"/>
              <w:rPr>
                <w:sz w:val="18"/>
                <w:szCs w:val="18"/>
                <w:color w:val="auto"/>
              </w:rPr>
            </w:pPr>
          </w:p>
        </w:tc>
        <w:tc>
          <w:tcPr>
            <w:tcW w:w="186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Affected Line Item(s) in the</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0" w:type="dxa"/>
            <w:vAlign w:val="bottom"/>
          </w:tcPr>
          <w:p>
            <w:pPr>
              <w:spacing w:after="0"/>
              <w:rPr>
                <w:sz w:val="1"/>
                <w:szCs w:val="1"/>
                <w:color w:val="auto"/>
              </w:rPr>
            </w:pPr>
          </w:p>
        </w:tc>
      </w:tr>
      <w:tr>
        <w:trPr>
          <w:trHeight w:val="20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(Losses) Gains on Cash Flow Hedges: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Cost of goods sold; Losses (gains) and</w:t>
            </w:r>
          </w:p>
        </w:tc>
        <w:tc>
          <w:tcPr>
            <w:tcW w:w="0" w:type="dxa"/>
            <w:vAlign w:val="bottom"/>
          </w:tcPr>
          <w:p>
            <w:pPr>
              <w:spacing w:after="0"/>
              <w:rPr>
                <w:sz w:val="1"/>
                <w:szCs w:val="1"/>
                <w:color w:val="auto"/>
              </w:rPr>
            </w:pPr>
          </w:p>
        </w:tc>
      </w:tr>
      <w:tr>
        <w:trPr>
          <w:trHeight w:val="24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contracts</w:t>
            </w:r>
          </w:p>
        </w:tc>
        <w:tc>
          <w:tcPr>
            <w:tcW w:w="6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tcPr>
          <w:p>
            <w:pPr>
              <w:spacing w:after="0"/>
              <w:rPr>
                <w:sz w:val="20"/>
                <w:szCs w:val="20"/>
                <w:color w:val="auto"/>
              </w:rPr>
            </w:pPr>
          </w:p>
        </w:tc>
        <w:tc>
          <w:tcPr>
            <w:tcW w:w="7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68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w:t>
            </w:r>
          </w:p>
        </w:tc>
        <w:tc>
          <w:tcPr>
            <w:tcW w:w="1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6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tcPr>
          <w:p>
            <w:pPr>
              <w:spacing w:after="0"/>
              <w:rPr>
                <w:sz w:val="19"/>
                <w:szCs w:val="19"/>
                <w:color w:val="auto"/>
              </w:rPr>
            </w:pPr>
          </w:p>
        </w:tc>
        <w:tc>
          <w:tcPr>
            <w:tcW w:w="7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9"/>
                <w:szCs w:val="19"/>
                <w:color w:val="auto"/>
              </w:rPr>
            </w:pPr>
          </w:p>
        </w:tc>
        <w:tc>
          <w:tcPr>
            <w:tcW w:w="68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(0.9)</w:t>
            </w: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items:</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0" w:type="dxa"/>
            <w:vAlign w:val="bottom"/>
          </w:tcPr>
          <w:p>
            <w:pPr>
              <w:spacing w:after="0"/>
              <w:rPr>
                <w:sz w:val="1"/>
                <w:szCs w:val="1"/>
                <w:color w:val="auto"/>
              </w:rPr>
            </w:pPr>
          </w:p>
        </w:tc>
      </w:tr>
      <w:tr>
        <w:trPr>
          <w:trHeight w:val="22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6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(0.8)</w:t>
            </w:r>
          </w:p>
        </w:tc>
        <w:tc>
          <w:tcPr>
            <w:tcW w:w="12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(0.9)</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changes in AOCL, by component (net of tax), for the nine months ended September 30, 2024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Share of Equity</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Method Investments</w:t>
            </w:r>
          </w:p>
        </w:tc>
        <w:tc>
          <w:tcPr>
            <w:tcW w:w="12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(Losses) Gains on</w:t>
            </w:r>
          </w:p>
        </w:tc>
        <w:tc>
          <w:tcPr>
            <w:tcW w:w="140" w:type="dxa"/>
            <w:vAlign w:val="bottom"/>
          </w:tcPr>
          <w:p>
            <w:pPr>
              <w:spacing w:after="0"/>
              <w:rPr>
                <w:sz w:val="13"/>
                <w:szCs w:val="13"/>
                <w:color w:val="auto"/>
              </w:rPr>
            </w:pPr>
          </w:p>
        </w:tc>
        <w:tc>
          <w:tcPr>
            <w:tcW w:w="14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3"/>
                <w:szCs w:val="13"/>
                <w:color w:val="auto"/>
              </w:rPr>
            </w:pPr>
          </w:p>
        </w:tc>
        <w:tc>
          <w:tcPr>
            <w:tcW w:w="13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3"/>
                <w:szCs w:val="13"/>
                <w:color w:val="auto"/>
              </w:rPr>
            </w:pPr>
          </w:p>
        </w:tc>
        <w:tc>
          <w:tcPr>
            <w:tcW w:w="13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3"/>
                <w:szCs w:val="13"/>
                <w:color w:val="auto"/>
              </w:rPr>
            </w:pPr>
          </w:p>
        </w:tc>
        <w:tc>
          <w:tcPr>
            <w:tcW w:w="114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Total AOCL</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8"/>
              </w:rPr>
              <w:t>(2.0)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w:t>
            </w:r>
          </w:p>
        </w:tc>
        <w:tc>
          <w:tcPr>
            <w:tcW w:w="0" w:type="dxa"/>
            <w:vAlign w:val="bottom"/>
          </w:tcPr>
          <w:p>
            <w:pPr>
              <w:spacing w:after="0"/>
              <w:rPr>
                <w:sz w:val="1"/>
                <w:szCs w:val="1"/>
                <w:color w:val="auto"/>
              </w:rPr>
            </w:pPr>
          </w:p>
        </w:tc>
      </w:tr>
      <w:tr>
        <w:trPr>
          <w:trHeight w:val="173"/>
        </w:trPr>
        <w:tc>
          <w:tcPr>
            <w:tcW w:w="40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520" w:type="dxa"/>
            <w:vAlign w:val="bottom"/>
          </w:tcPr>
          <w:p>
            <w:pPr>
              <w:spacing w:after="0"/>
              <w:rPr>
                <w:sz w:val="20"/>
                <w:szCs w:val="20"/>
                <w:color w:val="auto"/>
              </w:rPr>
            </w:pPr>
          </w:p>
        </w:tc>
        <w:tc>
          <w:tcPr>
            <w:tcW w:w="78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7"/>
              </w:rPr>
              <w:t>5.3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7"/>
              </w:rPr>
              <w:t>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5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7"/>
              </w:rPr>
              <w:t>6.2</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7"/>
              </w:rPr>
              <w:t>4.2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51"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as of September 30, 2024 were the same as those used as of December 31,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28"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Credit Agreement in Long-term debt also approximates fair value due to its variable-rate characteristics.</w:t>
      </w:r>
    </w:p>
    <w:p>
      <w:pPr>
        <w:spacing w:after="0" w:line="203" w:lineRule="exact"/>
        <w:rPr>
          <w:sz w:val="20"/>
          <w:szCs w:val="20"/>
          <w:color w:val="auto"/>
        </w:rPr>
      </w:pPr>
    </w:p>
    <w:p>
      <w:pPr>
        <w:jc w:val="both"/>
        <w:ind w:firstLine="240"/>
        <w:spacing w:after="0" w:line="272"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 as of:</w:t>
      </w: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40" w:type="dxa"/>
            <w:vAlign w:val="bottom"/>
          </w:tcPr>
          <w:p>
            <w:pPr>
              <w:spacing w:after="0"/>
              <w:rPr>
                <w:sz w:val="18"/>
                <w:szCs w:val="18"/>
                <w:color w:val="auto"/>
              </w:rPr>
            </w:pPr>
          </w:p>
        </w:tc>
        <w:tc>
          <w:tcPr>
            <w:tcW w:w="174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Prior Year Acquisition: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October 2023, we completed the acquisition of AES, a company dedicated to service and sustainability in the light commercial market. Under the terms of the purchase agreement, a final working capital adjustment was completed in the first quarter of 2024. This working capital adjustment resulted in a $1.8 million reduction in the purchase price. Additionally, during the first quarter of 2024 we made certain purchase price adjustments. The following table details the purchase price adjustments that were made during the first quarter of 2024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80" w:type="dxa"/>
            <w:vAlign w:val="bottom"/>
          </w:tcPr>
          <w:p>
            <w:pPr>
              <w:spacing w:after="0"/>
              <w:rPr>
                <w:sz w:val="18"/>
                <w:szCs w:val="18"/>
                <w:color w:val="auto"/>
              </w:rPr>
            </w:pP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tangible assets acquired</w:t>
            </w:r>
          </w:p>
        </w:tc>
        <w:tc>
          <w:tcPr>
            <w:tcW w:w="19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973"/>
              <w:spacing w:after="0"/>
              <w:rPr>
                <w:sz w:val="20"/>
                <w:szCs w:val="20"/>
                <w:color w:val="auto"/>
              </w:rPr>
            </w:pPr>
            <w:r>
              <w:rPr>
                <w:rFonts w:ascii="Times New Roman" w:cs="Times New Roman" w:eastAsia="Times New Roman" w:hAnsi="Times New Roman"/>
                <w:sz w:val="18"/>
                <w:szCs w:val="18"/>
                <w:color w:val="auto"/>
                <w:w w:val="98"/>
              </w:rPr>
              <w:t>(1.7)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9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973"/>
              <w:spacing w:after="0"/>
              <w:rPr>
                <w:sz w:val="20"/>
                <w:szCs w:val="20"/>
                <w:color w:val="auto"/>
              </w:rPr>
            </w:pPr>
            <w:r>
              <w:rPr>
                <w:rFonts w:ascii="Times New Roman" w:cs="Times New Roman" w:eastAsia="Times New Roman" w:hAnsi="Times New Roman"/>
                <w:sz w:val="18"/>
                <w:szCs w:val="18"/>
                <w:color w:val="auto"/>
                <w:w w:val="98"/>
              </w:rPr>
              <w:t>(2.2)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w:t>
            </w:r>
          </w:p>
        </w:tc>
        <w:tc>
          <w:tcPr>
            <w:tcW w:w="1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973"/>
              <w:spacing w:after="0"/>
              <w:rPr>
                <w:sz w:val="20"/>
                <w:szCs w:val="20"/>
                <w:color w:val="auto"/>
              </w:rPr>
            </w:pPr>
            <w:r>
              <w:rPr>
                <w:rFonts w:ascii="Times New Roman" w:cs="Times New Roman" w:eastAsia="Times New Roman" w:hAnsi="Times New Roman"/>
                <w:sz w:val="18"/>
                <w:szCs w:val="18"/>
                <w:color w:val="auto"/>
                <w:w w:val="98"/>
              </w:rPr>
              <w:t>(1.8)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0"/>
        </w:trPr>
        <w:tc>
          <w:tcPr>
            <w:tcW w:w="3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35"/>
        </w:trPr>
        <w:tc>
          <w:tcPr>
            <w:tcW w:w="3780" w:type="dxa"/>
            <w:vAlign w:val="bottom"/>
          </w:tcPr>
          <w:p>
            <w:pPr>
              <w:spacing w:after="0"/>
              <w:rPr>
                <w:sz w:val="24"/>
                <w:szCs w:val="24"/>
                <w:color w:val="auto"/>
              </w:rPr>
            </w:pPr>
          </w:p>
        </w:tc>
        <w:tc>
          <w:tcPr>
            <w:tcW w:w="20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3"/>
        </w:trPr>
        <w:tc>
          <w:tcPr>
            <w:tcW w:w="37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to the specific uncertainties discussed elsewhere in this Quarterly Report on Form 10-Q, the risk factors set forth in Part I, “Item 1A. Risk Factors” in our Annual Report on Form 10-K for the year ended December 31, 2023,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operate in two reportable business segments of the HVACR industry, Home Comfort Solutions and Building Climate Solutions. In addition to the two major business segments, Corporate and Other is also reported as a segment. For more detailed information regarding our reportable segments, see Note 2 in the Notes to the Consolidated Financial Statements.</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stores. The demand for our products and services is seasonal and can be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 The principal raw materials used in our manufacturing processes are steel, aluminum and copper. In recent years, pricing volatility for these commodities and related components has impacted us and the HVACR industry in general. We seek to mitigate the impact of certain commodity price volatility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Results for the third quarter of 2024 were driven by overall year-over-year sales and profit increases. Net sales increased 15% and segment profit increased $45 million for our Home Comfort Solutions segment. Net sales increased 15% and segment profit increased $9 million for our Building Climate Solutions segment. Net sales decreased $65 million and segment loss increased $6 million for our Corporate and Other segment. Our European businesses were sold in the fourth quarter of 2023 and generated $65 million in net sales with segment profit of $4 million in the third quarter of 2023.</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49"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$1,498 million in the third quarter of 2024 reflected a 10% increase as compared to the same period in 2023.</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the third quarter of 2024 increased $117 million to $303 million primarily driven by favorable price and mix and higher sales volumes.</w:t>
      </w: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third quarter of 2024 was $239 million.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$6.68 per share in the third quarter of 2024 as compared to $3.65 per share in the same period in 2023.</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2024, we returned $119 million to shareholders through dividend payments.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Three Months Ended September 30, 2023 -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94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w w:val="97"/>
              </w:rPr>
              <w:t>Percent of Sales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1"/>
                <w:szCs w:val="11"/>
                <w:color w:val="auto"/>
              </w:rPr>
            </w:pPr>
          </w:p>
        </w:tc>
        <w:tc>
          <w:tcPr>
            <w:tcW w:w="14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Fav/(Unfav)</w:t>
            </w: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1,366.3</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Pr>
          <w:p>
            <w:pPr>
              <w:spacing w:after="0"/>
              <w:rPr>
                <w:sz w:val="19"/>
                <w:szCs w:val="19"/>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other expenses,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9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on assets held for sale</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303.3</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62.4 %</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20.2 %</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Net sales for the third quarter of 2024 increased 10% as compared to the same period in 2023. This was primarily due to higher sales volumes of 9%, favorable price and mix of 4%, and an increase in sales volumes of 2% from our AES acquisition, which were partially offset by a 5% reduction in sales due to the fourth quarter 2023 sale of our European businesses.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Gross profit margins in the third quarter of 2024 increased 120 basis points ("bps") to 32.6% as compared to 31.4% in the same period in 2023. Gross margins increased 250 bps from favorable price and mix, which was partially offset by 70 bps from higher material and product costs, including LIFO, 40 bps from higher freight and distribution costs, and 20 bps from miscellaneous other items.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$6 million to $184 million in the third quarter of 2024 as compared to $179 million in the same period in 2023 primarily due to higher employee related costs including increased incentive compensation, which was partially offset by a $14 million reduction in SG&amp;A expenses from our 2023 divestiture of our European businesses. SG&amp;A decreased 80 bps to 12.3%.</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third quarter of 2024 and 2023 included the following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440" w:type="dxa"/>
            <w:vAlign w:val="bottom"/>
            <w:tcBorders>
              <w:bottom w:val="single" w:sz="8" w:color="auto"/>
            </w:tcBorders>
          </w:tcPr>
          <w:p>
            <w:pPr>
              <w:spacing w:after="0"/>
              <w:rPr>
                <w:sz w:val="18"/>
                <w:szCs w:val="18"/>
                <w:color w:val="auto"/>
              </w:rPr>
            </w:pPr>
          </w:p>
        </w:tc>
      </w:tr>
      <w:tr>
        <w:trPr>
          <w:trHeight w:val="208"/>
        </w:trPr>
        <w:tc>
          <w:tcPr>
            <w:tcW w:w="71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r>
      <w:tr>
        <w:trPr>
          <w:trHeight w:val="22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 (gains)</w:t>
            </w: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3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5"/>
        </w:trPr>
        <w:tc>
          <w:tcPr>
            <w:tcW w:w="71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380" w:type="dxa"/>
            <w:vAlign w:val="bottom"/>
            <w:tcBorders>
              <w:top w:val="single" w:sz="8" w:color="auto"/>
              <w:bottom w:val="single" w:sz="8" w:color="auto"/>
            </w:tcBorders>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are accounted for under the equity method and their financial position and results of operations are not consolidated. We recognized income from equity method investments of $2 million in the third quarter of 2024 and $4 million in the third quarter of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expense, net decreased to $9 million in the third quarter of 2024 from $11 million in the same period in 2023 due to lower borrowings.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5" w:lineRule="exact"/>
        <w:rPr>
          <w:sz w:val="20"/>
          <w:szCs w:val="20"/>
          <w:color w:val="auto"/>
        </w:rPr>
      </w:pPr>
    </w:p>
    <w:p>
      <w:pPr>
        <w:ind w:right="60" w:firstLine="240"/>
        <w:spacing w:after="0" w:line="261" w:lineRule="auto"/>
        <w:rPr>
          <w:sz w:val="20"/>
          <w:szCs w:val="20"/>
          <w:color w:val="auto"/>
        </w:rPr>
      </w:pPr>
      <w:r>
        <w:rPr>
          <w:rFonts w:ascii="Times New Roman" w:cs="Times New Roman" w:eastAsia="Times New Roman" w:hAnsi="Times New Roman"/>
          <w:sz w:val="18"/>
          <w:szCs w:val="18"/>
          <w:color w:val="auto"/>
        </w:rPr>
        <w:t>Our effective tax rate was 18.7% for the third quarter of 2024 as compared to 25.6% in the same period in 2023. The decrease in rate is primarily due to a discrete adjustment in the third quarter of 2023 related to the 2023 European divestiture.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2024 Compared to Third Quarter of 2023 -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the third quarter of 2024 and 2023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1"/>
        </w:trPr>
        <w:tc>
          <w:tcPr>
            <w:tcW w:w="4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0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1,032.8</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896.3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226.5</w:t>
            </w:r>
          </w:p>
        </w:tc>
        <w:tc>
          <w:tcPr>
            <w:tcW w:w="14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181.4</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bl>
    <w:p>
      <w:pPr>
        <w:spacing w:after="0" w:line="6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15% in the third quarter of 2024 as compared to the same period in 2023 primarily due to higher sales volumes of 11% and favorable price and mix of 4%.</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Segment profit in the third quarter of 2024 increased by $45 million as compared to the same period in 2023, primarily due to $35 million from higher sales volumes, and $33 million from favorable price and mix, which were partially offset by $8 million from higher SG&amp;A costs, $7 million in higher costs primarily driven by the upcoming regulatory transition and rising commodity prices, and $8 million from miscellaneous other items.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the third quarter of 2024 and 2023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80" w:type="dxa"/>
            <w:vAlign w:val="bottom"/>
          </w:tcPr>
          <w:p>
            <w:pPr>
              <w:spacing w:after="0"/>
              <w:rPr>
                <w:sz w:val="18"/>
                <w:szCs w:val="18"/>
                <w:color w:val="auto"/>
              </w:rPr>
            </w:pPr>
          </w:p>
        </w:tc>
        <w:tc>
          <w:tcPr>
            <w:tcW w:w="3680" w:type="dxa"/>
            <w:vAlign w:val="bottom"/>
            <w:gridSpan w:val="6"/>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1"/>
        </w:trPr>
        <w:tc>
          <w:tcPr>
            <w:tcW w:w="44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465.3</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405.5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105.9</w:t>
            </w:r>
          </w:p>
        </w:tc>
        <w:tc>
          <w:tcPr>
            <w:tcW w:w="14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15% in the third quarter of 2024 as compared to the same period in 2023 primarily due to higher sales volumes of 7%, favorable price and mix of 2%, and a 6% increase in sales volumes from our AES acquisition.</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Segment profit in the third quarter of 2024 increased $9 million as compared to the same period in 2023 primarily due to $10 million from favorable price and mix, $8 million from higher sales volumes, $4 million from our acquisition of AES, and $3 million from miscellaneous other items, which were partially offset by $10 million in higher factory inefficiencies, including costs related to the ramp up of our new factory in Mexico, and $6 million in increased SG&amp;A expenses.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Corporate and Other segment's net sales and loss for the third quarter of 2024 and 2023 (dollars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40" w:type="dxa"/>
            <w:vAlign w:val="bottom"/>
          </w:tcPr>
          <w:p>
            <w:pPr>
              <w:spacing w:after="0"/>
              <w:rPr>
                <w:sz w:val="18"/>
                <w:szCs w:val="18"/>
                <w:color w:val="auto"/>
              </w:rPr>
            </w:pPr>
          </w:p>
        </w:tc>
        <w:tc>
          <w:tcPr>
            <w:tcW w:w="344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1"/>
        </w:trPr>
        <w:tc>
          <w:tcPr>
            <w:tcW w:w="46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8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0"/>
                <w:szCs w:val="20"/>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96"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Net sales decreased $65 million and segment loss increased $6 million in the third quarter of 2024 as compared to the same period in 2023. Our European businesses, which were sold in 2023, generated $65 million in net sales and $4 million in segment profit in the third quarter of 2023. Excluding our European businesses, Corporate and Other costs increased $2 million in the third quarter of 2024 as compared to the same period in 2023 primarily due to higher employee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Year-to-Date through September 30, 2024 Compared to Year-to-Date through September 30, 2023 -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580" w:type="dxa"/>
            <w:vAlign w:val="bottom"/>
            <w:gridSpan w:val="3"/>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7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1"/>
                <w:szCs w:val="11"/>
                <w:color w:val="auto"/>
              </w:rPr>
            </w:pPr>
          </w:p>
        </w:tc>
        <w:tc>
          <w:tcPr>
            <w:tcW w:w="148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2"/>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Fav/(Unfav)</w:t>
            </w: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3,996.3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3,827.1</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20"/>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4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on assets held for sale</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604.8</w:t>
            </w:r>
          </w:p>
        </w:tc>
        <w:tc>
          <w:tcPr>
            <w:tcW w:w="14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30.7 %</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19.8 %</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Net sales increased 4% for the nine months ended September 30, 2024 as compared to the same period in 2023. This was primarily due to higher sales volumes of 5%, favorable price and mix of 3%, and an increase in sales volumes of 1% from our AES acquisition, which were partially offset by a 5% reduction in sales due to the fourth quarter 2023 sale of our European businesses.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8"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Gross profit margins for the nine months ended September 30, 2024 increased 170 bps to 32.9% as compared to 31.2% in the same period in 2023. Gross margins increased 270 bps from higher price and favorable mix, which was partially offset by 50 bps from higher material and product costs, including LIFO, and 50 bps from higher freight and distribution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7"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SG&amp;A decreased $4 million to $524 million for the nine months ended September 30, 2024 as compared to $528 million in the same period in 2023 primarily due to a $45 million reduction in SG&amp;A expenses from our 2023 divestiture of our European businesses, which was partially offset by higher employee-related costs including increased incentive compensation. As a percentage of net sales, SG&amp;A decreased 70 bps to 13.1% from 13.8%.</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nine months ended September 30, 2024 and 2023 included the following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Borders>
              <w:bottom w:val="single" w:sz="8" w:color="CCEEFF"/>
            </w:tcBorders>
          </w:tcPr>
          <w:p>
            <w:pPr>
              <w:spacing w:after="0"/>
              <w:rPr>
                <w:sz w:val="18"/>
                <w:szCs w:val="18"/>
                <w:color w:val="auto"/>
              </w:rPr>
            </w:pPr>
          </w:p>
        </w:tc>
        <w:tc>
          <w:tcPr>
            <w:tcW w:w="3320" w:type="dxa"/>
            <w:vAlign w:val="bottom"/>
            <w:tcBorders>
              <w:bottom w:val="single" w:sz="8" w:color="auto"/>
            </w:tcBorders>
            <w:gridSpan w:val="5"/>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0"/>
        </w:trPr>
        <w:tc>
          <w:tcPr>
            <w:tcW w:w="79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 on settled future contracts</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 (gains)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loss (income)</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08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5"/>
        </w:trPr>
        <w:tc>
          <w:tcPr>
            <w:tcW w:w="79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080" w:type="dxa"/>
            <w:vAlign w:val="bottom"/>
            <w:tcBorders>
              <w:top w:val="single" w:sz="8" w:color="auto"/>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7"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Income from equity method investments decreased slightly to $6 million for the nine months ended September 30, 2024 as compared to $8 million in the same period in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Interest expense, net decreased $7 million for the nine months ended September 30, 2024 to $33 million as compared to $40 million in the same period in 2023 primarily due to lower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5" w:lineRule="exact"/>
        <w:rPr>
          <w:sz w:val="20"/>
          <w:szCs w:val="20"/>
          <w:color w:val="auto"/>
        </w:rPr>
      </w:pPr>
    </w:p>
    <w:p>
      <w:pPr>
        <w:ind w:right="200" w:firstLine="240"/>
        <w:spacing w:after="0" w:line="261" w:lineRule="auto"/>
        <w:rPr>
          <w:sz w:val="20"/>
          <w:szCs w:val="20"/>
          <w:color w:val="auto"/>
        </w:rPr>
      </w:pPr>
      <w:r>
        <w:rPr>
          <w:rFonts w:ascii="Times New Roman" w:cs="Times New Roman" w:eastAsia="Times New Roman" w:hAnsi="Times New Roman"/>
          <w:sz w:val="18"/>
          <w:szCs w:val="18"/>
          <w:color w:val="auto"/>
        </w:rPr>
        <w:t>Our effective tax rate was 19.3% for the nine months ended September 30, 2024 as compared to 21.0% in the same period in 2023. The decrease in rate was primarily due to a discrete adjustment in the third quarter of 2023 related to the 2023 European divestiture.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through September 30, 2024 Compared to Year-to-Date through September 30, 2023 -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the nine months ended September 30, 2024 and 2023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4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80" w:type="dxa"/>
            <w:vAlign w:val="bottom"/>
            <w:tcBorders>
              <w:top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2,689.7</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2,513.6</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567.1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495.2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56"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7% for the nine months ended September 30, 2024 as compared to the same period in 2023. This was primarily due to higher sales volumes of 4% and favorable price and mix of 3%.</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Segment profit for the first nine months of 2024 increased $72 million as compared to the same period in 2023 primarily due to $95 million from favorable price and mix, and $33 million from higher sales volumes, which were partially offset by $23 million from higher SG&amp;A costs, $19 million from higher freight and distribution costs, $5 million in higher costs primarily driven by the upcoming regulatory transition and rising commodity prices, and $9 million from miscellaneous other items.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the nine months ended September 30, 2024 and 2023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4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2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1,306.6</w:t>
            </w:r>
          </w:p>
        </w:tc>
        <w:tc>
          <w:tcPr>
            <w:tcW w:w="160" w:type="dxa"/>
            <w:vAlign w:val="bottom"/>
          </w:tcPr>
          <w:p>
            <w:pPr>
              <w:spacing w:after="0"/>
              <w:rPr>
                <w:sz w:val="19"/>
                <w:szCs w:val="19"/>
                <w:color w:val="auto"/>
              </w:rPr>
            </w:pPr>
          </w:p>
        </w:tc>
        <w:tc>
          <w:tcPr>
            <w:tcW w:w="44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1,121.5</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298.1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2"/>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310"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Net sales increased 17% for the nine months ended September 30, 2024 as compared to the same period in 2023. This was primarily due to higher sales volumes of 8%, favorable price and mix of 3%, and a 6% increase in sales volumes from our AES acquisition.</w:t>
      </w:r>
    </w:p>
    <w:p>
      <w:pPr>
        <w:spacing w:after="0" w:line="1" w:lineRule="exact"/>
        <w:rPr>
          <w:sz w:val="20"/>
          <w:szCs w:val="20"/>
          <w:color w:val="auto"/>
        </w:rPr>
      </w:pPr>
    </w:p>
    <w:p>
      <w:pPr>
        <w:jc w:val="both"/>
        <w:ind w:firstLine="240"/>
        <w:spacing w:after="0" w:line="250" w:lineRule="auto"/>
        <w:rPr>
          <w:sz w:val="20"/>
          <w:szCs w:val="20"/>
          <w:color w:val="auto"/>
        </w:rPr>
      </w:pPr>
      <w:r>
        <w:rPr>
          <w:rFonts w:ascii="Times New Roman" w:cs="Times New Roman" w:eastAsia="Times New Roman" w:hAnsi="Times New Roman"/>
          <w:sz w:val="18"/>
          <w:szCs w:val="18"/>
          <w:color w:val="auto"/>
        </w:rPr>
        <w:t>Segment profit for the first nine months of 2024 increased $48 million as compared to the same period in 2023 primarily due to $32 million from higher price and mix, $28 million from higher sales volumes, $13 million from our acquisition of AES, and $2 million from miscellaneous other items, which were partially offset by $17 million from higher factory inefficiencies, which includes costs related to the ramp up of our new facility in Mexico, and $10 million from higher SG&amp;A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Corporate and Other segment's net sales and loss for the nine months ended September 30, 2024 and 2023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334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49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60" w:type="dxa"/>
            <w:vAlign w:val="bottom"/>
            <w:tcBorders>
              <w:top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30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Net sales decreased $192 million and segment loss increased $11 million during the nine months ended September 30, 2024 as compared to the same period in 2023. Our European businesses, which were sold in 2023, generated net sales of $192 million and a profit of $6 million in the nine months ended September 30, 2023. Excluding our European businesses, Corporate and Other costs increased $5 million in the first nine months of 2024 as compared to the same period in 2023 primarily due to higher incentive compensation and other employee costs and wage inflation.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 commercial paper program (as described below). Working capital needs are generally greater in the first and second quarters due to the seasonal nature of our business cycle.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nine months ended September 30, 2024 and 2023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tcPr>
          <w:p>
            <w:pPr>
              <w:spacing w:after="0"/>
              <w:rPr>
                <w:sz w:val="18"/>
                <w:szCs w:val="18"/>
                <w:color w:val="auto"/>
              </w:rPr>
            </w:pPr>
          </w:p>
        </w:tc>
        <w:tc>
          <w:tcPr>
            <w:tcW w:w="3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560" w:type="dxa"/>
            <w:vAlign w:val="bottom"/>
            <w:tcBorders>
              <w:bottom w:val="single" w:sz="8" w:color="auto"/>
            </w:tcBorders>
          </w:tcPr>
          <w:p>
            <w:pPr>
              <w:spacing w:after="0"/>
              <w:rPr>
                <w:sz w:val="18"/>
                <w:szCs w:val="18"/>
                <w:color w:val="auto"/>
              </w:rPr>
            </w:pPr>
          </w:p>
        </w:tc>
      </w:tr>
      <w:tr>
        <w:trPr>
          <w:trHeight w:val="210"/>
        </w:trPr>
        <w:tc>
          <w:tcPr>
            <w:tcW w:w="4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shd w:val="clear" w:color="auto" w:fill="CCEEFF"/>
          </w:tcPr>
          <w:p>
            <w:pPr>
              <w:spacing w:after="0"/>
              <w:rPr>
                <w:sz w:val="18"/>
                <w:szCs w:val="18"/>
                <w:color w:val="auto"/>
              </w:rPr>
            </w:pPr>
          </w:p>
        </w:tc>
      </w:tr>
      <w:tr>
        <w:trPr>
          <w:trHeight w:val="22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920" w:type="dxa"/>
            <w:vAlign w:val="bottom"/>
          </w:tcPr>
          <w:p>
            <w:pPr>
              <w:spacing w:after="0"/>
              <w:rPr>
                <w:sz w:val="19"/>
                <w:szCs w:val="19"/>
                <w:color w:val="auto"/>
              </w:rPr>
            </w:pPr>
          </w:p>
        </w:tc>
        <w:tc>
          <w:tcPr>
            <w:tcW w:w="1280" w:type="dxa"/>
            <w:vAlign w:val="bottom"/>
          </w:tcPr>
          <w:p>
            <w:pPr>
              <w:jc w:val="right"/>
              <w:ind w:right="109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613.3</w:t>
            </w:r>
          </w:p>
        </w:tc>
        <w:tc>
          <w:tcPr>
            <w:tcW w:w="120" w:type="dxa"/>
            <w:vAlign w:val="bottom"/>
          </w:tcPr>
          <w:p>
            <w:pPr>
              <w:spacing w:after="0"/>
              <w:rPr>
                <w:sz w:val="19"/>
                <w:szCs w:val="19"/>
                <w:color w:val="auto"/>
              </w:rPr>
            </w:pPr>
          </w:p>
        </w:tc>
        <w:tc>
          <w:tcPr>
            <w:tcW w:w="1420" w:type="dxa"/>
            <w:vAlign w:val="bottom"/>
          </w:tcPr>
          <w:p>
            <w:pPr>
              <w:jc w:val="right"/>
              <w:ind w:right="12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429.9</w:t>
            </w:r>
          </w:p>
        </w:tc>
      </w:tr>
      <w:tr>
        <w:trPr>
          <w:trHeight w:val="22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9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(108.1)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(124.5)</w:t>
            </w:r>
          </w:p>
        </w:tc>
      </w:tr>
      <w:tr>
        <w:trPr>
          <w:trHeight w:val="232"/>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(327.4)</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(215.6)</w:t>
            </w:r>
          </w:p>
        </w:tc>
      </w:tr>
      <w:tr>
        <w:trPr>
          <w:trHeight w:val="849"/>
        </w:trPr>
        <w:tc>
          <w:tcPr>
            <w:tcW w:w="4240" w:type="dxa"/>
            <w:vAlign w:val="bottom"/>
          </w:tcPr>
          <w:p>
            <w:pPr>
              <w:spacing w:after="0"/>
              <w:rPr>
                <w:sz w:val="24"/>
                <w:szCs w:val="24"/>
                <w:color w:val="auto"/>
              </w:rPr>
            </w:pPr>
          </w:p>
        </w:tc>
        <w:tc>
          <w:tcPr>
            <w:tcW w:w="2920" w:type="dxa"/>
            <w:vAlign w:val="bottom"/>
          </w:tcPr>
          <w:p>
            <w:pPr>
              <w:jc w:val="right"/>
              <w:ind w:right="1351"/>
              <w:spacing w:after="0"/>
              <w:rPr>
                <w:sz w:val="20"/>
                <w:szCs w:val="20"/>
                <w:color w:val="auto"/>
              </w:rPr>
            </w:pPr>
            <w:r>
              <w:rPr>
                <w:rFonts w:ascii="Times New Roman" w:cs="Times New Roman" w:eastAsia="Times New Roman" w:hAnsi="Times New Roman"/>
                <w:sz w:val="18"/>
                <w:szCs w:val="18"/>
                <w:color w:val="auto"/>
              </w:rPr>
              <w:t>25</w:t>
            </w: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3"/>
        </w:trPr>
        <w:tc>
          <w:tcPr>
            <w:tcW w:w="424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7" w:name="page28"/>
    <w:bookmarkEnd w:id="27"/>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The change in net cash provided by operating activities for the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net cash provided by operating activities for the same period in 2023 primarily reflects changes in working capital and an increase in net income.</w:t>
      </w:r>
    </w:p>
    <w:p>
      <w:pPr>
        <w:spacing w:after="0" w:line="200"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Capital expenditures were $103 million for the nine months ended September 30, 2024 compared to $125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same period of 2023. Capital expenditures in 2024 were related to our Commercial factory in Mexico, the general expansion of manufacturing capacity and equipment, and investments in systems and software to support the overall enterprise.</w:t>
      </w:r>
    </w:p>
    <w:p>
      <w:pPr>
        <w:spacing w:after="0" w:line="200"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Net cash used in financing activities for the nine months ended September 30, 2024 increased to $327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$216 million in the same period of 2023. The change was primarily due to changes in net borrowings and repayments of long-term debt and repurchase of common stock through our share repurchase program. We returned $119 million to shareholders through dividend payments for the nine months ended September 30, 2024 and $153 million in the same period of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September 30, 2024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Outstanding Borrowings</w:t>
            </w:r>
          </w:p>
        </w:tc>
      </w:tr>
      <w:tr>
        <w:trPr>
          <w:trHeight w:val="236"/>
        </w:trPr>
        <w:tc>
          <w:tcPr>
            <w:tcW w:w="9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9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7"/>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0"/>
        </w:trPr>
        <w:tc>
          <w:tcPr>
            <w:tcW w:w="9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r>
      <w:tr>
        <w:trPr>
          <w:trHeight w:val="254"/>
        </w:trPr>
        <w:tc>
          <w:tcPr>
            <w:tcW w:w="9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0"/>
        </w:trPr>
        <w:tc>
          <w:tcPr>
            <w:tcW w:w="9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w:t>
            </w:r>
          </w:p>
        </w:tc>
      </w:tr>
      <w:tr>
        <w:trPr>
          <w:trHeight w:val="245"/>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1,140.3</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35"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8"/>
          <w:szCs w:val="18"/>
          <w:color w:val="auto"/>
        </w:rPr>
        <w:t>On October 25, 2023, we established a commercial paper program, as a replacement to our Asset Securitization Program which expired in November 2023, pursuant to which we may issue short-term, unsecured commercial paper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are no CP Notes currently outstanding under the Program as of September 30,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have an existing $1.1 billion unsecured revolving credit facility dated as of July 14, 2021 (as amended, the "Credit Agreement"), with JPMorgan Chase Bank, N.A., as administrative agent, and the other lenders party thereto. We had no outstanding borrowings and $1.7 million committed to standby letters of credit as of September 30, 2024. Subject to covenant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limitations, $1,098.3 million was available for future borrowings after taking into consideration outstanding borrowings under our Program. The Credit Agreement includes a subfacility for swingline loans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and collectively with the 2025 Notes and the 2028 Notes, the "Notes") with interest being paid semi-annually in February and August at 1.35% and 1.70% respectively, per annum.</w:t>
      </w:r>
    </w:p>
    <w:p>
      <w:pPr>
        <w:spacing w:after="0" w:line="208" w:lineRule="exact"/>
        <w:rPr>
          <w:sz w:val="20"/>
          <w:szCs w:val="20"/>
          <w:color w:val="auto"/>
        </w:rPr>
      </w:pPr>
    </w:p>
    <w:p>
      <w:pPr>
        <w:jc w:val="both"/>
        <w:ind w:firstLine="240"/>
        <w:spacing w:after="0" w:line="269" w:lineRule="auto"/>
        <w:rPr>
          <w:sz w:val="20"/>
          <w:szCs w:val="20"/>
          <w:color w:val="auto"/>
        </w:rPr>
      </w:pPr>
      <w:r>
        <w:rPr>
          <w:rFonts w:ascii="Times New Roman" w:cs="Times New Roman" w:eastAsia="Times New Roman" w:hAnsi="Times New Roman"/>
          <w:sz w:val="17"/>
          <w:szCs w:val="17"/>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September 30, 2024, we believe we were in compliance with all covenant requirements.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decreased to 60% as of September 30, 2024 from 82% as of December 31, 2023.</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As of September 30, 2024,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9"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We believe our cash and cash equivalents of $243.1 million, future cash generated from operations and available borrowing capacity are sufficient to fund operations, planned capital expenditures, future contractual obligations, potential share repurchases and dividends, and other needs in the foreseeable future. Included in our cash and cash equivalents of $243.1 million as of September 30, 2024 was $25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("Parent") and are unconditionally guaranteed by the Guarantor Subsidiaries. The Guarantor Subsidiaries are 100% owned and consolidated, all guarantees are full and unconditional, and all guarantees are joint and several.</w:t>
      </w:r>
    </w:p>
    <w:p>
      <w:pPr>
        <w:spacing w:after="0" w:line="18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combined Parent and Guarantor Subsidiaries financial information is presented as of September 30, 2024 and December 31, 2023 and for the three and nine months ended September 30, 2024 (in millions):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18"/>
                <w:szCs w:val="18"/>
                <w:color w:val="auto"/>
              </w:rPr>
            </w:pPr>
          </w:p>
        </w:tc>
        <w:tc>
          <w:tcPr>
            <w:tcW w:w="22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w:t>
            </w:r>
          </w:p>
        </w:tc>
      </w:tr>
      <w:tr>
        <w:trPr>
          <w:trHeight w:val="22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5,737.1</w:t>
            </w:r>
          </w:p>
        </w:tc>
      </w:tr>
      <w:tr>
        <w:trPr>
          <w:trHeight w:val="22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w:t>
            </w:r>
          </w:p>
        </w:tc>
      </w:tr>
      <w:tr>
        <w:trPr>
          <w:trHeight w:val="22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1,477.3</w:t>
            </w:r>
          </w:p>
        </w:tc>
      </w:tr>
      <w:tr>
        <w:trPr>
          <w:trHeight w:val="22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non-guarantor subsidiaries</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54"/>
        </w:trPr>
        <w:tc>
          <w:tcPr>
            <w:tcW w:w="6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160"/>
        </w:trPr>
        <w:tc>
          <w:tcPr>
            <w:tcW w:w="6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340" w:type="dxa"/>
            <w:vAlign w:val="bottom"/>
            <w:gridSpan w:val="2"/>
            <w:shd w:val="clear" w:color="auto" w:fill="CCEEFF"/>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180" w:type="dxa"/>
            <w:vAlign w:val="bottom"/>
            <w:shd w:val="clear" w:color="auto" w:fill="CCEEFF"/>
          </w:tcPr>
          <w:p>
            <w:pPr>
              <w:spacing w:after="0"/>
              <w:rPr>
                <w:sz w:val="13"/>
                <w:szCs w:val="13"/>
                <w:color w:val="auto"/>
              </w:rPr>
            </w:pPr>
          </w:p>
        </w:tc>
        <w:tc>
          <w:tcPr>
            <w:tcW w:w="2200" w:type="dxa"/>
            <w:vAlign w:val="bottom"/>
            <w:shd w:val="clear" w:color="auto" w:fill="CCEEFF"/>
          </w:tcPr>
          <w:p>
            <w:pPr>
              <w:jc w:val="center"/>
              <w:ind w:right="73"/>
              <w:spacing w:after="0" w:line="160" w:lineRule="exact"/>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3"/>
        </w:trPr>
        <w:tc>
          <w:tcPr>
            <w:tcW w:w="6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shd w:val="clear" w:color="auto" w:fill="CCEEFF"/>
          </w:tcPr>
          <w:p>
            <w:pPr>
              <w:spacing w:after="0"/>
              <w:rPr>
                <w:sz w:val="18"/>
                <w:szCs w:val="18"/>
                <w:color w:val="auto"/>
              </w:rPr>
            </w:pPr>
          </w:p>
        </w:tc>
        <w:tc>
          <w:tcPr>
            <w:tcW w:w="220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3,936.3</w:t>
            </w:r>
          </w:p>
        </w:tc>
      </w:tr>
      <w:tr>
        <w:trPr>
          <w:trHeight w:val="22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w:t>
            </w:r>
          </w:p>
        </w:tc>
      </w:tr>
      <w:tr>
        <w:trPr>
          <w:trHeight w:val="232"/>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no off-balance sheet arrangements that we believe may have a material current or future effect on our financial condition, liquidity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information regarding our commitments, contingencies, and guarantees, see Note 4 in the Notes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recent accounting pronouncements that are expected to have a material impact on our financial statements and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2023. Our exposure to market risk has not changed materially since December 31,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September 30, 2024,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incidental to the operation of our businesses. Where appropriate,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2023, which could materially affect our business, financial condition or results of operations. There have been no material changes to our risk factors from those disclosed in our Annual Report on Form 10-K for the year ended December 31, 2023.</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third quarter of 2024, we purchased shares of our common stock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Approximate Dollar Value of</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Average Price Paid</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6"/>
                <w:szCs w:val="16"/>
                <w:b w:val="1"/>
                <w:bCs w:val="1"/>
                <w:color w:val="auto"/>
                <w:w w:val="98"/>
              </w:rPr>
              <w:t>Shares that may yet be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Purchased under our Share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per Share (including</w:t>
            </w:r>
          </w:p>
        </w:tc>
        <w:tc>
          <w:tcPr>
            <w:tcW w:w="1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Repurchase Plans</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fees)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ind w:right="76"/>
              <w:spacing w:after="0" w:line="213" w:lineRule="exact"/>
              <w:rPr>
                <w:sz w:val="20"/>
                <w:szCs w:val="20"/>
                <w:color w:val="auto"/>
              </w:rPr>
            </w:pPr>
            <w:r>
              <w:rPr>
                <w:rFonts w:ascii="Times New Roman" w:cs="Times New Roman" w:eastAsia="Times New Roman" w:hAnsi="Times New Roman"/>
                <w:sz w:val="16"/>
                <w:szCs w:val="16"/>
                <w:b w:val="1"/>
                <w:bCs w:val="1"/>
                <w:color w:val="auto"/>
                <w:w w:val="96"/>
              </w:rPr>
              <w:t xml:space="preserve">(in millions) </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22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through August 31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579.50</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0" w:type="dxa"/>
            <w:vAlign w:val="bottom"/>
          </w:tcPr>
          <w:p>
            <w:pPr>
              <w:spacing w:after="0"/>
              <w:rPr>
                <w:sz w:val="1"/>
                <w:szCs w:val="1"/>
                <w:color w:val="auto"/>
              </w:rPr>
            </w:pPr>
          </w:p>
        </w:tc>
      </w:tr>
      <w:tr>
        <w:trPr>
          <w:trHeight w:val="22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588.77</w:t>
            </w:r>
          </w:p>
        </w:tc>
        <w:tc>
          <w:tcPr>
            <w:tcW w:w="2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both"/>
        <w:ind w:left="400" w:hanging="153"/>
        <w:spacing w:after="0" w:line="554" w:lineRule="auto"/>
        <w:tabs>
          <w:tab w:leader="none" w:pos="403"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Since the inception of the Company’s share repurchase program in 2008, the Board has authorized share repurchases in an amount not to exceed $4.0 billion (the "Share Repurchase Plans"). The Share Repurchase Plans do not have an expiration date. See Note 5 in the Notes to the Consolidated Financial Statement for further details.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Rule 10b5-1 Plan Elections</w:t>
      </w:r>
    </w:p>
    <w:p>
      <w:pPr>
        <w:spacing w:after="0" w:line="304"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During the quarter ended September 30, 2024, none of our directors or officers adopted, modified, or terminated any Rule 10b5-1 trading arrangement or non-Rule 10b5-1 trading arrangement, as such terms are defined in Item 408(a) of Regulation S-K.</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40" w:type="dxa"/>
            <w:vAlign w:val="bottom"/>
            <w:gridSpan w:val="21"/>
            <w:shd w:val="clear" w:color="auto" w:fill="CCEEFF"/>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February 15, 2022 and incorporated herein by reference).</w:t>
              </w:r>
            </w:hyperlink>
          </w:p>
        </w:tc>
        <w:tc>
          <w:tcPr>
            <w:tcW w:w="590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Amended and Restated Bylaws of LII (filed as Exhibit 3.2 to LII's Annual Report on Form 10-K filed on February 15, 2022 and incorporated</w:t>
              </w:r>
            </w:hyperlink>
          </w:p>
        </w:tc>
      </w:tr>
      <w:tr>
        <w:trPr>
          <w:trHeight w:val="153"/>
        </w:trPr>
        <w:tc>
          <w:tcPr>
            <w:tcW w:w="92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herein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4.1</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11"/>
            <w:shd w:val="clear" w:color="auto" w:fill="CCEEFF"/>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Amendment No. 1 to Registration Statement on S-3 filed on May 3, 2010 and incorporated herein by reference).</w:t>
              </w:r>
            </w:hyperlink>
          </w:p>
        </w:tc>
        <w:tc>
          <w:tcPr>
            <w:tcW w:w="20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520" w:type="dxa"/>
            <w:vAlign w:val="bottom"/>
            <w:tcBorders>
              <w:top w:val="single" w:sz="8" w:color="0000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4.2</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 as</w:t>
              </w:r>
            </w:hyperlink>
          </w:p>
        </w:tc>
      </w:tr>
      <w:tr>
        <w:trPr>
          <w:trHeight w:val="153"/>
        </w:trPr>
        <w:tc>
          <w:tcPr>
            <w:tcW w:w="920" w:type="dxa"/>
            <w:vAlign w:val="bottom"/>
          </w:tcPr>
          <w:p>
            <w:pPr>
              <w:spacing w:after="0"/>
              <w:rPr>
                <w:sz w:val="13"/>
                <w:szCs w:val="13"/>
                <w:color w:val="auto"/>
              </w:rPr>
            </w:pPr>
          </w:p>
        </w:tc>
        <w:tc>
          <w:tcPr>
            <w:tcW w:w="101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subsequently supplemented, and U.S. Bank National Association, as trustee (filed as Exhibit 4.2 to LII’s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00" w:type="dxa"/>
            <w:vAlign w:val="bottom"/>
            <w:tcBorders>
              <w:top w:val="single" w:sz="8" w:color="0000FF"/>
            </w:tcBorders>
            <w:gridSpan w:val="14"/>
          </w:tcPr>
          <w:p>
            <w:pPr>
              <w:spacing w:after="0" w:line="167"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July 30, 2020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4.3</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w w:val="98"/>
              </w:rPr>
            </w:pPr>
            <w:hyperlink r:id="rId49">
              <w:r>
                <w:rPr>
                  <w:rFonts w:ascii="Times New Roman" w:cs="Times New Roman" w:eastAsia="Times New Roman" w:hAnsi="Times New Roman"/>
                  <w:sz w:val="18"/>
                  <w:szCs w:val="18"/>
                  <w:color w:val="0000FF"/>
                  <w:w w:val="98"/>
                </w:rPr>
                <w:t>Form of 1.350% Notes due 2025 (filed as Exhibit A in Exhibit 4.2 to LII’s Current Report on Form 8-K filed on July 30, 2020 and incorporated</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herein by reference).</w:t>
              </w:r>
            </w:hyperlink>
          </w:p>
        </w:tc>
        <w:tc>
          <w:tcPr>
            <w:tcW w:w="874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4.5</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8"/>
              </w:rPr>
            </w:pPr>
            <w:hyperlink r:id="rId49">
              <w:r>
                <w:rPr>
                  <w:rFonts w:ascii="Times New Roman" w:cs="Times New Roman" w:eastAsia="Times New Roman" w:hAnsi="Times New Roman"/>
                  <w:sz w:val="18"/>
                  <w:szCs w:val="18"/>
                  <w:color w:val="0000FF"/>
                  <w:w w:val="98"/>
                </w:rPr>
                <w:t>Form of 1.700% Notes due 2027 (filed as Exhibit B in Exhibit 4.2 to LII’s Current Report on Form 8-K filed on July 30, 2020 and incorporated</w:t>
              </w:r>
            </w:hyperlink>
          </w:p>
        </w:tc>
      </w:tr>
      <w:tr>
        <w:trPr>
          <w:trHeight w:val="153"/>
        </w:trPr>
        <w:tc>
          <w:tcPr>
            <w:tcW w:w="9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4.6</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Tenth Supplemental Indenture, dated as of July 14, 2021, among LII, each existing Guarantor under the Indenture, dated as of May 3, 2010, as</w:t>
              </w:r>
            </w:hyperlink>
          </w:p>
        </w:tc>
      </w:tr>
      <w:tr>
        <w:trPr>
          <w:trHeight w:val="153"/>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0120" w:type="dxa"/>
            <w:vAlign w:val="bottom"/>
            <w:tcBorders>
              <w:top w:val="single" w:sz="8" w:color="0000FF"/>
              <w:bottom w:val="single" w:sz="8" w:color="0000FF"/>
            </w:tcBorders>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subsequently supplemented, and U.S. Bank National Association, as trustee (filed as Exhibit 4.7 to LII's Annual Report on Form 10-K filed 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4080" w:type="dxa"/>
            <w:vAlign w:val="bottom"/>
            <w:tcBorders>
              <w:bottom w:val="single" w:sz="8" w:color="0000FF"/>
            </w:tcBorders>
            <w:gridSpan w:val="5"/>
            <w:shd w:val="clear" w:color="auto" w:fill="CCEEFF"/>
          </w:tcPr>
          <w:p>
            <w:pPr>
              <w:spacing w:after="0" w:line="167"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February 15, 2022 and incorporated herein by reference).</w:t>
              </w:r>
            </w:hyperlink>
          </w:p>
        </w:tc>
        <w:tc>
          <w:tcPr>
            <w:tcW w:w="6100" w:type="dxa"/>
            <w:vAlign w:val="bottom"/>
            <w:tcBorders>
              <w:bottom w:val="single" w:sz="8" w:color="CCEEFF"/>
            </w:tcBorders>
            <w:gridSpan w:val="13"/>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4.7</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Eleventh Supplemental Indenture, dated as of September 15, 2023, among LII, the guarantors party thereto and U.S. Bank Trust Company,</w:t>
              </w:r>
            </w:hyperlink>
          </w:p>
        </w:tc>
      </w:tr>
      <w:tr>
        <w:trPr>
          <w:trHeight w:val="20"/>
        </w:trPr>
        <w:tc>
          <w:tcPr>
            <w:tcW w:w="9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3"/>
        </w:trPr>
        <w:tc>
          <w:tcPr>
            <w:tcW w:w="920" w:type="dxa"/>
            <w:vAlign w:val="bottom"/>
          </w:tcPr>
          <w:p>
            <w:pPr>
              <w:spacing w:after="0"/>
              <w:rPr>
                <w:sz w:val="13"/>
                <w:szCs w:val="13"/>
                <w:color w:val="auto"/>
              </w:rPr>
            </w:pPr>
          </w:p>
        </w:tc>
        <w:tc>
          <w:tcPr>
            <w:tcW w:w="10240" w:type="dxa"/>
            <w:vAlign w:val="bottom"/>
            <w:gridSpan w:val="21"/>
          </w:tcPr>
          <w:p>
            <w:pPr>
              <w:spacing w:after="0" w:line="154"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National Association, as trustee (filed as Exhibit 4.2 to LII's Current Report on Form 8-K filed on September 15, 2023 and incorporated herein</w:t>
              </w:r>
            </w:hyperlink>
          </w:p>
        </w:tc>
      </w:tr>
      <w:tr>
        <w:trPr>
          <w:trHeight w:val="167"/>
        </w:trPr>
        <w:tc>
          <w:tcPr>
            <w:tcW w:w="920" w:type="dxa"/>
            <w:vAlign w:val="bottom"/>
          </w:tcPr>
          <w:p>
            <w:pPr>
              <w:spacing w:after="0"/>
              <w:rPr>
                <w:sz w:val="14"/>
                <w:szCs w:val="14"/>
                <w:color w:val="auto"/>
              </w:rPr>
            </w:pPr>
          </w:p>
        </w:tc>
        <w:tc>
          <w:tcPr>
            <w:tcW w:w="1020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by reference).</w:t>
              </w:r>
            </w:hyperlink>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4.8</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Form of 5.500% Notes due 2028 (filed as Exhibit A in Exhibit 4.2 to LII's Current Report on Form 8-K filed on September 15, 2023 and</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0000FF"/>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incorporated herein by reference).</w:t>
              </w:r>
            </w:hyperlink>
          </w:p>
        </w:tc>
        <w:tc>
          <w:tcPr>
            <w:tcW w:w="730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5"/>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22.1</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List of Guarantor Subsidiaries (filed as Exhibit 22.1 to LII's Annual Report on Form 10-K filed on February 13, 2024, and incorporated herein</w:t>
              </w:r>
            </w:hyperlink>
          </w:p>
        </w:tc>
      </w:tr>
      <w:tr>
        <w:trPr>
          <w:trHeight w:val="153"/>
        </w:trPr>
        <w:tc>
          <w:tcPr>
            <w:tcW w:w="920" w:type="dxa"/>
            <w:vAlign w:val="bottom"/>
          </w:tcPr>
          <w:p>
            <w:pPr>
              <w:spacing w:after="0"/>
              <w:rPr>
                <w:sz w:val="13"/>
                <w:szCs w:val="13"/>
                <w:color w:val="auto"/>
              </w:rPr>
            </w:pPr>
          </w:p>
        </w:tc>
        <w:tc>
          <w:tcPr>
            <w:tcW w:w="1014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by reference).</w:t>
              </w:r>
            </w:hyperlink>
          </w:p>
        </w:tc>
        <w:tc>
          <w:tcPr>
            <w:tcW w:w="100" w:type="dxa"/>
            <w:vAlign w:val="bottom"/>
            <w:gridSpan w:val="5"/>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10240" w:type="dxa"/>
            <w:vAlign w:val="bottom"/>
            <w:gridSpan w:val="21"/>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executive officer (filed herewith).</w:t>
            </w:r>
          </w:p>
        </w:tc>
      </w:tr>
      <w:tr>
        <w:trPr>
          <w:trHeight w:val="187"/>
        </w:trPr>
        <w:tc>
          <w:tcPr>
            <w:tcW w:w="920" w:type="dxa"/>
            <w:vAlign w:val="bottom"/>
            <w:tcBorders>
              <w:top w:val="single" w:sz="8" w:color="CCEEFF"/>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4460" w:type="dxa"/>
            <w:vAlign w:val="bottom"/>
            <w:tcBorders>
              <w:top w:val="single" w:sz="8" w:color="0000FF"/>
            </w:tcBorders>
            <w:gridSpan w:val="7"/>
          </w:tcPr>
          <w:p>
            <w:pPr>
              <w:spacing w:after="0" w:line="187" w:lineRule="exact"/>
              <w:rPr>
                <w:sz w:val="20"/>
                <w:szCs w:val="20"/>
                <w:color w:val="auto"/>
              </w:rPr>
            </w:pPr>
            <w:r>
              <w:rPr>
                <w:rFonts w:ascii="Times New Roman" w:cs="Times New Roman" w:eastAsia="Times New Roman" w:hAnsi="Times New Roman"/>
                <w:sz w:val="18"/>
                <w:szCs w:val="18"/>
                <w:color w:val="0000FF"/>
                <w:w w:val="99"/>
              </w:rPr>
              <w:t>Certification of the principal financial officer (filed herewith).</w:t>
            </w:r>
          </w:p>
        </w:tc>
        <w:tc>
          <w:tcPr>
            <w:tcW w:w="5780" w:type="dxa"/>
            <w:vAlign w:val="bottom"/>
            <w:tcBorders>
              <w:top w:val="single" w:sz="8" w:color="CCEEFF"/>
            </w:tcBorders>
            <w:gridSpan w:val="14"/>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32.1</w:t>
            </w:r>
          </w:p>
        </w:tc>
        <w:tc>
          <w:tcPr>
            <w:tcW w:w="9860" w:type="dxa"/>
            <w:vAlign w:val="bottom"/>
            <w:tcBorders>
              <w:bottom w:val="single" w:sz="8" w:color="0000FF"/>
              <w:right w:val="single" w:sz="8" w:color="CCEEFF"/>
            </w:tcBorders>
            <w:gridSpan w:val="10"/>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and the principal financial officer pursuant to 18 U.S.C. Section 1350 (furnished herewith).</w:t>
            </w:r>
          </w:p>
        </w:tc>
        <w:tc>
          <w:tcPr>
            <w:tcW w:w="380" w:type="dxa"/>
            <w:vAlign w:val="bottom"/>
            <w:tcBorders>
              <w:bottom w:val="single" w:sz="8" w:color="CCEEFF"/>
            </w:tcBorders>
            <w:gridSpan w:val="11"/>
            <w:shd w:val="clear" w:color="auto" w:fill="CCEEFF"/>
          </w:tcPr>
          <w:p>
            <w:pPr>
              <w:spacing w:after="0"/>
              <w:rPr>
                <w:sz w:val="17"/>
                <w:szCs w:val="17"/>
                <w:color w:val="auto"/>
              </w:rPr>
            </w:pP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INS Inline XBRL Instance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ind w:left="1160" w:hanging="895"/>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78" w:right="239" w:bottom="1440" w:gutter="0" w:footer="0" w:header="0"/>
        </w:sectPr>
      </w:pPr>
    </w:p>
    <w:bookmarkStart w:id="32" w:name="page33"/>
    <w:bookmarkEnd w:id="3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P. Quenzer</w:t>
      </w:r>
    </w:p>
    <w:p>
      <w:pPr>
        <w:spacing w:after="0" w:line="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(on behalf of registrant and as 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400"/>
          </w:cols>
          <w:pgMar w:left="320" w:top="1118" w:right="11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3" w:lineRule="exact"/>
        <w:rPr>
          <w:sz w:val="20"/>
          <w:szCs w:val="20"/>
          <w:color w:val="auto"/>
        </w:rPr>
      </w:pPr>
    </w:p>
    <w:p>
      <w:pPr>
        <w:ind w:left="640" w:hanging="63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180" w:hanging="313"/>
        <w:spacing w:after="0" w:line="262"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500" w:hanging="313"/>
        <w:spacing w:after="0" w:line="262"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660" w:hanging="313"/>
        <w:spacing w:after="0" w:line="307" w:lineRule="auto"/>
        <w:tabs>
          <w:tab w:leader="none" w:pos="9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960" w:right="180" w:hanging="313"/>
        <w:spacing w:after="0" w:line="262"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960" w:right="80" w:hanging="313"/>
        <w:spacing w:after="0" w:line="277"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960" w:right="60" w:hanging="313"/>
        <w:spacing w:after="0" w:line="277"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2024</w:t>
      </w:r>
    </w:p>
    <w:p>
      <w:pPr>
        <w:spacing w:after="0" w:line="2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Alok Maskara</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2"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Quenzer, certify that:</w:t>
      </w:r>
    </w:p>
    <w:p>
      <w:pPr>
        <w:spacing w:after="0" w:line="113" w:lineRule="exact"/>
        <w:rPr>
          <w:sz w:val="20"/>
          <w:szCs w:val="20"/>
          <w:color w:val="auto"/>
        </w:rPr>
      </w:pPr>
    </w:p>
    <w:p>
      <w:pPr>
        <w:ind w:left="640" w:hanging="63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280" w:right="40" w:hanging="633"/>
        <w:spacing w:after="0" w:line="262" w:lineRule="auto"/>
        <w:tabs>
          <w:tab w:leader="none" w:pos="1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280" w:right="180" w:hanging="633"/>
        <w:spacing w:after="0" w:line="262"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280" w:right="340" w:hanging="633"/>
        <w:spacing w:after="0" w:line="307" w:lineRule="auto"/>
        <w:tabs>
          <w:tab w:leader="none" w:pos="12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280" w:right="40" w:hanging="633"/>
        <w:spacing w:after="0" w:line="262"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280" w:right="580" w:hanging="633"/>
        <w:spacing w:after="0" w:line="307" w:lineRule="auto"/>
        <w:tabs>
          <w:tab w:leader="none" w:pos="12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280" w:right="280" w:hanging="633"/>
        <w:spacing w:after="0" w:line="277"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2024</w:t>
      </w:r>
    </w:p>
    <w:p>
      <w:pPr>
        <w:spacing w:after="0" w:line="20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2"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Lennox International Inc. (the “Company”) on Form 10-Q for the quarter ended September 30, 2024 as filed with the Securities and Exchange Commission on the date hereof (the “Report”), each of the undersigned, Alok Maskara, Chief Executive Officer of the Company, and Michael P. Quenzer, Chief Financial Officer of the Company, certifies, pursuant to 18 U.S.C. Section 1350, as adopted pursuant to section 906 of the Sarbanes-Oxley Act of 2002, that to his or her knowledge:</w:t>
      </w:r>
    </w:p>
    <w:p>
      <w:pPr>
        <w:spacing w:after="0" w:line="127"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2024</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2024</w:t>
      </w:r>
    </w:p>
    <w:p>
      <w:pPr>
        <w:spacing w:after="0" w:line="167"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972"/>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lvl w:ilvl="3">
      <w:lvlJc w:val="left"/>
      <w:lvlText w:val="▪"/>
      <w:numFmt w:val="bullet"/>
      <w:start w:val="1"/>
    </w:lvl>
  </w:abstractNum>
  <w:abstractNum w:abstractNumId="5">
    <w:nsid w:val="1F16E9E8"/>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46" Type="http://schemas.openxmlformats.org/officeDocument/2006/relationships/hyperlink" Target="https://www.sec.gov/Archives/edgar/data/1069202/000162828023004257/lii-ex31_20221231x10k.htm" TargetMode="External"/><Relationship Id="rId47" Type="http://schemas.openxmlformats.org/officeDocument/2006/relationships/hyperlink" Target="https://www.sec.gov/Archives/edgar/data/1069202/000162828023004257/lii-ex32_20221231x10k.htm" TargetMode="External"/><Relationship Id="rId48" Type="http://schemas.openxmlformats.org/officeDocument/2006/relationships/hyperlink" Target="https://www.sec.gov/Archives/edgar/data/1017609/000095012310042399/d72548exv4w3.htm" TargetMode="External"/><Relationship Id="rId49" Type="http://schemas.openxmlformats.org/officeDocument/2006/relationships/hyperlink" Target="https://www.sec.gov/Archives/edgar/data/1069202/000119312520203588/d22651dex42.htm" TargetMode="External"/><Relationship Id="rId50" Type="http://schemas.openxmlformats.org/officeDocument/2006/relationships/hyperlink" Target="https://www.sec.gov/Archives/edgar/data/1069202/000162828022002664/lii-ex47_20211231x10k.htm" TargetMode="External"/><Relationship Id="rId51" Type="http://schemas.openxmlformats.org/officeDocument/2006/relationships/hyperlink" Target="https://www.sec.gov/Archives/edgar/data/1069202/000162828023032385/exhibit42eleventhsupplemen.htm" TargetMode="External"/><Relationship Id="rId52" Type="http://schemas.openxmlformats.org/officeDocument/2006/relationships/hyperlink" Target="https://www.sec.gov/Archives/edgar/data/1069202/000162828024004446/lii-ex221_2023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2024-10-23T12:07:56Z</dcterms:created>
  <dcterms:modified xsi:type="dcterms:W3CDTF">2024-10-23T12:07:56Z</dcterms:modified>
</cp:coreProperties>
</file>