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834390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860425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b w:val="1"/>
          <w:bCs w:val="1"/>
          <w:color w:val="auto"/>
        </w:rPr>
        <w:t>Washington, D. C. 20549</w:t>
      </w:r>
    </w:p>
    <w:p>
      <w:pPr>
        <w:ind w:left="386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6"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4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ind w:left="700" w:hanging="409"/>
        <w:spacing w:after="0"/>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OF 1934</w:t>
      </w:r>
    </w:p>
    <w:p>
      <w:pPr>
        <w:spacing w:after="0" w:line="10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2020</w:t>
      </w:r>
    </w:p>
    <w:p>
      <w:pPr>
        <w:spacing w:after="0" w:line="33"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36"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09"/>
        <w:spacing w:after="0"/>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OF 1934</w:t>
      </w:r>
    </w:p>
    <w:p>
      <w:pPr>
        <w:spacing w:after="0" w:line="105"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_____to ______</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3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54"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7"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6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7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(972-497-5000)</w:t>
      </w:r>
    </w:p>
    <w:p>
      <w:pPr>
        <w:spacing w:after="0" w:line="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41"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4" w:lineRule="exact"/>
        <w:rPr>
          <w:sz w:val="24"/>
          <w:szCs w:val="24"/>
          <w:color w:val="auto"/>
        </w:rPr>
      </w:pPr>
    </w:p>
    <w:p>
      <w:pPr>
        <w:sectPr>
          <w:pgSz w:w="11900" w:h="16838" w:orient="portrait"/>
          <w:cols w:equalWidth="0" w:num="3">
            <w:col w:w="4380" w:space="720"/>
            <w:col w:w="1420" w:space="700"/>
            <w:col w:w="4020"/>
          </w:cols>
          <w:pgMar w:left="320" w:top="1440" w:right="3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LII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York Stock Exchange</w:t>
      </w:r>
    </w:p>
    <w:p>
      <w:pPr>
        <w:spacing w:after="0" w:line="159" w:lineRule="exact"/>
        <w:rPr>
          <w:sz w:val="24"/>
          <w:szCs w:val="24"/>
          <w:color w:val="auto"/>
        </w:rPr>
      </w:pPr>
    </w:p>
    <w:p>
      <w:pPr>
        <w:sectPr>
          <w:pgSz w:w="11900" w:h="16838" w:orient="portrait"/>
          <w:cols w:equalWidth="0" w:num="3">
            <w:col w:w="4960" w:space="720"/>
            <w:col w:w="1480" w:space="720"/>
            <w:col w:w="3360"/>
          </w:cols>
          <w:pgMar w:left="320" w:top="1440" w:right="339" w:bottom="1440" w:gutter="0" w:footer="0" w:header="0"/>
          <w:type w:val="continuous"/>
        </w:sectPr>
      </w:pPr>
    </w:p>
    <w:p>
      <w:pPr>
        <w:jc w:val="both"/>
        <w:ind w:firstLine="243"/>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jc w:val="both"/>
        <w:ind w:firstLine="243"/>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720" w:type="dxa"/>
        <w:tblCellMar>
          <w:top w:w="0" w:type="dxa"/>
          <w:left w:w="0" w:type="dxa"/>
          <w:bottom w:w="0" w:type="dxa"/>
          <w:right w:w="0" w:type="dxa"/>
        </w:tblCellMar>
      </w:tblPr>
      <w:tr>
        <w:trPr>
          <w:trHeight w:val="31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4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4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87" w:lineRule="exact"/>
        <w:rPr>
          <w:sz w:val="24"/>
          <w:szCs w:val="24"/>
          <w:color w:val="auto"/>
        </w:rPr>
      </w:pPr>
    </w:p>
    <w:p>
      <w:pPr>
        <w:ind w:firstLine="243"/>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260" w:right="2300"/>
        <w:spacing w:after="0" w:line="26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9, 2020, the number of shares outstanding of the registrant’s common stock, par value $0.01 per share, was 38,289,399.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843915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2020</w:t>
      </w:r>
    </w:p>
    <w:p>
      <w:pPr>
        <w:spacing w:after="0" w:line="2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9"/>
        </w:trPr>
        <w:tc>
          <w:tcPr>
            <w:tcW w:w="9740" w:type="dxa"/>
            <w:vAlign w:val="bottom"/>
            <w:gridSpan w:val="8"/>
            <w:vMerge w:val="restart"/>
          </w:tcPr>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Financial Information</w:t>
              </w:r>
            </w:hyperlink>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740" w:type="dxa"/>
            <w:vAlign w:val="bottom"/>
            <w:gridSpan w:val="8"/>
            <w:vMerge w:val="continue"/>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740" w:type="dxa"/>
            <w:vAlign w:val="bottom"/>
            <w:gridSpan w:val="8"/>
          </w:tcPr>
          <w:p>
            <w:pPr>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Item 1. Financial Statements</w:t>
              </w:r>
            </w:hyperlink>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5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Consolidated Balance Sheets - September 30, 2020 (Unaudited) and December 31, 2019</w:t>
            </w:r>
          </w:p>
        </w:tc>
        <w:tc>
          <w:tcPr>
            <w:tcW w:w="3800" w:type="dxa"/>
            <w:vAlign w:val="bottom"/>
            <w:gridSpan w:val="5"/>
          </w:tcPr>
          <w:p>
            <w:pPr>
              <w:spacing w:after="0"/>
              <w:rPr>
                <w:sz w:val="16"/>
                <w:szCs w:val="16"/>
                <w:color w:val="auto"/>
              </w:rPr>
            </w:pPr>
          </w:p>
        </w:tc>
        <w:tc>
          <w:tcPr>
            <w:tcW w:w="660" w:type="dxa"/>
            <w:vAlign w:val="bottom"/>
          </w:tcPr>
          <w:p>
            <w:pPr>
              <w:jc w:val="center"/>
              <w:spacing w:after="0" w:line="195" w:lineRule="exact"/>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1</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5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Months and Nine Months Months Ended September 30, 2020 and 2019</w:t>
            </w:r>
          </w:p>
        </w:tc>
        <w:tc>
          <w:tcPr>
            <w:tcW w:w="660" w:type="dxa"/>
            <w:vAlign w:val="bottom"/>
          </w:tcPr>
          <w:p>
            <w:pPr>
              <w:jc w:val="center"/>
              <w:spacing w:after="0"/>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2</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40" w:type="dxa"/>
            <w:vAlign w:val="bottom"/>
            <w:gridSpan w:val="3"/>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jc w:val="center"/>
              <w:spacing w:after="0"/>
              <w:rPr>
                <w:rFonts w:ascii="Times New Roman" w:cs="Times New Roman" w:eastAsia="Times New Roman" w:hAnsi="Times New Roman"/>
                <w:sz w:val="18"/>
                <w:szCs w:val="18"/>
                <w:u w:val="single" w:color="auto"/>
                <w:color w:val="0000FF"/>
                <w:w w:val="88"/>
              </w:rPr>
            </w:pPr>
            <w:hyperlink w:anchor="page4">
              <w:r>
                <w:rPr>
                  <w:rFonts w:ascii="Times New Roman" w:cs="Times New Roman" w:eastAsia="Times New Roman" w:hAnsi="Times New Roman"/>
                  <w:sz w:val="18"/>
                  <w:szCs w:val="18"/>
                  <w:u w:val="single" w:color="auto"/>
                  <w:color w:val="0000FF"/>
                  <w:w w:val="88"/>
                </w:rPr>
                <w:t>3</w:t>
              </w:r>
            </w:hyperlink>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9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Months and Nine Months Months Ended September 30, 2020 and 2019</w:t>
            </w: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Deficit (Unaudited) - Three Months and Nine Months Months Ended September 30, 2020 and 2019</w:t>
            </w:r>
          </w:p>
        </w:tc>
        <w:tc>
          <w:tcPr>
            <w:tcW w:w="340" w:type="dxa"/>
            <w:vAlign w:val="bottom"/>
            <w:gridSpan w:val="2"/>
          </w:tcPr>
          <w:p>
            <w:pPr>
              <w:spacing w:after="0"/>
              <w:rPr>
                <w:sz w:val="18"/>
                <w:szCs w:val="18"/>
                <w:color w:val="auto"/>
              </w:rPr>
            </w:pPr>
          </w:p>
        </w:tc>
        <w:tc>
          <w:tcPr>
            <w:tcW w:w="660" w:type="dxa"/>
            <w:vAlign w:val="bottom"/>
          </w:tcPr>
          <w:p>
            <w:pPr>
              <w:jc w:val="center"/>
              <w:spacing w:after="0"/>
              <w:rPr>
                <w:rFonts w:ascii="Times New Roman" w:cs="Times New Roman" w:eastAsia="Times New Roman" w:hAnsi="Times New Roman"/>
                <w:sz w:val="18"/>
                <w:szCs w:val="18"/>
                <w:u w:val="single" w:color="auto"/>
                <w:color w:val="0000FF"/>
                <w:w w:val="88"/>
              </w:rPr>
            </w:pPr>
            <w:hyperlink w:anchor="page5">
              <w:r>
                <w:rPr>
                  <w:rFonts w:ascii="Times New Roman" w:cs="Times New Roman" w:eastAsia="Times New Roman" w:hAnsi="Times New Roman"/>
                  <w:sz w:val="18"/>
                  <w:szCs w:val="18"/>
                  <w:u w:val="single" w:color="auto"/>
                  <w:color w:val="0000FF"/>
                  <w:w w:val="88"/>
                </w:rPr>
                <w:t>4</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 Nine Months Ended September 30, 2020 and 2019</w:t>
            </w:r>
          </w:p>
        </w:tc>
        <w:tc>
          <w:tcPr>
            <w:tcW w:w="2700" w:type="dxa"/>
            <w:vAlign w:val="bottom"/>
            <w:gridSpan w:val="4"/>
          </w:tcPr>
          <w:p>
            <w:pPr>
              <w:spacing w:after="0"/>
              <w:rPr>
                <w:sz w:val="18"/>
                <w:szCs w:val="18"/>
                <w:color w:val="auto"/>
              </w:rPr>
            </w:pPr>
          </w:p>
        </w:tc>
        <w:tc>
          <w:tcPr>
            <w:tcW w:w="660" w:type="dxa"/>
            <w:vAlign w:val="bottom"/>
          </w:tcPr>
          <w:p>
            <w:pPr>
              <w:jc w:val="center"/>
              <w:spacing w:after="0"/>
              <w:rPr>
                <w:rFonts w:ascii="Times New Roman" w:cs="Times New Roman" w:eastAsia="Times New Roman" w:hAnsi="Times New Roman"/>
                <w:sz w:val="18"/>
                <w:szCs w:val="18"/>
                <w:u w:val="single" w:color="auto"/>
                <w:color w:val="0000FF"/>
                <w:w w:val="88"/>
              </w:rPr>
            </w:pPr>
            <w:hyperlink w:anchor="page7">
              <w:r>
                <w:rPr>
                  <w:rFonts w:ascii="Times New Roman" w:cs="Times New Roman" w:eastAsia="Times New Roman" w:hAnsi="Times New Roman"/>
                  <w:sz w:val="18"/>
                  <w:szCs w:val="18"/>
                  <w:u w:val="single" w:color="auto"/>
                  <w:color w:val="0000FF"/>
                  <w:w w:val="88"/>
                </w:rPr>
                <w:t>6</w:t>
              </w:r>
            </w:hyperlink>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9540" w:type="dxa"/>
            <w:vAlign w:val="bottom"/>
            <w:gridSpan w:val="7"/>
          </w:tcPr>
          <w:p>
            <w:pPr>
              <w:spacing w:after="0"/>
              <w:rPr>
                <w:rFonts w:ascii="Times New Roman" w:cs="Times New Roman" w:eastAsia="Times New Roman" w:hAnsi="Times New Roman"/>
                <w:sz w:val="16"/>
                <w:szCs w:val="16"/>
                <w:u w:val="single" w:color="auto"/>
                <w:color w:val="0000FF"/>
              </w:rPr>
            </w:pPr>
            <w:hyperlink w:anchor="page8">
              <w:r>
                <w:rPr>
                  <w:rFonts w:ascii="Times New Roman" w:cs="Times New Roman" w:eastAsia="Times New Roman" w:hAnsi="Times New Roman"/>
                  <w:sz w:val="16"/>
                  <w:szCs w:val="16"/>
                  <w:u w:val="single" w:color="auto"/>
                  <w:color w:val="0000FF"/>
                </w:rPr>
                <w:t>Notes to Consolidated Financial Statements (Unaudited)</w:t>
              </w:r>
            </w:hyperlink>
          </w:p>
        </w:tc>
        <w:tc>
          <w:tcPr>
            <w:tcW w:w="660" w:type="dxa"/>
            <w:vAlign w:val="bottom"/>
          </w:tcPr>
          <w:p>
            <w:pPr>
              <w:jc w:val="center"/>
              <w:spacing w:after="0"/>
              <w:rPr>
                <w:rFonts w:ascii="Times New Roman" w:cs="Times New Roman" w:eastAsia="Times New Roman" w:hAnsi="Times New Roman"/>
                <w:sz w:val="18"/>
                <w:szCs w:val="18"/>
                <w:u w:val="single" w:color="auto"/>
                <w:color w:val="0000FF"/>
                <w:w w:val="88"/>
              </w:rPr>
            </w:pPr>
            <w:hyperlink w:anchor="page8">
              <w:r>
                <w:rPr>
                  <w:rFonts w:ascii="Times New Roman" w:cs="Times New Roman" w:eastAsia="Times New Roman" w:hAnsi="Times New Roman"/>
                  <w:sz w:val="18"/>
                  <w:szCs w:val="18"/>
                  <w:u w:val="single" w:color="auto"/>
                  <w:color w:val="0000FF"/>
                  <w:w w:val="88"/>
                </w:rPr>
                <w:t>7</w:t>
              </w:r>
            </w:hyperlink>
          </w:p>
        </w:tc>
        <w:tc>
          <w:tcPr>
            <w:tcW w:w="0" w:type="dxa"/>
            <w:vAlign w:val="bottom"/>
          </w:tcPr>
          <w:p>
            <w:pPr>
              <w:spacing w:after="0"/>
              <w:rPr>
                <w:sz w:val="1"/>
                <w:szCs w:val="1"/>
                <w:color w:val="auto"/>
              </w:rPr>
            </w:pPr>
          </w:p>
        </w:tc>
      </w:tr>
      <w:tr>
        <w:trPr>
          <w:trHeight w:val="230"/>
        </w:trPr>
        <w:tc>
          <w:tcPr>
            <w:tcW w:w="9740" w:type="dxa"/>
            <w:vAlign w:val="bottom"/>
            <w:gridSpan w:val="8"/>
          </w:tcPr>
          <w:p>
            <w:pPr>
              <w:spacing w:after="0"/>
              <w:rPr>
                <w:rFonts w:ascii="Times New Roman" w:cs="Times New Roman" w:eastAsia="Times New Roman" w:hAnsi="Times New Roman"/>
                <w:sz w:val="16"/>
                <w:szCs w:val="16"/>
                <w:u w:val="single" w:color="auto"/>
                <w:color w:val="0000FF"/>
              </w:rPr>
            </w:pPr>
            <w:hyperlink w:anchor="page24">
              <w:r>
                <w:rPr>
                  <w:rFonts w:ascii="Times New Roman" w:cs="Times New Roman" w:eastAsia="Times New Roman" w:hAnsi="Times New Roman"/>
                  <w:sz w:val="16"/>
                  <w:szCs w:val="16"/>
                  <w:u w:val="single" w:color="auto"/>
                  <w:color w:val="0000FF"/>
                </w:rPr>
                <w:t>Item 2. Management's Discussion and Analysis of Financial Condition and Results of Operations</w:t>
              </w:r>
            </w:hyperlink>
          </w:p>
        </w:tc>
        <w:tc>
          <w:tcPr>
            <w:tcW w:w="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24">
              <w:r>
                <w:rPr>
                  <w:rFonts w:ascii="Times New Roman" w:cs="Times New Roman" w:eastAsia="Times New Roman" w:hAnsi="Times New Roman"/>
                  <w:sz w:val="18"/>
                  <w:szCs w:val="18"/>
                  <w:u w:val="single" w:color="auto"/>
                  <w:color w:val="0000FF"/>
                  <w:w w:val="99"/>
                </w:rPr>
                <w:t>23</w:t>
              </w:r>
            </w:hyperlink>
          </w:p>
        </w:tc>
        <w:tc>
          <w:tcPr>
            <w:tcW w:w="0" w:type="dxa"/>
            <w:vAlign w:val="bottom"/>
          </w:tcPr>
          <w:p>
            <w:pPr>
              <w:spacing w:after="0"/>
              <w:rPr>
                <w:sz w:val="1"/>
                <w:szCs w:val="1"/>
                <w:color w:val="auto"/>
              </w:rPr>
            </w:pPr>
          </w:p>
        </w:tc>
      </w:tr>
      <w:tr>
        <w:trPr>
          <w:trHeight w:val="229"/>
        </w:trPr>
        <w:tc>
          <w:tcPr>
            <w:tcW w:w="9740" w:type="dxa"/>
            <w:vAlign w:val="bottom"/>
            <w:gridSpan w:val="8"/>
          </w:tcPr>
          <w:p>
            <w:pPr>
              <w:spacing w:after="0"/>
              <w:rPr>
                <w:rFonts w:ascii="Times New Roman" w:cs="Times New Roman" w:eastAsia="Times New Roman" w:hAnsi="Times New Roman"/>
                <w:sz w:val="16"/>
                <w:szCs w:val="16"/>
                <w:u w:val="single" w:color="auto"/>
                <w:color w:val="0000FF"/>
              </w:rPr>
            </w:pPr>
            <w:hyperlink w:anchor="page36">
              <w:r>
                <w:rPr>
                  <w:rFonts w:ascii="Times New Roman" w:cs="Times New Roman" w:eastAsia="Times New Roman" w:hAnsi="Times New Roman"/>
                  <w:sz w:val="16"/>
                  <w:szCs w:val="16"/>
                  <w:u w:val="single" w:color="auto"/>
                  <w:color w:val="0000FF"/>
                </w:rPr>
                <w:t>Item 3. Quantitative and Qualitative Disclosures About Market Risk</w:t>
              </w:r>
            </w:hyperlink>
          </w:p>
        </w:tc>
        <w:tc>
          <w:tcPr>
            <w:tcW w:w="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6">
              <w:r>
                <w:rPr>
                  <w:rFonts w:ascii="Times New Roman" w:cs="Times New Roman" w:eastAsia="Times New Roman" w:hAnsi="Times New Roman"/>
                  <w:sz w:val="18"/>
                  <w:szCs w:val="18"/>
                  <w:u w:val="single" w:color="auto"/>
                  <w:color w:val="0000FF"/>
                  <w:w w:val="99"/>
                </w:rPr>
                <w:t>34</w:t>
              </w:r>
            </w:hyperlink>
          </w:p>
        </w:tc>
        <w:tc>
          <w:tcPr>
            <w:tcW w:w="0" w:type="dxa"/>
            <w:vAlign w:val="bottom"/>
          </w:tcPr>
          <w:p>
            <w:pPr>
              <w:spacing w:after="0"/>
              <w:rPr>
                <w:sz w:val="1"/>
                <w:szCs w:val="1"/>
                <w:color w:val="auto"/>
              </w:rPr>
            </w:pPr>
          </w:p>
        </w:tc>
      </w:tr>
      <w:tr>
        <w:trPr>
          <w:trHeight w:val="234"/>
        </w:trPr>
        <w:tc>
          <w:tcPr>
            <w:tcW w:w="480" w:type="dxa"/>
            <w:vAlign w:val="bottom"/>
            <w:gridSpan w:val="2"/>
          </w:tcPr>
          <w:p>
            <w:pPr>
              <w:spacing w:after="0"/>
              <w:rPr>
                <w:rFonts w:ascii="Times New Roman" w:cs="Times New Roman" w:eastAsia="Times New Roman" w:hAnsi="Times New Roman"/>
                <w:sz w:val="16"/>
                <w:szCs w:val="16"/>
                <w:u w:val="single" w:color="auto"/>
                <w:color w:val="0000FF"/>
              </w:rPr>
            </w:pPr>
            <w:hyperlink w:anchor="page36">
              <w:r>
                <w:rPr>
                  <w:rFonts w:ascii="Times New Roman" w:cs="Times New Roman" w:eastAsia="Times New Roman" w:hAnsi="Times New Roman"/>
                  <w:sz w:val="16"/>
                  <w:szCs w:val="16"/>
                  <w:u w:val="single" w:color="auto"/>
                  <w:color w:val="0000FF"/>
                </w:rPr>
                <w:t>Item 4.</w:t>
              </w:r>
            </w:hyperlink>
          </w:p>
        </w:tc>
        <w:tc>
          <w:tcPr>
            <w:tcW w:w="9260" w:type="dxa"/>
            <w:vAlign w:val="bottom"/>
            <w:gridSpan w:val="6"/>
          </w:tcPr>
          <w:p>
            <w:pPr>
              <w:ind w:left="20"/>
              <w:spacing w:after="0"/>
              <w:rPr>
                <w:rFonts w:ascii="Times New Roman" w:cs="Times New Roman" w:eastAsia="Times New Roman" w:hAnsi="Times New Roman"/>
                <w:sz w:val="16"/>
                <w:szCs w:val="16"/>
                <w:u w:val="single" w:color="auto"/>
                <w:color w:val="0000FF"/>
              </w:rPr>
            </w:pPr>
            <w:hyperlink w:anchor="page36">
              <w:r>
                <w:rPr>
                  <w:rFonts w:ascii="Times New Roman" w:cs="Times New Roman" w:eastAsia="Times New Roman" w:hAnsi="Times New Roman"/>
                  <w:sz w:val="16"/>
                  <w:szCs w:val="16"/>
                  <w:u w:val="single" w:color="auto"/>
                  <w:color w:val="0000FF"/>
                </w:rPr>
                <w:t>Controls and Procedures</w:t>
              </w:r>
            </w:hyperlink>
          </w:p>
        </w:tc>
        <w:tc>
          <w:tcPr>
            <w:tcW w:w="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6">
              <w:r>
                <w:rPr>
                  <w:rFonts w:ascii="Times New Roman" w:cs="Times New Roman" w:eastAsia="Times New Roman" w:hAnsi="Times New Roman"/>
                  <w:sz w:val="18"/>
                  <w:szCs w:val="18"/>
                  <w:u w:val="single" w:color="auto"/>
                  <w:color w:val="0000FF"/>
                  <w:w w:val="99"/>
                </w:rPr>
                <w:t>35</w:t>
              </w:r>
            </w:hyperlink>
          </w:p>
        </w:tc>
        <w:tc>
          <w:tcPr>
            <w:tcW w:w="0" w:type="dxa"/>
            <w:vAlign w:val="bottom"/>
          </w:tcPr>
          <w:p>
            <w:pPr>
              <w:spacing w:after="0"/>
              <w:rPr>
                <w:sz w:val="1"/>
                <w:szCs w:val="1"/>
                <w:color w:val="auto"/>
              </w:rPr>
            </w:pPr>
          </w:p>
        </w:tc>
      </w:tr>
      <w:tr>
        <w:trPr>
          <w:trHeight w:val="251"/>
        </w:trPr>
        <w:tc>
          <w:tcPr>
            <w:tcW w:w="9740" w:type="dxa"/>
            <w:vAlign w:val="bottom"/>
            <w:gridSpan w:val="8"/>
          </w:tcPr>
          <w:p>
            <w:pPr>
              <w:spacing w:after="0"/>
              <w:rPr>
                <w:rFonts w:ascii="Times New Roman" w:cs="Times New Roman" w:eastAsia="Times New Roman" w:hAnsi="Times New Roman"/>
                <w:sz w:val="16"/>
                <w:szCs w:val="16"/>
                <w:u w:val="single" w:color="auto"/>
                <w:color w:val="0000FF"/>
              </w:rPr>
            </w:pPr>
            <w:hyperlink w:anchor="page37">
              <w:r>
                <w:rPr>
                  <w:rFonts w:ascii="Times New Roman" w:cs="Times New Roman" w:eastAsia="Times New Roman" w:hAnsi="Times New Roman"/>
                  <w:sz w:val="16"/>
                  <w:szCs w:val="16"/>
                  <w:u w:val="single" w:color="auto"/>
                  <w:color w:val="0000FF"/>
                </w:rPr>
                <w:t>Other Information</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80" w:type="dxa"/>
            <w:vAlign w:val="bottom"/>
            <w:gridSpan w:val="2"/>
          </w:tcPr>
          <w:p>
            <w:pPr>
              <w:spacing w:after="0"/>
              <w:rPr>
                <w:rFonts w:ascii="Times New Roman" w:cs="Times New Roman" w:eastAsia="Times New Roman" w:hAnsi="Times New Roman"/>
                <w:sz w:val="16"/>
                <w:szCs w:val="16"/>
                <w:u w:val="single" w:color="auto"/>
                <w:color w:val="0000FF"/>
              </w:rPr>
            </w:pPr>
            <w:hyperlink w:anchor="page37">
              <w:r>
                <w:rPr>
                  <w:rFonts w:ascii="Times New Roman" w:cs="Times New Roman" w:eastAsia="Times New Roman" w:hAnsi="Times New Roman"/>
                  <w:sz w:val="16"/>
                  <w:szCs w:val="16"/>
                  <w:u w:val="single" w:color="auto"/>
                  <w:color w:val="0000FF"/>
                </w:rPr>
                <w:t>Item 1.</w:t>
              </w:r>
            </w:hyperlink>
          </w:p>
        </w:tc>
        <w:tc>
          <w:tcPr>
            <w:tcW w:w="9260" w:type="dxa"/>
            <w:vAlign w:val="bottom"/>
            <w:gridSpan w:val="6"/>
          </w:tcPr>
          <w:p>
            <w:pPr>
              <w:ind w:left="20"/>
              <w:spacing w:after="0"/>
              <w:rPr>
                <w:rFonts w:ascii="Times New Roman" w:cs="Times New Roman" w:eastAsia="Times New Roman" w:hAnsi="Times New Roman"/>
                <w:sz w:val="16"/>
                <w:szCs w:val="16"/>
                <w:u w:val="single" w:color="auto"/>
                <w:color w:val="0000FF"/>
              </w:rPr>
            </w:pPr>
            <w:hyperlink w:anchor="page37">
              <w:r>
                <w:rPr>
                  <w:rFonts w:ascii="Times New Roman" w:cs="Times New Roman" w:eastAsia="Times New Roman" w:hAnsi="Times New Roman"/>
                  <w:sz w:val="16"/>
                  <w:szCs w:val="16"/>
                  <w:u w:val="single" w:color="auto"/>
                  <w:color w:val="0000FF"/>
                </w:rPr>
                <w:t>Legal Proceedings</w:t>
              </w:r>
            </w:hyperlink>
          </w:p>
        </w:tc>
        <w:tc>
          <w:tcPr>
            <w:tcW w:w="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7">
              <w:r>
                <w:rPr>
                  <w:rFonts w:ascii="Times New Roman" w:cs="Times New Roman" w:eastAsia="Times New Roman" w:hAnsi="Times New Roman"/>
                  <w:sz w:val="18"/>
                  <w:szCs w:val="18"/>
                  <w:u w:val="single" w:color="auto"/>
                  <w:color w:val="0000FF"/>
                  <w:w w:val="99"/>
                </w:rPr>
                <w:t>35</w:t>
              </w:r>
            </w:hyperlink>
          </w:p>
        </w:tc>
        <w:tc>
          <w:tcPr>
            <w:tcW w:w="0" w:type="dxa"/>
            <w:vAlign w:val="bottom"/>
          </w:tcPr>
          <w:p>
            <w:pPr>
              <w:spacing w:after="0"/>
              <w:rPr>
                <w:sz w:val="1"/>
                <w:szCs w:val="1"/>
                <w:color w:val="auto"/>
              </w:rPr>
            </w:pPr>
          </w:p>
        </w:tc>
      </w:tr>
      <w:tr>
        <w:trPr>
          <w:trHeight w:val="230"/>
        </w:trPr>
        <w:tc>
          <w:tcPr>
            <w:tcW w:w="9740" w:type="dxa"/>
            <w:vAlign w:val="bottom"/>
            <w:gridSpan w:val="8"/>
          </w:tcPr>
          <w:p>
            <w:pPr>
              <w:spacing w:after="0"/>
              <w:rPr>
                <w:rFonts w:ascii="Times New Roman" w:cs="Times New Roman" w:eastAsia="Times New Roman" w:hAnsi="Times New Roman"/>
                <w:sz w:val="16"/>
                <w:szCs w:val="16"/>
                <w:u w:val="single" w:color="auto"/>
                <w:color w:val="0000FF"/>
              </w:rPr>
            </w:pPr>
            <w:hyperlink w:anchor="page37">
              <w:r>
                <w:rPr>
                  <w:rFonts w:ascii="Times New Roman" w:cs="Times New Roman" w:eastAsia="Times New Roman" w:hAnsi="Times New Roman"/>
                  <w:sz w:val="16"/>
                  <w:szCs w:val="16"/>
                  <w:u w:val="single" w:color="auto"/>
                  <w:color w:val="0000FF"/>
                </w:rPr>
                <w:t>Item 1A. Risk Factors</w:t>
              </w:r>
            </w:hyperlink>
          </w:p>
        </w:tc>
        <w:tc>
          <w:tcPr>
            <w:tcW w:w="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7">
              <w:r>
                <w:rPr>
                  <w:rFonts w:ascii="Times New Roman" w:cs="Times New Roman" w:eastAsia="Times New Roman" w:hAnsi="Times New Roman"/>
                  <w:sz w:val="18"/>
                  <w:szCs w:val="18"/>
                  <w:u w:val="single" w:color="auto"/>
                  <w:color w:val="0000FF"/>
                  <w:w w:val="99"/>
                </w:rPr>
                <w:t>35</w:t>
              </w:r>
            </w:hyperlink>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rFonts w:ascii="Times New Roman" w:cs="Times New Roman" w:eastAsia="Times New Roman" w:hAnsi="Times New Roman"/>
                <w:sz w:val="16"/>
                <w:szCs w:val="16"/>
                <w:u w:val="single" w:color="auto"/>
                <w:color w:val="0000FF"/>
              </w:rPr>
            </w:pPr>
            <w:hyperlink w:anchor="page37">
              <w:r>
                <w:rPr>
                  <w:rFonts w:ascii="Times New Roman" w:cs="Times New Roman" w:eastAsia="Times New Roman" w:hAnsi="Times New Roman"/>
                  <w:sz w:val="16"/>
                  <w:szCs w:val="16"/>
                  <w:u w:val="single" w:color="auto"/>
                  <w:color w:val="0000FF"/>
                </w:rPr>
                <w:t>Item 2.</w:t>
              </w:r>
            </w:hyperlink>
          </w:p>
        </w:tc>
        <w:tc>
          <w:tcPr>
            <w:tcW w:w="9260" w:type="dxa"/>
            <w:vAlign w:val="bottom"/>
            <w:gridSpan w:val="6"/>
          </w:tcPr>
          <w:p>
            <w:pPr>
              <w:ind w:left="20"/>
              <w:spacing w:after="0"/>
              <w:rPr>
                <w:rFonts w:ascii="Times New Roman" w:cs="Times New Roman" w:eastAsia="Times New Roman" w:hAnsi="Times New Roman"/>
                <w:sz w:val="16"/>
                <w:szCs w:val="16"/>
                <w:u w:val="single" w:color="auto"/>
                <w:color w:val="0000FF"/>
              </w:rPr>
            </w:pPr>
            <w:hyperlink w:anchor="page37">
              <w:r>
                <w:rPr>
                  <w:rFonts w:ascii="Times New Roman" w:cs="Times New Roman" w:eastAsia="Times New Roman" w:hAnsi="Times New Roman"/>
                  <w:sz w:val="16"/>
                  <w:szCs w:val="16"/>
                  <w:u w:val="single" w:color="auto"/>
                  <w:color w:val="0000FF"/>
                </w:rPr>
                <w:t>Unregistered Sales of Equity Securities and Use of Proceeds</w:t>
              </w:r>
            </w:hyperlink>
          </w:p>
        </w:tc>
        <w:tc>
          <w:tcPr>
            <w:tcW w:w="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7">
              <w:r>
                <w:rPr>
                  <w:rFonts w:ascii="Times New Roman" w:cs="Times New Roman" w:eastAsia="Times New Roman" w:hAnsi="Times New Roman"/>
                  <w:sz w:val="18"/>
                  <w:szCs w:val="18"/>
                  <w:u w:val="single" w:color="auto"/>
                  <w:color w:val="0000FF"/>
                  <w:w w:val="99"/>
                </w:rPr>
                <w:t>35</w:t>
              </w:r>
            </w:hyperlink>
          </w:p>
        </w:tc>
        <w:tc>
          <w:tcPr>
            <w:tcW w:w="0" w:type="dxa"/>
            <w:vAlign w:val="bottom"/>
          </w:tcPr>
          <w:p>
            <w:pPr>
              <w:spacing w:after="0"/>
              <w:rPr>
                <w:sz w:val="1"/>
                <w:szCs w:val="1"/>
                <w:color w:val="auto"/>
              </w:rPr>
            </w:pPr>
          </w:p>
        </w:tc>
      </w:tr>
      <w:tr>
        <w:trPr>
          <w:trHeight w:val="234"/>
        </w:trPr>
        <w:tc>
          <w:tcPr>
            <w:tcW w:w="480" w:type="dxa"/>
            <w:vAlign w:val="bottom"/>
            <w:gridSpan w:val="2"/>
          </w:tcPr>
          <w:p>
            <w:pPr>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Item 6.</w:t>
              </w:r>
            </w:hyperlink>
          </w:p>
        </w:tc>
        <w:tc>
          <w:tcPr>
            <w:tcW w:w="9260" w:type="dxa"/>
            <w:vAlign w:val="bottom"/>
            <w:gridSpan w:val="6"/>
          </w:tcPr>
          <w:p>
            <w:pPr>
              <w:ind w:left="20"/>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Exhibits</w:t>
              </w:r>
            </w:hyperlink>
          </w:p>
        </w:tc>
        <w:tc>
          <w:tcPr>
            <w:tcW w:w="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8">
              <w:r>
                <w:rPr>
                  <w:rFonts w:ascii="Times New Roman" w:cs="Times New Roman" w:eastAsia="Times New Roman" w:hAnsi="Times New Roman"/>
                  <w:sz w:val="18"/>
                  <w:szCs w:val="18"/>
                  <w:u w:val="single" w:color="auto"/>
                  <w:color w:val="0000FF"/>
                  <w:w w:val="99"/>
                </w:rPr>
                <w:t>37</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-2357120</wp:posOffset>
            </wp:positionV>
            <wp:extent cx="7115175"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-2056765</wp:posOffset>
            </wp:positionV>
            <wp:extent cx="711517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-1765300</wp:posOffset>
            </wp:positionV>
            <wp:extent cx="71151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-1473835</wp:posOffset>
            </wp:positionV>
            <wp:extent cx="71151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-1182370</wp:posOffset>
            </wp:positionV>
            <wp:extent cx="711517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-890905</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-582295</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-290830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60" w:space="180"/>
            <w:col w:w="10400"/>
          </w:cols>
          <w:pgMar w:left="500" w:top="113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0" w:type="dxa"/>
            <w:vAlign w:val="bottom"/>
          </w:tcPr>
          <w:p>
            <w:pPr>
              <w:spacing w:after="0"/>
              <w:rPr>
                <w:sz w:val="1"/>
                <w:szCs w:val="1"/>
                <w:color w:val="auto"/>
              </w:rPr>
            </w:pPr>
          </w:p>
        </w:tc>
      </w:tr>
      <w:tr>
        <w:trPr>
          <w:trHeight w:val="195"/>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0" w:type="dxa"/>
            <w:vAlign w:val="bottom"/>
          </w:tcPr>
          <w:p>
            <w:pPr>
              <w:spacing w:after="0"/>
              <w:rPr>
                <w:sz w:val="1"/>
                <w:szCs w:val="1"/>
                <w:color w:val="auto"/>
              </w:rPr>
            </w:pPr>
          </w:p>
        </w:tc>
      </w:tr>
      <w:tr>
        <w:trPr>
          <w:trHeight w:val="227"/>
        </w:trPr>
        <w:tc>
          <w:tcPr>
            <w:tcW w:w="7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investments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and notes receivable, net of allowances of $7.3 and $6.1 in 2020 and 2019, respectively</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477.8</w:t>
            </w:r>
          </w:p>
        </w:tc>
        <w:tc>
          <w:tcPr>
            <w:tcW w:w="0" w:type="dxa"/>
            <w:vAlign w:val="bottom"/>
          </w:tcPr>
          <w:p>
            <w:pPr>
              <w:spacing w:after="0"/>
              <w:rPr>
                <w:sz w:val="1"/>
                <w:szCs w:val="1"/>
                <w:color w:val="auto"/>
              </w:rPr>
            </w:pPr>
          </w:p>
        </w:tc>
      </w:tr>
      <w:tr>
        <w:trPr>
          <w:trHeight w:val="228"/>
        </w:trPr>
        <w:tc>
          <w:tcPr>
            <w:tcW w:w="7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 net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544.1</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0" w:type="dxa"/>
            <w:vAlign w:val="bottom"/>
          </w:tcPr>
          <w:p>
            <w:pPr>
              <w:spacing w:after="0"/>
              <w:rPr>
                <w:sz w:val="1"/>
                <w:szCs w:val="1"/>
                <w:color w:val="auto"/>
              </w:rPr>
            </w:pPr>
          </w:p>
        </w:tc>
      </w:tr>
      <w:tr>
        <w:trPr>
          <w:trHeight w:val="221"/>
        </w:trPr>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3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1,064.0</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1,120.9</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5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$862.3 and $824.3 in 2020 and 2019,</w:t>
            </w:r>
          </w:p>
        </w:tc>
        <w:tc>
          <w:tcPr>
            <w:tcW w:w="3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3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186.5</w:t>
            </w:r>
          </w:p>
        </w:tc>
        <w:tc>
          <w:tcPr>
            <w:tcW w:w="0" w:type="dxa"/>
            <w:vAlign w:val="bottom"/>
          </w:tcPr>
          <w:p>
            <w:pPr>
              <w:spacing w:after="0"/>
              <w:rPr>
                <w:sz w:val="1"/>
                <w:szCs w:val="1"/>
                <w:color w:val="auto"/>
              </w:rPr>
            </w:pP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0" w:type="dxa"/>
            <w:vAlign w:val="bottom"/>
          </w:tcPr>
          <w:p>
            <w:pPr>
              <w:spacing w:after="0"/>
              <w:rPr>
                <w:sz w:val="1"/>
                <w:szCs w:val="1"/>
                <w:color w:val="auto"/>
              </w:rPr>
            </w:pPr>
          </w:p>
        </w:tc>
      </w:tr>
      <w:tr>
        <w:trPr>
          <w:trHeight w:val="249"/>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1,981.2</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2,034.9</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0" w:type="dxa"/>
            <w:vAlign w:val="bottom"/>
          </w:tcPr>
          <w:p>
            <w:pPr>
              <w:spacing w:after="0"/>
              <w:rPr>
                <w:sz w:val="1"/>
                <w:szCs w:val="1"/>
                <w:color w:val="auto"/>
              </w:rPr>
            </w:pPr>
          </w:p>
        </w:tc>
      </w:tr>
      <w:tr>
        <w:trPr>
          <w:trHeight w:val="228"/>
        </w:trPr>
        <w:tc>
          <w:tcPr>
            <w:tcW w:w="7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372.4</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w:t>
            </w:r>
          </w:p>
        </w:tc>
        <w:tc>
          <w:tcPr>
            <w:tcW w:w="0" w:type="dxa"/>
            <w:vAlign w:val="bottom"/>
          </w:tcPr>
          <w:p>
            <w:pPr>
              <w:spacing w:after="0"/>
              <w:rPr>
                <w:sz w:val="1"/>
                <w:szCs w:val="1"/>
                <w:color w:val="auto"/>
              </w:rPr>
            </w:pPr>
          </w:p>
        </w:tc>
      </w:tr>
      <w:tr>
        <w:trPr>
          <w:trHeight w:val="228"/>
        </w:trPr>
        <w:tc>
          <w:tcPr>
            <w:tcW w:w="7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taxes payable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711.0</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1,002.7</w:t>
            </w:r>
          </w:p>
        </w:tc>
        <w:tc>
          <w:tcPr>
            <w:tcW w:w="0" w:type="dxa"/>
            <w:vAlign w:val="bottom"/>
          </w:tcPr>
          <w:p>
            <w:pPr>
              <w:spacing w:after="0"/>
              <w:rPr>
                <w:sz w:val="1"/>
                <w:szCs w:val="1"/>
                <w:color w:val="auto"/>
              </w:rPr>
            </w:pPr>
          </w:p>
        </w:tc>
      </w:tr>
      <w:tr>
        <w:trPr>
          <w:trHeight w:val="228"/>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849.3</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0" w:type="dxa"/>
            <w:vAlign w:val="bottom"/>
          </w:tcPr>
          <w:p>
            <w:pPr>
              <w:spacing w:after="0"/>
              <w:rPr>
                <w:sz w:val="1"/>
                <w:szCs w:val="1"/>
                <w:color w:val="auto"/>
              </w:rPr>
            </w:pPr>
          </w:p>
        </w:tc>
      </w:tr>
      <w:tr>
        <w:trPr>
          <w:trHeight w:val="228"/>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87"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p>
      <w:pPr>
        <w:spacing w:after="0" w:line="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p>
      <w:pPr>
        <w:spacing w:after="0" w:line="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p>
      <w:pPr>
        <w:spacing w:after="0" w:line="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Treasury stock, at cost, 48,883,807 shares and 48,575,901 shares for 2020 and 2019, respectively</w:t>
      </w:r>
    </w:p>
    <w:p>
      <w:pPr>
        <w:spacing w:after="0" w:line="20" w:lineRule="exact"/>
        <w:rPr>
          <w:sz w:val="20"/>
          <w:szCs w:val="20"/>
          <w:color w:val="auto"/>
        </w:rPr>
      </w:pPr>
      <w:r>
        <w:rPr>
          <w:sz w:val="20"/>
          <w:szCs w:val="20"/>
          <w:color w:val="auto"/>
        </w:rPr>
        <w:br w:type="column"/>
      </w:r>
    </w:p>
    <w:p>
      <w:pPr>
        <w:ind w:left="80"/>
        <w:spacing w:after="0"/>
        <w:tabs>
          <w:tab w:leader="none" w:pos="2100" w:val="left"/>
        </w:tabs>
        <w:rPr>
          <w:sz w:val="20"/>
          <w:szCs w:val="20"/>
          <w:color w:val="auto"/>
        </w:rPr>
      </w:pPr>
      <w:r>
        <w:rPr>
          <w:rFonts w:ascii="Times New Roman" w:cs="Times New Roman" w:eastAsia="Times New Roman" w:hAnsi="Times New Roman"/>
          <w:sz w:val="17"/>
          <w:szCs w:val="17"/>
          <w:b w:val="1"/>
          <w:bCs w:val="1"/>
          <w:color w:val="auto"/>
        </w:rPr>
        <w:t>2,096.9</w:t>
      </w:r>
      <w:r>
        <w:rPr>
          <w:sz w:val="20"/>
          <w:szCs w:val="20"/>
          <w:color w:val="auto"/>
        </w:rPr>
        <w:tab/>
      </w:r>
      <w:r>
        <w:rPr>
          <w:rFonts w:ascii="Times New Roman" w:cs="Times New Roman" w:eastAsia="Times New Roman" w:hAnsi="Times New Roman"/>
          <w:sz w:val="17"/>
          <w:szCs w:val="17"/>
          <w:b w:val="1"/>
          <w:bCs w:val="1"/>
          <w:color w:val="auto"/>
        </w:rPr>
        <w:t>2,205.1</w:t>
      </w:r>
    </w:p>
    <w:p>
      <w:pPr>
        <w:spacing w:after="0" w:line="200" w:lineRule="exact"/>
        <w:rPr>
          <w:sz w:val="20"/>
          <w:szCs w:val="20"/>
          <w:color w:val="auto"/>
        </w:rPr>
      </w:pPr>
    </w:p>
    <w:p>
      <w:pPr>
        <w:spacing w:after="0" w:line="378" w:lineRule="exact"/>
        <w:rPr>
          <w:sz w:val="20"/>
          <w:szCs w:val="20"/>
          <w:color w:val="auto"/>
        </w:rPr>
      </w:pPr>
    </w:p>
    <w:p>
      <w:pPr>
        <w:ind w:left="420"/>
        <w:spacing w:after="0"/>
        <w:tabs>
          <w:tab w:leader="none" w:pos="24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61" w:lineRule="exact"/>
        <w:rPr>
          <w:sz w:val="20"/>
          <w:szCs w:val="20"/>
          <w:color w:val="auto"/>
        </w:rPr>
      </w:pPr>
    </w:p>
    <w:p>
      <w:pPr>
        <w:ind w:left="380"/>
        <w:spacing w:after="0"/>
        <w:tabs>
          <w:tab w:leader="none" w:pos="2400" w:val="left"/>
        </w:tabs>
        <w:rPr>
          <w:sz w:val="20"/>
          <w:szCs w:val="20"/>
          <w:color w:val="auto"/>
        </w:rPr>
      </w:pPr>
      <w:r>
        <w:rPr>
          <w:rFonts w:ascii="Times New Roman" w:cs="Times New Roman" w:eastAsia="Times New Roman" w:hAnsi="Times New Roman"/>
          <w:sz w:val="17"/>
          <w:szCs w:val="17"/>
          <w:color w:val="auto"/>
        </w:rPr>
        <w:t>0.9</w:t>
      </w:r>
      <w:r>
        <w:rPr>
          <w:sz w:val="20"/>
          <w:szCs w:val="20"/>
          <w:color w:val="auto"/>
        </w:rPr>
        <w:tab/>
      </w:r>
      <w:r>
        <w:rPr>
          <w:rFonts w:ascii="Times New Roman" w:cs="Times New Roman" w:eastAsia="Times New Roman" w:hAnsi="Times New Roman"/>
          <w:sz w:val="17"/>
          <w:szCs w:val="17"/>
          <w:color w:val="auto"/>
        </w:rPr>
        <w:t>0.9</w:t>
      </w:r>
    </w:p>
    <w:p>
      <w:pPr>
        <w:spacing w:after="0" w:line="61" w:lineRule="exact"/>
        <w:rPr>
          <w:sz w:val="20"/>
          <w:szCs w:val="20"/>
          <w:color w:val="auto"/>
        </w:rPr>
      </w:pPr>
    </w:p>
    <w:p>
      <w:pPr>
        <w:ind w:left="80"/>
        <w:spacing w:after="0"/>
        <w:tabs>
          <w:tab w:leader="none" w:pos="2100" w:val="left"/>
        </w:tabs>
        <w:rPr>
          <w:sz w:val="20"/>
          <w:szCs w:val="20"/>
          <w:color w:val="auto"/>
        </w:rPr>
      </w:pPr>
      <w:r>
        <w:rPr>
          <w:rFonts w:ascii="Times New Roman" w:cs="Times New Roman" w:eastAsia="Times New Roman" w:hAnsi="Times New Roman"/>
          <w:sz w:val="17"/>
          <w:szCs w:val="17"/>
          <w:color w:val="auto"/>
        </w:rPr>
        <w:t>1,109.4</w:t>
      </w:r>
      <w:r>
        <w:rPr>
          <w:sz w:val="20"/>
          <w:szCs w:val="20"/>
          <w:color w:val="auto"/>
        </w:rPr>
        <w:tab/>
      </w:r>
      <w:r>
        <w:rPr>
          <w:rFonts w:ascii="Times New Roman" w:cs="Times New Roman" w:eastAsia="Times New Roman" w:hAnsi="Times New Roman"/>
          <w:sz w:val="17"/>
          <w:szCs w:val="17"/>
          <w:color w:val="auto"/>
        </w:rPr>
        <w:t>1,093.5</w:t>
      </w:r>
    </w:p>
    <w:p>
      <w:pPr>
        <w:spacing w:after="0" w:line="61" w:lineRule="exact"/>
        <w:rPr>
          <w:sz w:val="20"/>
          <w:szCs w:val="20"/>
          <w:color w:val="auto"/>
        </w:rPr>
      </w:pPr>
    </w:p>
    <w:p>
      <w:pPr>
        <w:ind w:left="80"/>
        <w:spacing w:after="0"/>
        <w:tabs>
          <w:tab w:leader="none" w:pos="2100" w:val="left"/>
        </w:tabs>
        <w:rPr>
          <w:sz w:val="20"/>
          <w:szCs w:val="20"/>
          <w:color w:val="auto"/>
        </w:rPr>
      </w:pPr>
      <w:r>
        <w:rPr>
          <w:rFonts w:ascii="Times New Roman" w:cs="Times New Roman" w:eastAsia="Times New Roman" w:hAnsi="Times New Roman"/>
          <w:sz w:val="17"/>
          <w:szCs w:val="17"/>
          <w:color w:val="auto"/>
        </w:rPr>
        <w:t>2,303.7</w:t>
      </w:r>
      <w:r>
        <w:rPr>
          <w:sz w:val="20"/>
          <w:szCs w:val="20"/>
          <w:color w:val="auto"/>
        </w:rPr>
        <w:tab/>
      </w:r>
      <w:r>
        <w:rPr>
          <w:rFonts w:ascii="Times New Roman" w:cs="Times New Roman" w:eastAsia="Times New Roman" w:hAnsi="Times New Roman"/>
          <w:sz w:val="17"/>
          <w:szCs w:val="17"/>
          <w:color w:val="auto"/>
        </w:rPr>
        <w:t>2,148.7</w:t>
      </w:r>
    </w:p>
    <w:p>
      <w:pPr>
        <w:spacing w:after="0" w:line="61" w:lineRule="exact"/>
        <w:rPr>
          <w:sz w:val="20"/>
          <w:szCs w:val="20"/>
          <w:color w:val="auto"/>
        </w:rPr>
      </w:pPr>
    </w:p>
    <w:p>
      <w:pPr>
        <w:ind w:left="140"/>
        <w:spacing w:after="0"/>
        <w:tabs>
          <w:tab w:leader="none" w:pos="2160" w:val="left"/>
        </w:tabs>
        <w:rPr>
          <w:sz w:val="20"/>
          <w:szCs w:val="20"/>
          <w:color w:val="auto"/>
        </w:rPr>
      </w:pPr>
      <w:r>
        <w:rPr>
          <w:rFonts w:ascii="Times New Roman" w:cs="Times New Roman" w:eastAsia="Times New Roman" w:hAnsi="Times New Roman"/>
          <w:sz w:val="17"/>
          <w:szCs w:val="17"/>
          <w:color w:val="auto"/>
        </w:rPr>
        <w:t>(114.9)</w:t>
      </w:r>
      <w:r>
        <w:rPr>
          <w:sz w:val="20"/>
          <w:szCs w:val="20"/>
          <w:color w:val="auto"/>
        </w:rPr>
        <w:tab/>
      </w:r>
      <w:r>
        <w:rPr>
          <w:rFonts w:ascii="Times New Roman" w:cs="Times New Roman" w:eastAsia="Times New Roman" w:hAnsi="Times New Roman"/>
          <w:sz w:val="17"/>
          <w:szCs w:val="17"/>
          <w:color w:val="auto"/>
        </w:rPr>
        <w:t>(103.8)</w:t>
      </w:r>
    </w:p>
    <w:p>
      <w:pPr>
        <w:spacing w:after="0" w:line="61"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7"/>
          <w:szCs w:val="17"/>
          <w:color w:val="auto"/>
        </w:rPr>
        <w:t>(3,414.8)</w:t>
      </w:r>
      <w:r>
        <w:rPr>
          <w:sz w:val="20"/>
          <w:szCs w:val="20"/>
          <w:color w:val="auto"/>
        </w:rPr>
        <w:tab/>
      </w:r>
      <w:r>
        <w:rPr>
          <w:rFonts w:ascii="Times New Roman" w:cs="Times New Roman" w:eastAsia="Times New Roman" w:hAnsi="Times New Roman"/>
          <w:sz w:val="16"/>
          <w:szCs w:val="16"/>
          <w:color w:val="auto"/>
        </w:rPr>
        <w:t>(3,309.5)</w:t>
      </w:r>
    </w:p>
    <w:p>
      <w:pPr>
        <w:spacing w:after="0" w:line="53" w:lineRule="exact"/>
        <w:rPr>
          <w:sz w:val="20"/>
          <w:szCs w:val="20"/>
          <w:color w:val="auto"/>
        </w:rPr>
      </w:pPr>
    </w:p>
    <w:p>
      <w:pPr>
        <w:sectPr>
          <w:pgSz w:w="11900" w:h="16838" w:orient="portrait"/>
          <w:cols w:equalWidth="0" w:num="2">
            <w:col w:w="7800" w:space="720"/>
            <w:col w:w="272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(170.2)</w:t>
            </w:r>
          </w:p>
        </w:tc>
      </w:tr>
      <w:tr>
        <w:trPr>
          <w:trHeight w:val="249"/>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6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1,981.2</w:t>
            </w:r>
          </w:p>
        </w:tc>
        <w:tc>
          <w:tcPr>
            <w:tcW w:w="16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2,034.9</w:t>
            </w:r>
          </w:p>
        </w:tc>
      </w:tr>
      <w:tr>
        <w:trPr>
          <w:trHeight w:val="21"/>
        </w:trPr>
        <w:tc>
          <w:tcPr>
            <w:tcW w:w="7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887"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220" w:type="dxa"/>
            <w:vAlign w:val="bottom"/>
            <w:shd w:val="clear" w:color="auto" w:fill="CCEEFF"/>
          </w:tcPr>
          <w:p>
            <w:pPr>
              <w:spacing w:after="0"/>
              <w:rPr>
                <w:sz w:val="18"/>
                <w:szCs w:val="18"/>
                <w:color w:val="auto"/>
              </w:rPr>
            </w:pPr>
          </w:p>
        </w:tc>
        <w:tc>
          <w:tcPr>
            <w:tcW w:w="26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shd w:val="clear" w:color="auto" w:fill="CCEEFF"/>
          </w:tcPr>
          <w:p>
            <w:pPr>
              <w:spacing w:after="0"/>
              <w:rPr>
                <w:sz w:val="18"/>
                <w:szCs w:val="18"/>
                <w:color w:val="auto"/>
              </w:rPr>
            </w:pPr>
          </w:p>
        </w:tc>
        <w:tc>
          <w:tcPr>
            <w:tcW w:w="2420" w:type="dxa"/>
            <w:vAlign w:val="bottom"/>
            <w:gridSpan w:val="4"/>
            <w:shd w:val="clear" w:color="auto" w:fill="CCEEFF"/>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45"/>
        </w:trPr>
        <w:tc>
          <w:tcPr>
            <w:tcW w:w="5780" w:type="dxa"/>
            <w:vAlign w:val="bottom"/>
            <w:tcBorders>
              <w:bottom w:val="single" w:sz="8" w:color="CCEEFF"/>
            </w:tcBorders>
            <w:vMerge w:val="continue"/>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0" w:type="dxa"/>
            <w:vAlign w:val="bottom"/>
          </w:tcPr>
          <w:p>
            <w:pPr>
              <w:spacing w:after="0"/>
              <w:rPr>
                <w:sz w:val="1"/>
                <w:szCs w:val="1"/>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2,922.2</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from natural disasters, net of insurance recoveries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465.3</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295.0</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6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294.7</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78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7"/>
                <w:szCs w:val="17"/>
                <w:color w:val="auto"/>
              </w:rPr>
            </w:pPr>
          </w:p>
        </w:tc>
        <w:tc>
          <w:tcPr>
            <w:tcW w:w="2400" w:type="dxa"/>
            <w:vAlign w:val="bottom"/>
            <w:gridSpan w:val="4"/>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2"/>
        </w:trPr>
        <w:tc>
          <w:tcPr>
            <w:tcW w:w="58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0" w:type="dxa"/>
            <w:vAlign w:val="bottom"/>
          </w:tcPr>
          <w:p>
            <w:pPr>
              <w:spacing w:after="0"/>
              <w:rPr>
                <w:sz w:val="1"/>
                <w:szCs w:val="1"/>
                <w:color w:val="auto"/>
              </w:rPr>
            </w:pPr>
          </w:p>
        </w:tc>
      </w:tr>
      <w:tr>
        <w:trPr>
          <w:trHeight w:val="33"/>
        </w:trPr>
        <w:tc>
          <w:tcPr>
            <w:tcW w:w="5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131.7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8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of foreign currency translation gains into earnings</w:t>
            </w:r>
          </w:p>
        </w:tc>
        <w:tc>
          <w:tcPr>
            <w:tcW w:w="82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settlements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43"/>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of equity method investments other comprehensive income</w:t>
            </w: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of cash flow hedge losses into earnings</w:t>
            </w: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 benefit</w:t>
            </w: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w:t>
            </w:r>
          </w:p>
        </w:tc>
        <w:tc>
          <w:tcPr>
            <w:tcW w:w="0" w:type="dxa"/>
            <w:vAlign w:val="bottom"/>
          </w:tcPr>
          <w:p>
            <w:pPr>
              <w:spacing w:after="0"/>
              <w:rPr>
                <w:sz w:val="1"/>
                <w:szCs w:val="1"/>
                <w:color w:val="auto"/>
              </w:rPr>
            </w:pPr>
          </w:p>
        </w:tc>
      </w:tr>
      <w:tr>
        <w:trPr>
          <w:trHeight w:val="26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138.5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356.3</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 w:name="page6"/>
    <w:bookmarkEnd w:id="5"/>
    <w:p>
      <w:pPr>
        <w:jc w:val="center"/>
        <w:ind w:right="20"/>
        <w:spacing w:after="0" w:line="258" w:lineRule="auto"/>
        <w:rPr>
          <w:sz w:val="20"/>
          <w:szCs w:val="20"/>
          <w:color w:val="auto"/>
        </w:rPr>
      </w:pPr>
      <w:r>
        <w:rPr>
          <w:rFonts w:ascii="Times New Roman" w:cs="Times New Roman" w:eastAsia="Times New Roman" w:hAnsi="Times New Roman"/>
          <w:sz w:val="16"/>
          <w:szCs w:val="16"/>
          <w:b w:val="1"/>
          <w:bCs w:val="1"/>
          <w:color w:val="auto"/>
        </w:rPr>
        <w:t>LENNOX INTERNATIONAL INC. AND SUBSIDIARIES CONSOLIDATED STATEMENTS OF STOCKHOLDERS' DEFICIT For the three and nine months ended September 30, 2020 and 2019 (Unaudited) (In millions, except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480" w:type="dxa"/>
            <w:vAlign w:val="bottom"/>
            <w:gridSpan w:val="8"/>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Treasury Stock at</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80" w:type="dxa"/>
            <w:vAlign w:val="bottom"/>
          </w:tcPr>
          <w:p>
            <w:pPr>
              <w:spacing w:after="0"/>
              <w:rPr>
                <w:sz w:val="4"/>
                <w:szCs w:val="4"/>
                <w:color w:val="auto"/>
              </w:rPr>
            </w:pPr>
          </w:p>
        </w:tc>
        <w:tc>
          <w:tcPr>
            <w:tcW w:w="78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3"/>
            <w:vMerge w:val="restart"/>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1480" w:type="dxa"/>
            <w:vAlign w:val="bottom"/>
            <w:gridSpan w:val="8"/>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08"/>
        </w:trPr>
        <w:tc>
          <w:tcPr>
            <w:tcW w:w="4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gridSpan w:val="7"/>
            <w:vMerge w:val="restart"/>
          </w:tcPr>
          <w:p>
            <w:pPr>
              <w:jc w:val="center"/>
              <w:ind w:right="66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restart"/>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Stock</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8"/>
                <w:szCs w:val="8"/>
                <w:color w:val="auto"/>
              </w:rPr>
            </w:pPr>
          </w:p>
        </w:tc>
        <w:tc>
          <w:tcPr>
            <w:tcW w:w="660" w:type="dxa"/>
            <w:vAlign w:val="bottom"/>
            <w:gridSpan w:val="2"/>
            <w:vMerge w:val="restart"/>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4"/>
            <w:vMerge w:val="restart"/>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520" w:type="dxa"/>
            <w:vAlign w:val="bottom"/>
          </w:tcPr>
          <w:p>
            <w:pPr>
              <w:spacing w:after="0"/>
              <w:rPr>
                <w:sz w:val="8"/>
                <w:szCs w:val="8"/>
                <w:color w:val="auto"/>
              </w:rPr>
            </w:pPr>
          </w:p>
        </w:tc>
        <w:tc>
          <w:tcPr>
            <w:tcW w:w="960" w:type="dxa"/>
            <w:vAlign w:val="bottom"/>
            <w:gridSpan w:val="7"/>
            <w:vMerge w:val="continue"/>
          </w:tcPr>
          <w:p>
            <w:pPr>
              <w:spacing w:after="0"/>
              <w:rPr>
                <w:sz w:val="8"/>
                <w:szCs w:val="8"/>
                <w:color w:val="auto"/>
              </w:rPr>
            </w:pPr>
          </w:p>
        </w:tc>
        <w:tc>
          <w:tcPr>
            <w:tcW w:w="960" w:type="dxa"/>
            <w:vAlign w:val="bottom"/>
            <w:gridSpan w:val="3"/>
            <w:vMerge w:val="restart"/>
          </w:tcPr>
          <w:p>
            <w:pPr>
              <w:jc w:val="center"/>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44"/>
        </w:trPr>
        <w:tc>
          <w:tcPr>
            <w:tcW w:w="4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September 30, 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Issued</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Loss</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Borders>
              <w:bottom w:val="single" w:sz="8" w:color="CCEEFF"/>
            </w:tcBorders>
            <w:gridSpan w:val="3"/>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0.9</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1,102.4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$ 2,201.5</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48.9</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(3,412.0)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(228.9)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$0.77 per share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(29.5)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2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5"/>
                <w:szCs w:val="15"/>
                <w:color w:val="auto"/>
              </w:rPr>
              <w:t>Pension and post-retirement liability changes, net of tax</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benefit of $0.1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4"/>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4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1,109.4</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$ 2,303.7</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48.9</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 (3,414.8)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(115.7)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3"/>
        </w:trPr>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480" w:type="dxa"/>
            <w:vAlign w:val="bottom"/>
            <w:gridSpan w:val="8"/>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Treasury Stock at</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800" w:type="dxa"/>
            <w:vAlign w:val="bottom"/>
            <w:gridSpan w:val="4"/>
            <w:vMerge w:val="restart"/>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860" w:type="dxa"/>
            <w:vAlign w:val="bottom"/>
            <w:gridSpan w:val="4"/>
            <w:vMerge w:val="restart"/>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3"/>
            <w:vMerge w:val="restart"/>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1480" w:type="dxa"/>
            <w:vAlign w:val="bottom"/>
            <w:gridSpan w:val="8"/>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08"/>
        </w:trPr>
        <w:tc>
          <w:tcPr>
            <w:tcW w:w="402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gridSpan w:val="7"/>
            <w:vMerge w:val="restart"/>
          </w:tcPr>
          <w:p>
            <w:pPr>
              <w:jc w:val="center"/>
              <w:ind w:right="6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3"/>
            <w:vMerge w:val="restart"/>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Stock</w:t>
            </w:r>
          </w:p>
        </w:tc>
        <w:tc>
          <w:tcPr>
            <w:tcW w:w="80" w:type="dxa"/>
            <w:vAlign w:val="bottom"/>
          </w:tcPr>
          <w:p>
            <w:pPr>
              <w:spacing w:after="0"/>
              <w:rPr>
                <w:sz w:val="8"/>
                <w:szCs w:val="8"/>
                <w:color w:val="auto"/>
              </w:rPr>
            </w:pPr>
          </w:p>
        </w:tc>
        <w:tc>
          <w:tcPr>
            <w:tcW w:w="780" w:type="dxa"/>
            <w:vAlign w:val="bottom"/>
            <w:gridSpan w:val="3"/>
            <w:vMerge w:val="restart"/>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740" w:type="dxa"/>
            <w:vAlign w:val="bottom"/>
            <w:gridSpan w:val="3"/>
            <w:vMerge w:val="restart"/>
          </w:tcPr>
          <w:p>
            <w:pPr>
              <w:jc w:val="right"/>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4"/>
            <w:vMerge w:val="restart"/>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520" w:type="dxa"/>
            <w:vAlign w:val="bottom"/>
          </w:tcPr>
          <w:p>
            <w:pPr>
              <w:spacing w:after="0"/>
              <w:rPr>
                <w:sz w:val="8"/>
                <w:szCs w:val="8"/>
                <w:color w:val="auto"/>
              </w:rPr>
            </w:pPr>
          </w:p>
        </w:tc>
        <w:tc>
          <w:tcPr>
            <w:tcW w:w="960" w:type="dxa"/>
            <w:vAlign w:val="bottom"/>
            <w:gridSpan w:val="7"/>
            <w:vMerge w:val="continue"/>
          </w:tcPr>
          <w:p>
            <w:pPr>
              <w:spacing w:after="0"/>
              <w:rPr>
                <w:sz w:val="8"/>
                <w:szCs w:val="8"/>
                <w:color w:val="auto"/>
              </w:rPr>
            </w:pPr>
          </w:p>
        </w:tc>
        <w:tc>
          <w:tcPr>
            <w:tcW w:w="960" w:type="dxa"/>
            <w:vAlign w:val="bottom"/>
            <w:gridSpan w:val="3"/>
            <w:vMerge w:val="restart"/>
          </w:tcPr>
          <w:p>
            <w:pPr>
              <w:jc w:val="center"/>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44"/>
        </w:trPr>
        <w:tc>
          <w:tcPr>
            <w:tcW w:w="4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September 30, 2019)</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Issued</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Loss</w:t>
            </w:r>
          </w:p>
        </w:tc>
        <w:tc>
          <w:tcPr>
            <w:tcW w:w="100" w:type="dxa"/>
            <w:vAlign w:val="bottom"/>
            <w:tcBorders>
              <w:bottom w:val="single" w:sz="8" w:color="CCEEFF"/>
            </w:tcBorders>
            <w:gridSpan w:val="2"/>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0.9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1,085.8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$ 1,979.4</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48.1</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(3,154.0)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114.7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$0.77 per share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 net of tax</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benefit of $0.1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2019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0.9</w:t>
            </w: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1,090.0</w:t>
            </w:r>
          </w:p>
        </w:tc>
        <w:tc>
          <w:tcPr>
            <w:tcW w:w="80" w:type="dxa"/>
            <w:vAlign w:val="bottom"/>
          </w:tcPr>
          <w:p>
            <w:pPr>
              <w:spacing w:after="0"/>
              <w:rPr>
                <w:sz w:val="18"/>
                <w:szCs w:val="18"/>
                <w:color w:val="auto"/>
              </w:rPr>
            </w:pPr>
          </w:p>
        </w:tc>
        <w:tc>
          <w:tcPr>
            <w:tcW w:w="6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$ 2,064.4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48.6</w:t>
            </w:r>
          </w:p>
        </w:tc>
        <w:tc>
          <w:tcPr>
            <w:tcW w:w="4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 (3,305.4)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900" w:top="893" w:right="899" w:bottom="1440" w:gutter="0" w:footer="0" w:header="0"/>
        </w:sectPr>
      </w:pPr>
    </w:p>
    <w:bookmarkStart w:id="6" w:name="page7"/>
    <w:bookmarkEnd w:id="6"/>
    <w:p>
      <w:pPr>
        <w:jc w:val="center"/>
        <w:ind w:right="20"/>
        <w:spacing w:after="0" w:line="258" w:lineRule="auto"/>
        <w:rPr>
          <w:sz w:val="20"/>
          <w:szCs w:val="20"/>
          <w:color w:val="auto"/>
        </w:rPr>
      </w:pPr>
      <w:r>
        <w:rPr>
          <w:rFonts w:ascii="Times New Roman" w:cs="Times New Roman" w:eastAsia="Times New Roman" w:hAnsi="Times New Roman"/>
          <w:sz w:val="16"/>
          <w:szCs w:val="16"/>
          <w:b w:val="1"/>
          <w:bCs w:val="1"/>
          <w:color w:val="auto"/>
        </w:rPr>
        <w:t>LENNOX INTERNATIONAL INC. AND SUBSIDIARIES CONSOLIDATED STATEMENTS OF STOCKHOLDERS' DEFICIT For the three and nine months ended September 30, 2020 and 2019 (Unaudited) (In millions, except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7"/>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Treasury Stock at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4"/>
            <w:vMerge w:val="restart"/>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880" w:type="dxa"/>
            <w:vAlign w:val="bottom"/>
            <w:gridSpan w:val="4"/>
            <w:vMerge w:val="restart"/>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restart"/>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restart"/>
          </w:tcPr>
          <w:p>
            <w:pPr>
              <w:jc w:val="right"/>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gridSpan w:val="6"/>
            <w:vMerge w:val="restart"/>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w w:val="95"/>
              </w:rPr>
              <w:t>Cost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vMerge w:val="restart"/>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8"/>
                <w:szCs w:val="8"/>
                <w:color w:val="auto"/>
              </w:rPr>
            </w:pPr>
          </w:p>
        </w:tc>
        <w:tc>
          <w:tcPr>
            <w:tcW w:w="760" w:type="dxa"/>
            <w:vAlign w:val="bottom"/>
            <w:gridSpan w:val="3"/>
            <w:vMerge w:val="restart"/>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40" w:type="dxa"/>
            <w:vAlign w:val="bottom"/>
          </w:tcPr>
          <w:p>
            <w:pPr>
              <w:spacing w:after="0"/>
              <w:rPr>
                <w:sz w:val="8"/>
                <w:szCs w:val="8"/>
                <w:color w:val="auto"/>
              </w:rPr>
            </w:pPr>
          </w:p>
        </w:tc>
        <w:tc>
          <w:tcPr>
            <w:tcW w:w="80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60" w:type="dxa"/>
            <w:vAlign w:val="bottom"/>
            <w:gridSpan w:val="5"/>
            <w:vMerge w:val="restart"/>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(For the nine months ended September 30, 2020)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Issued</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Loss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213"/>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2019</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1,093.5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2,148.7</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(103.8)</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48.6</w:t>
            </w:r>
          </w:p>
        </w:tc>
        <w:tc>
          <w:tcPr>
            <w:tcW w:w="2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(3,309.5)</w:t>
            </w:r>
          </w:p>
        </w:tc>
        <w:tc>
          <w:tcPr>
            <w:tcW w:w="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(170.2)</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Cumulative effect adjustment upon adoption of new</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accounting standard (ASU 2016-13)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Dividends, $2.31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(88.3)</w:t>
            </w: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Pension and post-retirement liability changes, net of 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shd w:val="clear" w:color="auto" w:fill="CCEEFF"/>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income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18.4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Change in cash flow hedges, net of tax expense of $0.5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(110.1)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(110.1)</w:t>
            </w:r>
          </w:p>
        </w:tc>
        <w:tc>
          <w:tcPr>
            <w:tcW w:w="0" w:type="dxa"/>
            <w:vAlign w:val="bottom"/>
          </w:tcPr>
          <w:p>
            <w:pPr>
              <w:spacing w:after="0"/>
              <w:rPr>
                <w:sz w:val="1"/>
                <w:szCs w:val="1"/>
                <w:color w:val="auto"/>
              </w:rPr>
            </w:pPr>
          </w:p>
        </w:tc>
      </w:tr>
      <w:tr>
        <w:trPr>
          <w:trHeight w:val="209"/>
        </w:trPr>
        <w:tc>
          <w:tcPr>
            <w:tcW w:w="3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as of September 30, 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1,109.4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2,303.7</w:t>
            </w: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(114.9)</w:t>
            </w:r>
          </w:p>
        </w:tc>
        <w:tc>
          <w:tcPr>
            <w:tcW w:w="80" w:type="dxa"/>
            <w:vAlign w:val="bottom"/>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48.9</w:t>
            </w:r>
          </w:p>
        </w:tc>
        <w:tc>
          <w:tcPr>
            <w:tcW w:w="60" w:type="dxa"/>
            <w:vAlign w:val="bottom"/>
            <w:tcBorders>
              <w:bottom w:val="single" w:sz="8" w:color="auto"/>
            </w:tcBorders>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(3,414.8)</w:t>
            </w:r>
          </w:p>
        </w:tc>
        <w:tc>
          <w:tcPr>
            <w:tcW w:w="80" w:type="dxa"/>
            <w:vAlign w:val="bottom"/>
            <w:gridSpan w:val="2"/>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(115.7)</w:t>
            </w:r>
          </w:p>
        </w:tc>
        <w:tc>
          <w:tcPr>
            <w:tcW w:w="0" w:type="dxa"/>
            <w:vAlign w:val="bottom"/>
          </w:tcPr>
          <w:p>
            <w:pPr>
              <w:spacing w:after="0"/>
              <w:rPr>
                <w:sz w:val="1"/>
                <w:szCs w:val="1"/>
                <w:color w:val="auto"/>
              </w:rPr>
            </w:pPr>
          </w:p>
        </w:tc>
      </w:tr>
      <w:tr>
        <w:trPr>
          <w:trHeight w:val="543"/>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Treasury Stock at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4"/>
            <w:vMerge w:val="restart"/>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880" w:type="dxa"/>
            <w:vAlign w:val="bottom"/>
            <w:gridSpan w:val="4"/>
            <w:vMerge w:val="restart"/>
          </w:tcPr>
          <w:p>
            <w:pPr>
              <w:jc w:val="center"/>
              <w:ind w:right="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restart"/>
          </w:tcPr>
          <w:p>
            <w:pPr>
              <w:jc w:val="right"/>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w w:val="95"/>
              </w:rPr>
              <w:t>Cost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8"/>
                <w:szCs w:val="8"/>
                <w:color w:val="auto"/>
              </w:rPr>
            </w:pPr>
          </w:p>
        </w:tc>
        <w:tc>
          <w:tcPr>
            <w:tcW w:w="760" w:type="dxa"/>
            <w:vAlign w:val="bottom"/>
            <w:gridSpan w:val="3"/>
            <w:vMerge w:val="restart"/>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restart"/>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3"/>
            <w:vMerge w:val="restart"/>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gridSpan w:val="4"/>
            <w:vMerge w:val="restart"/>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nine months ended September 30, 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Issued</w:t>
            </w:r>
          </w:p>
        </w:tc>
        <w:tc>
          <w:tcPr>
            <w:tcW w:w="12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9"/>
              </w:rPr>
              <w:t>Earnings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2018</w:t>
            </w:r>
          </w:p>
        </w:tc>
        <w:tc>
          <w:tcPr>
            <w:tcW w:w="2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1,078.8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1,855.0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(188.8)</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47.3</w:t>
            </w:r>
          </w:p>
        </w:tc>
        <w:tc>
          <w:tcPr>
            <w:tcW w:w="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 (2,895.5)</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Cumulative effect adjustment upon adoption of new</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accounting standard (ASC 842)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294.7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Dividends, $2.18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94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2"/>
                <w:szCs w:val="12"/>
                <w:color w:val="auto"/>
              </w:rPr>
            </w:pPr>
          </w:p>
        </w:tc>
        <w:tc>
          <w:tcPr>
            <w:tcW w:w="7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58.6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58.6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expense of $16.4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(416.9)</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2019</w:t>
            </w:r>
          </w:p>
        </w:tc>
        <w:tc>
          <w:tcPr>
            <w:tcW w:w="200" w:type="dxa"/>
            <w:vAlign w:val="bottom"/>
            <w:tcBorders>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1,090.0</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2,064.4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(127.2)</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48.6</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(3,305.4)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780" w:top="1379" w:right="7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w:t>
            </w: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96"/>
        </w:trPr>
        <w:tc>
          <w:tcPr>
            <w:tcW w:w="78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294.7</w:t>
            </w:r>
          </w:p>
        </w:tc>
      </w:tr>
      <w:tr>
        <w:trPr>
          <w:trHeight w:val="20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8"/>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sale of business</w:t>
            </w:r>
          </w:p>
        </w:tc>
        <w:tc>
          <w:tcPr>
            <w:tcW w:w="24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r>
      <w:tr>
        <w:trPr>
          <w:trHeight w:val="207"/>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Insurance recoveries received for property damage incurred from natural disaster</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98"/>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8"/>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Dividends from affiliates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r>
      <w:tr>
        <w:trPr>
          <w:trHeight w:val="198"/>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Restructuring charges, net of cash paid</w:t>
            </w: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r>
      <w:tr>
        <w:trPr>
          <w:trHeight w:val="208"/>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r>
      <w:tr>
        <w:trPr>
          <w:trHeight w:val="198"/>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Unrealized losses (gains), net on derivative contracts</w:t>
            </w: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8"/>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r>
      <w:tr>
        <w:trPr>
          <w:trHeight w:val="198"/>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53.1</w:t>
            </w:r>
          </w:p>
        </w:tc>
      </w:tr>
      <w:tr>
        <w:trPr>
          <w:trHeight w:val="208"/>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w:t>
            </w:r>
          </w:p>
        </w:tc>
      </w:tr>
      <w:tr>
        <w:trPr>
          <w:trHeight w:val="198"/>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Pension expense</w:t>
            </w: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65.9</w:t>
            </w:r>
          </w:p>
        </w:tc>
      </w:tr>
      <w:tr>
        <w:trPr>
          <w:trHeight w:val="208"/>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Pension contributions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8"/>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items, net</w:t>
            </w: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of divestitures: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8"/>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and notes receivable</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r>
      <w:tr>
        <w:trPr>
          <w:trHeight w:val="208"/>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r>
      <w:tr>
        <w:trPr>
          <w:trHeight w:val="198"/>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r>
      <w:tr>
        <w:trPr>
          <w:trHeight w:val="208"/>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98"/>
        </w:trPr>
        <w:tc>
          <w:tcPr>
            <w:tcW w:w="7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r>
      <w:tr>
        <w:trPr>
          <w:trHeight w:val="208"/>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taxes payable / receivable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98"/>
        </w:trPr>
        <w:tc>
          <w:tcPr>
            <w:tcW w:w="7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446.2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124.5</w:t>
            </w:r>
          </w:p>
        </w:tc>
      </w:tr>
      <w:tr>
        <w:trPr>
          <w:trHeight w:val="19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the disposal of property, plant and equipment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proceeds from sale of business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43.5</w:t>
            </w: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Insurance recoveries received for property damage incurred from natural disaster</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(56.5)</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(23.1)</w:t>
            </w: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debt payments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Short-term debt borrowings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 securitization borrowings</w:t>
            </w: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155.5</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 securitization payments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debt borrowings</w:t>
            </w: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Long-term debt payments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Borrowings from credit facility</w:t>
            </w:r>
          </w:p>
        </w:tc>
        <w:tc>
          <w:tcPr>
            <w:tcW w:w="2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1,509.5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1,938.5</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on credit facility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(1,608.5)</w:t>
            </w: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employee stock purchases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Repurchases of common stock to satisfy employee withholding tax obligations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98"/>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Cash dividends paid</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w:t>
            </w:r>
          </w:p>
        </w:tc>
      </w:tr>
      <w:tr>
        <w:trPr>
          <w:trHeight w:val="20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(102.8)</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r>
      <w:tr>
        <w:trPr>
          <w:trHeight w:val="19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46.3</w:t>
            </w:r>
          </w:p>
        </w:tc>
      </w:tr>
      <w:tr>
        <w:trPr>
          <w:trHeight w:val="22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46.1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7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Supplemental disclosures of cash flow information:</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paid</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1"/>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Insurance recoveries received</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138.0</w:t>
            </w:r>
          </w:p>
        </w:tc>
      </w:tr>
      <w:tr>
        <w:trPr>
          <w:trHeight w:val="20"/>
        </w:trPr>
        <w:tc>
          <w:tcPr>
            <w:tcW w:w="7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441" w:right="3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3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References in this Quarterly Report on Form 10-Q to "we," "our," "us," "LII," or the "Company" refer to Lennox International Inc. and its subsidiaries, unless the context requires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Balance Sheet as of September 30, 2020, the accompanying unaudited Consolidated Statements of Operations for the three and nine months ended September 30, 2020 and 2019, the accompanying unaudited Consolidated Statements of Comprehensive Income for the three and nine months ended September 30, 2020 and 2019, the accompanying unaudited Consolidated Statements of Stockholders' Deficit for the three and nine months ended September 30, 2020 and 2019, and the accompanying unaudited Consolidated Statements of Cash Flows for the nine months ended September 30, 2020 and 2019 should be read in conjunction with our audited consolidated financial statements and footnotes included in our Annual Report on Form 10-K for the year ended December 31, 2019.</w:t>
      </w:r>
    </w:p>
    <w:p>
      <w:pPr>
        <w:spacing w:after="0" w:line="21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 novel strain of coronavirus (“COVID-19”) surfaced in late 2019 and has spread around the world, including to the United States. In March 2020, the World Health Organization declared COVID-19 a pandemic. The COVID-19 pandemic has disrupted our business operations and caused a significant unfavorable impact on our results of operations.</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various national, state, and local governments where we, our suppliers, and our customers operate issued decrees prohibiting certain businesses from continuing to operate and certain classes of workers from reporting to work. Those decrees have resulted in supply chain disruption and higher employee absenteeism in our factories.</w:t>
      </w:r>
    </w:p>
    <w:p>
      <w:pPr>
        <w:sectPr>
          <w:pgSz w:w="11900" w:h="16838" w:orient="portrait"/>
          <w:cols w:equalWidth="0" w:num="1">
            <w:col w:w="11240"/>
          </w:cols>
          <w:pgMar w:left="320" w:top="94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Additionally, certain of our manufacturing facilities experienced short-term suspensions of operations for COVID-19 employee health concerns.</w:t>
      </w:r>
    </w:p>
    <w:p>
      <w:pPr>
        <w:spacing w:after="0" w:line="25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magnitude of the impact of COVID-19 remains unpredictable and we, therefore, continue to anticipate potential supply chain disruptions, employee absenteeism, short-term suspensions of manufacturing facilities and additional health and safety costs related to the COVID-19 pandemic that could unfavorably impact our business. Although these disruptions and costs are expected to be temporary, there is significant uncertainty around the duration and overall impact to our business operations. We believe it is possible that the impact of the COVID-19 pandemic could have a material adverse effect on the results of our operations, financial position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ASU 2016-13 replaces the incurred loss impairment methodology in current GAAP with a methodology that reflects expected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requires consideration of a broader range of reasonable and supportable information to estimate credit losses. ASU 2016-13 is effective for SEC filers for interim and annual periods beginning after December 15, 2019. We adopted ASU 2016-13 using the modified retrospective method for all financial assets measured at amortized cost. Results for periods after January 1, 2020 are presented under ASU 2016-13 while prior period amounts continue to be reported under previously applicable accounting standards. We recorded a $1.3 million net decrease to retained earnings as of January 1, 2020 for the cumulative effect of adopting ASU 2016-13.</w:t>
      </w:r>
    </w:p>
    <w:p>
      <w:pPr>
        <w:spacing w:after="0" w:line="210"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 - Goodwill and Other (Topic 350): Simplifying the Test for Goodwill Impairment</w:t>
      </w:r>
      <w:r>
        <w:rPr>
          <w:rFonts w:ascii="Times New Roman" w:cs="Times New Roman" w:eastAsia="Times New Roman" w:hAnsi="Times New Roman"/>
          <w:sz w:val="18"/>
          <w:szCs w:val="18"/>
          <w:color w:val="auto"/>
        </w:rPr>
        <w: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The adoption of ASU 2017-04 did not have a material impact on our consolidated results of operations, cash flows, or statement of financial position.</w:t>
      </w:r>
    </w:p>
    <w:p>
      <w:pPr>
        <w:spacing w:after="0" w:line="20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Internal-Use Software (Topic 350-40): Customer’s Accounting for Implementation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 incurred in a Cloud Computing Arrangement That is a Service Contract</w:t>
      </w:r>
      <w:r>
        <w:rPr>
          <w:rFonts w:ascii="Times New Roman" w:cs="Times New Roman" w:eastAsia="Times New Roman" w:hAnsi="Times New Roman"/>
          <w:sz w:val="18"/>
          <w:szCs w:val="18"/>
          <w:color w:val="auto"/>
        </w:rPr>
        <w:t>. ASU 2018-15 provides guidance to determine how implementation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cloud computing arrangements that are incurred to develop or obtain internal-use software should be capitalized or expensed as incurred. ASU 2018-15 is effective for fiscal years beginning after December 15, 2019. The adoption of ASU 2018-15 did not have a material impact on our consolidated results of operations, cash flows, or statement of financial position.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Borders>
              <w:bottom w:val="single" w:sz="8" w:color="CCEEFF"/>
            </w:tcBorders>
          </w:tcPr>
          <w:p>
            <w:pPr>
              <w:spacing w:after="0"/>
              <w:rPr>
                <w:sz w:val="16"/>
                <w:szCs w:val="16"/>
                <w:color w:val="auto"/>
              </w:rPr>
            </w:pP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Product or Services</w:t>
            </w:r>
          </w:p>
        </w:tc>
        <w:tc>
          <w:tcPr>
            <w:tcW w:w="100" w:type="dxa"/>
            <w:vAlign w:val="bottom"/>
            <w:tcBorders>
              <w:bottom w:val="single" w:sz="8" w:color="CCEEFF"/>
            </w:tcBorders>
          </w:tcPr>
          <w:p>
            <w:pPr>
              <w:spacing w:after="0"/>
              <w:rPr>
                <w:sz w:val="16"/>
                <w:szCs w:val="16"/>
                <w:color w:val="auto"/>
              </w:rPr>
            </w:pPr>
          </w:p>
        </w:tc>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Markets Served</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Areas</w:t>
            </w:r>
          </w:p>
        </w:tc>
      </w:tr>
      <w:tr>
        <w:trPr>
          <w:trHeight w:val="223"/>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Heating &amp;</w:t>
            </w: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Replacement;</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Cooling</w:t>
            </w: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cooling systems, indoor air quality equipment, comfort</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New Construction</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41"/>
        </w:trPr>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 products, replacement parts and supplies</w:t>
            </w:r>
          </w:p>
        </w:tc>
        <w:tc>
          <w:tcPr>
            <w:tcW w:w="2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5"/>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Heating &amp;</w:t>
            </w: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Light Commercial</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Cooling</w:t>
            </w: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heating and cooling equipment, and variable refrigerant flow</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products</w:t>
            </w: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5"/>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Condensing units, unit coolers, fluid coolers, air cooled</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Commercial;</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condensers, air handlers, process chillers, controls, and</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Preservation;</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34"/>
        </w:trPr>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compressorized racks</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Non-Food/Industrial</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r>
      <w:tr>
        <w:trPr>
          <w:trHeight w:val="27"/>
        </w:trPr>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taxes included in the accompanying Consolidated Statements of Operations, excluding certain items. The reconciliation in the table below details the items excluded.</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LII. We record these share-based awards as corporate costs because they are determined at the discretion of the Board of Directors and based on the historical practice of doing so for internal reporting purposes.</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Any intercompany sales and associated profit (and any other intercompany items) are eliminated from segment results. There were no significant intercompany eliminations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Net sales and segment profit (loss) for each segment, along with a reconciliation of segment profit (loss) to Operating income, are shown below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7"/>
                <w:szCs w:val="17"/>
                <w:color w:val="auto"/>
              </w:rPr>
            </w:pPr>
          </w:p>
        </w:tc>
        <w:tc>
          <w:tcPr>
            <w:tcW w:w="2420" w:type="dxa"/>
            <w:vAlign w:val="bottom"/>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33"/>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1,792.2</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5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2,922.2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3"/>
                <w:szCs w:val="23"/>
                <w:b w:val="1"/>
                <w:bCs w:val="1"/>
                <w:color w:val="auto"/>
                <w:vertAlign w:val="superscript"/>
              </w:rPr>
              <w:t>(1)</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7"/>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profit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product quality adjustments</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quarter partial advance of insurance recoveries related to lost profits</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from natural disasters, net of insurance recoveries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5"/>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in Losses (gains) and other expenses, net that are excluded from segment</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 (loss) (1)</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6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465.3</w:t>
            </w: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420" w:hanging="169"/>
        <w:spacing w:after="0"/>
        <w:tabs>
          <w:tab w:leader="none" w:pos="42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define segment profit (loss) as a segment's operating income included in the accompanying Consolidated Statements of Operations, excluding:</w:t>
      </w:r>
    </w:p>
    <w:p>
      <w:pPr>
        <w:spacing w:after="0" w:line="1" w:lineRule="exact"/>
        <w:rPr>
          <w:rFonts w:ascii="Times New Roman" w:cs="Times New Roman" w:eastAsia="Times New Roman" w:hAnsi="Times New Roman"/>
          <w:sz w:val="21"/>
          <w:szCs w:val="21"/>
          <w:color w:val="auto"/>
          <w:vertAlign w:val="superscript"/>
        </w:rPr>
      </w:pPr>
    </w:p>
    <w:p>
      <w:pPr>
        <w:ind w:left="740" w:hanging="246"/>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(gains) and other expenses, net:</w:t>
      </w:r>
    </w:p>
    <w:p>
      <w:pPr>
        <w:spacing w:after="0" w:line="7"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(gains) losses on unsettled futures contracts,</w:t>
      </w:r>
    </w:p>
    <w:p>
      <w:pPr>
        <w:spacing w:after="0" w:line="9"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legal contingency charges,</w:t>
      </w:r>
    </w:p>
    <w:p>
      <w:pPr>
        <w:spacing w:after="0" w:line="9"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Asbestos-related litigation,</w:t>
      </w:r>
    </w:p>
    <w:p>
      <w:pPr>
        <w:spacing w:after="0" w:line="9"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incurred related to COVID-19 pandemic,</w:t>
      </w:r>
    </w:p>
    <w:p>
      <w:pPr>
        <w:spacing w:after="0" w:line="9"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Other items, net,</w:t>
      </w:r>
    </w:p>
    <w:p>
      <w:pPr>
        <w:spacing w:after="0" w:line="9" w:lineRule="exact"/>
        <w:rPr>
          <w:rFonts w:ascii="Times New Roman" w:cs="Times New Roman" w:eastAsia="Times New Roman" w:hAnsi="Times New Roman"/>
          <w:sz w:val="16"/>
          <w:szCs w:val="16"/>
          <w:color w:val="auto"/>
        </w:rPr>
      </w:pPr>
    </w:p>
    <w:p>
      <w:pPr>
        <w:ind w:left="740" w:hanging="246"/>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sale of business,</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product quality adjustments,</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quarter partial advance of insurance recoveries related to lost profits,</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from natural disasters, net of insurance recoveries; and,</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for Income from continuing operations were as follows (in millions, except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232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80" w:type="dxa"/>
            <w:vAlign w:val="bottom"/>
          </w:tcPr>
          <w:p>
            <w:pPr>
              <w:spacing w:after="0"/>
              <w:rPr>
                <w:sz w:val="17"/>
                <w:szCs w:val="17"/>
                <w:color w:val="auto"/>
              </w:rPr>
            </w:pPr>
          </w:p>
        </w:tc>
        <w:tc>
          <w:tcPr>
            <w:tcW w:w="2260" w:type="dxa"/>
            <w:vAlign w:val="bottom"/>
            <w:gridSpan w:val="4"/>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2260" w:type="dxa"/>
            <w:vAlign w:val="bottom"/>
            <w:gridSpan w:val="4"/>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6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Exclude: Loss from discontinued operations</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Potential effect of dilutive securities attributable to stock-based payments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21"/>
                <w:szCs w:val="21"/>
                <w:color w:val="auto"/>
              </w:rPr>
            </w:pPr>
          </w:p>
        </w:tc>
        <w:tc>
          <w:tcPr>
            <w:tcW w:w="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7"/>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63"/>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6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43"/>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352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400" w:type="dxa"/>
            <w:vAlign w:val="bottom"/>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33"/>
        </w:trPr>
        <w:tc>
          <w:tcPr>
            <w:tcW w:w="4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640" w:type="dxa"/>
            <w:vAlign w:val="bottom"/>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4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Price per share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$257.08</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$257.08</w:t>
            </w:r>
          </w:p>
        </w:tc>
        <w:tc>
          <w:tcPr>
            <w:tcW w:w="12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2" w:name="page13"/>
    <w:bookmarkEnd w:id="12"/>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which is the date we enter the leased space and begin to make improvements in preparation for its intended use.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21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72% of our right-of-use assets and lease liabilities relate to our leases of real estate with the remaining amounts relating to our leases of IT equipment, fleet vehicles and manufacturing and distribution equipment.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assumptions, as necessary.</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Liabilities for estimated product warranty costs related to continuing operations are included in the following captions on the accompanying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20" w:type="dxa"/>
            <w:vAlign w:val="bottom"/>
          </w:tcPr>
          <w:p>
            <w:pPr>
              <w:spacing w:after="0"/>
              <w:rPr>
                <w:sz w:val="18"/>
                <w:szCs w:val="18"/>
                <w:color w:val="auto"/>
              </w:rPr>
            </w:pPr>
          </w:p>
        </w:tc>
        <w:tc>
          <w:tcPr>
            <w:tcW w:w="21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r>
      <w:tr>
        <w:trPr>
          <w:trHeight w:val="33"/>
        </w:trPr>
        <w:tc>
          <w:tcPr>
            <w:tcW w:w="7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780" w:type="dxa"/>
            <w:vAlign w:val="bottom"/>
            <w:tcBorders>
              <w:bottom w:val="single" w:sz="8" w:color="CCEEFF"/>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7"/>
        </w:trPr>
        <w:tc>
          <w:tcPr>
            <w:tcW w:w="7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7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changes in product warranty liabilities related to continuing operations for the nine months ended September 30, 2020 were as follows (in millions):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2019</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r>
      <w:tr>
        <w:trPr>
          <w:trHeight w:val="243"/>
        </w:trPr>
        <w:tc>
          <w:tcPr>
            <w:tcW w:w="9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 claims paid</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9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9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9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September 30, 2020</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r>
      <w:tr>
        <w:trPr>
          <w:trHeight w:val="27"/>
        </w:trPr>
        <w:tc>
          <w:tcPr>
            <w:tcW w:w="98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We may have greater financial exposure for future settlements and judgments. The following table summarizes the expenses, net of probable insurance recoveries, for known and future asbestos-related litigation recorded in Losses (gains) and other expenses, net in the Consolidated Statements of Operations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270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0" w:type="dxa"/>
            <w:vAlign w:val="bottom"/>
          </w:tcPr>
          <w:p>
            <w:pPr>
              <w:spacing w:after="0"/>
              <w:rPr>
                <w:sz w:val="17"/>
                <w:szCs w:val="17"/>
                <w:color w:val="auto"/>
              </w:rPr>
            </w:pPr>
          </w:p>
        </w:tc>
        <w:tc>
          <w:tcPr>
            <w:tcW w:w="234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center"/>
              <w:ind w:left="47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Pr>
          <w:p>
            <w:pPr>
              <w:spacing w:after="0"/>
              <w:rPr>
                <w:sz w:val="18"/>
                <w:szCs w:val="18"/>
                <w:color w:val="auto"/>
              </w:rPr>
            </w:pPr>
          </w:p>
        </w:tc>
      </w:tr>
      <w:tr>
        <w:trPr>
          <w:trHeight w:val="33"/>
        </w:trPr>
        <w:tc>
          <w:tcPr>
            <w:tcW w:w="60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w w:val="93"/>
              </w:rPr>
              <w:t>2019</w:t>
            </w:r>
          </w:p>
        </w:tc>
      </w:tr>
      <w:tr>
        <w:trPr>
          <w:trHeight w:val="33"/>
        </w:trPr>
        <w:tc>
          <w:tcPr>
            <w:tcW w:w="60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(gain) for asbestos-related litigation, net</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0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and Recovery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19, 2018, our manufacturing facility in Marshalltown, Iowa was severely damaged by a tornado. On August 10, 2020, the Marshalltown facility was partially damaged by a derecho wind storm. The costs and losses incurred as well as any insurance recoveries for both of these natural disasters are shown in Loss (gain) from natural disasters, net of insurance recoveries in the Consolidated Statements of Operations.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components of Loss (gain) from natural disasters, net of insurance recoveries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272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7"/>
                <w:szCs w:val="17"/>
                <w:color w:val="auto"/>
              </w:rPr>
            </w:pPr>
          </w:p>
        </w:tc>
        <w:tc>
          <w:tcPr>
            <w:tcW w:w="2400" w:type="dxa"/>
            <w:vAlign w:val="bottom"/>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8"/>
                <w:szCs w:val="18"/>
                <w:color w:val="auto"/>
              </w:rPr>
            </w:pPr>
          </w:p>
        </w:tc>
      </w:tr>
      <w:tr>
        <w:trPr>
          <w:trHeight w:val="33"/>
        </w:trPr>
        <w:tc>
          <w:tcPr>
            <w:tcW w:w="59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59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33"/>
        </w:trPr>
        <w:tc>
          <w:tcPr>
            <w:tcW w:w="59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Marshalltown tornado</w:t>
            </w:r>
          </w:p>
        </w:tc>
        <w:tc>
          <w:tcPr>
            <w:tcW w:w="800" w:type="dxa"/>
            <w:vAlign w:val="bottom"/>
            <w:tcBorders>
              <w:bottom w:val="single" w:sz="8" w:color="CCEEFF"/>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Marshalltown wind storm</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9"/>
        </w:trPr>
        <w:tc>
          <w:tcPr>
            <w:tcW w:w="5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Loss (gain) from natural disasters, net of insurance recoveries</w:t>
            </w: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Marshalltown Tornado</w:t>
      </w:r>
    </w:p>
    <w:p>
      <w:pPr>
        <w:spacing w:after="0" w:line="25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Insurance covered the repair or replacement of our assets that suffered damage or loss, and business interruption costs, including lost profits, and reimbursement for other expenses and costs that have been incurred relating to the damages and losses suffered. In December 2019, we reached a final settlement with our insurance carriers for a total cumulative insurance recovery of $367.5 million for the losses we incurred and will incur from the tornado. All recoveries related to the final settlement were received in 2018 and 2019. The following table summarizes the Loss (gain) from natural disasters, net of insurance recoveries relating to the tornado (in millions):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tbl>
      <w:tblPr>
        <w:tblLayout w:type="fixed"/>
        <w:tblInd w:w="12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8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40" w:type="dxa"/>
            <w:vAlign w:val="bottom"/>
          </w:tcPr>
          <w:p>
            <w:pPr>
              <w:spacing w:after="0"/>
              <w:rPr>
                <w:sz w:val="17"/>
                <w:szCs w:val="17"/>
                <w:color w:val="auto"/>
              </w:rPr>
            </w:pPr>
          </w:p>
        </w:tc>
        <w:tc>
          <w:tcPr>
            <w:tcW w:w="246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5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33"/>
        </w:trPr>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Insurance recoveries received</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Losses and expenses incurred:</w:t>
            </w:r>
          </w:p>
        </w:tc>
        <w:tc>
          <w:tcPr>
            <w:tcW w:w="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Site clean-up and remediation</w:t>
            </w: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Factory inefficiencies due to lower productivity</w:t>
            </w:r>
          </w:p>
        </w:tc>
        <w:tc>
          <w:tcPr>
            <w:tcW w:w="84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7"/>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3"/>
        </w:trPr>
        <w:tc>
          <w:tcPr>
            <w:tcW w:w="5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Components of Marshalltown tornado in Loss (gain) from natural</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2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disasters, net of insurance recoveries: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 proceeds for lost profits</w:t>
            </w:r>
          </w:p>
        </w:tc>
        <w:tc>
          <w:tcPr>
            <w:tcW w:w="84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from natural disaster, net of insurance recoveries</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7"/>
        </w:trPr>
        <w:tc>
          <w:tcPr>
            <w:tcW w:w="5500" w:type="dxa"/>
            <w:vAlign w:val="bottom"/>
          </w:tcPr>
          <w:p>
            <w:pPr>
              <w:spacing w:after="0"/>
              <w:rPr>
                <w:sz w:val="20"/>
                <w:szCs w:val="20"/>
                <w:color w:val="auto"/>
              </w:rPr>
            </w:pPr>
          </w:p>
        </w:tc>
        <w:tc>
          <w:tcPr>
            <w:tcW w:w="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r>
      <w:tr>
        <w:trPr>
          <w:trHeight w:val="27"/>
        </w:trPr>
        <w:tc>
          <w:tcPr>
            <w:tcW w:w="5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
        </w:trPr>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Marshalltown Wind Storm</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insurance for the repair and replacement of our assets that suffered damage or loss, and are working closely with our insurance carriers and claims adjusters to ascertain the amount of insurance recoveries due to us as a result of the damage and losses we suffered. Our insurance policies also provide business interruption coverage, including lost profits and reimbursement for other expenses and costs that have been incurred related to the damages and losses suffered. The following table summarizes the Loss (gain) from natural disasters, net of insurance recoveries relating to the wind storm (in millions):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gridSpan w:val="3"/>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5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 write-offs</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Site clean-up and remediation</w:t>
            </w: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Building repairs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Factory inefficiencies due to lower productivity</w:t>
            </w: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82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3"/>
        </w:trPr>
        <w:tc>
          <w:tcPr>
            <w:tcW w:w="5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Components of Marshalltown wind storm in Loss (gain) from natural</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disasters, net of insurance recoveries: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from natural disaster</w:t>
            </w:r>
          </w:p>
        </w:tc>
        <w:tc>
          <w:tcPr>
            <w:tcW w:w="82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Board of Directors have authorized a total of $3 billion to repurchase shares of our common stock (collectively referred to as the "Share Repurchase Plans"), including a $500 million share repurchase authorization in December 2019.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September 30, 2020, $446 million of shares may be repurchased under the Share Repurchase Plans.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February 13, 2020, we entered into a Fixed Dollar Accelerated Share Repurchase Transaction (the "ASR Agreement") with Bank of America, to effect an accelerated stock buyback of the Company's common stock. Under the ASR Agreement, we paid Bank of America $100.0 million and Bank of America delivered to us common stock representing approximately 85% of the shares expected to be purchased under the ASR Agreement. The ASR was completed in March 2020 and Bank of America delivered a total of 0.4 million shares of common stock repurchased under this ASR Agreement.</w:t>
      </w:r>
    </w:p>
    <w:p>
      <w:pPr>
        <w:sectPr>
          <w:pgSz w:w="11900" w:h="16838" w:orient="portrait"/>
          <w:cols w:equalWidth="0" w:num="1">
            <w:col w:w="11240"/>
          </w:cols>
          <w:pgMar w:left="320" w:top="9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15" w:name="page16"/>
    <w:bookmarkEnd w:id="15"/>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also repurchased shares for $10.1 million during the nine months ended September 30, 2020 from employees who tendered their shares to satisfy minimum tax withholding obligations upon the vesting and exercise of stock-based compensation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Divestitures:</w:t>
      </w:r>
    </w:p>
    <w:p>
      <w:pPr>
        <w:spacing w:after="0" w:line="256"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During the first quarter of 2019, we obtained Board of Directors' approval and signed an agreement with EPTA S.p.A., a private Italian company, for the sale of our Kysor Warren business. The sale was completed on March 29, 2019 and the following table summarizes the net loss recognized in connection with this divestiture. There were no gains or losses on the sale of this business for the nine months ended September 30, 2020.</w:t>
      </w: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w:t>
            </w:r>
          </w:p>
        </w:tc>
        <w:tc>
          <w:tcPr>
            <w:tcW w:w="0" w:type="dxa"/>
            <w:vAlign w:val="bottom"/>
          </w:tcPr>
          <w:p>
            <w:pPr>
              <w:spacing w:after="0"/>
              <w:rPr>
                <w:sz w:val="1"/>
                <w:szCs w:val="1"/>
                <w:color w:val="auto"/>
              </w:rPr>
            </w:pPr>
          </w:p>
        </w:tc>
      </w:tr>
      <w:tr>
        <w:trPr>
          <w:trHeight w:val="212"/>
        </w:trPr>
        <w:tc>
          <w:tcPr>
            <w:tcW w:w="83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the buyer</w:t>
            </w:r>
          </w:p>
        </w:tc>
        <w:tc>
          <w:tcPr>
            <w:tcW w:w="48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sold</w:t>
            </w:r>
          </w:p>
        </w:tc>
        <w:tc>
          <w:tcPr>
            <w:tcW w:w="4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 reclassification adjustments, primarily foreign currency translation</w:t>
            </w:r>
          </w:p>
        </w:tc>
        <w:tc>
          <w:tcPr>
            <w:tcW w:w="4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 to sell</w:t>
            </w:r>
          </w:p>
        </w:tc>
        <w:tc>
          <w:tcPr>
            <w:tcW w:w="4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Loss on sale of business</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Restructuring Charges: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record restructuring charges associated with management-approved restructuring plans when we reorganize or remove duplicative headcount or infrastructure within our businesses. Restructuring charges include severance costs to eliminate a specified number of employees, infrastructure charges to vacate facilities and consolidate operations, contract cancellation costs, accelerated depreciation for impaired assets and other related activities. The timing of associated cash payments is dependent upon the type of restructuring charge and can extend over a multi-year period. Restructuring charges are not included in our calculation of segment profit (loss), as more fully explained in Note 2.</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Due to the economic impact of COVID-19 on our business, we implemented several cost reduction actions in the second quarter of 2020. We recorded $10.0 million of restructuring charges for the nine months ended September 30, 2020 for these actions, which consisted of employee terminations for positions that were no longer needed to support the business, selective facility closures, and cancellations of certain sales and marketing activities. We also recorded $0.6 million of restructuring charges for restructuring plans initiated in the third and fourth quarters of 2019.</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Information regarding the restructuring charges for all ongoing activities, including actions initiated in 2019, is presented in the following table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Total Expected to</w:t>
            </w:r>
          </w:p>
        </w:tc>
      </w:tr>
      <w:tr>
        <w:trPr>
          <w:trHeight w:val="212"/>
        </w:trPr>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Incurred in 2020</w:t>
            </w:r>
          </w:p>
        </w:tc>
        <w:tc>
          <w:tcPr>
            <w:tcW w:w="16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Incurred to Date</w:t>
            </w:r>
          </w:p>
        </w:tc>
        <w:tc>
          <w:tcPr>
            <w:tcW w:w="140" w:type="dxa"/>
            <w:vAlign w:val="bottom"/>
          </w:tcPr>
          <w:p>
            <w:pPr>
              <w:spacing w:after="0"/>
              <w:rPr>
                <w:sz w:val="18"/>
                <w:szCs w:val="18"/>
                <w:color w:val="auto"/>
              </w:rPr>
            </w:pPr>
          </w:p>
        </w:tc>
        <w:tc>
          <w:tcPr>
            <w:tcW w:w="140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be Incurred</w:t>
            </w:r>
          </w:p>
        </w:tc>
      </w:tr>
      <w:tr>
        <w:trPr>
          <w:trHeight w:val="33"/>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related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write-offs and accelerated depreciation</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termination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While restructuring charges are excluded from our calculation of segment profit (loss), the table below presents the restructuring charges associated with each segment (in millions):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9"/>
              </w:rPr>
              <w:t>Total Expected to</w:t>
            </w:r>
          </w:p>
        </w:tc>
      </w:tr>
      <w:tr>
        <w:trPr>
          <w:trHeight w:val="212"/>
        </w:trPr>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Incurred in 2020</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Incurred to Date</w:t>
            </w:r>
          </w:p>
        </w:tc>
        <w:tc>
          <w:tcPr>
            <w:tcW w:w="140" w:type="dxa"/>
            <w:vAlign w:val="bottom"/>
          </w:tcPr>
          <w:p>
            <w:pPr>
              <w:spacing w:after="0"/>
              <w:rPr>
                <w:sz w:val="18"/>
                <w:szCs w:val="18"/>
                <w:color w:val="auto"/>
              </w:rPr>
            </w:pPr>
          </w:p>
        </w:tc>
        <w:tc>
          <w:tcPr>
            <w:tcW w:w="13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be Incurred</w:t>
            </w:r>
          </w:p>
        </w:tc>
      </w:tr>
      <w:tr>
        <w:trPr>
          <w:trHeight w:val="33"/>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1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&amp; Other</w:t>
            </w:r>
          </w:p>
        </w:tc>
        <w:tc>
          <w:tcPr>
            <w:tcW w:w="1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6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Revenue Recognition:</w:t>
      </w:r>
    </w:p>
    <w:p>
      <w:pPr>
        <w:spacing w:after="0" w:line="256" w:lineRule="exact"/>
        <w:rPr>
          <w:sz w:val="20"/>
          <w:szCs w:val="20"/>
          <w:color w:val="auto"/>
        </w:rPr>
      </w:pPr>
    </w:p>
    <w:p>
      <w:pPr>
        <w:jc w:val="both"/>
        <w:ind w:firstLine="243"/>
        <w:spacing w:after="0" w:line="276"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80" w:type="dxa"/>
            <w:vAlign w:val="bottom"/>
            <w:tcBorders>
              <w:bottom w:val="single" w:sz="8" w:color="auto"/>
            </w:tcBorders>
            <w:gridSpan w:val="13"/>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2020</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07"/>
        </w:trPr>
        <w:tc>
          <w:tcPr>
            <w:tcW w:w="1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Heating &amp;</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2"/>
        </w:trPr>
        <w:tc>
          <w:tcPr>
            <w:tcW w:w="1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40" w:type="dxa"/>
            <w:vAlign w:val="bottom"/>
          </w:tcPr>
          <w:p>
            <w:pPr>
              <w:spacing w:after="0"/>
              <w:rPr>
                <w:sz w:val="18"/>
                <w:szCs w:val="18"/>
                <w:color w:val="auto"/>
              </w:rPr>
            </w:pPr>
          </w:p>
        </w:tc>
        <w:tc>
          <w:tcPr>
            <w:tcW w:w="18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18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180" w:type="dxa"/>
            <w:vAlign w:val="bottom"/>
          </w:tcPr>
          <w:p>
            <w:pPr>
              <w:spacing w:after="0"/>
              <w:rPr>
                <w:sz w:val="20"/>
                <w:szCs w:val="20"/>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w:t>
            </w:r>
          </w:p>
        </w:tc>
        <w:tc>
          <w:tcPr>
            <w:tcW w:w="500" w:type="dxa"/>
            <w:vAlign w:val="bottom"/>
            <w:tcBorders>
              <w:bottom w:val="single" w:sz="8" w:color="CCEEFF"/>
            </w:tcBorders>
            <w:gridSpan w:val="5"/>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180" w:type="dxa"/>
            <w:vAlign w:val="bottom"/>
          </w:tcPr>
          <w:p>
            <w:pPr>
              <w:spacing w:after="0"/>
              <w:rPr>
                <w:sz w:val="20"/>
                <w:szCs w:val="20"/>
                <w:color w:val="auto"/>
              </w:rPr>
            </w:pPr>
          </w:p>
        </w:tc>
      </w:tr>
      <w:tr>
        <w:trPr>
          <w:trHeight w:val="223"/>
        </w:trPr>
        <w:tc>
          <w:tcPr>
            <w:tcW w:w="18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80" w:type="dxa"/>
            <w:vAlign w:val="bottom"/>
          </w:tcPr>
          <w:p>
            <w:pPr>
              <w:spacing w:after="0"/>
              <w:rPr>
                <w:sz w:val="19"/>
                <w:szCs w:val="19"/>
                <w:color w:val="auto"/>
              </w:rPr>
            </w:pPr>
          </w:p>
        </w:tc>
      </w:tr>
      <w:tr>
        <w:trPr>
          <w:trHeight w:val="33"/>
        </w:trPr>
        <w:tc>
          <w:tcPr>
            <w:tcW w:w="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18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80" w:type="dxa"/>
            <w:vAlign w:val="bottom"/>
          </w:tcPr>
          <w:p>
            <w:pPr>
              <w:spacing w:after="0"/>
              <w:rPr>
                <w:sz w:val="22"/>
                <w:szCs w:val="22"/>
                <w:color w:val="auto"/>
              </w:rPr>
            </w:pPr>
          </w:p>
        </w:tc>
      </w:tr>
      <w:tr>
        <w:trPr>
          <w:trHeight w:val="247"/>
        </w:trPr>
        <w:tc>
          <w:tcPr>
            <w:tcW w:w="180" w:type="dxa"/>
            <w:vAlign w:val="bottom"/>
          </w:tcPr>
          <w:p>
            <w:pPr>
              <w:spacing w:after="0"/>
              <w:rPr>
                <w:sz w:val="21"/>
                <w:szCs w:val="21"/>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722.0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380" w:type="dxa"/>
            <w:vAlign w:val="bottom"/>
            <w:tcBorders>
              <w:top w:val="single" w:sz="8" w:color="auto"/>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Borders>
              <w:top w:val="single" w:sz="8" w:color="auto"/>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125.1</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1,055.0</w:t>
            </w:r>
          </w:p>
        </w:tc>
        <w:tc>
          <w:tcPr>
            <w:tcW w:w="180" w:type="dxa"/>
            <w:vAlign w:val="bottom"/>
          </w:tcPr>
          <w:p>
            <w:pPr>
              <w:spacing w:after="0"/>
              <w:rPr>
                <w:sz w:val="21"/>
                <w:szCs w:val="21"/>
                <w:color w:val="auto"/>
              </w:rPr>
            </w:pPr>
          </w:p>
        </w:tc>
      </w:tr>
      <w:tr>
        <w:trPr>
          <w:trHeight w:val="23"/>
        </w:trPr>
        <w:tc>
          <w:tcPr>
            <w:tcW w:w="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371"/>
        </w:trPr>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3"/>
          </w:tcPr>
          <w:p>
            <w:pPr>
              <w:spacing w:after="0"/>
              <w:rPr>
                <w:sz w:val="24"/>
                <w:szCs w:val="24"/>
                <w:color w:val="auto"/>
              </w:rPr>
            </w:pPr>
          </w:p>
        </w:tc>
        <w:tc>
          <w:tcPr>
            <w:tcW w:w="1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4"/>
        </w:trPr>
        <w:tc>
          <w:tcPr>
            <w:tcW w:w="18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80" w:type="dxa"/>
            <w:vAlign w:val="bottom"/>
            <w:tcBorders>
              <w:bottom w:val="single" w:sz="8" w:color="auto"/>
            </w:tcBorders>
            <w:gridSpan w:val="13"/>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2019</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Heating &amp;</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2"/>
        </w:trPr>
        <w:tc>
          <w:tcPr>
            <w:tcW w:w="1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40" w:type="dxa"/>
            <w:vAlign w:val="bottom"/>
          </w:tcPr>
          <w:p>
            <w:pPr>
              <w:spacing w:after="0"/>
              <w:rPr>
                <w:sz w:val="18"/>
                <w:szCs w:val="18"/>
                <w:color w:val="auto"/>
              </w:rPr>
            </w:pPr>
          </w:p>
        </w:tc>
        <w:tc>
          <w:tcPr>
            <w:tcW w:w="18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18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180" w:type="dxa"/>
            <w:vAlign w:val="bottom"/>
          </w:tcPr>
          <w:p>
            <w:pPr>
              <w:spacing w:after="0"/>
              <w:rPr>
                <w:sz w:val="20"/>
                <w:szCs w:val="20"/>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500" w:type="dxa"/>
            <w:vAlign w:val="bottom"/>
            <w:tcBorders>
              <w:bottom w:val="single" w:sz="8" w:color="CCEEFF"/>
            </w:tcBorders>
            <w:gridSpan w:val="5"/>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w:t>
            </w:r>
          </w:p>
        </w:tc>
        <w:tc>
          <w:tcPr>
            <w:tcW w:w="180" w:type="dxa"/>
            <w:vAlign w:val="bottom"/>
          </w:tcPr>
          <w:p>
            <w:pPr>
              <w:spacing w:after="0"/>
              <w:rPr>
                <w:sz w:val="20"/>
                <w:szCs w:val="20"/>
                <w:color w:val="auto"/>
              </w:rPr>
            </w:pPr>
          </w:p>
        </w:tc>
      </w:tr>
      <w:tr>
        <w:trPr>
          <w:trHeight w:val="223"/>
        </w:trPr>
        <w:tc>
          <w:tcPr>
            <w:tcW w:w="18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80" w:type="dxa"/>
            <w:vAlign w:val="bottom"/>
          </w:tcPr>
          <w:p>
            <w:pPr>
              <w:spacing w:after="0"/>
              <w:rPr>
                <w:sz w:val="19"/>
                <w:szCs w:val="19"/>
                <w:color w:val="auto"/>
              </w:rPr>
            </w:pPr>
          </w:p>
        </w:tc>
      </w:tr>
      <w:tr>
        <w:trPr>
          <w:trHeight w:val="33"/>
        </w:trPr>
        <w:tc>
          <w:tcPr>
            <w:tcW w:w="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18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80" w:type="dxa"/>
            <w:vAlign w:val="bottom"/>
          </w:tcPr>
          <w:p>
            <w:pPr>
              <w:spacing w:after="0"/>
              <w:rPr>
                <w:sz w:val="22"/>
                <w:szCs w:val="22"/>
                <w:color w:val="auto"/>
              </w:rPr>
            </w:pPr>
          </w:p>
        </w:tc>
      </w:tr>
      <w:tr>
        <w:trPr>
          <w:trHeight w:val="247"/>
        </w:trPr>
        <w:tc>
          <w:tcPr>
            <w:tcW w:w="180" w:type="dxa"/>
            <w:vAlign w:val="bottom"/>
          </w:tcPr>
          <w:p>
            <w:pPr>
              <w:spacing w:after="0"/>
              <w:rPr>
                <w:sz w:val="21"/>
                <w:szCs w:val="21"/>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637.6</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380" w:type="dxa"/>
            <w:vAlign w:val="bottom"/>
            <w:tcBorders>
              <w:top w:val="single" w:sz="8" w:color="auto"/>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253.3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Borders>
              <w:top w:val="single" w:sz="8" w:color="auto"/>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142.0</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1,032.9</w:t>
            </w:r>
          </w:p>
        </w:tc>
        <w:tc>
          <w:tcPr>
            <w:tcW w:w="180" w:type="dxa"/>
            <w:vAlign w:val="bottom"/>
          </w:tcPr>
          <w:p>
            <w:pPr>
              <w:spacing w:after="0"/>
              <w:rPr>
                <w:sz w:val="21"/>
                <w:szCs w:val="21"/>
                <w:color w:val="auto"/>
              </w:rPr>
            </w:pPr>
          </w:p>
        </w:tc>
      </w:tr>
      <w:tr>
        <w:trPr>
          <w:trHeight w:val="24"/>
        </w:trPr>
        <w:tc>
          <w:tcPr>
            <w:tcW w:w="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614"/>
        </w:trPr>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3"/>
          </w:tcPr>
          <w:p>
            <w:pPr>
              <w:spacing w:after="0"/>
              <w:rPr>
                <w:sz w:val="24"/>
                <w:szCs w:val="24"/>
                <w:color w:val="auto"/>
              </w:rPr>
            </w:pPr>
          </w:p>
        </w:tc>
        <w:tc>
          <w:tcPr>
            <w:tcW w:w="1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4"/>
        </w:trPr>
        <w:tc>
          <w:tcPr>
            <w:tcW w:w="1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80" w:type="dxa"/>
            <w:vAlign w:val="bottom"/>
            <w:tcBorders>
              <w:bottom w:val="single" w:sz="8" w:color="auto"/>
            </w:tcBorders>
            <w:gridSpan w:val="13"/>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2020</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left w:val="single" w:sz="8" w:color="CCEEFF"/>
            </w:tcBorders>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 Heating &amp;</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2"/>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40" w:type="dxa"/>
            <w:vAlign w:val="bottom"/>
          </w:tcPr>
          <w:p>
            <w:pPr>
              <w:spacing w:after="0"/>
              <w:rPr>
                <w:sz w:val="18"/>
                <w:szCs w:val="18"/>
                <w:color w:val="auto"/>
              </w:rPr>
            </w:pPr>
          </w:p>
        </w:tc>
        <w:tc>
          <w:tcPr>
            <w:tcW w:w="182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7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1,681.8</w:t>
            </w:r>
          </w:p>
        </w:tc>
        <w:tc>
          <w:tcPr>
            <w:tcW w:w="5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2,388.7</w:t>
            </w:r>
          </w:p>
        </w:tc>
        <w:tc>
          <w:tcPr>
            <w:tcW w:w="180" w:type="dxa"/>
            <w:vAlign w:val="bottom"/>
            <w:tcBorders>
              <w:left w:val="single" w:sz="8" w:color="CCEEFF"/>
            </w:tcBorders>
          </w:tcPr>
          <w:p>
            <w:pPr>
              <w:spacing w:after="0"/>
              <w:rPr>
                <w:sz w:val="20"/>
                <w:szCs w:val="20"/>
                <w:color w:val="auto"/>
              </w:rPr>
            </w:pP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80" w:type="dxa"/>
            <w:vAlign w:val="bottom"/>
          </w:tcPr>
          <w:p>
            <w:pPr>
              <w:spacing w:after="0"/>
              <w:rPr>
                <w:sz w:val="19"/>
                <w:szCs w:val="19"/>
                <w:color w:val="auto"/>
              </w:rPr>
            </w:pPr>
          </w:p>
        </w:tc>
      </w:tr>
      <w:tr>
        <w:trPr>
          <w:trHeight w:val="33"/>
        </w:trPr>
        <w:tc>
          <w:tcPr>
            <w:tcW w:w="3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80" w:type="dxa"/>
            <w:vAlign w:val="bottom"/>
            <w:tcBorders>
              <w:left w:val="single" w:sz="8" w:color="CCEEFF"/>
            </w:tcBorders>
          </w:tcPr>
          <w:p>
            <w:pPr>
              <w:spacing w:after="0"/>
              <w:rPr>
                <w:sz w:val="22"/>
                <w:szCs w:val="22"/>
                <w:color w:val="auto"/>
              </w:rPr>
            </w:pPr>
          </w:p>
        </w:tc>
      </w:tr>
      <w:tr>
        <w:trPr>
          <w:trHeight w:val="24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1,808.8</w:t>
            </w:r>
          </w:p>
        </w:tc>
        <w:tc>
          <w:tcPr>
            <w:tcW w:w="80" w:type="dxa"/>
            <w:vAlign w:val="bottom"/>
            <w:tcBorders>
              <w:top w:val="single" w:sz="8" w:color="auto"/>
              <w:bottom w:val="single" w:sz="8" w:color="auto"/>
            </w:tcBorders>
            <w:gridSpan w:val="2"/>
          </w:tcPr>
          <w:p>
            <w:pPr>
              <w:spacing w:after="0"/>
              <w:rPr>
                <w:sz w:val="21"/>
                <w:szCs w:val="21"/>
                <w:color w:val="auto"/>
              </w:rPr>
            </w:pPr>
          </w:p>
        </w:tc>
        <w:tc>
          <w:tcPr>
            <w:tcW w:w="100" w:type="dxa"/>
            <w:vAlign w:val="bottom"/>
            <w:gridSpan w:val="2"/>
          </w:tcPr>
          <w:p>
            <w:pPr>
              <w:spacing w:after="0"/>
              <w:rPr>
                <w:sz w:val="21"/>
                <w:szCs w:val="21"/>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574.6</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336.7</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2,720.1</w:t>
            </w:r>
          </w:p>
        </w:tc>
        <w:tc>
          <w:tcPr>
            <w:tcW w:w="180" w:type="dxa"/>
            <w:vAlign w:val="bottom"/>
          </w:tcPr>
          <w:p>
            <w:pPr>
              <w:spacing w:after="0"/>
              <w:rPr>
                <w:sz w:val="21"/>
                <w:szCs w:val="21"/>
                <w:color w:val="auto"/>
              </w:rPr>
            </w:pPr>
          </w:p>
        </w:tc>
      </w:tr>
      <w:tr>
        <w:trPr>
          <w:trHeight w:val="23"/>
        </w:trPr>
        <w:tc>
          <w:tcPr>
            <w:tcW w:w="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615"/>
        </w:trPr>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spacing w:after="0"/>
              <w:rPr>
                <w:sz w:val="24"/>
                <w:szCs w:val="24"/>
                <w:color w:val="auto"/>
              </w:rPr>
            </w:pPr>
          </w:p>
        </w:tc>
        <w:tc>
          <w:tcPr>
            <w:tcW w:w="136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gridSpan w:val="1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r>
      <w:tr>
        <w:trPr>
          <w:trHeight w:val="207"/>
        </w:trPr>
        <w:tc>
          <w:tcPr>
            <w:tcW w:w="1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Borders>
              <w:top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Commercial Heating &amp;</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r>
      <w:tr>
        <w:trPr>
          <w:trHeight w:val="212"/>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7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3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1,677.6</w:t>
            </w:r>
          </w:p>
        </w:tc>
        <w:tc>
          <w:tcPr>
            <w:tcW w:w="1400" w:type="dxa"/>
            <w:vAlign w:val="bottom"/>
            <w:tcBorders>
              <w:bottom w:val="single" w:sz="8" w:color="CCEEFF"/>
            </w:tcBorders>
            <w:gridSpan w:val="3"/>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2,555.0</w:t>
            </w: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179.1</w:t>
            </w:r>
          </w:p>
        </w:tc>
      </w:tr>
      <w:tr>
        <w:trPr>
          <w:trHeight w:val="33"/>
        </w:trPr>
        <w:tc>
          <w:tcPr>
            <w:tcW w:w="3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r>
      <w:tr>
        <w:trPr>
          <w:trHeight w:val="257"/>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188.1</w:t>
            </w:r>
          </w:p>
        </w:tc>
      </w:tr>
      <w:tr>
        <w:trPr>
          <w:trHeight w:val="24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1,792.2</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687.9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442.1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2,922.2</w:t>
            </w:r>
          </w:p>
        </w:tc>
      </w:tr>
      <w:tr>
        <w:trPr>
          <w:trHeight w:val="24"/>
        </w:trPr>
        <w:tc>
          <w:tcPr>
            <w:tcW w:w="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3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Residential Heating &amp; Cooling </w:t>
      </w:r>
      <w:r>
        <w:rPr>
          <w:rFonts w:ascii="Times New Roman" w:cs="Times New Roman" w:eastAsia="Times New Roman" w:hAnsi="Times New Roman"/>
          <w:sz w:val="18"/>
          <w:szCs w:val="18"/>
          <w:color w:val="auto"/>
        </w:rPr>
        <w:t>- We manufacture and market a broad range of furnaces, air conditioners, heat pumps, packaged heating and cooling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September 30, 2020 and 2019, direct sales represented 74% and 74% of revenues, and sales to independent distributors represented the remainder. For the nine months ended September 30, 2020 and 2019, direct sales represented 75% and 74% of revenues, and sales to independent distributors represented the remainder. Given the nature of our business, customer product orders are fulfilled at a point in time and not over a period of time.</w:t>
      </w:r>
    </w:p>
    <w:p>
      <w:pPr>
        <w:spacing w:after="0" w:line="212"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Commercial Heating &amp; Cooling </w:t>
      </w:r>
      <w:r>
        <w:rPr>
          <w:rFonts w:ascii="Times New Roman" w:cs="Times New Roman" w:eastAsia="Times New Roman" w:hAnsi="Times New Roman"/>
          <w:sz w:val="18"/>
          <w:szCs w:val="18"/>
          <w:color w:val="auto"/>
        </w:rPr>
        <w:t>- In North America, we manufacture and sell unitary heating and cooling equipment used in light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such as low-rise office buildings, restaurants, retail centers, churches and schools. These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three months ended September 30, 2020 and 2019, equipment sales represented 83% and 86% of revenues and the remainder of our revenue was generated from our service business. For the nine months ended September 30, 2020 and 2019, equipment sales represented 84% and 86% of revenues, and the remainder of our revenue was generated from our service business.</w:t>
      </w:r>
    </w:p>
    <w:p>
      <w:pPr>
        <w:spacing w:after="0" w:line="21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Refrigeration </w:t>
      </w:r>
      <w:r>
        <w:rPr>
          <w:rFonts w:ascii="Times New Roman" w:cs="Times New Roman" w:eastAsia="Times New Roman" w:hAnsi="Times New Roman"/>
          <w:sz w:val="18"/>
          <w:szCs w:val="18"/>
          <w:color w:val="auto"/>
        </w:rPr>
        <w:t>- We manufacture and market equipment for the global commercial refrigeration markets under the Heatcraft Worldwide Refrigeration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 point in time when control transfers to the customer, which is generally at time of shipment. Less than 1% of segment revenue relates to services for start-up and commissioning activities.</w:t>
      </w:r>
    </w:p>
    <w:p>
      <w:pPr>
        <w:spacing w:after="0" w:line="4"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Variable Consideration </w:t>
      </w:r>
      <w:r>
        <w:rPr>
          <w:rFonts w:ascii="Times New Roman" w:cs="Times New Roman" w:eastAsia="Times New Roman" w:hAnsi="Times New Roman"/>
          <w:sz w:val="18"/>
          <w:szCs w:val="18"/>
          <w:color w:val="auto"/>
        </w:rPr>
        <w:t>- We engage in cooperative advertising, customer rebate, and other miscellaneous programs that result in payments or credits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21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Judgments and Assumptions </w:t>
      </w:r>
      <w:r>
        <w:rPr>
          <w:rFonts w:ascii="Times New Roman" w:cs="Times New Roman" w:eastAsia="Times New Roman" w:hAnsi="Times New Roman"/>
          <w:sz w:val="18"/>
          <w:szCs w:val="18"/>
          <w:color w:val="auto"/>
        </w:rPr>
        <w:t>- We apply the practical expedient in ASC 606-10-50-14 and do not disclose information about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215" w:lineRule="exact"/>
        <w:rPr>
          <w:sz w:val="20"/>
          <w:szCs w:val="20"/>
          <w:color w:val="auto"/>
        </w:rPr>
      </w:pPr>
    </w:p>
    <w:p>
      <w:pPr>
        <w:jc w:val="both"/>
        <w:ind w:firstLine="24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We do not have material amounts of contract assets since revenue is recognized as control of goods is transferred or as services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net in our Consolidated Balance Sheets.</w:t>
      </w:r>
    </w:p>
    <w:p>
      <w:pPr>
        <w:spacing w:after="0" w:line="203"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Our contract liabilities are reported in a net position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Sheets. The noncurrent portion of deferred revenue is included in Other liabilities in our Consolidated Balance Sheets.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contract assets (liabilities) consisted of the following:</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5"/>
        </w:trPr>
        <w:tc>
          <w:tcPr>
            <w:tcW w:w="5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 %</w:t>
            </w:r>
          </w:p>
        </w:tc>
      </w:tr>
      <w:tr>
        <w:trPr>
          <w:trHeight w:val="33"/>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4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5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bl>
    <w:p>
      <w:pPr>
        <w:spacing w:after="0" w:line="33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and 2019, we recognized revenue of $1.4 million and $0.2 million and for the nine months ended September 30, 2020 and 2019 we recognized revenue of $5.9 million and $2.8 million related to our contract liabilities at January 1, 2020 and 2019, respectively. Impairment losses recognized in our receivables and contract assets were de minimis in 2020 and 2019.</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right="8360" w:firstLine="8"/>
        <w:spacing w:after="0" w:line="263"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260" w:type="dxa"/>
            <w:vAlign w:val="bottom"/>
          </w:tcPr>
          <w:p>
            <w:pPr>
              <w:spacing w:after="0"/>
              <w:rPr>
                <w:sz w:val="18"/>
                <w:szCs w:val="18"/>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r>
      <w:tr>
        <w:trPr>
          <w:trHeight w:val="33"/>
        </w:trPr>
        <w:tc>
          <w:tcPr>
            <w:tcW w:w="72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7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37"/>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7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6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w:t>
            </w:r>
          </w:p>
        </w:tc>
      </w:tr>
      <w:tr>
        <w:trPr>
          <w:trHeight w:val="27"/>
        </w:trPr>
        <w:tc>
          <w:tcPr>
            <w:tcW w:w="7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7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6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7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408.7</w:t>
            </w:r>
          </w:p>
        </w:tc>
        <w:tc>
          <w:tcPr>
            <w:tcW w:w="16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544.1</w:t>
            </w:r>
          </w:p>
        </w:tc>
      </w:tr>
      <w:tr>
        <w:trPr>
          <w:trHeight w:val="20"/>
        </w:trPr>
        <w:tc>
          <w:tcPr>
            <w:tcW w:w="7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changes in the carrying amount of goodwill in 2020, in total and by segment, are summarized in the table below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Changes in foreign</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0"/>
        </w:trPr>
        <w:tc>
          <w:tcPr>
            <w:tcW w:w="6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58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currency translation</w:t>
            </w:r>
          </w:p>
        </w:tc>
        <w:tc>
          <w:tcPr>
            <w:tcW w:w="220" w:type="dxa"/>
            <w:vAlign w:val="bottom"/>
          </w:tcPr>
          <w:p>
            <w:pPr>
              <w:spacing w:after="0"/>
              <w:rPr>
                <w:sz w:val="13"/>
                <w:szCs w:val="13"/>
                <w:color w:val="auto"/>
              </w:rPr>
            </w:pPr>
          </w:p>
        </w:tc>
        <w:tc>
          <w:tcPr>
            <w:tcW w:w="1100" w:type="dxa"/>
            <w:vAlign w:val="bottom"/>
          </w:tcPr>
          <w:p>
            <w:pPr>
              <w:jc w:val="right"/>
              <w:ind w:right="254"/>
              <w:spacing w:after="0" w:line="160" w:lineRule="exact"/>
              <w:rPr>
                <w:sz w:val="20"/>
                <w:szCs w:val="20"/>
                <w:color w:val="auto"/>
              </w:rPr>
            </w:pPr>
            <w:r>
              <w:rPr>
                <w:rFonts w:ascii="Times New Roman" w:cs="Times New Roman" w:eastAsia="Times New Roman" w:hAnsi="Times New Roman"/>
                <w:sz w:val="14"/>
                <w:szCs w:val="14"/>
                <w:b w:val="1"/>
                <w:bCs w:val="1"/>
                <w:color w:val="auto"/>
              </w:rPr>
              <w:t>Balance at</w:t>
            </w:r>
          </w:p>
        </w:tc>
      </w:tr>
      <w:tr>
        <w:trPr>
          <w:trHeight w:val="189"/>
        </w:trPr>
        <w:tc>
          <w:tcPr>
            <w:tcW w:w="68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7"/>
        </w:trPr>
        <w:tc>
          <w:tcPr>
            <w:tcW w:w="6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6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w:t>
            </w:r>
          </w:p>
        </w:tc>
        <w:tc>
          <w:tcPr>
            <w:tcW w:w="1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0.2</w:t>
            </w:r>
          </w:p>
        </w:tc>
        <w:tc>
          <w:tcPr>
            <w:tcW w:w="1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186.7</w:t>
            </w:r>
          </w:p>
        </w:tc>
      </w:tr>
      <w:tr>
        <w:trPr>
          <w:trHeight w:val="21"/>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three or nine months ended September 30,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5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10"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bears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0"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January 2021 and February 2022, respectively. Unrealized gains or losses from our cash flow hedges are included in Accumulated other comprehensive loss (“AOCL”) and are expected to be reclassified into earnings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within the next 18 months based on the prices of the commodities and foreign currencies at the settlement dates. We recorded the following amounts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AOCL related to our cash flow hedges (in millions):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r>
      <w:tr>
        <w:trPr>
          <w:trHeight w:val="33"/>
        </w:trPr>
        <w:tc>
          <w:tcPr>
            <w:tcW w:w="74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unsettled contracts</w:t>
            </w:r>
          </w:p>
        </w:tc>
        <w:tc>
          <w:tcPr>
            <w:tcW w:w="780" w:type="dxa"/>
            <w:vAlign w:val="bottom"/>
            <w:tcBorders>
              <w:bottom w:val="single" w:sz="8" w:color="CCEEFF"/>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(2.0)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80" w:type="dxa"/>
            <w:vAlign w:val="bottom"/>
          </w:tcPr>
          <w:p>
            <w:pPr>
              <w:spacing w:after="0"/>
              <w:rPr>
                <w:sz w:val="21"/>
                <w:szCs w:val="21"/>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4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(Gains) included in AOCL, net of tax </w:t>
            </w:r>
            <w:r>
              <w:rPr>
                <w:rFonts w:ascii="Times New Roman" w:cs="Times New Roman" w:eastAsia="Times New Roman" w:hAnsi="Times New Roman"/>
                <w:sz w:val="23"/>
                <w:szCs w:val="23"/>
                <w:color w:val="auto"/>
                <w:vertAlign w:val="superscript"/>
              </w:rPr>
              <w:t>(1)</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left="500" w:hanging="168"/>
        <w:spacing w:after="0" w:line="229" w:lineRule="auto"/>
        <w:tabs>
          <w:tab w:leader="none" w:pos="541"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Assuming commodity prices and foreign currency exchange rates remain constant, we expect to reclassify $1.2 million of derivative gains into earnings within the next 12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Incentive Plan, as amended and restated. Stock-based compensation expense related to continuing operations is included in Selling, general and administrative expenses in the accompanying Consolidated Statements of Operations as follows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440" w:type="dxa"/>
            <w:vAlign w:val="bottom"/>
            <w:gridSpan w:val="4"/>
          </w:tcPr>
          <w:p>
            <w:pPr>
              <w:jc w:val="center"/>
              <w:ind w:left="256"/>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3"/>
          </w:tcPr>
          <w:p>
            <w:pPr>
              <w:jc w:val="center"/>
              <w:ind w:right="4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gridSpan w:val="3"/>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17"/>
        </w:trPr>
        <w:tc>
          <w:tcPr>
            <w:tcW w:w="58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Pr>
          <w:p>
            <w:pPr>
              <w:spacing w:after="0"/>
              <w:rPr>
                <w:sz w:val="18"/>
                <w:szCs w:val="18"/>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bl>
    <w:p>
      <w:pPr>
        <w:spacing w:after="0" w:line="60" w:lineRule="exact"/>
        <w:rPr>
          <w:sz w:val="20"/>
          <w:szCs w:val="20"/>
          <w:color w:val="auto"/>
        </w:rPr>
      </w:pPr>
    </w:p>
    <w:p>
      <w:pPr>
        <w:ind w:left="440" w:hanging="189"/>
        <w:spacing w:after="0"/>
        <w:tabs>
          <w:tab w:leader="none" w:pos="440" w:val="left"/>
        </w:tabs>
        <w:numPr>
          <w:ilvl w:val="1"/>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expense was recorded in our Corporate and Other business segment.</w:t>
      </w:r>
    </w:p>
    <w:p>
      <w:pPr>
        <w:spacing w:after="0" w:line="220"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Benefit Plans: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7"/>
                <w:szCs w:val="17"/>
                <w:color w:val="auto"/>
              </w:rPr>
            </w:pPr>
          </w:p>
        </w:tc>
        <w:tc>
          <w:tcPr>
            <w:tcW w:w="2080" w:type="dxa"/>
            <w:vAlign w:val="bottom"/>
            <w:gridSpan w:val="4"/>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080" w:type="dxa"/>
            <w:vAlign w:val="bottom"/>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60.6</w:t>
            </w:r>
          </w:p>
        </w:tc>
      </w:tr>
      <w:tr>
        <w:trPr>
          <w:trHeight w:val="27"/>
        </w:trPr>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65.9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of September 30, 2020, we had approximately $3.2 million in total gross unrecognized tax benefits. Of this amount $3.2 million, if recognized, would be recorded through the Consolidated Statements of Operations.</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are currently under examination for our U.S. federal income taxes under the Internal Revenue Service's Compliance Assurance Program for 2019 and are subject to examination by numerous other taxing authorities in the U.S. and in foreign jurisdictions. We are generally no longer subject to U.S. federal, state and local, or non-U.S. income tax examinations by taxing authorities for years prior to 2012.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12. Lines of Credit and Financing Arrangements:</w:t>
      </w:r>
    </w:p>
    <w:p>
      <w:pPr>
        <w:spacing w:after="0" w:line="256" w:lineRule="exact"/>
        <w:rPr>
          <w:sz w:val="20"/>
          <w:szCs w:val="20"/>
          <w:color w:val="auto"/>
        </w:rPr>
      </w:pPr>
    </w:p>
    <w:p>
      <w:pPr>
        <w:ind w:right="700" w:firstLine="243"/>
        <w:spacing w:after="0" w:line="276" w:lineRule="auto"/>
        <w:rPr>
          <w:sz w:val="20"/>
          <w:szCs w:val="20"/>
          <w:color w:val="auto"/>
        </w:rPr>
      </w:pPr>
      <w:r>
        <w:rPr>
          <w:rFonts w:ascii="Times New Roman" w:cs="Times New Roman" w:eastAsia="Times New Roman" w:hAnsi="Times New Roman"/>
          <w:sz w:val="18"/>
          <w:szCs w:val="18"/>
          <w:color w:val="auto"/>
        </w:rPr>
        <w:t>The following table summarizes our outstanding debt obligations and their classification in the accompanying Consolidated Balance Sheets (in millions):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6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18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r>
      <w:tr>
        <w:trPr>
          <w:trHeight w:val="27"/>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securitization program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6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3"/>
        </w:trPr>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1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credit facility</w:t>
            </w:r>
          </w:p>
        </w:tc>
        <w:tc>
          <w:tcPr>
            <w:tcW w:w="1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r>
      <w:tr>
        <w:trPr>
          <w:trHeight w:val="27"/>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3"/>
        </w:trPr>
        <w:tc>
          <w:tcPr>
            <w:tcW w:w="6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w:t>
            </w:r>
          </w:p>
        </w:tc>
      </w:tr>
      <w:tr>
        <w:trPr>
          <w:trHeight w:val="26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w:t>
            </w: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Obligations</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Through several of our foreign subsidiaries, we have facilities available to assist in financing seasonal borrowing needs for our foreign locations. We had no outstanding foreign obligations as of September 30, 2020 or December 31, 2019 and there were $4.6 million of borrowings and repayments on these facilities for the nine months ended September 30, 2020. There were $5.3 million of borrowings and repayments on these facilities for the nine months ended September 30, 2019.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Securitization Program</w:t>
      </w:r>
    </w:p>
    <w:p>
      <w:pPr>
        <w:spacing w:after="0" w:line="25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2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renewed the ASP in November 2019, extending its term to November 2021 and increasing the maximum securitization amount to a range from $250.0 million to $400.0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0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r>
      <w:tr>
        <w:trPr>
          <w:trHeight w:val="33"/>
        </w:trPr>
        <w:tc>
          <w:tcPr>
            <w:tcW w:w="73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Eligible amount available under the ASP on qualified accounts receivable</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Beneficial interest transferred</w:t>
            </w:r>
          </w:p>
        </w:tc>
        <w:tc>
          <w:tcPr>
            <w:tcW w:w="7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7"/>
        </w:trPr>
        <w:tc>
          <w:tcPr>
            <w:tcW w:w="73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amount available</w:t>
            </w: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pay certain discount fees to use the ASP and to have the facility available to us. These fees relate to both the used and unused portions of the securitization. The used fee is based on the beneficial interest sold and calculated on either the average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LIBOR rate or floating commercial paper rate determined by the purchaser of the beneficial interest, plus a program fee of 0.70%. The average rates as of September 30, 2020 and December 31, 2019 were 0.88% and 2.51%, respectively. The unused fee is based on 101% of the maximum available amount less the beneficial interest transferred and is calculated at a rate ranging between 0.25% and 0.35%, depending on the available borrowings, throughout the term of the agreement. We recorded these fees in Interest expense, net in the accompanying Consolidated Statements of Operations.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ASP contains certain restrictive covenants relating to the quality of our accounts receivable and cross-default provisions with our Seventh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September 30, 2020, we believe we were in compliance with all covenant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Credit Facility</w:t>
      </w:r>
    </w:p>
    <w:p>
      <w:pPr>
        <w:spacing w:after="0" w:line="254"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On July 30, 2020, we amended our Domestic Credit Facility to extend the term of our revolving credit facility by one year and to provide for a $250.0 million decrease in revolving commitments. The amended Domestic Credit Facility currently consists of a $750.0 million unsecured revolving credit facility that matures in August 2022. The previously outstanding unsecured term loan was fully repaid in September 2020.</w:t>
      </w:r>
    </w:p>
    <w:p>
      <w:pPr>
        <w:spacing w:after="0" w:line="20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Under our Domestic Credit Facility, we had outstanding borrowings of $34.5 million as well as $2.2 million committed to standby letters of credit as of September 30, 2020. Subject to covenant limitations, $713.3 million was available for future borrowings. The revolving credit facility includes a subfacility for swingline loans of up to $65.0 million.</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weighted average borrowing rate on the facility was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25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24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r>
      <w:tr>
        <w:trPr>
          <w:trHeight w:val="33"/>
        </w:trPr>
        <w:tc>
          <w:tcPr>
            <w:tcW w:w="63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r>
      <w:tr>
        <w:trPr>
          <w:trHeight w:val="27"/>
        </w:trPr>
        <w:tc>
          <w:tcPr>
            <w:tcW w:w="63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Domestic Credit Facility are detailed below:</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Indebtedness to Adjusted EBITDA Ratio no greater than</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1.0</w:t>
            </w:r>
          </w:p>
        </w:tc>
      </w:tr>
      <w:tr>
        <w:trPr>
          <w:trHeight w:val="27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to Net Interest Expense Ratio no less than</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 1.0</w:t>
            </w:r>
          </w:p>
        </w:tc>
      </w:tr>
    </w:tbl>
    <w:p>
      <w:pPr>
        <w:spacing w:after="0" w:line="14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68" w:lineRule="exact"/>
        <w:rPr>
          <w:sz w:val="20"/>
          <w:szCs w:val="20"/>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of at least $75.0 million; or</w:t>
      </w:r>
    </w:p>
    <w:p>
      <w:pPr>
        <w:spacing w:after="0" w:line="117"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7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If any event of default occurs and is continuing,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 As of September 30, 2020, we believe we were in compliance with all covenant requirements.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20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All the Notes are guaranteed, on a senior unsecured basis, by certain of our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September 30, 2020, we believe we were in compliance with all covenant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Comprehensive Income:</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items not reclassified in their entirety from AOCL to Net income in the accompanying Consolidated Statements of Operations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242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Pr>
          <w:p>
            <w:pPr>
              <w:spacing w:after="0"/>
              <w:rPr>
                <w:sz w:val="17"/>
                <w:szCs w:val="17"/>
                <w:color w:val="auto"/>
              </w:rPr>
            </w:pPr>
          </w:p>
        </w:tc>
        <w:tc>
          <w:tcPr>
            <w:tcW w:w="2180" w:type="dxa"/>
            <w:vAlign w:val="bottom"/>
            <w:gridSpan w:val="4"/>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940" w:type="dxa"/>
            <w:vAlign w:val="bottom"/>
            <w:gridSpan w:val="4"/>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c>
          <w:tcPr>
            <w:tcW w:w="0" w:type="dxa"/>
            <w:vAlign w:val="bottom"/>
          </w:tcPr>
          <w:p>
            <w:pPr>
              <w:spacing w:after="0"/>
              <w:rPr>
                <w:sz w:val="1"/>
                <w:szCs w:val="1"/>
                <w:color w:val="auto"/>
              </w:rPr>
            </w:pPr>
          </w:p>
        </w:tc>
      </w:tr>
      <w:tr>
        <w:trPr>
          <w:trHeight w:val="33"/>
        </w:trPr>
        <w:tc>
          <w:tcPr>
            <w:tcW w:w="34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(Losses) Gains on Cash Flow Hedges:</w:t>
            </w: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Losses (gains) and</w:t>
            </w:r>
          </w:p>
        </w:tc>
        <w:tc>
          <w:tcPr>
            <w:tcW w:w="0" w:type="dxa"/>
            <w:vAlign w:val="bottom"/>
          </w:tcPr>
          <w:p>
            <w:pPr>
              <w:spacing w:after="0"/>
              <w:rPr>
                <w:sz w:val="1"/>
                <w:szCs w:val="1"/>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(0.4)</w:t>
            </w:r>
          </w:p>
        </w:tc>
        <w:tc>
          <w:tcPr>
            <w:tcW w:w="120" w:type="dxa"/>
            <w:vAlign w:val="bottom"/>
          </w:tcPr>
          <w:p>
            <w:pPr>
              <w:spacing w:after="0"/>
              <w:rPr>
                <w:sz w:val="20"/>
                <w:szCs w:val="20"/>
                <w:color w:val="auto"/>
              </w:rPr>
            </w:pP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2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(0.3)</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4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Selling, general and</w:t>
            </w:r>
          </w:p>
        </w:tc>
        <w:tc>
          <w:tcPr>
            <w:tcW w:w="0" w:type="dxa"/>
            <w:vAlign w:val="bottom"/>
          </w:tcPr>
          <w:p>
            <w:pPr>
              <w:spacing w:after="0"/>
              <w:rPr>
                <w:sz w:val="1"/>
                <w:szCs w:val="1"/>
                <w:color w:val="auto"/>
              </w:rPr>
            </w:pPr>
          </w:p>
        </w:tc>
      </w:tr>
      <w:tr>
        <w:trPr>
          <w:trHeight w:val="241"/>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72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(0.3)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2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4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adjustments on sale of</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0" w:type="dxa"/>
            <w:vAlign w:val="bottom"/>
          </w:tcPr>
          <w:p>
            <w:pPr>
              <w:spacing w:after="0"/>
              <w:rPr>
                <w:sz w:val="1"/>
                <w:szCs w:val="1"/>
                <w:color w:val="auto"/>
              </w:rPr>
            </w:pPr>
          </w:p>
        </w:tc>
      </w:tr>
      <w:tr>
        <w:trPr>
          <w:trHeight w:val="237"/>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2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3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(1.6)</w:t>
            </w:r>
          </w:p>
        </w:tc>
        <w:tc>
          <w:tcPr>
            <w:tcW w:w="120" w:type="dxa"/>
            <w:vAlign w:val="bottom"/>
          </w:tcPr>
          <w:p>
            <w:pPr>
              <w:spacing w:after="0"/>
              <w:rPr>
                <w:sz w:val="21"/>
                <w:szCs w:val="21"/>
                <w:color w:val="auto"/>
              </w:rPr>
            </w:pPr>
          </w:p>
        </w:tc>
        <w:tc>
          <w:tcPr>
            <w:tcW w:w="7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1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nine months ended September 30, 2020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Share of equity</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method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5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investments other</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14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Pension Plan</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Items</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Total AOCL</w:t>
            </w:r>
          </w:p>
        </w:tc>
      </w:tr>
      <w:tr>
        <w:trPr>
          <w:trHeight w:val="33"/>
        </w:trPr>
        <w:tc>
          <w:tcPr>
            <w:tcW w:w="4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4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2020</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at September 30, 2020 were the same as those used at December 31,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9 for more information related to our derivative instruments.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6"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1"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2"/>
        </w:trPr>
        <w:tc>
          <w:tcPr>
            <w:tcW w:w="7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r>
      <w:tr>
        <w:trPr>
          <w:trHeight w:val="33"/>
        </w:trPr>
        <w:tc>
          <w:tcPr>
            <w:tcW w:w="7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27"/>
        </w:trPr>
        <w:tc>
          <w:tcPr>
            <w:tcW w:w="7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2019,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2 in the Notes to the Consolidated Financial Statements.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Pandemic and the Resulting Changes to our 2020 Financial Performance</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 novel strain of coronavirus (“COVID-19”) surfaced in late 2019 and has spread around the world, including to the United States. In March 2020, the World Health Organization declared COVID-19 a pandemic. The COVID-19 pandemic has disrupted our business operations and caused a significant unfavorable impact on our results of operations.</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various national, state, and local governments where we, our suppliers, and our customers operate issued decrees prohibiting certain businesses from continuing to operate and certain classes of workers from reporting to work. Those decrees have resulted in supply chain disruption and higher employee absenteeism in our factories.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certain of our manufacturing facilities experienced short-term suspensions of operations for COVID-19 employee health concerns during the second and third quarters of 2020.</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Due to the adverse impact of the COVID-19 pandemic on our European manufacturing facilities and the resulting downturn in the related business, we recorded an $8 million valuation allowance in the first quarter of 2020 on certain foreign deferred tax assets as we concluded that it was no longer more likely than not that these foreign tax loss carryforwards would be realized.</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April 2020, we implemented cost reduction actions to realize $115 million of SG&amp;A savings relative to our initial 2020 financial plans based on expectations that the North American unitary HVAC and refrigeration market would be negatively impacted by approximately 20% due to the pandemic. During the third quarter, we revised our outlook for the remainder of 2020 due to the improved performance of our end markets and our strong operational performance. We are now planning for $65 million of SG&amp;A savings this year, with the decrease in savings due primarily to reinstituting the temporary salary reductions, increasing sales commissions and paying performance-based incentive compensation.</w:t>
      </w:r>
    </w:p>
    <w:p>
      <w:pPr>
        <w:spacing w:after="0" w:line="21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connection with these cost saving actions, we incurred pre-tax charges of $10 million in the second and third quarters of 2020 related primarily to personnel severance and benefits and facility exit costs. Also, we incurred $6 million of expenses for the nine months ended September 30, 2020 for facility cleaning and sanitization supplies to ensure the health and safety of our employees.</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magnitude of the impact of COVID-19 remains unpredictable and we, therefore, continue to anticipate potential supply chain disruptions, employee absenteeism and short-term suspensions of manufacturing facilities, and additional health and safety costs related to the COVID-19 pandemic that could unfavorably impact our business. Since the first quarter of 2020, we have reset our financial expectations and, based on our latest guidance, now expect 2020 revenue to be down 5% to 9% from last year versus our initial 2020 guidance for growth of 4% to 8%. Additionally, we now expect Diluted EPS from continuing operations in the range of $8.35 to $8.95 for the year as compared to our initial expected range of $11.30 to $11.90 for 2020.</w:t>
      </w:r>
    </w:p>
    <w:p>
      <w:pPr>
        <w:spacing w:after="0" w:line="21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expect our cash generation to remain strong for 2020 as our working capital requirements decline, and currently project approximately $525 million in cash flows from operations for the year. We reduced our capital expenditure plans for 2020 from $153 million initially to $100 million. We are rated investment grade by both S&amp;P and Moody’s, and we expect to remain well within our debt covenants. We do not anticipate any liquidity concerns as we issued $600 million in senior unsecured notes in the third quarter of 2020 and extended the term of bank revolver by one year until the latter half of 2022. Our quarterly dividend plans are unchanged, most recently $0.77 per share, or more than $115 million in total payments for the year. We repurchased $100 million of stock in the first quarter of the $400 million we had planned to repurchase for the year. However, we placed the remaining repurchase plans for 2020 on hold.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Results for the third quarter of 2020 were mixed and adversely impacted by the business downturn caused by the COVID-19 pandemic. Year over year sales and profit were up in our Residential Heating &amp; Cooling segment primarily due to higher volumes, while they were down in our Commercial Heating</w:t>
      </w:r>
    </w:p>
    <w:p>
      <w:pPr>
        <w:jc w:val="both"/>
        <w:ind w:firstLine="8"/>
        <w:spacing w:after="0" w:line="255" w:lineRule="auto"/>
        <w:tabs>
          <w:tab w:leader="none" w:pos="1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Cooling and Refrigeration segments primarily due to lower sales volumes. The Residential Heating &amp; Cooling segment saw a 13% increase in net sales and a $27 million increase in segment profit. The Commercial Heating &amp; Cooling segment had a 18% decrease in net sales and a $8 million decrease in segment profit. The Refrigeration segment had a 12% decline in net sales and a $7 million decline in segment profit.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54" w:lineRule="exact"/>
        <w:rPr>
          <w:sz w:val="20"/>
          <w:szCs w:val="20"/>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$22 million to $1,055 million in the third quarter of 2020 driven by favorable price and mix combined and net volume increases.</w:t>
      </w: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third quarter of 2020 increased $10 million to $167 million primarily driven by factory productivity, lower commodity costs, and sourcing and engineering-led cost reductions, partially offset by non-recurring insurance recoveries in 2019 for lost profits related to the Marshalltown tornado.</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third quarter of 2020 increased $17 million to $132 million.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from continuing operations were $3.42 per share in the third quarter of 2020 compared to $2.94 per share in the third quarter of 2019.</w:t>
      </w: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we returned $89 million to shareholders through dividend payments and repurchased $100 million of common stock through our share repurchase program.</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Third Quarter of 2020 Compared to Third Quarter of 2019 - Consolidated Results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5"/>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500" w:type="dxa"/>
            <w:vAlign w:val="bottom"/>
            <w:gridSpan w:val="3"/>
            <w:vMerge w:val="restart"/>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0" w:type="dxa"/>
            <w:vAlign w:val="bottom"/>
          </w:tcPr>
          <w:p>
            <w:pPr>
              <w:spacing w:after="0"/>
              <w:rPr>
                <w:sz w:val="1"/>
                <w:szCs w:val="1"/>
                <w:color w:val="auto"/>
              </w:rPr>
            </w:pPr>
          </w:p>
        </w:tc>
      </w:tr>
      <w:tr>
        <w:trPr>
          <w:trHeight w:val="77"/>
        </w:trPr>
        <w:tc>
          <w:tcPr>
            <w:tcW w:w="4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120" w:type="dxa"/>
            <w:vAlign w:val="bottom"/>
            <w:gridSpan w:val="5"/>
            <w:vMerge w:val="continue"/>
          </w:tcPr>
          <w:p>
            <w:pPr>
              <w:spacing w:after="0"/>
              <w:rPr>
                <w:sz w:val="6"/>
                <w:szCs w:val="6"/>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5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4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Fav/(Unfav)</w:t>
            </w: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3"/>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40" w:type="dxa"/>
            <w:vAlign w:val="bottom"/>
          </w:tcPr>
          <w:p>
            <w:pPr>
              <w:spacing w:after="0"/>
              <w:rPr>
                <w:sz w:val="21"/>
                <w:szCs w:val="21"/>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1"/>
                <w:szCs w:val="21"/>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tcPr>
          <w:p>
            <w:pPr>
              <w:spacing w:after="0"/>
              <w:rPr>
                <w:sz w:val="21"/>
                <w:szCs w:val="21"/>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1"/>
                <w:szCs w:val="21"/>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21"/>
                <w:szCs w:val="21"/>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1"/>
                <w:szCs w:val="21"/>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tcPr>
          <w:p>
            <w:pPr>
              <w:spacing w:after="0"/>
              <w:rPr>
                <w:sz w:val="21"/>
                <w:szCs w:val="21"/>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from natural disasters, net of insurance recoveries</w:t>
            </w: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(169.0)</w:t>
            </w:r>
          </w:p>
        </w:tc>
        <w:tc>
          <w:tcPr>
            <w:tcW w:w="140" w:type="dxa"/>
            <w:vAlign w:val="bottom"/>
          </w:tcPr>
          <w:p>
            <w:pPr>
              <w:spacing w:after="0"/>
              <w:rPr>
                <w:sz w:val="21"/>
                <w:szCs w:val="21"/>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167.1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w:t>
            </w:r>
          </w:p>
        </w:tc>
        <w:tc>
          <w:tcPr>
            <w:tcW w:w="14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6.6 %</w:t>
            </w:r>
          </w:p>
        </w:tc>
        <w:tc>
          <w:tcPr>
            <w:tcW w:w="14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15.8 %</w:t>
            </w:r>
          </w:p>
        </w:tc>
        <w:tc>
          <w:tcPr>
            <w:tcW w:w="14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Net sales increased 2% in the third quarter of 2020 compared to the third quarter of 2019 driven by higher sales volumes of 1% and favorable combined price and mix of 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Gross profit margin in the third quarter of 2020 increased 170 basis points ("bps") to 30.6% compared to 28.9% in the third quarter of 2019. We saw margin increases of 80 bps from lower commodity costs, 80 bps from sourcing and engineering-led cost reductions, 60 bps from lower freight and distribution costs, and 50 bps from factory productivity. Partially offsetting these were margin decreases of 70 bps from unfavorable combined price and mix and 30 bps from higher tariffs.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$8 million to $152 million in the third quarter of 2020 compared to $143 million in the third quarter of 2019 primarily due to higher incentive compensation costs. As a percentage of net sales, SG&amp;A increased 50 bps to 14.4% .</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Losses (gains) losses and other expenses, net for the third quarter of 2020 and 2019 included the following (in millions):</w:t>
      </w:r>
    </w:p>
    <w:p>
      <w:pPr>
        <w:spacing w:after="0" w:line="6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8"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33020</wp:posOffset>
            </wp:positionV>
            <wp:extent cx="1748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losses on settled futures contracts</w:t>
            </w:r>
          </w:p>
        </w:tc>
        <w:tc>
          <w:tcPr>
            <w:tcW w:w="840" w:type="dxa"/>
            <w:vAlign w:val="bottom"/>
            <w:tcBorders>
              <w:bottom w:val="single" w:sz="8" w:color="CCEEFF"/>
            </w:tcBorders>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 losses on unsettled futures contracts</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Special legal contingency charges</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liabilities</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840" w:type="dxa"/>
            <w:vAlign w:val="bottom"/>
            <w:tcBorders>
              <w:bottom w:val="single" w:sz="8" w:color="CCEEFF"/>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net change in unrealized losses on unsettled futures contracts was due to changes in commodity prices relative to the unsettled futures contract prices. For more information on our futures contracts, see Note 9 in the Notes to the Consolidated Financial Statements. For more information on special legal contingency charges and asbestos-related litigation, see Note 4 in the Notes to the Consolidated Financial Statements. The environmental liabilities related to estimated remediation costs for contamination at some of our facilities. The charges incurred related to the COVID-19 pandemic related primarily to facility cleaning costs and sanitization supplies to ensure the health and safety of our employees.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Restructuring charges were insignificant in the third quarter of 2020 and related to ongoing cost reduction actions taken in prior periods. For additional information on our restructuring activities, refer to Note 7 in the Notes to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and Losses related to Natural Disasters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July 19, 2018, our manufacturing facility in Marshalltown, Iowa was severely damaged by a tornado. On August 10, 2020, the Marshalltown facility was partially damaged by a derecho wind storm. The costs and losses incurred as well as any insurance recoveries for both of these natural disasters are shown in Loss (gain) from natural disasters, net of insurance recoveries in the Consolidated Statements of Operations.</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December 2019, we reached a final settlement with our insurance carriers for a total cumulative insurance recovery of $367.5 million for the losses we incurred and will incur from the tornado. All recoveries related to the final settlement were received in 2018 and 2019. During the third quarter of 2020, we incurred expenses of less than $1 million related to damages caused by the tornado, which primarily related to other restoration costs.</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have insurance for the repair and replacement of our assets that suffered damage or loss related to the wind storm. We are working closely with our insurance carriers and claims adjusters to ascertain the amount of insurance recoveries due to us as a result of the damage and losses we suffered. Our insurance policies also provide business interruption coverage, including lost profits and reimbursement for other expenses and costs that have been incurred related to the damages and losses suffered. During the third quarter of 2020, we incurred expenses of approximately $5 million related to damages caused by the wind storm, which included site clean up, building repairs and other restoration costs.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4 in the Notes to the Consolidated Financial Statements for additional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venture partner participation. Accordingly, these joint ventures have been accounted for under the equity method and their financial position and results of operations are not consolidated. Income from equity method investments of $4 million in the third quarter of 2020 was up slightly compared to the third quarter of 2019.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Interest expense, net of $7 million in the third quarter of 2020 was down $6 million from $13 million in the third quarter of 2019 due to lower borrowing costs and fewer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Our effective tax rate was 17.3% for the third quarter of 2020 compared to 20.2% for the third quarter of 2019. The rate decreased primarily due to higher excess tax benefits from stock-based compensation and a favorable mix of income from jurisdictions with lower tax rates. We expect our annual effective tax rate in 2020 to be between 19% and 20%, after excluding the impacts of excess tax benefits recorded under ASU No. 2016-09, after the $8 million valuation allowance recorded in the first quarter of 2020 and after the tax impacts of restructuring and pandemic-related charges.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2020 Compared to Third Quarter of 2019 - Results by Segment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Residential Heating &amp; Cooling segment's net sales and profit for the third quarter of 2020 and 2019 (dollars in millions):</w:t>
      </w:r>
    </w:p>
    <w:p>
      <w:pPr>
        <w:spacing w:after="0" w:line="2"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p>
      <w:pPr>
        <w:spacing w:after="0" w:line="28"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33020</wp:posOffset>
            </wp:positionV>
            <wp:extent cx="19030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8"/>
                <w:szCs w:val="18"/>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7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7"/>
        </w:trPr>
        <w:tc>
          <w:tcPr>
            <w:tcW w:w="5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Net sales increased 13% in the third quarter of 2020 compared to the third quarter of 2019. Sales volumes increased 11% and combined price and mix increased 2%.</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Segment profit in the third quarter of 2020 increased $27 million compared to the third quarter of 2019 due to $19 million from higher sales volumes, $7 million of factory productivity, $6 million from engineering and sourcing-led cost reductions, $6 million from lower freight and distribution costs, $5 million from lower commodity costs, $4 million of favorable price, $2 million from lower warranty and other product costs, and $1 million of income from equity method investments. Partially offsetting these increases was $16 million of non-recurring insurance proceeds for lost profits related to the Marshalltown tornado, $4 million from timing of tariffs for certain Chinese imports, $1 million from unfavorable mix, $1 million from higher SG&amp;A expenses, and $1 million from unfavorable foreign currency exchange rates.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Commercial Heating &amp; Cooling segment's net sales and profit for the third quarter of 2020 and 2019 (dollars in millions):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3300" w:type="dxa"/>
            <w:vAlign w:val="bottom"/>
            <w:gridSpan w:val="9"/>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2"/>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7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7"/>
        </w:trPr>
        <w:tc>
          <w:tcPr>
            <w:tcW w:w="5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sales decreased 18% in the third quarter of 2020 compared to the third quarter of 2019. Sales volumes declined 15% and mix was unfavorable 3%.</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9" w:name="page30"/>
    <w:bookmarkEnd w:id="29"/>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Segment profit decreased $8 million in the third quarter of 2020 compared to the third quarter of 2019 due to $14 million from lower sales volumes, $2 million from unfavorable mix, and $1 million from other product costs. Partially offsetting these declines was $3 million from lower SG&amp;A expenses, $2 million from lower commodity costs, $2 million from engineering and sourcing-led cost reductions, $1 million of factory productivity, and $1 million from lower freight and distribution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our Refrigeration segment's net sales and profit for the third quarter of 2020 and 2019 (dollars in millions):</w:t>
      </w:r>
    </w:p>
    <w:p>
      <w:pPr>
        <w:spacing w:after="0" w:line="66"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p>
      <w:pPr>
        <w:spacing w:after="0" w:line="28"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33020</wp:posOffset>
            </wp:positionV>
            <wp:extent cx="19373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7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7"/>
        </w:trPr>
        <w:tc>
          <w:tcPr>
            <w:tcW w:w="5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sales decreased 12% in the third quarter of 2020 compared to the third quarter of 2019. Sales volumes decreased 16%, partially offset by favorable combined price and mix of 2% and favorable foreign currency exchange rates of 2%.</w:t>
      </w: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Segment profit decreased $7 million in the third quarter of 2020 compared to the third quarter of 2019 due to $9 million from lower sales volumes, $2 million of factory inefficiencies, and $1 million of lower income from equity method investments. Partially offsetting these declines was $3 million from lower SG&amp;A expenses, $1 million from lower commodity costs, and $1 million from favorable foreign currency exchange rates.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54"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Corporate and other expenses increased $10 million in the third quarter of 2020 compared to the third quarter of 2019 primarily due to higher incentive compensation costs. Due to the timing of our earnings, certain annual incentive compensation costs were not earned and recorded until the third quarter of 2020, while the same incentive compensation costs were earned and recorded in earlier quarters of 2019.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through September 30, 2020 Compared to Year-to-Date through September 30, 2019 - Consolidated Results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5"/>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440" w:type="dxa"/>
            <w:vAlign w:val="bottom"/>
            <w:gridSpan w:val="4"/>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4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40" w:type="dxa"/>
            <w:vAlign w:val="bottom"/>
            <w:gridSpan w:val="5"/>
            <w:vMerge w:val="continue"/>
          </w:tcPr>
          <w:p>
            <w:pPr>
              <w:spacing w:after="0"/>
              <w:rPr>
                <w:sz w:val="6"/>
                <w:szCs w:val="6"/>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4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4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Fav/(Unfav)</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2,922.2</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from natural disasters, net of insurance recoveries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339.5</w:t>
            </w:r>
          </w:p>
        </w:tc>
        <w:tc>
          <w:tcPr>
            <w:tcW w:w="1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465.3</w:t>
            </w:r>
          </w:p>
        </w:tc>
        <w:tc>
          <w:tcPr>
            <w:tcW w:w="14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40" w:type="dxa"/>
            <w:vAlign w:val="bottom"/>
          </w:tcPr>
          <w:p>
            <w:pPr>
              <w:spacing w:after="0"/>
              <w:rPr>
                <w:sz w:val="20"/>
                <w:szCs w:val="20"/>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12.5 %</w:t>
            </w:r>
          </w:p>
        </w:tc>
        <w:tc>
          <w:tcPr>
            <w:tcW w:w="140" w:type="dxa"/>
            <w:vAlign w:val="bottom"/>
          </w:tcPr>
          <w:p>
            <w:pPr>
              <w:spacing w:after="0"/>
              <w:rPr>
                <w:sz w:val="20"/>
                <w:szCs w:val="20"/>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15.9 %</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54"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Net sales decreased 7% in the nine months ended September 30, 2020 compared to the nine months ended September 30, 2019 due to lower sales volumes of 7% and a 1% decline related to the sale of our Kysor Warren business in the first quarter of 2019, partially offset by 1% from favorable combined price and mix.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Gross profit margins for the nine months ended September 30, 2020 decreased 40 bps to 28.1% compared to the nine months ended September 30, 2019. Our profit margin decreased 150 bps from unfavorable combined price and mix, 60 bps from factory inefficiencies, 40 bps from higher product warranties and other product costs, and 10 bps from higher tariffs for certain Chinese imports. These were partially offset by 80 bps from lower commodities costs, 70 bps from sourcing and engineering-led cost reductions, 50 bps from lower freight and distribution costs, and 20 bps from the divested Kysor Warren business which had lower margins.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SG&amp;A declined $29 million to $413 million for the nine months ended September 30, 2020 compared to $442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primarily due to lower salaries and discretionary expenditures, and the sale of our Kysor Warren business in the first quarter of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net sales, SG&amp;A increased 10 bps to 15.2% from 15.1%.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for the nine months ended September 30, 2020 and 2019 included the following (in millions):</w:t>
      </w:r>
    </w:p>
    <w:p>
      <w:pPr>
        <w:spacing w:after="0" w:line="66"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8500" w:type="dxa"/>
            <w:vAlign w:val="bottom"/>
            <w:tcBorders>
              <w:top w:val="single" w:sz="8" w:color="CCEEFF"/>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3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 on settled futures contracts</w:t>
            </w:r>
          </w:p>
        </w:tc>
        <w:tc>
          <w:tcPr>
            <w:tcW w:w="86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7"/>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8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legal contingency charges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3"/>
        </w:trPr>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86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8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net change in unrealized losses on unsettled futures contracts was due to changes in commodity prices relative to the unsettled futures contract prices. For more information on our futures contracts, see Note 9 in the Notes to the Consolidated Financial Statements. For more information on special legal contingency charges and asbestos-related litigation, see Note 4 in the Notes to the Consolidated Financial Statements. The environmental liabilities related to estimated remediation costs for contamination at some of our facilities. The charges incurred related to the COVID-19 pandemic related primarily to facility cleaning costs and sanitization supplies to ensure the health and safety of our employees.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Restructuring charges were $11 million for the nine months ended September 30, 2020 and related to several cost reduction actions taken in response to the economic impact of the COVID-19 pandemic on our business. These actions consisted of employee terminations for positions that were no longer needed to support the business, selective facility closures, and cancellations of certain sales and marketing activities. For additional information on our restructuring activities, refer to Note 7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Loss on Sale of Business</w:t>
      </w:r>
    </w:p>
    <w:p>
      <w:pPr>
        <w:spacing w:after="0" w:line="254"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We recognized a loss of $9 million for the nine months ended September 30, 2019 related to the sale of our Kysor Warren business in the first quarter of 2019. There were no losses related to this sale for the nine months ended September 30, 2020. Refer to Note 6 in the Notes to the Consolidated Financial Statements for additional information on this divestiture.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and Losses related to Natural Disasters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July 19, 2018, our manufacturing facility in Marshalltown, Iowa was severely damaged by a tornado. On August 10, 2020, the Marshalltown facility was partially damaged by a derecho wind storm. The costs and losses incurred as well as any insurance recoveries for both of these natural disasters are shown in Loss (gain) from natural disasters, net of insurance recoveries in the Consolidated Statements of Operations.</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December 2019, we reached a final settlement with our insurance carriers for a total cumulative insurance recovery of $367.5 million for the losses we incurred and will incur from the tornado. All recoveries related to the final settlement were received in 2018 and 2019. For the nine months ended September 30, 2020, we incurred expenses of $3 million related to damages caused by the tornado, which primarily related to other restoration costs.</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have insurance for the repair and replacement of our assets that suffered damage or loss related to the wind storm. We are working closely with our insurance carriers and claims adjusters to ascertain the amount of insurance recoveries due to us as a result of the damage and losses we suffered. Our insurance policies also provide business interruption coverage, including lost profits and reimbursement for other expenses and costs that have been incurred related to the damages and losses suffered. During the third quarter of 2020, we incurred expenses of approximately $5 million related to damages caused by the wind storm, which included site clean up, building repairs and other restoration costs.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Income from equity method investments of $11 million for the nine months ended September 30, 2020 was up approximately $1 million compared to the nine months ended September 30,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Settlements</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second quarter of 2019, we entered into an agreement with Pacific Life Insurance Company to purchase a group annuity contract and transfer $100.0 million of our pension plan assets and $105.6 million of related pension benefit obligations. We recognized a $60.6 million pension settlement charge in the Statement of Operations as a result of this transaction. There were less than $1 million of pension settlements for the nine months ended September 30, 2020. For additional information, refer to Note 10 in the Notes to the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Interest expense, net of $22 million for the nine months ended September 30, 2020 decreased $15 million from $37 million for the nine months ended September 30, 2019 due to lower borrowing costs and lower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effective tax rate increased to 21.9% for the nine months ended September 30, 2020 compared to 19.5% for the nine months ended September 30, 2019 primarily due to lower excess tax benefits from stock-based compensation and the recording of a $8 million valuation allowance on certain foreign deferred tax assets recorded in the first quarter of 2020.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Year-to-Date through September 30, 2020 Compared to Year-to-Date through September 30, 2019 - Results by Segment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Residential Heating &amp; Cooling segment's net sales and profit for the nine months ended September 30, 2020 and 2019 (dollars in millions):</w:t>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24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24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80" w:type="dxa"/>
            <w:vAlign w:val="bottom"/>
            <w:tcBorders>
              <w:top w:val="single" w:sz="8" w:color="CCEEFF"/>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1,792.2</w:t>
            </w: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6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11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Net sales increased 1% in the nine months ended September 30, 2020 compared to the nine months ended September 30, 2019. Price increased 1% and mix was favorable by 1%, partially offset by lower sales volumes of 1%.</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Segment profit for the nine months ended September 30, 2020 decreased $54 million compared to the same period in 2019 due to $74 million of non-recurring insurance proceeds in 2019 for lost profits related to the Marshalltown tornado, $10 million of factory inefficiencies, $14 million of higher warranty and other product costs, $6 million from lower sales volume, $19 million from unfavorable mix, and $2 million from higher tariffs on certain Chinese imports. Partially offsetting these declines was $17 million from lower SG&amp;A expenses, $14 million from engineering and sourcing-led cost reductions, $13 million from lower commodity costs, $13 million of higher price, $13 million from lower freight and distribution expense, and $1 million from favorable foreign currency exchange rates.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Commercial Heating &amp; Cooling segment's net sales and profit for the nine months ended September 30, 2020 and 2019 (dollars in millions):</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2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40" w:type="dxa"/>
            <w:vAlign w:val="bottom"/>
            <w:tcBorders>
              <w:top w:val="single" w:sz="8" w:color="CCEEFF"/>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6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6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5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36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sales decreased 16% in the nine months ended September 30, 2020 compared to the nine months ended September 30, 2019 due to lower sales volumes.</w:t>
      </w: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Segment profit for the nine months ended September 30, 2020 decreased $23 million compared to the same period of 2019 due to $40 million from lower sales volumes, $5 million from unfavorable mix, and $2 million from higher warranty and other product costs. Partially offsetting these declines was $9 million from lower SG&amp;A expenses, $6 million from engineering and sourcing-led cost reductions, $5 million from lower commodity costs, $1 million of factory productivity, $2 million from lower freight and distribution expenses, and $1 million from favorable foreign currency exchange rates.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Refrigeration segment's net sales and profit for the nine months ended September 30, 2020 and 2019 (dollars in millions):</w:t>
      </w:r>
    </w:p>
    <w:p>
      <w:pPr>
        <w:spacing w:after="0" w:line="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2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40" w:type="dxa"/>
            <w:vAlign w:val="bottom"/>
            <w:tcBorders>
              <w:top w:val="single" w:sz="8" w:color="CCEEFF"/>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6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7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5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90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3" w:name="page34"/>
    <w:bookmarkEnd w:id="33"/>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sales decreased 24% for the nine months ended September 30, 2020 compared to the nine months ended September 30, 2019. Sales volumes were lower by 17% and the loss of sales from our divested Kysor Warren business contributed 8%, which was partially offset by favorable combined price and mix of 1%.</w:t>
      </w:r>
    </w:p>
    <w:p>
      <w:pPr>
        <w:spacing w:after="0" w:line="20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Segment profit for the nine months ended September 30, 2020 decreased $25 million compared to the same period of 2019 due to $26 million from lower sales volumes, $9 million of factory inefficiencies, $4 million from warranty and other product costs, $2 million from non-recurring European refrigerant quota sales in 2019, and $1 million from lower income from equity method investments. Partially offsetting these declines was $7 million from lower SG&amp;A expenses, $4 million from lower commodity costs, $2 million from engineering and souring-led cost reductions, $1 million from favorable combined price and mix, $1 million from lower freight and distribution expenses, $1 million of higher profit due to the divestiture of the Kysor Warren business, and $1 million from favorable foreign currency exchange rates.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Corporate and other expenses increased $7 million in the nine months ended September 30, 2020 compared to the nine months ended September 30, 2019 due to higher incentive compensation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nine months ended September 30, 2020 and 2019 (in millions):</w:t>
      </w:r>
    </w:p>
    <w:p>
      <w:pPr>
        <w:spacing w:after="0" w:line="6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spacing w:after="0" w:line="28"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856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37"/>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446.2</w:t>
            </w:r>
          </w:p>
        </w:tc>
        <w:tc>
          <w:tcPr>
            <w:tcW w:w="1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bl>
    <w:p>
      <w:pPr>
        <w:spacing w:after="0" w:line="358"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We generated $446 million in cash from operating activities during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The increase in net cash provided by operating activities for the nine months ended September 30, 2020 compared to the same period in 2019 reflects lower working capital requirements in 2020.</w:t>
      </w:r>
    </w:p>
    <w:p>
      <w:pPr>
        <w:spacing w:after="0" w:line="20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Capital expenditures were $56 million in the nine months ended September 30, 2020 compared to $77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2019. Capital expenditures in 2020 were primarily related to the expansion of manufacturing capacity and equipment, and investments in systems and software to support the overall enterprise. For the nine months ended September 30, 2019, we also received net proceeds of $44 million for the sale of our Kysor Warren business and insurance recoveries of $12 million to replace property and equipment damaged by the Marshalltown tornado.</w:t>
      </w:r>
    </w:p>
    <w:p>
      <w:pPr>
        <w:spacing w:after="0" w:line="20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Net cash used in financing activities in the nine months ended September 30, 2020 increased to $365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$103 million in the same period of 2019. The increase was primarily due to lower net borrowings, which resulted from reduced working capital requirements, and was partially offset by fewer stock repurchases. We repurchased $100 million of shares for the nine months ended September 30, 2020 and returned $89 million to shareholders through dividend payments. For additional information on share repurchases, refer to Note 5 in the Notes to the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September 30, 2020 (in millions):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3"/>
        </w:trPr>
        <w:tc>
          <w:tcPr>
            <w:tcW w:w="9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12"/>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0" w:type="dxa"/>
            <w:vAlign w:val="bottom"/>
          </w:tcPr>
          <w:p>
            <w:pPr>
              <w:spacing w:after="0"/>
              <w:rPr>
                <w:sz w:val="1"/>
                <w:szCs w:val="1"/>
                <w:color w:val="auto"/>
              </w:rPr>
            </w:pPr>
          </w:p>
        </w:tc>
      </w:tr>
      <w:tr>
        <w:trPr>
          <w:trHeight w:val="33"/>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Asset securitization program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Domestic credit facility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Domestic credit facility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Senior unsecured notes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28.8</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34.5</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950.0</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(6.7)</w:t>
      </w:r>
    </w:p>
    <w:p>
      <w:pPr>
        <w:spacing w:after="0" w:line="7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9683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3" w:lineRule="exact"/>
        <w:rPr>
          <w:sz w:val="20"/>
          <w:szCs w:val="20"/>
          <w:color w:val="auto"/>
        </w:rPr>
      </w:pPr>
    </w:p>
    <w:p>
      <w:pPr>
        <w:ind w:left="888" w:hanging="888"/>
        <w:spacing w:after="0"/>
        <w:tabs>
          <w:tab w:leader="none" w:pos="88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9683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62865</wp:posOffset>
            </wp:positionV>
            <wp:extent cx="9683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12" w:space="720"/>
            <w:col w:w="1508"/>
          </w:cols>
          <w:pgMar w:left="320" w:top="947" w:right="339" w:bottom="1440" w:gutter="0" w:footer="0" w:header="0"/>
          <w:type w:val="continuous"/>
        </w:sectPr>
      </w:pPr>
    </w:p>
    <w:p>
      <w:pPr>
        <w:spacing w:after="0" w:line="299" w:lineRule="exact"/>
        <w:rPr>
          <w:sz w:val="20"/>
          <w:szCs w:val="20"/>
          <w:color w:val="auto"/>
        </w:rPr>
      </w:pPr>
    </w:p>
    <w:p>
      <w:pPr>
        <w:ind w:left="340" w:hanging="332"/>
        <w:spacing w:after="0" w:line="235" w:lineRule="auto"/>
        <w:tabs>
          <w:tab w:leader="none" w:pos="19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available future borrowings on our domestic credit facility are $713.3 million, after being reduced by the outstanding borrowings and $2.2 million in outstanding standby letters of credit. We also had $29.6 million in outstanding standby letters of credit outside of the domestic credit facility as of September 30, 2020. The domestic credit facility matures in August 2022.</w:t>
      </w:r>
    </w:p>
    <w:p>
      <w:pPr>
        <w:spacing w:after="0" w:line="37" w:lineRule="exact"/>
        <w:rPr>
          <w:rFonts w:ascii="Times New Roman" w:cs="Times New Roman" w:eastAsia="Times New Roman" w:hAnsi="Times New Roman"/>
          <w:sz w:val="23"/>
          <w:szCs w:val="23"/>
          <w:color w:val="auto"/>
          <w:vertAlign w:val="superscript"/>
        </w:rPr>
      </w:pPr>
    </w:p>
    <w:p>
      <w:pPr>
        <w:ind w:left="340" w:hanging="332"/>
        <w:spacing w:after="0" w:line="235" w:lineRule="auto"/>
        <w:tabs>
          <w:tab w:leader="none" w:pos="20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maximum securitization amount ranges from $250.0 million to $400.0 million, depending on the period. The maximum capacity of the ASP is the lesser of the maximum securitization amount or 100% of the net pool balance less reserves, as defined under the ASP. Refer to Note 12 in the Notes to the Consolidated Financial Statements for more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decreased to 112.9% at September 30, 2020 from 117.0% at December 31, 2019.</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September 30, 2020,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5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believe our cash and cash equivalents of $55 million, future cash generated from operations and available future borrowings are sufficient to fund operations, planned capital expenditures, future contractual obligations, potential share repurchases and dividends and other needs in the foreseeable future. Included in our cash and cash equivalents of $55 million as of September 30, 2020 was $25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(the "Parent") and are unconditionally guaranteed by certain of our subsidiaries (the "Guarantor Subsidiaries") and are not secured by our other subsidiaries. The Guarantor Subsidiaries are 100% owned and consolidated, all guarantees are full and unconditional, and all guarantees are joint and several.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35" w:name="page36"/>
    <w:bookmarkEnd w:id="35"/>
    <w:p>
      <w:pPr>
        <w:jc w:val="both"/>
        <w:ind w:firstLine="243"/>
        <w:spacing w:after="0" w:line="279" w:lineRule="auto"/>
        <w:rPr>
          <w:sz w:val="20"/>
          <w:szCs w:val="20"/>
          <w:color w:val="auto"/>
        </w:rPr>
      </w:pPr>
      <w:r>
        <w:rPr>
          <w:rFonts w:ascii="Times New Roman" w:cs="Times New Roman" w:eastAsia="Times New Roman" w:hAnsi="Times New Roman"/>
          <w:sz w:val="18"/>
          <w:szCs w:val="18"/>
          <w:color w:val="auto"/>
        </w:rPr>
        <w:t>The following combined Parent and Guarantor Subsidiaries financial information is presented as of September 30, 2020 and December 31, 2019 and for the three and nine months ended September 30, 2020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7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r>
      <w:tr>
        <w:trPr>
          <w:trHeight w:val="27"/>
        </w:trPr>
        <w:tc>
          <w:tcPr>
            <w:tcW w:w="7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2,880.8</w:t>
            </w:r>
          </w:p>
        </w:tc>
        <w:tc>
          <w:tcPr>
            <w:tcW w:w="10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2,297.8</w:t>
            </w:r>
          </w:p>
        </w:tc>
      </w:tr>
      <w:tr>
        <w:trPr>
          <w:trHeight w:val="27"/>
        </w:trPr>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0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w:t>
            </w:r>
          </w:p>
        </w:tc>
      </w:tr>
      <w:tr>
        <w:trPr>
          <w:trHeight w:val="27"/>
        </w:trPr>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non-guarantor subsidiaries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r>
      <w:tr>
        <w:trPr>
          <w:trHeight w:val="27"/>
        </w:trPr>
        <w:tc>
          <w:tcPr>
            <w:tcW w:w="7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40" w:type="dxa"/>
            <w:vAlign w:val="bottom"/>
          </w:tcPr>
          <w:p>
            <w:pPr>
              <w:spacing w:after="0"/>
              <w:rPr>
                <w:sz w:val="13"/>
                <w:szCs w:val="13"/>
                <w:color w:val="auto"/>
              </w:rPr>
            </w:pP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Pr>
          <w:p>
            <w:pPr>
              <w:spacing w:after="0"/>
              <w:rPr>
                <w:sz w:val="16"/>
                <w:szCs w:val="16"/>
                <w:color w:val="auto"/>
              </w:rPr>
            </w:pPr>
          </w:p>
        </w:tc>
        <w:tc>
          <w:tcPr>
            <w:tcW w:w="16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3"/>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3,479.8</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non-guarantor subsidiaries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7"/>
        </w:trPr>
        <w:tc>
          <w:tcPr>
            <w:tcW w:w="5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information regarding our commitments, contingencies and guarantees, see Note 4 in the Notes to the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See Note 1 in the Notes to the Consolidated Financial Statements for disclosure of recent accounting pronouncements and the potential impact on our financial statements and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3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2019. Our exposure to market risk has not changed materially since December 31, 2019.</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September 30, 2020,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2019, which could materially affect our business, financial condition or results of operations. There have been no material changes to our risk factors from those disclosed in our Annual Report on Form 10-K for the year ended December 31, 2019 and in Form 10-Q for the quarter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the third quarter of 2020, we purchased shares of our common stock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48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7"/>
                <w:szCs w:val="17"/>
                <w:color w:val="auto"/>
              </w:rPr>
            </w:pPr>
          </w:p>
        </w:tc>
        <w:tc>
          <w:tcPr>
            <w:tcW w:w="18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 Share (including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vMerge w:val="restart"/>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fees)</w:t>
            </w:r>
          </w:p>
        </w:tc>
        <w:tc>
          <w:tcPr>
            <w:tcW w:w="220" w:type="dxa"/>
            <w:vAlign w:val="bottom"/>
            <w:vMerge w:val="restart"/>
          </w:tcPr>
          <w:p>
            <w:pPr>
              <w:spacing w:after="0"/>
              <w:rPr>
                <w:sz w:val="2"/>
                <w:szCs w:val="2"/>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0" w:type="dxa"/>
            <w:vAlign w:val="bottom"/>
          </w:tcPr>
          <w:p>
            <w:pPr>
              <w:spacing w:after="0" w:line="20" w:lineRule="exact"/>
              <w:rPr>
                <w:sz w:val="1"/>
                <w:szCs w:val="1"/>
                <w:color w:val="auto"/>
              </w:rPr>
            </w:pPr>
          </w:p>
        </w:tc>
      </w:tr>
      <w:tr>
        <w:trPr>
          <w:trHeight w:val="216"/>
        </w:trPr>
        <w:tc>
          <w:tcPr>
            <w:tcW w:w="3500" w:type="dxa"/>
            <w:vAlign w:val="bottom"/>
          </w:tcPr>
          <w:p>
            <w:pPr>
              <w:spacing w:after="0"/>
              <w:rPr>
                <w:sz w:val="18"/>
                <w:szCs w:val="18"/>
                <w:color w:val="auto"/>
              </w:rPr>
            </w:pPr>
          </w:p>
        </w:tc>
        <w:tc>
          <w:tcPr>
            <w:tcW w:w="14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w w:val="99"/>
              </w:rPr>
              <w:t xml:space="preserve">Shares Purchased </w:t>
            </w:r>
            <w:r>
              <w:rPr>
                <w:rFonts w:ascii="Times New Roman" w:cs="Times New Roman" w:eastAsia="Times New Roman" w:hAnsi="Times New Roman"/>
                <w:sz w:val="21"/>
                <w:szCs w:val="21"/>
                <w:b w:val="1"/>
                <w:bCs w:val="1"/>
                <w:color w:val="auto"/>
                <w:w w:val="99"/>
                <w:vertAlign w:val="superscript"/>
              </w:rPr>
              <w:t>(1)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July 1 through July 25</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220" w:type="dxa"/>
            <w:vAlign w:val="bottom"/>
          </w:tcPr>
          <w:p>
            <w:pPr>
              <w:spacing w:after="0"/>
              <w:rPr>
                <w:sz w:val="20"/>
                <w:szCs w:val="20"/>
                <w:color w:val="auto"/>
              </w:rPr>
            </w:pPr>
          </w:p>
        </w:tc>
        <w:tc>
          <w:tcPr>
            <w:tcW w:w="1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July 26 through August 21</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270.51</w:t>
            </w:r>
          </w:p>
        </w:tc>
        <w:tc>
          <w:tcPr>
            <w:tcW w:w="220" w:type="dxa"/>
            <w:vAlign w:val="bottom"/>
          </w:tcPr>
          <w:p>
            <w:pPr>
              <w:spacing w:after="0"/>
              <w:rPr>
                <w:sz w:val="23"/>
                <w:szCs w:val="23"/>
                <w:color w:val="auto"/>
              </w:rPr>
            </w:pPr>
          </w:p>
        </w:tc>
        <w:tc>
          <w:tcPr>
            <w:tcW w:w="1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August 22 through September 30</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3,188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220" w:type="dxa"/>
            <w:vAlign w:val="bottom"/>
          </w:tcPr>
          <w:p>
            <w:pPr>
              <w:spacing w:after="0"/>
              <w:rPr>
                <w:sz w:val="23"/>
                <w:szCs w:val="23"/>
                <w:color w:val="auto"/>
              </w:rPr>
            </w:pPr>
          </w:p>
        </w:tc>
        <w:tc>
          <w:tcPr>
            <w:tcW w:w="1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16,438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-385445</wp:posOffset>
            </wp:positionV>
            <wp:extent cx="710628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-736600</wp:posOffset>
            </wp:positionV>
            <wp:extent cx="710628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left="-19"/>
        <w:spacing w:after="0" w:line="224" w:lineRule="auto"/>
        <w:rPr>
          <w:sz w:val="20"/>
          <w:szCs w:val="20"/>
          <w:color w:val="auto"/>
        </w:rPr>
      </w:pPr>
      <w:r>
        <w:rPr>
          <w:rFonts w:ascii="Times New Roman" w:cs="Times New Roman" w:eastAsia="Times New Roman" w:hAnsi="Times New Roman"/>
          <w:sz w:val="16"/>
          <w:szCs w:val="16"/>
          <w:b w:val="1"/>
          <w:bCs w:val="1"/>
          <w:color w:val="auto"/>
        </w:rPr>
        <w:t>Approximate Dollar Value of Shares that may yet be Purchased under our Share Repurchase Plans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70"/>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70"/>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r>
    </w:tbl>
    <w:p>
      <w:pPr>
        <w:spacing w:after="0" w:line="564" w:lineRule="exact"/>
        <w:rPr>
          <w:sz w:val="20"/>
          <w:szCs w:val="20"/>
          <w:color w:val="auto"/>
        </w:rPr>
      </w:pPr>
    </w:p>
    <w:p>
      <w:pPr>
        <w:sectPr>
          <w:pgSz w:w="11900" w:h="16838" w:orient="portrait"/>
          <w:cols w:equalWidth="0" w:num="2">
            <w:col w:w="8920" w:space="220"/>
            <w:col w:w="2060"/>
          </w:cols>
          <w:pgMar w:left="360" w:top="887" w:right="339" w:bottom="1440" w:gutter="0" w:footer="0" w:header="0"/>
        </w:sectPr>
      </w:pPr>
    </w:p>
    <w:p>
      <w:pPr>
        <w:spacing w:after="0" w:line="241" w:lineRule="exact"/>
        <w:rPr>
          <w:sz w:val="20"/>
          <w:szCs w:val="20"/>
          <w:color w:val="auto"/>
        </w:rPr>
      </w:pPr>
    </w:p>
    <w:p>
      <w:pPr>
        <w:ind w:left="380" w:hanging="169"/>
        <w:spacing w:after="0" w:line="229" w:lineRule="auto"/>
        <w:tabs>
          <w:tab w:leader="none" w:pos="405"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shares of common stock were surrendered to LII to satisfy employee tax-withholding obligations in connection with the exercise of long-term incentive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88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0280" w:type="dxa"/>
            <w:vAlign w:val="bottom"/>
            <w:tcBorders>
              <w:bottom w:val="single" w:sz="8" w:color="0000FF"/>
            </w:tcBorders>
            <w:gridSpan w:val="27"/>
            <w:shd w:val="clear" w:color="auto" w:fill="CCEEFF"/>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Underwriting Agreement, dated as of July 22, 2020, by and among the Company, the guarantors party thereto, and J.P. Morgan Securities LLC</w:t>
              </w:r>
            </w:hyperlink>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20" w:type="dxa"/>
            <w:vAlign w:val="bottom"/>
            <w:shd w:val="clear" w:color="auto" w:fill="CCEEFF"/>
          </w:tcPr>
          <w:p>
            <w:pPr>
              <w:spacing w:after="0"/>
              <w:rPr>
                <w:sz w:val="13"/>
                <w:szCs w:val="13"/>
                <w:color w:val="auto"/>
              </w:rPr>
            </w:pPr>
          </w:p>
        </w:tc>
        <w:tc>
          <w:tcPr>
            <w:tcW w:w="10280" w:type="dxa"/>
            <w:vAlign w:val="bottom"/>
            <w:gridSpan w:val="27"/>
            <w:shd w:val="clear" w:color="auto" w:fill="CCEEFF"/>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and Wells Fargo Securities, LLC, as representatives of the several underwriters named therein (filed as Exhibit 1.1 to LII’s Current Report on</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Form 8-K filed on July 30, 2020, and incorporated herein by reference)</w:t>
              </w:r>
              <w:r>
                <w:rPr>
                  <w:rFonts w:ascii="Times New Roman" w:cs="Times New Roman" w:eastAsia="Times New Roman" w:hAnsi="Times New Roman"/>
                  <w:sz w:val="18"/>
                  <w:szCs w:val="18"/>
                  <w:u w:val="single" w:color="auto"/>
                  <w:color w:val="0000FF"/>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300" w:type="dxa"/>
            <w:vAlign w:val="bottom"/>
            <w:gridSpan w:val="28"/>
          </w:tcPr>
          <w:p>
            <w:pPr>
              <w:spacing w:after="0" w:line="16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Restated Certificate of Incorporation of Lennox International Inc. (“LII”) (filed as Exhibit 3.1 to LII’s Registration Statement on Form S-1</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(Registration Statement No. 333-75725) filed on April 6, 1999 and incorporated herein by reference).</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10300" w:type="dxa"/>
            <w:vAlign w:val="bottom"/>
            <w:gridSpan w:val="28"/>
            <w:shd w:val="clear" w:color="auto" w:fill="CCEEFF"/>
          </w:tcPr>
          <w:p>
            <w:pPr>
              <w:spacing w:after="0" w:line="16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Amended and Restated Bylaws of LII (filed as Exhibit 3.1 to LII’s Current Report on Form 8-K filed on December 16, 2013 and incorporated</w:t>
              </w:r>
            </w:hyperlink>
          </w:p>
        </w:tc>
        <w:tc>
          <w:tcPr>
            <w:tcW w:w="0" w:type="dxa"/>
            <w:vAlign w:val="bottom"/>
          </w:tcPr>
          <w:p>
            <w:pPr>
              <w:spacing w:after="0"/>
              <w:rPr>
                <w:sz w:val="1"/>
                <w:szCs w:val="1"/>
                <w:color w:val="auto"/>
              </w:rPr>
            </w:pPr>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10200" w:type="dxa"/>
            <w:vAlign w:val="bottom"/>
            <w:tcBorders>
              <w:top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herein by reference)</w:t>
              </w:r>
              <w:r>
                <w:rPr>
                  <w:rFonts w:ascii="Times New Roman" w:cs="Times New Roman" w:eastAsia="Times New Roman" w:hAnsi="Times New Roman"/>
                  <w:sz w:val="18"/>
                  <w:szCs w:val="18"/>
                  <w:color w:val="000000"/>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300" w:type="dxa"/>
            <w:vAlign w:val="bottom"/>
            <w:gridSpan w:val="28"/>
          </w:tcPr>
          <w:p>
            <w:pPr>
              <w:spacing w:after="0" w:line="16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Specimen Stock Certificate for the Common Stock, par value $.01 per share, of LII (filed as Exhibit 4.1 to LII’s Amendment to Registration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Statement on Form S-1/A (Registration No. 333-75725) filed on June 16, 1999 and incorporated herein by reference).</w:t>
              </w:r>
            </w:hyperlink>
          </w:p>
        </w:tc>
        <w:tc>
          <w:tcPr>
            <w:tcW w:w="8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300" w:type="dxa"/>
            <w:vAlign w:val="bottom"/>
            <w:gridSpan w:val="28"/>
            <w:shd w:val="clear" w:color="auto" w:fill="CCEEFF"/>
          </w:tcPr>
          <w:p>
            <w:pPr>
              <w:spacing w:after="0" w:line="16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c>
          <w:tcPr>
            <w:tcW w:w="0" w:type="dxa"/>
            <w:vAlign w:val="bottom"/>
          </w:tcPr>
          <w:p>
            <w:pPr>
              <w:spacing w:after="0"/>
              <w:rPr>
                <w:sz w:val="1"/>
                <w:szCs w:val="1"/>
                <w:color w:val="auto"/>
              </w:rPr>
            </w:pPr>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Amendment No. 1 to Registration Statement on S-3 (Registration No. 333-155796) filed on May 3, 2010, and incorporated herein by</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8"/>
              </w:rPr>
            </w:pPr>
            <w:hyperlink r:id="rId78">
              <w:r>
                <w:rPr>
                  <w:rFonts w:ascii="Times New Roman" w:cs="Times New Roman" w:eastAsia="Times New Roman" w:hAnsi="Times New Roman"/>
                  <w:sz w:val="18"/>
                  <w:szCs w:val="18"/>
                  <w:color w:val="0000FF"/>
                  <w:w w:val="98"/>
                </w:rPr>
                <w:t>reference).</w:t>
              </w:r>
            </w:hyperlink>
          </w:p>
        </w:tc>
        <w:tc>
          <w:tcPr>
            <w:tcW w:w="880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10300" w:type="dxa"/>
            <w:vAlign w:val="bottom"/>
            <w:gridSpan w:val="28"/>
          </w:tcPr>
          <w:p>
            <w:pPr>
              <w:spacing w:after="0" w:line="16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Form of Supplemental Indenture among LII, the guarantors party thereto and U.S. Bank National Association, as trustee (filed as Exhibit 4.11</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2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to LII’s Post-Effective Amendment No. 1 to Registration Statement on S-3 (Registration No. 333-155796) filed on May 3, 2010,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95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incorporated herein by reference)</w:t>
              </w:r>
              <w:r>
                <w:rPr>
                  <w:rFonts w:ascii="Times New Roman" w:cs="Times New Roman" w:eastAsia="Times New Roman" w:hAnsi="Times New Roman"/>
                  <w:sz w:val="18"/>
                  <w:szCs w:val="18"/>
                  <w:color w:val="000000"/>
                </w:rPr>
                <w:t>.</w:t>
              </w:r>
            </w:hyperlink>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10200" w:type="dxa"/>
            <w:vAlign w:val="bottom"/>
            <w:tcBorders>
              <w:bottom w:val="single" w:sz="8" w:color="0000FF"/>
            </w:tcBorders>
            <w:gridSpan w:val="23"/>
            <w:shd w:val="clear" w:color="auto" w:fill="CCEEFF"/>
          </w:tcPr>
          <w:p>
            <w:pPr>
              <w:spacing w:after="0" w:line="169"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Sixth Supplemental Indenture, dated as of November 3, 2016, among LII, each other existing Guarantor under the Indenture, dated as of May</w:t>
              </w:r>
            </w:hyperlink>
          </w:p>
        </w:tc>
        <w:tc>
          <w:tcPr>
            <w:tcW w:w="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shd w:val="clear" w:color="auto" w:fill="CCEEFF"/>
          </w:tcPr>
          <w:p>
            <w:pPr>
              <w:spacing w:after="0"/>
              <w:rPr>
                <w:sz w:val="13"/>
                <w:szCs w:val="13"/>
                <w:color w:val="auto"/>
              </w:rPr>
            </w:pPr>
          </w:p>
        </w:tc>
        <w:tc>
          <w:tcPr>
            <w:tcW w:w="10300" w:type="dxa"/>
            <w:vAlign w:val="bottom"/>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3, 2010, as subsequently supplemented, and US Bank National Association, as trustee (filed as Exhibit 4.2 to LII’s Current Report on Form 8-</w:t>
              </w:r>
            </w:hyperlink>
          </w:p>
        </w:tc>
        <w:tc>
          <w:tcPr>
            <w:tcW w:w="0" w:type="dxa"/>
            <w:vAlign w:val="bottom"/>
          </w:tcPr>
          <w:p>
            <w:pPr>
              <w:spacing w:after="0"/>
              <w:rPr>
                <w:sz w:val="1"/>
                <w:szCs w:val="1"/>
                <w:color w:val="auto"/>
              </w:rPr>
            </w:pPr>
          </w:p>
        </w:tc>
      </w:tr>
      <w:tr>
        <w:trPr>
          <w:trHeight w:val="176"/>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4960" w:type="dxa"/>
            <w:vAlign w:val="bottom"/>
            <w:tcBorders>
              <w:top w:val="single" w:sz="8" w:color="0000FF"/>
              <w:bottom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K filed on November 3, 2016, and incorporated herein by reference).</w:t>
              </w:r>
            </w:hyperlink>
          </w:p>
        </w:tc>
        <w:tc>
          <w:tcPr>
            <w:tcW w:w="5300" w:type="dxa"/>
            <w:vAlign w:val="bottom"/>
            <w:tcBorders>
              <w:top w:val="single" w:sz="8" w:color="0000FF"/>
              <w:bottom w:val="single" w:sz="8" w:color="CCEEFF"/>
            </w:tcBorders>
            <w:gridSpan w:val="19"/>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974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Seventh Supplemental Indenture, dated as of January 23, 2019, among LII Mexico Holdings Ltd., Lennox International Inc., each other</w:t>
              </w:r>
            </w:hyperlink>
          </w:p>
        </w:tc>
        <w:tc>
          <w:tcPr>
            <w:tcW w:w="560" w:type="dxa"/>
            <w:vAlign w:val="bottom"/>
            <w:gridSpan w:val="13"/>
            <w:vMerge w:val="restart"/>
          </w:tcPr>
          <w:p>
            <w:pPr>
              <w:ind w:left="40"/>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trustee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9740" w:type="dxa"/>
            <w:vAlign w:val="bottom"/>
            <w:gridSpan w:val="15"/>
          </w:tcPr>
          <w:p>
            <w:pPr>
              <w:spacing w:after="0" w:line="15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existing Guarantor under the Indenture, dated as of May 3, 2010, as subsequently supplemented, and US Bank National Association, as</w:t>
              </w:r>
            </w:hyperlink>
          </w:p>
        </w:tc>
        <w:tc>
          <w:tcPr>
            <w:tcW w:w="560" w:type="dxa"/>
            <w:vAlign w:val="bottom"/>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28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(filed as Exhibit 2.5 to LII's Annual Report on Form 10-K filed on February 19, 2019 and 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10300" w:type="dxa"/>
            <w:vAlign w:val="bottom"/>
            <w:gridSpan w:val="28"/>
            <w:shd w:val="clear" w:color="auto" w:fill="CCEEFF"/>
          </w:tcPr>
          <w:p>
            <w:pPr>
              <w:spacing w:after="0" w:line="16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Form of 3.000% Notes due 2023 (filed as Exhibit A in Exhibit 4.2 to LII’s Current Report on Form 8-K filed on November 3, 2016, and</w:t>
              </w:r>
            </w:hyperlink>
          </w:p>
        </w:tc>
        <w:tc>
          <w:tcPr>
            <w:tcW w:w="0" w:type="dxa"/>
            <w:vAlign w:val="bottom"/>
          </w:tcPr>
          <w:p>
            <w:pPr>
              <w:spacing w:after="0"/>
              <w:rPr>
                <w:sz w:val="1"/>
                <w:szCs w:val="1"/>
                <w:color w:val="auto"/>
              </w:rPr>
            </w:pPr>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incorporated herein by reference).</w:t>
              </w:r>
            </w:hyperlink>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4.7</w:t>
            </w:r>
          </w:p>
        </w:tc>
        <w:tc>
          <w:tcPr>
            <w:tcW w:w="10300" w:type="dxa"/>
            <w:vAlign w:val="bottom"/>
            <w:gridSpan w:val="28"/>
          </w:tcPr>
          <w:p>
            <w:pPr>
              <w:spacing w:after="0" w:line="16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Eighth Supplemental Indenture, dated as of May 22, 2020, among Lennox Switzerland GmbH, Lennox International Inc., each other existing</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16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u w:val="single" w:color="auto"/>
                <w:color w:val="0000FF"/>
              </w:rPr>
            </w:pPr>
            <w:hyperlink r:id="rId82">
              <w:r>
                <w:rPr>
                  <w:rFonts w:ascii="Times New Roman" w:cs="Times New Roman" w:eastAsia="Times New Roman" w:hAnsi="Times New Roman"/>
                  <w:sz w:val="16"/>
                  <w:szCs w:val="16"/>
                  <w:u w:val="single" w:color="auto"/>
                  <w:color w:val="0000FF"/>
                </w:rPr>
                <w:t>Guarantor under the Indenture, dated as of May 3, 2010, as subsequently supplemented, and US Bank National Association, as trustee (filed</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300" w:type="dxa"/>
            <w:vAlign w:val="bottom"/>
            <w:gridSpan w:val="28"/>
          </w:tcPr>
          <w:p>
            <w:pPr>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as Exhibit 4.7 to LII’s Quarterly Report on Form 10-Q filed on July 20, 2020, and incorporated herein by reference).</w:t>
              </w:r>
            </w:hyperlink>
          </w:p>
        </w:tc>
        <w:tc>
          <w:tcPr>
            <w:tcW w:w="0" w:type="dxa"/>
            <w:vAlign w:val="bottom"/>
          </w:tcPr>
          <w:p>
            <w:pPr>
              <w:spacing w:after="0"/>
              <w:rPr>
                <w:sz w:val="1"/>
                <w:szCs w:val="1"/>
                <w:color w:val="auto"/>
              </w:rPr>
            </w:pPr>
          </w:p>
        </w:tc>
      </w:tr>
      <w:tr>
        <w:trPr>
          <w:trHeight w:val="189"/>
        </w:trPr>
        <w:tc>
          <w:tcPr>
            <w:tcW w:w="9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9860" w:type="dxa"/>
            <w:vAlign w:val="bottom"/>
            <w:tcBorders>
              <w:bottom w:val="single" w:sz="8" w:color="0000FF"/>
            </w:tcBorders>
            <w:gridSpan w:val="17"/>
            <w:shd w:val="clear" w:color="auto" w:fill="CCEEFF"/>
          </w:tcPr>
          <w:p>
            <w:pPr>
              <w:spacing w:after="0" w:line="169"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Ninth Supplemental Indenture, dated July 30, 2020, among LII, each existing Guarantor under the Indenture, dated as of May 3, 2010, as</w:t>
              </w:r>
            </w:hyperlink>
          </w:p>
        </w:tc>
        <w:tc>
          <w:tcPr>
            <w:tcW w:w="380" w:type="dxa"/>
            <w:vAlign w:val="bottom"/>
            <w:tcBorders>
              <w:bottom w:val="single" w:sz="8" w:color="CCEEFF"/>
            </w:tcBorders>
            <w:gridSpan w:val="8"/>
            <w:shd w:val="clear" w:color="auto" w:fill="CCEEFF"/>
          </w:tcPr>
          <w:p>
            <w:pPr>
              <w:spacing w:after="0"/>
              <w:rPr>
                <w:sz w:val="16"/>
                <w:szCs w:val="16"/>
                <w:color w:val="auto"/>
              </w:rPr>
            </w:pPr>
          </w:p>
        </w:tc>
        <w:tc>
          <w:tcPr>
            <w:tcW w:w="60" w:type="dxa"/>
            <w:vAlign w:val="bottom"/>
            <w:tcBorders>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shd w:val="clear" w:color="auto" w:fill="CCEEFF"/>
          </w:tcPr>
          <w:p>
            <w:pPr>
              <w:spacing w:after="0"/>
              <w:rPr>
                <w:sz w:val="13"/>
                <w:szCs w:val="13"/>
                <w:color w:val="auto"/>
              </w:rPr>
            </w:pPr>
          </w:p>
        </w:tc>
        <w:tc>
          <w:tcPr>
            <w:tcW w:w="10300" w:type="dxa"/>
            <w:vAlign w:val="bottom"/>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subsequently supplemented, and U.S. Bank National Association, as trustee (filed as Exhibit 4.2 to LII’s Current Report on Form 8-K filed on</w:t>
              </w:r>
            </w:hyperlink>
          </w:p>
        </w:tc>
        <w:tc>
          <w:tcPr>
            <w:tcW w:w="0" w:type="dxa"/>
            <w:vAlign w:val="bottom"/>
          </w:tcPr>
          <w:p>
            <w:pPr>
              <w:spacing w:after="0"/>
              <w:rPr>
                <w:sz w:val="1"/>
                <w:szCs w:val="1"/>
                <w:color w:val="auto"/>
              </w:rPr>
            </w:pPr>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024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July 30, 2020, and incorporated herein by reference)</w:t>
              </w:r>
              <w:r>
                <w:rPr>
                  <w:rFonts w:ascii="Times New Roman" w:cs="Times New Roman" w:eastAsia="Times New Roman" w:hAnsi="Times New Roman"/>
                  <w:sz w:val="18"/>
                  <w:szCs w:val="18"/>
                  <w:u w:val="single" w:color="auto"/>
                  <w:color w:val="0000FF"/>
                </w:rPr>
                <w:t>.</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4.9</w:t>
            </w:r>
          </w:p>
        </w:tc>
        <w:tc>
          <w:tcPr>
            <w:tcW w:w="10300" w:type="dxa"/>
            <w:vAlign w:val="bottom"/>
            <w:gridSpan w:val="28"/>
          </w:tcPr>
          <w:p>
            <w:pPr>
              <w:spacing w:after="0" w:line="16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u w:val="single" w:color="auto"/>
                  <w:color w:val="0000FF"/>
                </w:rPr>
                <w:t>Form</w:t>
              </w:r>
              <w:r>
                <w:rPr>
                  <w:rFonts w:ascii="Times New Roman" w:cs="Times New Roman" w:eastAsia="Times New Roman" w:hAnsi="Times New Roman"/>
                  <w:sz w:val="18"/>
                  <w:szCs w:val="18"/>
                  <w:color w:val="0000FF"/>
                </w:rPr>
                <w:t xml:space="preserve"> of 1.350% Notes due 2025 (filed as Exhibit A in Exhibit 4.2 to LII’s Current Report on Form 8-K filed on July 30, 2020, and</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incorporated herein by reference)</w:t>
              </w:r>
              <w:r>
                <w:rPr>
                  <w:rFonts w:ascii="Times New Roman" w:cs="Times New Roman" w:eastAsia="Times New Roman" w:hAnsi="Times New Roman"/>
                  <w:sz w:val="18"/>
                  <w:szCs w:val="18"/>
                  <w:u w:val="single" w:color="auto"/>
                  <w:color w:val="0000FF"/>
                </w:rPr>
                <w:t>.</w:t>
              </w:r>
            </w:hyperlink>
          </w:p>
        </w:tc>
        <w:tc>
          <w:tcPr>
            <w:tcW w:w="40" w:type="dxa"/>
            <w:vAlign w:val="bottom"/>
          </w:tcPr>
          <w:p>
            <w:pPr>
              <w:spacing w:after="0"/>
              <w:rPr>
                <w:sz w:val="13"/>
                <w:szCs w:val="13"/>
                <w:color w:val="auto"/>
              </w:rPr>
            </w:pPr>
          </w:p>
        </w:tc>
        <w:tc>
          <w:tcPr>
            <w:tcW w:w="8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4.10</w:t>
            </w:r>
          </w:p>
        </w:tc>
        <w:tc>
          <w:tcPr>
            <w:tcW w:w="10300" w:type="dxa"/>
            <w:vAlign w:val="bottom"/>
            <w:gridSpan w:val="28"/>
            <w:shd w:val="clear" w:color="auto" w:fill="CCEEFF"/>
          </w:tcPr>
          <w:p>
            <w:pPr>
              <w:spacing w:after="0" w:line="16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1.700% Notes due 2027 (filed as Exhibit B in Exhibit 4.2 to LII’s Current Report on Form 8-K filed on July 30, 2020, and</w:t>
              </w:r>
            </w:hyperlink>
          </w:p>
        </w:tc>
        <w:tc>
          <w:tcPr>
            <w:tcW w:w="0" w:type="dxa"/>
            <w:vAlign w:val="bottom"/>
          </w:tcPr>
          <w:p>
            <w:pPr>
              <w:spacing w:after="0"/>
              <w:rPr>
                <w:sz w:val="1"/>
                <w:szCs w:val="1"/>
                <w:color w:val="auto"/>
              </w:rPr>
            </w:pPr>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942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incorporated herein by reference)</w:t>
              </w:r>
              <w:r>
                <w:rPr>
                  <w:rFonts w:ascii="Times New Roman" w:cs="Times New Roman" w:eastAsia="Times New Roman" w:hAnsi="Times New Roman"/>
                  <w:sz w:val="18"/>
                  <w:szCs w:val="18"/>
                  <w:u w:val="single" w:color="auto"/>
                  <w:color w:val="0000FF"/>
                </w:rPr>
                <w:t>.</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gridSpan w:val="16"/>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948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Seventh Amended and Restated Credit Facility Agreement, dated as of July 30, 2020, among Lennox International Inc., a Delaware</w:t>
              </w:r>
            </w:hyperlink>
          </w:p>
        </w:tc>
        <w:tc>
          <w:tcPr>
            <w:tcW w:w="82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10300" w:type="dxa"/>
            <w:vAlign w:val="bottom"/>
            <w:gridSpan w:val="28"/>
          </w:tcPr>
          <w:p>
            <w:pPr>
              <w:spacing w:after="0" w:line="157" w:lineRule="exact"/>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corporation, the Lenders party thereto, and JPMorgan Chase Bank, N.A., as Administrative Agent (filed as Exhibit 10.1 to LII’s Current</w:t>
              </w:r>
            </w:hyperlink>
          </w:p>
        </w:tc>
        <w:tc>
          <w:tcPr>
            <w:tcW w:w="0" w:type="dxa"/>
            <w:vAlign w:val="bottom"/>
          </w:tcPr>
          <w:p>
            <w:pPr>
              <w:spacing w:after="0"/>
              <w:rPr>
                <w:sz w:val="1"/>
                <w:szCs w:val="1"/>
                <w:color w:val="auto"/>
              </w:rPr>
            </w:pPr>
          </w:p>
        </w:tc>
      </w:tr>
    </w:tbl>
    <w:p>
      <w:pPr>
        <w:ind w:left="920"/>
        <w:spacing w:after="0"/>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Report on Form 8-K filed on July 30, 2020,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1517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22.1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List of Guarantor Subsidiaries</w:t>
        </w:r>
      </w:hyperlink>
    </w:p>
    <w:p>
      <w:pPr>
        <w:spacing w:after="0" w:line="27" w:lineRule="exact"/>
        <w:rPr>
          <w:sz w:val="20"/>
          <w:szCs w:val="20"/>
          <w:color w:val="auto"/>
        </w:rPr>
      </w:pPr>
    </w:p>
    <w:p>
      <w:pPr>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u w:val="single" w:color="auto"/>
            <w:color w:val="0000FF"/>
          </w:rPr>
          <w:t>Certification of the principal executive officer (filed herewith)</w:t>
        </w:r>
        <w:r>
          <w:rPr>
            <w:rFonts w:ascii="Times New Roman" w:cs="Times New Roman" w:eastAsia="Times New Roman" w:hAnsi="Times New Roman"/>
            <w:sz w:val="18"/>
            <w:szCs w:val="18"/>
            <w:color w:val="0000FF"/>
          </w:rPr>
          <w:t>.</w:t>
        </w:r>
      </w:hyperlink>
    </w:p>
    <w:p>
      <w:pPr>
        <w:spacing w:after="0" w:line="5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Certification of the principal financial officer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-127635</wp:posOffset>
            </wp:positionV>
            <wp:extent cx="71151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4" w:lineRule="exact"/>
        <w:rPr>
          <w:sz w:val="20"/>
          <w:szCs w:val="20"/>
          <w:color w:val="auto"/>
        </w:rPr>
      </w:pPr>
    </w:p>
    <w:p>
      <w:pPr>
        <w:spacing w:after="0"/>
        <w:rPr>
          <w:rFonts w:ascii="Times New Roman" w:cs="Times New Roman" w:eastAsia="Times New Roman" w:hAnsi="Times New Roman"/>
          <w:sz w:val="17"/>
          <w:szCs w:val="17"/>
          <w:color w:val="0000FF"/>
        </w:rPr>
      </w:pPr>
      <w:hyperlink w:anchor="page45">
        <w:r>
          <w:rPr>
            <w:rFonts w:ascii="Times New Roman" w:cs="Times New Roman" w:eastAsia="Times New Roman" w:hAnsi="Times New Roman"/>
            <w:sz w:val="17"/>
            <w:szCs w:val="17"/>
            <w:u w:val="single" w:color="auto"/>
            <w:color w:val="0000FF"/>
          </w:rPr>
          <w:t>Certification of the principal executive officer and the principal financial officer pursuant to 18 U.S.C. Section 1350 (furnished herewith)</w:t>
        </w:r>
      </w:hyperlink>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24765</wp:posOffset>
            </wp:positionV>
            <wp:extent cx="7115175"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28"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INS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sectPr>
          <w:pgSz w:w="11900" w:h="16838" w:orient="portrait"/>
          <w:cols w:equalWidth="0" w:num="2">
            <w:col w:w="340" w:space="580"/>
            <w:col w:w="10300"/>
          </w:cols>
          <w:pgMar w:left="320" w:top="887" w:right="3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7"/>
        </w:trPr>
        <w:tc>
          <w:tcPr>
            <w:tcW w:w="600" w:type="dxa"/>
            <w:vAlign w:val="bottom"/>
          </w:tcPr>
          <w:p>
            <w:pPr>
              <w:spacing w:after="0"/>
              <w:rPr>
                <w:sz w:val="2"/>
                <w:szCs w:val="2"/>
                <w:color w:val="auto"/>
              </w:rPr>
            </w:pPr>
          </w:p>
        </w:tc>
        <w:tc>
          <w:tcPr>
            <w:tcW w:w="1062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43"/>
        </w:trPr>
        <w:tc>
          <w:tcPr>
            <w:tcW w:w="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7"/>
        </w:trPr>
        <w:tc>
          <w:tcPr>
            <w:tcW w:w="600" w:type="dxa"/>
            <w:vAlign w:val="bottom"/>
          </w:tcPr>
          <w:p>
            <w:pPr>
              <w:spacing w:after="0"/>
              <w:rPr>
                <w:sz w:val="2"/>
                <w:szCs w:val="2"/>
                <w:color w:val="auto"/>
              </w:rPr>
            </w:pPr>
          </w:p>
        </w:tc>
        <w:tc>
          <w:tcPr>
            <w:tcW w:w="1062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43"/>
        </w:trPr>
        <w:tc>
          <w:tcPr>
            <w:tcW w:w="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 w:lineRule="exact"/>
        <w:rPr>
          <w:sz w:val="20"/>
          <w:szCs w:val="20"/>
          <w:color w:val="auto"/>
        </w:rPr>
      </w:pPr>
    </w:p>
    <w:p>
      <w:pPr>
        <w:ind w:left="920" w:hanging="89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39" w:name="page40"/>
    <w:bookmarkEnd w:id="39"/>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Joseph W. Reitmeier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20"/>
          </w:cols>
          <w:pgMar w:left="320" w:top="1130" w:right="10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color w:val="auto"/>
        </w:rPr>
        <w:t>Exhibit 22.1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Guarantor Subsidiaries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subsidiaries of Lennox International Inc. (the “Company”) are guarantors with respect to the Company’s 3.00%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 due 2023:</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9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Guarantor</w:t>
            </w:r>
          </w:p>
        </w:tc>
        <w:tc>
          <w:tcPr>
            <w:tcW w:w="52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State or Other Jurisdiction of Formation</w:t>
            </w:r>
          </w:p>
        </w:tc>
      </w:tr>
      <w:tr>
        <w:trPr>
          <w:trHeight w:val="21"/>
        </w:trPr>
        <w:tc>
          <w:tcPr>
            <w:tcW w:w="5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2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5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Advanced Distributor Products LLC</w:t>
            </w:r>
          </w:p>
        </w:tc>
        <w:tc>
          <w:tcPr>
            <w:tcW w:w="52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2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5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Allied Air Enterprises LLC</w:t>
            </w:r>
          </w:p>
        </w:tc>
        <w:tc>
          <w:tcPr>
            <w:tcW w:w="52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2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5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Heatcraft Inc.</w:t>
            </w:r>
          </w:p>
        </w:tc>
        <w:tc>
          <w:tcPr>
            <w:tcW w:w="52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2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5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Heatcraft Refrigeration Products LLC</w:t>
            </w:r>
          </w:p>
        </w:tc>
        <w:tc>
          <w:tcPr>
            <w:tcW w:w="52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2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5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Global LLC</w:t>
            </w:r>
          </w:p>
        </w:tc>
        <w:tc>
          <w:tcPr>
            <w:tcW w:w="52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2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5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Industries Inc.</w:t>
            </w:r>
          </w:p>
        </w:tc>
        <w:tc>
          <w:tcPr>
            <w:tcW w:w="52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2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5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National Account Services LLC</w:t>
            </w:r>
          </w:p>
        </w:tc>
        <w:tc>
          <w:tcPr>
            <w:tcW w:w="52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Florida</w:t>
            </w:r>
          </w:p>
        </w:tc>
      </w:tr>
      <w:tr>
        <w:trPr>
          <w:trHeight w:val="21"/>
        </w:trPr>
        <w:tc>
          <w:tcPr>
            <w:tcW w:w="5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2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5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LGL Australia (US) Inc.</w:t>
            </w:r>
          </w:p>
        </w:tc>
        <w:tc>
          <w:tcPr>
            <w:tcW w:w="52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2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5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LGL Europe Holding Co.</w:t>
            </w:r>
          </w:p>
        </w:tc>
        <w:tc>
          <w:tcPr>
            <w:tcW w:w="52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2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5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Switzerland GmbH</w:t>
            </w:r>
          </w:p>
        </w:tc>
        <w:tc>
          <w:tcPr>
            <w:tcW w:w="52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Switzerland</w:t>
            </w:r>
          </w:p>
        </w:tc>
      </w:tr>
      <w:tr>
        <w:trPr>
          <w:trHeight w:val="21"/>
        </w:trPr>
        <w:tc>
          <w:tcPr>
            <w:tcW w:w="5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280" w:type="dxa"/>
            <w:vAlign w:val="bottom"/>
            <w:tcBorders>
              <w:bottom w:val="single" w:sz="8" w:color="00000A"/>
              <w:right w:val="single" w:sz="8" w:color="00000A"/>
            </w:tcBorders>
          </w:tcPr>
          <w:p>
            <w:pPr>
              <w:spacing w:after="0" w:line="20" w:lineRule="exact"/>
              <w:rPr>
                <w:sz w:val="1"/>
                <w:szCs w:val="1"/>
                <w:color w:val="auto"/>
              </w:rPr>
            </w:pPr>
          </w:p>
        </w:tc>
      </w:tr>
    </w:tbl>
    <w:p>
      <w:pPr>
        <w:sectPr>
          <w:pgSz w:w="11900" w:h="16838" w:orient="portrait"/>
          <w:cols w:equalWidth="0" w:num="1">
            <w:col w:w="11240"/>
          </w:cols>
          <w:pgMar w:left="320" w:top="1422"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19, 2020</w:t>
      </w:r>
    </w:p>
    <w:p>
      <w:pPr>
        <w:spacing w:after="0" w:line="200" w:lineRule="exact"/>
        <w:rPr>
          <w:sz w:val="20"/>
          <w:szCs w:val="20"/>
          <w:color w:val="auto"/>
        </w:rPr>
      </w:pPr>
    </w:p>
    <w:p>
      <w:pPr>
        <w:spacing w:after="0" w:line="26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34290</wp:posOffset>
            </wp:positionV>
            <wp:extent cx="27863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Todd M. Bluedorn</w:t>
      </w:r>
    </w:p>
    <w:p>
      <w:pPr>
        <w:spacing w:after="0" w:line="6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19, 2020</w:t>
      </w:r>
    </w:p>
    <w:p>
      <w:pPr>
        <w:spacing w:after="0" w:line="200" w:lineRule="exact"/>
        <w:rPr>
          <w:sz w:val="20"/>
          <w:szCs w:val="20"/>
          <w:color w:val="auto"/>
        </w:rPr>
      </w:pPr>
    </w:p>
    <w:p>
      <w:pPr>
        <w:spacing w:after="0" w:line="26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34290</wp:posOffset>
            </wp:positionV>
            <wp:extent cx="27863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6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September 30, 2020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26"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774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M. Bluedorn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19,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774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19, 2020</w:t>
      </w:r>
    </w:p>
    <w:p>
      <w:pPr>
        <w:spacing w:after="0" w:line="171"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
    <w:nsid w:val="216231B"/>
    <w:multiLevelType w:val="hybridMultilevel"/>
    <w:lvl w:ilvl="0">
      <w:lvlJc w:val="left"/>
      <w:lvlText w:val="%1."/>
      <w:numFmt w:val="decimal"/>
      <w:start w:val="9"/>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lvl w:ilvl="1">
      <w:lvlJc w:val="left"/>
      <w:lvlText w:val="(%2)"/>
      <w:numFmt w:val="decimal"/>
      <w:start w:val="1"/>
    </w:lvl>
  </w:abstractNum>
  <w:abstractNum w:abstractNumId="6">
    <w:nsid w:val="66EF438D"/>
    <w:multiLevelType w:val="hybridMultilevel"/>
    <w:lvl w:ilvl="0">
      <w:lvlJc w:val="left"/>
      <w:lvlText w:val="%1."/>
      <w:numFmt w:val="decimal"/>
      <w:start w:val="10"/>
    </w:lvl>
    <w:lvl w:ilvl="1">
      <w:lvlJc w:val="left"/>
      <w:lvlText w:val="%2"/>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amp;"/>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74" Type="http://schemas.openxmlformats.org/officeDocument/2006/relationships/hyperlink" Target="http://www.sec.gov/Archives/edgar/data/1069202/000119312520203588/d22651dex11.htm" TargetMode="External"/><Relationship Id="rId75" Type="http://schemas.openxmlformats.org/officeDocument/2006/relationships/hyperlink" Target="http://www.sec.gov/Archives/edgar/data/1069202/0000950134-99-002720-index.html" TargetMode="External"/><Relationship Id="rId76" Type="http://schemas.openxmlformats.org/officeDocument/2006/relationships/hyperlink" Target="http://www.sec.gov/Archives/edgar/data/1069202/000119312513474576/d644537dex31.htm" TargetMode="External"/><Relationship Id="rId77" Type="http://schemas.openxmlformats.org/officeDocument/2006/relationships/hyperlink" Target="http://www.sec.gov/Archives/edgar/data/1069202/0000950134-99-005530-index.html" TargetMode="External"/><Relationship Id="rId78" Type="http://schemas.openxmlformats.org/officeDocument/2006/relationships/hyperlink" Target="http://www.sec.gov/Archives/edgar/data/1017609/000095012310042399/d72548exv4w3.htm" TargetMode="External"/><Relationship Id="rId79" Type="http://schemas.openxmlformats.org/officeDocument/2006/relationships/hyperlink" Target="http://www.sec.gov/Archives/edgar/data/1017609/000095012310042399/d72548exv4w11.htm" TargetMode="External"/><Relationship Id="rId80" Type="http://schemas.openxmlformats.org/officeDocument/2006/relationships/hyperlink" Target="http://www.sec.gov/Archives/edgar/data/1069202/000119312516758285/d284193dex42.htm" TargetMode="External"/><Relationship Id="rId81" Type="http://schemas.openxmlformats.org/officeDocument/2006/relationships/hyperlink" Target="http://www.sec.gov/Archives/edgar/data/1069202/000106920219000008/lii-ex45_20181231x10k.htm" TargetMode="External"/><Relationship Id="rId82" Type="http://schemas.openxmlformats.org/officeDocument/2006/relationships/hyperlink" Target="http://www.sec.gov/Archives/edgar/data/1069202/000106920220000039/lii-ex472020lennoxeigh.htm" TargetMode="External"/><Relationship Id="rId83" Type="http://schemas.openxmlformats.org/officeDocument/2006/relationships/hyperlink" Target="http://www.sec.gov/Archives/edgar/data/1069202/000119312520203588/d22651dex42.htm" TargetMode="External"/><Relationship Id="rId84" Type="http://schemas.openxmlformats.org/officeDocument/2006/relationships/hyperlink" Target="http://www.sec.gov/Archives/edgar/data/1069202/000119312520203588/d226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2020-10-19T16:09:01Z</dcterms:created>
  <dcterms:modified xsi:type="dcterms:W3CDTF">2020-10-19T16:09:01Z</dcterms:modified>
</cp:coreProperties>
</file>