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834390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860425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31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Washington, D. C. 20549</w:t>
      </w:r>
    </w:p>
    <w:p>
      <w:pPr>
        <w:ind w:left="3860"/>
        <w:spacing w:after="0"/>
        <w:rPr>
          <w:sz w:val="20"/>
          <w:szCs w:val="20"/>
          <w:color w:val="auto"/>
        </w:rPr>
      </w:pPr>
      <w:r>
        <w:rPr>
          <w:rFonts w:ascii="Arial" w:cs="Arial" w:eastAsia="Arial" w:hAnsi="Arial"/>
          <w:sz w:val="14"/>
          <w:szCs w:val="14"/>
          <w:color w:val="auto"/>
        </w:rPr>
        <w:t>_________________________________________________</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45"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700" w:hanging="409"/>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46"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00" w:hanging="409"/>
        <w:spacing w:after="0"/>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1"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For the transition period from _____to ______</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7"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LENNOX INTERNATIONAL INC</w:t>
      </w:r>
      <w:r>
        <w:rPr>
          <w:rFonts w:ascii="Arial" w:cs="Arial" w:eastAsia="Arial" w:hAnsi="Arial"/>
          <w:sz w:val="35"/>
          <w:szCs w:val="35"/>
          <w:b w:val="1"/>
          <w:bCs w:val="1"/>
          <w:color w:val="auto"/>
        </w:rPr>
        <w:t>.</w:t>
      </w:r>
    </w:p>
    <w:p>
      <w:pPr>
        <w:spacing w:after="0" w:line="48"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w:t>
      </w:r>
    </w:p>
    <w:p>
      <w:pPr>
        <w:spacing w:after="0" w:line="7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9" w:lineRule="exact"/>
        <w:rPr>
          <w:sz w:val="24"/>
          <w:szCs w:val="24"/>
          <w:color w:val="auto"/>
        </w:rPr>
      </w:pPr>
    </w:p>
    <w:p>
      <w:pPr>
        <w:jc w:val="right"/>
        <w:ind w:right="344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right"/>
        <w:ind w:right="34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31" w:lineRule="exact"/>
        <w:rPr>
          <w:sz w:val="24"/>
          <w:szCs w:val="24"/>
          <w:color w:val="auto"/>
        </w:rPr>
      </w:pPr>
    </w:p>
    <w:p>
      <w:pPr>
        <w:jc w:val="center"/>
        <w:ind w:left="7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6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80" w:space="720"/>
            <w:col w:w="1420" w:space="700"/>
            <w:col w:w="4020"/>
          </w:cols>
          <w:pgMar w:left="320" w:top="1440" w:right="339" w:bottom="1440" w:gutter="0" w:footer="0" w:header="0"/>
          <w:type w:val="continuous"/>
        </w:sect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72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36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36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6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78" w:lineRule="exact"/>
        <w:rPr>
          <w:sz w:val="24"/>
          <w:szCs w:val="24"/>
          <w:color w:val="auto"/>
        </w:rPr>
      </w:pPr>
    </w:p>
    <w:p>
      <w:pPr>
        <w:ind w:firstLine="243"/>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260" w:right="240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16, 2021, the number of shares outstanding of the registrant’s common stock, par value $0.01 per share, was 37,776,653.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Page</w:t>
            </w:r>
          </w:p>
        </w:tc>
      </w:tr>
      <w:tr>
        <w:trPr>
          <w:trHeight w:val="178"/>
        </w:trPr>
        <w:tc>
          <w:tcPr>
            <w:tcW w:w="800" w:type="dxa"/>
            <w:vAlign w:val="bottom"/>
            <w:tcBorders>
              <w:bottom w:val="single" w:sz="8" w:color="CCEEFF"/>
            </w:tcBorders>
            <w:shd w:val="clear" w:color="auto" w:fill="CCEEFF"/>
          </w:tcPr>
          <w:p>
            <w:pPr>
              <w:jc w:val="center"/>
              <w:spacing w:after="0" w:line="158" w:lineRule="exact"/>
              <w:rPr>
                <w:sz w:val="20"/>
                <w:szCs w:val="20"/>
                <w:color w:val="auto"/>
              </w:rPr>
            </w:pPr>
            <w:r>
              <w:rPr>
                <w:rFonts w:ascii="Arial" w:cs="Arial" w:eastAsia="Arial" w:hAnsi="Arial"/>
                <w:sz w:val="16"/>
                <w:szCs w:val="16"/>
                <w:b w:val="1"/>
                <w:bCs w:val="1"/>
                <w:color w:val="auto"/>
              </w:rPr>
              <w:t>Part I</w:t>
            </w:r>
          </w:p>
        </w:tc>
        <w:tc>
          <w:tcPr>
            <w:tcW w:w="1420" w:type="dxa"/>
            <w:vAlign w:val="bottom"/>
            <w:tcBorders>
              <w:bottom w:val="single" w:sz="8" w:color="0000FF"/>
            </w:tcBorders>
            <w:gridSpan w:val="5"/>
            <w:shd w:val="clear" w:color="auto" w:fill="CCEEFF"/>
          </w:tcPr>
          <w:p>
            <w:pPr>
              <w:spacing w:after="0" w:line="158" w:lineRule="exact"/>
              <w:rPr>
                <w:rFonts w:ascii="Arial" w:cs="Arial" w:eastAsia="Arial" w:hAnsi="Arial"/>
                <w:sz w:val="16"/>
                <w:szCs w:val="16"/>
                <w:color w:val="0000FF"/>
                <w:w w:val="94"/>
              </w:rPr>
            </w:pPr>
            <w:hyperlink w:anchor="page2">
              <w:r>
                <w:rPr>
                  <w:rFonts w:ascii="Arial" w:cs="Arial" w:eastAsia="Arial" w:hAnsi="Arial"/>
                  <w:sz w:val="16"/>
                  <w:szCs w:val="16"/>
                  <w:color w:val="0000FF"/>
                  <w:w w:val="94"/>
                </w:rPr>
                <w:t>Financial Information</w:t>
              </w:r>
            </w:hyperlink>
          </w:p>
        </w:tc>
        <w:tc>
          <w:tcPr>
            <w:tcW w:w="8320" w:type="dxa"/>
            <w:vAlign w:val="bottom"/>
            <w:tcBorders>
              <w:bottom w:val="single" w:sz="8" w:color="CCEEFF"/>
            </w:tcBorders>
            <w:gridSpan w:val="13"/>
            <w:shd w:val="clear" w:color="auto" w:fill="CCEEFF"/>
          </w:tcPr>
          <w:p>
            <w:pPr>
              <w:spacing w:after="0"/>
              <w:rPr>
                <w:sz w:val="15"/>
                <w:szCs w:val="15"/>
                <w:color w:val="auto"/>
              </w:rPr>
            </w:pPr>
          </w:p>
        </w:tc>
        <w:tc>
          <w:tcPr>
            <w:tcW w:w="3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r>
      <w:tr>
        <w:trPr>
          <w:trHeight w:val="176"/>
        </w:trPr>
        <w:tc>
          <w:tcPr>
            <w:tcW w:w="800" w:type="dxa"/>
            <w:vAlign w:val="bottom"/>
          </w:tcPr>
          <w:p>
            <w:pPr>
              <w:spacing w:after="0"/>
              <w:rPr>
                <w:sz w:val="15"/>
                <w:szCs w:val="15"/>
                <w:color w:val="auto"/>
              </w:rPr>
            </w:pPr>
          </w:p>
        </w:tc>
        <w:tc>
          <w:tcPr>
            <w:tcW w:w="9740" w:type="dxa"/>
            <w:vAlign w:val="bottom"/>
            <w:gridSpan w:val="18"/>
          </w:tcPr>
          <w:p>
            <w:pPr>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4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Balance Sheets - March 31, 2021 (Unaudited) and December 31, 2020</w:t>
            </w:r>
          </w:p>
        </w:tc>
        <w:tc>
          <w:tcPr>
            <w:tcW w:w="420" w:type="dxa"/>
            <w:vAlign w:val="bottom"/>
            <w:tcBorders>
              <w:right w:val="single" w:sz="8" w:color="CCEEFF"/>
            </w:tcBorders>
            <w:gridSpan w:val="2"/>
            <w:shd w:val="clear" w:color="auto" w:fill="CCEEFF"/>
          </w:tcPr>
          <w:p>
            <w:pPr>
              <w:jc w:val="center"/>
              <w:ind w:left="17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6"/>
                <w:szCs w:val="16"/>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40" w:type="dxa"/>
            <w:vAlign w:val="bottom"/>
            <w:gridSpan w:val="17"/>
          </w:tcPr>
          <w:p>
            <w:pPr>
              <w:spacing w:after="0"/>
              <w:rPr>
                <w:sz w:val="20"/>
                <w:szCs w:val="20"/>
                <w:color w:val="auto"/>
              </w:rPr>
            </w:pPr>
            <w:r>
              <w:rPr>
                <w:rFonts w:ascii="Arial" w:cs="Arial" w:eastAsia="Arial" w:hAnsi="Arial"/>
                <w:sz w:val="16"/>
                <w:szCs w:val="16"/>
                <w:color w:val="0000FF"/>
              </w:rPr>
              <w:t>Consolidated Statements of Operations (Unaudited) - Three Months Months Ended March 31, 2021 and 2020</w:t>
            </w:r>
          </w:p>
        </w:tc>
        <w:tc>
          <w:tcPr>
            <w:tcW w:w="420" w:type="dxa"/>
            <w:vAlign w:val="bottom"/>
            <w:gridSpan w:val="2"/>
          </w:tcPr>
          <w:p>
            <w:pPr>
              <w:jc w:val="center"/>
              <w:ind w:left="17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4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Comprehensive Income (Unaudited) - Three Months Months Ended March 31, 2021 and 2020</w:t>
            </w:r>
          </w:p>
        </w:tc>
        <w:tc>
          <w:tcPr>
            <w:tcW w:w="420" w:type="dxa"/>
            <w:vAlign w:val="bottom"/>
            <w:tcBorders>
              <w:right w:val="single" w:sz="8" w:color="CCEEFF"/>
            </w:tcBorders>
            <w:gridSpan w:val="2"/>
            <w:shd w:val="clear" w:color="auto" w:fill="CCEEFF"/>
          </w:tcPr>
          <w:p>
            <w:pPr>
              <w:jc w:val="center"/>
              <w:ind w:left="1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1"/>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40" w:type="dxa"/>
            <w:vAlign w:val="bottom"/>
            <w:gridSpan w:val="16"/>
          </w:tcPr>
          <w:p>
            <w:pPr>
              <w:spacing w:after="0"/>
              <w:rPr>
                <w:sz w:val="20"/>
                <w:szCs w:val="20"/>
                <w:color w:val="auto"/>
              </w:rPr>
            </w:pPr>
            <w:r>
              <w:rPr>
                <w:rFonts w:ascii="Arial" w:cs="Arial" w:eastAsia="Arial" w:hAnsi="Arial"/>
                <w:sz w:val="16"/>
                <w:szCs w:val="16"/>
                <w:color w:val="0000FF"/>
                <w:w w:val="94"/>
              </w:rPr>
              <w:t>Consolidated Statements of Stockholders' Deficit (Unaudited) - Three Months Months Ended March 31, 2021 and 2020</w:t>
            </w:r>
          </w:p>
        </w:tc>
        <w:tc>
          <w:tcPr>
            <w:tcW w:w="1600" w:type="dxa"/>
            <w:vAlign w:val="bottom"/>
          </w:tcPr>
          <w:p>
            <w:pPr>
              <w:spacing w:after="0"/>
              <w:rPr>
                <w:sz w:val="16"/>
                <w:szCs w:val="16"/>
                <w:color w:val="auto"/>
              </w:rPr>
            </w:pPr>
          </w:p>
        </w:tc>
        <w:tc>
          <w:tcPr>
            <w:tcW w:w="420" w:type="dxa"/>
            <w:vAlign w:val="bottom"/>
            <w:gridSpan w:val="2"/>
          </w:tcPr>
          <w:p>
            <w:pPr>
              <w:jc w:val="center"/>
              <w:ind w:left="170"/>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40" w:type="dxa"/>
            <w:vAlign w:val="bottom"/>
          </w:tcPr>
          <w:p>
            <w:pPr>
              <w:spacing w:after="0"/>
              <w:rPr>
                <w:sz w:val="16"/>
                <w:szCs w:val="16"/>
                <w:color w:val="auto"/>
              </w:rPr>
            </w:pPr>
          </w:p>
        </w:tc>
      </w:tr>
      <w:tr>
        <w:trPr>
          <w:trHeight w:val="21"/>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4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Cash Flows (Unaudited) - Three Months Ended March 31, 2021 and 2020</w:t>
            </w:r>
          </w:p>
        </w:tc>
        <w:tc>
          <w:tcPr>
            <w:tcW w:w="420" w:type="dxa"/>
            <w:vAlign w:val="bottom"/>
            <w:tcBorders>
              <w:right w:val="single" w:sz="8" w:color="CCEEFF"/>
            </w:tcBorders>
            <w:gridSpan w:val="2"/>
            <w:shd w:val="clear" w:color="auto" w:fill="CCEEFF"/>
          </w:tcPr>
          <w:p>
            <w:pPr>
              <w:jc w:val="center"/>
              <w:ind w:left="170"/>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20" w:type="dxa"/>
            <w:vAlign w:val="bottom"/>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 (Unaudited)</w:t>
              </w:r>
            </w:hyperlink>
          </w:p>
        </w:tc>
        <w:tc>
          <w:tcPr>
            <w:tcW w:w="2920" w:type="dxa"/>
            <w:vAlign w:val="bottom"/>
            <w:gridSpan w:val="4"/>
          </w:tcPr>
          <w:p>
            <w:pPr>
              <w:spacing w:after="0"/>
              <w:rPr>
                <w:sz w:val="16"/>
                <w:szCs w:val="16"/>
                <w:color w:val="auto"/>
              </w:rPr>
            </w:pPr>
          </w:p>
        </w:tc>
        <w:tc>
          <w:tcPr>
            <w:tcW w:w="420" w:type="dxa"/>
            <w:vAlign w:val="bottom"/>
            <w:gridSpan w:val="2"/>
          </w:tcPr>
          <w:p>
            <w:pPr>
              <w:jc w:val="center"/>
              <w:ind w:left="17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40" w:type="dxa"/>
            <w:vAlign w:val="bottom"/>
          </w:tcPr>
          <w:p>
            <w:pPr>
              <w:spacing w:after="0"/>
              <w:rPr>
                <w:sz w:val="16"/>
                <w:szCs w:val="16"/>
                <w:color w:val="auto"/>
              </w:rPr>
            </w:pPr>
          </w:p>
        </w:tc>
      </w:tr>
      <w:tr>
        <w:trPr>
          <w:trHeight w:val="21"/>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800" w:type="dxa"/>
            <w:vAlign w:val="bottom"/>
            <w:tcBorders>
              <w:bottom w:val="single" w:sz="8" w:color="CCEEFF"/>
            </w:tcBorders>
            <w:shd w:val="clear" w:color="auto" w:fill="CCEEFF"/>
          </w:tcPr>
          <w:p>
            <w:pPr>
              <w:spacing w:after="0"/>
              <w:rPr>
                <w:sz w:val="18"/>
                <w:szCs w:val="18"/>
                <w:color w:val="auto"/>
              </w:rPr>
            </w:pPr>
          </w:p>
        </w:tc>
        <w:tc>
          <w:tcPr>
            <w:tcW w:w="6300" w:type="dxa"/>
            <w:vAlign w:val="bottom"/>
            <w:tcBorders>
              <w:bottom w:val="single" w:sz="8" w:color="0000FF"/>
            </w:tcBorders>
            <w:gridSpan w:val="13"/>
            <w:shd w:val="clear" w:color="auto" w:fill="CCEEFF"/>
          </w:tcPr>
          <w:p>
            <w:pPr>
              <w:spacing w:after="0"/>
              <w:rPr>
                <w:rFonts w:ascii="Arial" w:cs="Arial" w:eastAsia="Arial" w:hAnsi="Arial"/>
                <w:sz w:val="16"/>
                <w:szCs w:val="16"/>
                <w:color w:val="0000FF"/>
                <w:w w:val="92"/>
              </w:rPr>
            </w:pPr>
            <w:hyperlink w:anchor="page20">
              <w:r>
                <w:rPr>
                  <w:rFonts w:ascii="Arial" w:cs="Arial" w:eastAsia="Arial" w:hAnsi="Arial"/>
                  <w:sz w:val="16"/>
                  <w:szCs w:val="16"/>
                  <w:color w:val="0000FF"/>
                  <w:w w:val="92"/>
                </w:rPr>
                <w:t>Item 2. Management's Discussion and Analysis of Financial Condition and Results of Operations</w:t>
              </w:r>
            </w:hyperlink>
          </w:p>
        </w:tc>
        <w:tc>
          <w:tcPr>
            <w:tcW w:w="3440" w:type="dxa"/>
            <w:vAlign w:val="bottom"/>
            <w:tcBorders>
              <w:bottom w:val="single" w:sz="8" w:color="CCEEFF"/>
            </w:tcBorders>
            <w:gridSpan w:val="5"/>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center"/>
              <w:spacing w:after="0"/>
              <w:rPr>
                <w:rFonts w:ascii="Arial" w:cs="Arial" w:eastAsia="Arial" w:hAnsi="Arial"/>
                <w:sz w:val="15"/>
                <w:szCs w:val="15"/>
                <w:color w:val="0000FF"/>
                <w:w w:val="71"/>
              </w:rPr>
            </w:pPr>
            <w:hyperlink w:anchor="page20">
              <w:r>
                <w:rPr>
                  <w:rFonts w:ascii="Arial" w:cs="Arial" w:eastAsia="Arial" w:hAnsi="Arial"/>
                  <w:sz w:val="15"/>
                  <w:szCs w:val="15"/>
                  <w:color w:val="0000FF"/>
                  <w:w w:val="71"/>
                </w:rPr>
                <w:t>19</w:t>
              </w:r>
            </w:hyperlink>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800" w:type="dxa"/>
            <w:vAlign w:val="bottom"/>
          </w:tcPr>
          <w:p>
            <w:pPr>
              <w:spacing w:after="0"/>
              <w:rPr>
                <w:sz w:val="16"/>
                <w:szCs w:val="16"/>
                <w:color w:val="auto"/>
              </w:rPr>
            </w:pPr>
          </w:p>
        </w:tc>
        <w:tc>
          <w:tcPr>
            <w:tcW w:w="9740" w:type="dxa"/>
            <w:vAlign w:val="bottom"/>
            <w:gridSpan w:val="18"/>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3. Quantitative and Qualitative Disclosures About Market Risk</w:t>
              </w:r>
            </w:hyperlink>
          </w:p>
        </w:tc>
        <w:tc>
          <w:tcPr>
            <w:tcW w:w="420" w:type="dxa"/>
            <w:vAlign w:val="bottom"/>
            <w:gridSpan w:val="2"/>
          </w:tcPr>
          <w:p>
            <w:pPr>
              <w:jc w:val="center"/>
              <w:ind w:left="150"/>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25</w:t>
              </w:r>
            </w:hyperlink>
          </w:p>
        </w:tc>
        <w:tc>
          <w:tcPr>
            <w:tcW w:w="240" w:type="dxa"/>
            <w:vAlign w:val="bottom"/>
          </w:tcPr>
          <w:p>
            <w:pPr>
              <w:spacing w:after="0"/>
              <w:rPr>
                <w:sz w:val="16"/>
                <w:szCs w:val="16"/>
                <w:color w:val="auto"/>
              </w:rPr>
            </w:pPr>
          </w:p>
        </w:tc>
      </w:tr>
      <w:tr>
        <w:trPr>
          <w:trHeight w:val="21"/>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FF"/>
            </w:tcBorders>
            <w:gridSpan w:val="2"/>
            <w:shd w:val="clear" w:color="auto" w:fill="CCEEFF"/>
          </w:tcPr>
          <w:p>
            <w:pPr>
              <w:spacing w:after="0"/>
              <w:rPr>
                <w:rFonts w:ascii="Arial" w:cs="Arial" w:eastAsia="Arial" w:hAnsi="Arial"/>
                <w:sz w:val="16"/>
                <w:szCs w:val="16"/>
                <w:color w:val="0000FF"/>
                <w:w w:val="93"/>
              </w:rPr>
            </w:pPr>
            <w:hyperlink w:anchor="page27">
              <w:r>
                <w:rPr>
                  <w:rFonts w:ascii="Arial" w:cs="Arial" w:eastAsia="Arial" w:hAnsi="Arial"/>
                  <w:sz w:val="16"/>
                  <w:szCs w:val="16"/>
                  <w:color w:val="0000FF"/>
                  <w:w w:val="93"/>
                </w:rPr>
                <w:t>Item 4.</w:t>
              </w:r>
            </w:hyperlink>
          </w:p>
        </w:tc>
        <w:tc>
          <w:tcPr>
            <w:tcW w:w="1620" w:type="dxa"/>
            <w:vAlign w:val="bottom"/>
            <w:tcBorders>
              <w:bottom w:val="single" w:sz="8" w:color="0000FF"/>
            </w:tcBorders>
            <w:gridSpan w:val="7"/>
            <w:shd w:val="clear" w:color="auto" w:fill="CCEEFF"/>
          </w:tcPr>
          <w:p>
            <w:pPr>
              <w:ind w:left="20"/>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Controls and Procedures</w:t>
              </w:r>
            </w:hyperlink>
          </w:p>
        </w:tc>
        <w:tc>
          <w:tcPr>
            <w:tcW w:w="7640" w:type="dxa"/>
            <w:vAlign w:val="bottom"/>
            <w:tcBorders>
              <w:bottom w:val="single" w:sz="8" w:color="CCEEFF"/>
            </w:tcBorders>
            <w:gridSpan w:val="9"/>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center"/>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26</w:t>
              </w:r>
            </w:hyperlink>
          </w:p>
        </w:tc>
        <w:tc>
          <w:tcPr>
            <w:tcW w:w="240" w:type="dxa"/>
            <w:vAlign w:val="bottom"/>
            <w:tcBorders>
              <w:bottom w:val="single" w:sz="8" w:color="CCEEFF"/>
            </w:tcBorders>
            <w:shd w:val="clear" w:color="auto" w:fill="CCEEFF"/>
          </w:tcPr>
          <w:p>
            <w:pPr>
              <w:spacing w:after="0"/>
              <w:rPr>
                <w:sz w:val="18"/>
                <w:szCs w:val="18"/>
                <w:color w:val="auto"/>
              </w:rPr>
            </w:pPr>
          </w:p>
        </w:tc>
      </w:tr>
      <w:tr>
        <w:trPr>
          <w:trHeight w:val="176"/>
        </w:trPr>
        <w:tc>
          <w:tcPr>
            <w:tcW w:w="8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Part II</w:t>
            </w:r>
          </w:p>
        </w:tc>
        <w:tc>
          <w:tcPr>
            <w:tcW w:w="9740" w:type="dxa"/>
            <w:vAlign w:val="bottom"/>
            <w:gridSpan w:val="18"/>
          </w:tcPr>
          <w:p>
            <w:pP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Other Information</w:t>
              </w:r>
            </w:hyperlink>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Item 1.</w:t>
              </w:r>
            </w:hyperlink>
          </w:p>
        </w:tc>
        <w:tc>
          <w:tcPr>
            <w:tcW w:w="9260" w:type="dxa"/>
            <w:vAlign w:val="bottom"/>
            <w:gridSpan w:val="16"/>
            <w:shd w:val="clear" w:color="auto" w:fill="CCEEFF"/>
          </w:tcPr>
          <w:p>
            <w:pPr>
              <w:ind w:left="20"/>
              <w:spacing w:after="0"/>
              <w:rPr>
                <w:rFonts w:ascii="Arial" w:cs="Arial" w:eastAsia="Arial" w:hAnsi="Arial"/>
                <w:sz w:val="16"/>
                <w:szCs w:val="16"/>
                <w:color w:val="0000FF"/>
              </w:rPr>
            </w:pPr>
            <w:hyperlink w:anchor="page28">
              <w:r>
                <w:rPr>
                  <w:rFonts w:ascii="Arial" w:cs="Arial" w:eastAsia="Arial" w:hAnsi="Arial"/>
                  <w:sz w:val="16"/>
                  <w:szCs w:val="16"/>
                  <w:color w:val="0000FF"/>
                </w:rPr>
                <w:t>Legal Proceedings</w:t>
              </w:r>
            </w:hyperlink>
          </w:p>
        </w:tc>
        <w:tc>
          <w:tcPr>
            <w:tcW w:w="420" w:type="dxa"/>
            <w:vAlign w:val="bottom"/>
            <w:tcBorders>
              <w:right w:val="single" w:sz="8" w:color="CCEEFF"/>
            </w:tcBorders>
            <w:gridSpan w:val="2"/>
            <w:shd w:val="clear" w:color="auto" w:fill="CCEEFF"/>
          </w:tcPr>
          <w:p>
            <w:pPr>
              <w:jc w:val="center"/>
              <w:ind w:left="150"/>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240" w:type="dxa"/>
            <w:vAlign w:val="bottom"/>
            <w:shd w:val="clear" w:color="auto" w:fill="CCEEFF"/>
          </w:tcPr>
          <w:p>
            <w:pPr>
              <w:spacing w:after="0"/>
              <w:rPr>
                <w:sz w:val="18"/>
                <w:szCs w:val="18"/>
                <w:color w:val="auto"/>
              </w:rPr>
            </w:pPr>
          </w:p>
        </w:tc>
      </w:tr>
      <w:tr>
        <w:trPr>
          <w:trHeight w:val="189"/>
        </w:trPr>
        <w:tc>
          <w:tcPr>
            <w:tcW w:w="800" w:type="dxa"/>
            <w:vAlign w:val="bottom"/>
            <w:tcBorders>
              <w:top w:val="single" w:sz="8" w:color="CCEEFF"/>
            </w:tcBorders>
          </w:tcPr>
          <w:p>
            <w:pPr>
              <w:spacing w:after="0"/>
              <w:rPr>
                <w:sz w:val="16"/>
                <w:szCs w:val="16"/>
                <w:color w:val="auto"/>
              </w:rPr>
            </w:pPr>
          </w:p>
        </w:tc>
        <w:tc>
          <w:tcPr>
            <w:tcW w:w="1700" w:type="dxa"/>
            <w:vAlign w:val="bottom"/>
            <w:tcBorders>
              <w:top w:val="single" w:sz="8" w:color="0000FF"/>
            </w:tcBorders>
            <w:gridSpan w:val="7"/>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1A. Risk Factors</w:t>
              </w:r>
            </w:hyperlink>
          </w:p>
        </w:tc>
        <w:tc>
          <w:tcPr>
            <w:tcW w:w="8040" w:type="dxa"/>
            <w:vAlign w:val="bottom"/>
            <w:tcBorders>
              <w:top w:val="single" w:sz="8" w:color="CCEEFF"/>
            </w:tcBorders>
            <w:gridSpan w:val="11"/>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240" w:type="dxa"/>
            <w:vAlign w:val="bottom"/>
            <w:tcBorders>
              <w:top w:val="single" w:sz="8" w:color="CCEEFF"/>
            </w:tcBorders>
          </w:tcPr>
          <w:p>
            <w:pPr>
              <w:spacing w:after="0"/>
              <w:rPr>
                <w:sz w:val="16"/>
                <w:szCs w:val="16"/>
                <w:color w:val="auto"/>
              </w:rPr>
            </w:pPr>
          </w:p>
        </w:tc>
      </w:tr>
      <w:tr>
        <w:trPr>
          <w:trHeight w:val="21"/>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FF"/>
            </w:tcBorders>
            <w:gridSpan w:val="2"/>
            <w:shd w:val="clear" w:color="auto" w:fill="CCEEFF"/>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Item 2.</w:t>
              </w:r>
            </w:hyperlink>
          </w:p>
        </w:tc>
        <w:tc>
          <w:tcPr>
            <w:tcW w:w="3940" w:type="dxa"/>
            <w:vAlign w:val="bottom"/>
            <w:tcBorders>
              <w:bottom w:val="single" w:sz="8" w:color="0000FF"/>
            </w:tcBorders>
            <w:gridSpan w:val="9"/>
            <w:shd w:val="clear" w:color="auto" w:fill="CCEEFF"/>
          </w:tcPr>
          <w:p>
            <w:pPr>
              <w:ind w:left="20"/>
              <w:spacing w:after="0"/>
              <w:rPr>
                <w:rFonts w:ascii="Arial" w:cs="Arial" w:eastAsia="Arial" w:hAnsi="Arial"/>
                <w:sz w:val="16"/>
                <w:szCs w:val="16"/>
                <w:color w:val="0000FF"/>
                <w:w w:val="90"/>
              </w:rPr>
            </w:pPr>
            <w:hyperlink w:anchor="page28">
              <w:r>
                <w:rPr>
                  <w:rFonts w:ascii="Arial" w:cs="Arial" w:eastAsia="Arial" w:hAnsi="Arial"/>
                  <w:sz w:val="16"/>
                  <w:szCs w:val="16"/>
                  <w:color w:val="0000FF"/>
                  <w:w w:val="90"/>
                </w:rPr>
                <w:t>Unregistered Sales of Equity Securities and Use of Proceeds</w:t>
              </w:r>
            </w:hyperlink>
          </w:p>
        </w:tc>
        <w:tc>
          <w:tcPr>
            <w:tcW w:w="5320" w:type="dxa"/>
            <w:vAlign w:val="bottom"/>
            <w:tcBorders>
              <w:bottom w:val="single" w:sz="8" w:color="CCEEFF"/>
            </w:tcBorders>
            <w:gridSpan w:val="7"/>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800" w:type="dxa"/>
            <w:vAlign w:val="bottom"/>
          </w:tcPr>
          <w:p>
            <w:pPr>
              <w:spacing w:after="0"/>
              <w:rPr>
                <w:sz w:val="16"/>
                <w:szCs w:val="16"/>
                <w:color w:val="auto"/>
              </w:rPr>
            </w:pPr>
          </w:p>
        </w:tc>
        <w:tc>
          <w:tcPr>
            <w:tcW w:w="480" w:type="dxa"/>
            <w:vAlign w:val="bottom"/>
            <w:gridSpan w:val="2"/>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Item 6.</w:t>
              </w:r>
            </w:hyperlink>
          </w:p>
        </w:tc>
        <w:tc>
          <w:tcPr>
            <w:tcW w:w="9260" w:type="dxa"/>
            <w:vAlign w:val="bottom"/>
            <w:gridSpan w:val="16"/>
          </w:tcPr>
          <w:p>
            <w:pPr>
              <w:ind w:left="20"/>
              <w:spacing w:after="0"/>
              <w:rPr>
                <w:rFonts w:ascii="Arial" w:cs="Arial" w:eastAsia="Arial" w:hAnsi="Arial"/>
                <w:sz w:val="16"/>
                <w:szCs w:val="16"/>
                <w:color w:val="0000FF"/>
              </w:rPr>
            </w:pPr>
            <w:hyperlink w:anchor="page28">
              <w:r>
                <w:rPr>
                  <w:rFonts w:ascii="Arial" w:cs="Arial" w:eastAsia="Arial" w:hAnsi="Arial"/>
                  <w:sz w:val="16"/>
                  <w:szCs w:val="16"/>
                  <w:color w:val="0000FF"/>
                </w:rPr>
                <w:t>Exhibits</w:t>
              </w:r>
            </w:hyperlink>
          </w:p>
        </w:tc>
        <w:tc>
          <w:tcPr>
            <w:tcW w:w="420" w:type="dxa"/>
            <w:vAlign w:val="bottom"/>
            <w:gridSpan w:val="2"/>
          </w:tcPr>
          <w:p>
            <w:pPr>
              <w:jc w:val="center"/>
              <w:ind w:left="150"/>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Pr>
          <w:p>
            <w:pPr>
              <w:spacing w:after="0"/>
              <w:rPr>
                <w:sz w:val="18"/>
                <w:szCs w:val="18"/>
                <w:color w:val="auto"/>
              </w:rPr>
            </w:pPr>
          </w:p>
        </w:tc>
        <w:tc>
          <w:tcPr>
            <w:tcW w:w="172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83"/>
        </w:trPr>
        <w:tc>
          <w:tcPr>
            <w:tcW w:w="7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and notes receivable, net of allowances of $9.2 and $9.6 in 2021 and 2020, respectively</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448.3</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439.4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09"/>
        </w:trPr>
        <w:tc>
          <w:tcPr>
            <w:tcW w:w="7560" w:type="dxa"/>
            <w:vAlign w:val="bottom"/>
          </w:tcPr>
          <w:p>
            <w:pPr>
              <w:ind w:left="36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1,138.2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1,087.6</w:t>
            </w:r>
          </w:p>
        </w:tc>
        <w:tc>
          <w:tcPr>
            <w:tcW w:w="0" w:type="dxa"/>
            <w:vAlign w:val="bottom"/>
          </w:tcPr>
          <w:p>
            <w:pPr>
              <w:spacing w:after="0"/>
              <w:rPr>
                <w:sz w:val="1"/>
                <w:szCs w:val="1"/>
                <w:color w:val="auto"/>
              </w:rPr>
            </w:pPr>
          </w:p>
        </w:tc>
      </w:tr>
      <w:tr>
        <w:trPr>
          <w:trHeight w:val="162"/>
        </w:trPr>
        <w:tc>
          <w:tcPr>
            <w:tcW w:w="75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5"/>
              </w:rPr>
              <w:t>Property, plant and equipment, net of accumulated depreciation of $891.6 and $880.6 in 2021 and 2020,</w:t>
            </w:r>
          </w:p>
        </w:tc>
        <w:tc>
          <w:tcPr>
            <w:tcW w:w="1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466.4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color w:val="auto"/>
              </w:rPr>
              <w:t>Right-of-use assets from operating leases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2,075.0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165.0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taxes payable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1,007.9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970.7</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color w:val="auto"/>
              </w:rPr>
              <w:t>Pensions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2,235.7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2,049.6</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Stockholders' deficit:</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$0.01 par value, 25,000,000 shares authorized, no shares issued or outstanding</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Common stock, $0.01 par value, 200,000,000 shares authorized, 87,170,197 shares issued</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1,113.2</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2,385.8</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9"/>
              </w:rPr>
              <w:t>Treasury stock, at cost, 49,396,668 shares and 48,820,969 shares for 2021 and 2020, respectively</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2,075.0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2,032.5</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2640" w:type="dxa"/>
            <w:vAlign w:val="bottom"/>
            <w:gridSpan w:val="6"/>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For the Three Months Ended March</w:t>
            </w:r>
          </w:p>
        </w:tc>
        <w:tc>
          <w:tcPr>
            <w:tcW w:w="0" w:type="dxa"/>
            <w:vAlign w:val="bottom"/>
          </w:tcPr>
          <w:p>
            <w:pPr>
              <w:spacing w:after="0"/>
              <w:rPr>
                <w:sz w:val="1"/>
                <w:szCs w:val="1"/>
                <w:color w:val="auto"/>
              </w:rPr>
            </w:pPr>
          </w:p>
        </w:tc>
      </w:tr>
      <w:tr>
        <w:trPr>
          <w:trHeight w:val="213"/>
        </w:trPr>
        <w:tc>
          <w:tcPr>
            <w:tcW w:w="8600" w:type="dxa"/>
            <w:vAlign w:val="bottom"/>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50"/>
              <w:spacing w:after="0"/>
              <w:rPr>
                <w:sz w:val="20"/>
                <w:szCs w:val="20"/>
                <w:color w:val="auto"/>
              </w:rPr>
            </w:pPr>
            <w:r>
              <w:rPr>
                <w:rFonts w:ascii="Arial" w:cs="Arial" w:eastAsia="Arial" w:hAnsi="Arial"/>
                <w:sz w:val="16"/>
                <w:szCs w:val="16"/>
                <w:b w:val="1"/>
                <w:bCs w:val="1"/>
                <w:color w:val="auto"/>
                <w:w w:val="89"/>
              </w:rPr>
              <w:t>31,</w:t>
            </w: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Losses (gains) and other expenses,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 from natural disasters, net of insurance recoveries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equity method investments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60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Discontinued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Loss from discontinued operations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Earnings per share – Diluted: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6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Three Months Ended March</w:t>
            </w:r>
          </w:p>
        </w:tc>
        <w:tc>
          <w:tcPr>
            <w:tcW w:w="0" w:type="dxa"/>
            <w:vAlign w:val="bottom"/>
          </w:tcPr>
          <w:p>
            <w:pPr>
              <w:spacing w:after="0"/>
              <w:rPr>
                <w:sz w:val="1"/>
                <w:szCs w:val="1"/>
                <w:color w:val="auto"/>
              </w:rPr>
            </w:pPr>
          </w:p>
        </w:tc>
      </w:tr>
      <w:tr>
        <w:trPr>
          <w:trHeight w:val="213"/>
        </w:trPr>
        <w:tc>
          <w:tcPr>
            <w:tcW w:w="8600" w:type="dxa"/>
            <w:vAlign w:val="bottom"/>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6"/>
                <w:szCs w:val="16"/>
                <w:b w:val="1"/>
                <w:bCs w:val="1"/>
                <w:color w:val="auto"/>
              </w:rPr>
              <w:t>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84.2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Pension settlement</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Reclassification of cash flow hedge (gains) losses into earnings</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taxes</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(expense) benefit</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82.2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March 31, 2021 and 2020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w w:val="95"/>
              </w:rPr>
              <w:t>Common</w:t>
            </w:r>
          </w:p>
        </w:tc>
        <w:tc>
          <w:tcPr>
            <w:tcW w:w="80" w:type="dxa"/>
            <w:vAlign w:val="bottom"/>
          </w:tcPr>
          <w:p>
            <w:pPr>
              <w:spacing w:after="0"/>
              <w:rPr>
                <w:sz w:val="15"/>
                <w:szCs w:val="15"/>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5"/>
                <w:szCs w:val="15"/>
                <w:color w:val="auto"/>
              </w:rPr>
            </w:pPr>
          </w:p>
        </w:tc>
        <w:tc>
          <w:tcPr>
            <w:tcW w:w="1400" w:type="dxa"/>
            <w:vAlign w:val="bottom"/>
            <w:gridSpan w:val="7"/>
          </w:tcPr>
          <w:p>
            <w:pPr>
              <w:jc w:val="center"/>
              <w:ind w:right="160"/>
              <w:spacing w:after="0"/>
              <w:rPr>
                <w:sz w:val="20"/>
                <w:szCs w:val="20"/>
                <w:color w:val="auto"/>
              </w:rPr>
            </w:pPr>
            <w:r>
              <w:rPr>
                <w:rFonts w:ascii="Arial" w:cs="Arial" w:eastAsia="Arial" w:hAnsi="Arial"/>
                <w:sz w:val="15"/>
                <w:szCs w:val="15"/>
                <w:b w:val="1"/>
                <w:bCs w:val="1"/>
                <w:color w:val="auto"/>
                <w:w w:val="92"/>
              </w:rPr>
              <w:t>Treasury Stock at</w:t>
            </w:r>
          </w:p>
        </w:tc>
        <w:tc>
          <w:tcPr>
            <w:tcW w:w="160" w:type="dxa"/>
            <w:vAlign w:val="bottom"/>
          </w:tcPr>
          <w:p>
            <w:pPr>
              <w:spacing w:after="0"/>
              <w:rPr>
                <w:sz w:val="15"/>
                <w:szCs w:val="15"/>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00"/>
              <w:spacing w:after="0" w:line="134" w:lineRule="exact"/>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1"/>
                <w:szCs w:val="11"/>
                <w:color w:val="auto"/>
              </w:rPr>
            </w:pPr>
          </w:p>
        </w:tc>
        <w:tc>
          <w:tcPr>
            <w:tcW w:w="1400" w:type="dxa"/>
            <w:vAlign w:val="bottom"/>
            <w:gridSpan w:val="7"/>
          </w:tcPr>
          <w:p>
            <w:pPr>
              <w:jc w:val="center"/>
              <w:ind w:right="140"/>
              <w:spacing w:after="0" w:line="134" w:lineRule="exact"/>
              <w:rPr>
                <w:sz w:val="20"/>
                <w:szCs w:val="20"/>
                <w:color w:val="auto"/>
              </w:rPr>
            </w:pPr>
            <w:r>
              <w:rPr>
                <w:rFonts w:ascii="Arial" w:cs="Arial" w:eastAsia="Arial" w:hAnsi="Arial"/>
                <w:sz w:val="15"/>
                <w:szCs w:val="15"/>
                <w:b w:val="1"/>
                <w:bCs w:val="1"/>
                <w:color w:val="auto"/>
                <w:w w:val="89"/>
              </w:rPr>
              <w:t>Cost</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jc w:val="right"/>
              <w:ind w:right="160"/>
              <w:spacing w:after="0" w:line="136" w:lineRule="exact"/>
              <w:rPr>
                <w:sz w:val="20"/>
                <w:szCs w:val="20"/>
                <w:color w:val="auto"/>
              </w:rPr>
            </w:pPr>
            <w:r>
              <w:rPr>
                <w:rFonts w:ascii="Arial" w:cs="Arial" w:eastAsia="Arial" w:hAnsi="Arial"/>
                <w:sz w:val="15"/>
                <w:szCs w:val="15"/>
                <w:b w:val="1"/>
                <w:bCs w:val="1"/>
                <w:color w:val="auto"/>
                <w:w w:val="92"/>
              </w:rPr>
              <w:t>Stock</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restart"/>
          </w:tcPr>
          <w:p>
            <w:pPr>
              <w:jc w:val="right"/>
              <w:ind w:right="120"/>
              <w:spacing w:after="0" w:line="136" w:lineRule="exact"/>
              <w:rPr>
                <w:sz w:val="20"/>
                <w:szCs w:val="20"/>
                <w:color w:val="auto"/>
              </w:rPr>
            </w:pPr>
            <w:r>
              <w:rPr>
                <w:rFonts w:ascii="Arial" w:cs="Arial" w:eastAsia="Arial" w:hAnsi="Arial"/>
                <w:sz w:val="15"/>
                <w:szCs w:val="15"/>
                <w:b w:val="1"/>
                <w:bCs w:val="1"/>
                <w:color w:val="auto"/>
                <w:w w:val="99"/>
              </w:rPr>
              <w:t>Paid-In</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4"/>
            <w:vMerge w:val="restart"/>
          </w:tcPr>
          <w:p>
            <w:pPr>
              <w:ind w:left="20"/>
              <w:spacing w:after="0" w:line="136" w:lineRule="exact"/>
              <w:rPr>
                <w:sz w:val="20"/>
                <w:szCs w:val="20"/>
                <w:color w:val="auto"/>
              </w:rPr>
            </w:pPr>
            <w:r>
              <w:rPr>
                <w:rFonts w:ascii="Arial" w:cs="Arial" w:eastAsia="Arial" w:hAnsi="Arial"/>
                <w:sz w:val="15"/>
                <w:szCs w:val="15"/>
                <w:b w:val="1"/>
                <w:bCs w:val="1"/>
                <w:color w:val="auto"/>
              </w:rPr>
              <w:t>Retained</w:t>
            </w:r>
          </w:p>
        </w:tc>
        <w:tc>
          <w:tcPr>
            <w:tcW w:w="1160" w:type="dxa"/>
            <w:vAlign w:val="bottom"/>
            <w:gridSpan w:val="4"/>
            <w:vMerge w:val="restart"/>
          </w:tcPr>
          <w:p>
            <w:pPr>
              <w:ind w:left="20"/>
              <w:spacing w:after="0" w:line="136" w:lineRule="exact"/>
              <w:rPr>
                <w:sz w:val="20"/>
                <w:szCs w:val="20"/>
                <w:color w:val="auto"/>
              </w:rPr>
            </w:pPr>
            <w:r>
              <w:rPr>
                <w:rFonts w:ascii="Arial" w:cs="Arial" w:eastAsia="Arial" w:hAnsi="Arial"/>
                <w:sz w:val="15"/>
                <w:szCs w:val="15"/>
                <w:b w:val="1"/>
                <w:bCs w:val="1"/>
                <w:color w:val="auto"/>
                <w:w w:val="99"/>
              </w:rPr>
              <w:t>Comprehensive</w:t>
            </w: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3"/>
            <w:vMerge w:val="restart"/>
          </w:tcPr>
          <w:p>
            <w:pPr>
              <w:ind w:left="20"/>
              <w:spacing w:after="0" w:line="136"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48"/>
        </w:trPr>
        <w:tc>
          <w:tcPr>
            <w:tcW w:w="41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three months ended March 31, 2021)</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84"/>
              </w:rPr>
              <w:t>Issued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9"/>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ind w:left="2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1,113.2</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$ 2,385.8</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48.8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 (3,419.8)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84.2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$0.77 per share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(29.1)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1"/>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of $3.5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expense of $1.1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0.9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1,090.3</w:t>
            </w: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 xml:space="preserve"> 2,440.9</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(99.2)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rPr>
              <w:t>49.4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88"/>
              </w:rPr>
              <w:t>$ (3,593.6)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(160.7)</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9"/>
        </w:trPr>
        <w:tc>
          <w:tcPr>
            <w:tcW w:w="4180" w:type="dxa"/>
            <w:vAlign w:val="bottom"/>
          </w:tcPr>
          <w:p>
            <w:pPr>
              <w:spacing w:after="0"/>
              <w:rPr>
                <w:sz w:val="24"/>
                <w:szCs w:val="24"/>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Common</w:t>
            </w:r>
          </w:p>
        </w:tc>
        <w:tc>
          <w:tcPr>
            <w:tcW w:w="820" w:type="dxa"/>
            <w:vAlign w:val="bottom"/>
            <w:gridSpan w:val="4"/>
            <w:vMerge w:val="restart"/>
          </w:tcPr>
          <w:p>
            <w:pPr>
              <w:ind w:left="40"/>
              <w:spacing w:after="0"/>
              <w:rPr>
                <w:sz w:val="20"/>
                <w:szCs w:val="20"/>
                <w:color w:val="auto"/>
              </w:rPr>
            </w:pPr>
            <w:r>
              <w:rPr>
                <w:rFonts w:ascii="Arial" w:cs="Arial" w:eastAsia="Arial" w:hAnsi="Arial"/>
                <w:sz w:val="15"/>
                <w:szCs w:val="15"/>
                <w:b w:val="1"/>
                <w:bCs w:val="1"/>
                <w:color w:val="auto"/>
              </w:rPr>
              <w:t>Additional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24"/>
                <w:szCs w:val="24"/>
                <w:color w:val="auto"/>
              </w:rPr>
            </w:pPr>
          </w:p>
        </w:tc>
        <w:tc>
          <w:tcPr>
            <w:tcW w:w="1400" w:type="dxa"/>
            <w:vAlign w:val="bottom"/>
            <w:gridSpan w:val="7"/>
          </w:tcPr>
          <w:p>
            <w:pPr>
              <w:jc w:val="center"/>
              <w:ind w:right="120"/>
              <w:spacing w:after="0"/>
              <w:rPr>
                <w:sz w:val="20"/>
                <w:szCs w:val="20"/>
                <w:color w:val="auto"/>
              </w:rPr>
            </w:pPr>
            <w:r>
              <w:rPr>
                <w:rFonts w:ascii="Arial" w:cs="Arial" w:eastAsia="Arial" w:hAnsi="Arial"/>
                <w:sz w:val="15"/>
                <w:szCs w:val="15"/>
                <w:b w:val="1"/>
                <w:bCs w:val="1"/>
                <w:color w:val="auto"/>
                <w:w w:val="92"/>
              </w:rPr>
              <w:t>Treasury Stock at</w:t>
            </w:r>
          </w:p>
        </w:tc>
        <w:tc>
          <w:tcPr>
            <w:tcW w:w="160" w:type="dxa"/>
            <w:vAlign w:val="bottom"/>
          </w:tcPr>
          <w:p>
            <w:pPr>
              <w:spacing w:after="0"/>
              <w:rPr>
                <w:sz w:val="24"/>
                <w:szCs w:val="2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34"/>
        </w:trPr>
        <w:tc>
          <w:tcPr>
            <w:tcW w:w="418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20"/>
              <w:spacing w:after="0" w:line="134" w:lineRule="exact"/>
              <w:rPr>
                <w:sz w:val="20"/>
                <w:szCs w:val="20"/>
                <w:color w:val="auto"/>
              </w:rPr>
            </w:pPr>
            <w:r>
              <w:rPr>
                <w:rFonts w:ascii="Arial" w:cs="Arial" w:eastAsia="Arial" w:hAnsi="Arial"/>
                <w:sz w:val="15"/>
                <w:szCs w:val="15"/>
                <w:b w:val="1"/>
                <w:bCs w:val="1"/>
                <w:color w:val="auto"/>
                <w:w w:val="99"/>
              </w:rPr>
              <w:t>Other</w:t>
            </w:r>
          </w:p>
        </w:tc>
        <w:tc>
          <w:tcPr>
            <w:tcW w:w="20" w:type="dxa"/>
            <w:vAlign w:val="bottom"/>
          </w:tcPr>
          <w:p>
            <w:pPr>
              <w:spacing w:after="0"/>
              <w:rPr>
                <w:sz w:val="11"/>
                <w:szCs w:val="11"/>
                <w:color w:val="auto"/>
              </w:rPr>
            </w:pPr>
          </w:p>
        </w:tc>
        <w:tc>
          <w:tcPr>
            <w:tcW w:w="1400" w:type="dxa"/>
            <w:vAlign w:val="bottom"/>
            <w:gridSpan w:val="7"/>
          </w:tcPr>
          <w:p>
            <w:pPr>
              <w:jc w:val="center"/>
              <w:ind w:right="100"/>
              <w:spacing w:after="0" w:line="134" w:lineRule="exact"/>
              <w:rPr>
                <w:sz w:val="20"/>
                <w:szCs w:val="20"/>
                <w:color w:val="auto"/>
              </w:rPr>
            </w:pPr>
            <w:r>
              <w:rPr>
                <w:rFonts w:ascii="Arial" w:cs="Arial" w:eastAsia="Arial" w:hAnsi="Arial"/>
                <w:sz w:val="15"/>
                <w:szCs w:val="15"/>
                <w:b w:val="1"/>
                <w:bCs w:val="1"/>
                <w:color w:val="auto"/>
                <w:w w:val="89"/>
              </w:rPr>
              <w:t>Cost</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restart"/>
          </w:tcPr>
          <w:p>
            <w:pPr>
              <w:ind w:left="60"/>
              <w:spacing w:after="0" w:line="136" w:lineRule="exact"/>
              <w:rPr>
                <w:sz w:val="20"/>
                <w:szCs w:val="20"/>
                <w:color w:val="auto"/>
              </w:rPr>
            </w:pPr>
            <w:r>
              <w:rPr>
                <w:rFonts w:ascii="Arial" w:cs="Arial" w:eastAsia="Arial" w:hAnsi="Arial"/>
                <w:sz w:val="15"/>
                <w:szCs w:val="15"/>
                <w:b w:val="1"/>
                <w:bCs w:val="1"/>
                <w:color w:val="auto"/>
              </w:rPr>
              <w:t>Stock</w:t>
            </w:r>
          </w:p>
        </w:tc>
        <w:tc>
          <w:tcPr>
            <w:tcW w:w="80" w:type="dxa"/>
            <w:vAlign w:val="bottom"/>
          </w:tcPr>
          <w:p>
            <w:pPr>
              <w:spacing w:after="0"/>
              <w:rPr>
                <w:sz w:val="5"/>
                <w:szCs w:val="5"/>
                <w:color w:val="auto"/>
              </w:rPr>
            </w:pPr>
          </w:p>
        </w:tc>
        <w:tc>
          <w:tcPr>
            <w:tcW w:w="740" w:type="dxa"/>
            <w:vAlign w:val="bottom"/>
            <w:gridSpan w:val="3"/>
            <w:vMerge w:val="restart"/>
          </w:tcPr>
          <w:p>
            <w:pPr>
              <w:jc w:val="right"/>
              <w:ind w:right="200"/>
              <w:spacing w:after="0" w:line="136" w:lineRule="exact"/>
              <w:rPr>
                <w:sz w:val="20"/>
                <w:szCs w:val="20"/>
                <w:color w:val="auto"/>
              </w:rPr>
            </w:pPr>
            <w:r>
              <w:rPr>
                <w:rFonts w:ascii="Arial" w:cs="Arial" w:eastAsia="Arial" w:hAnsi="Arial"/>
                <w:sz w:val="15"/>
                <w:szCs w:val="15"/>
                <w:b w:val="1"/>
                <w:bCs w:val="1"/>
                <w:color w:val="auto"/>
              </w:rPr>
              <w:t>Paid-In</w:t>
            </w:r>
          </w:p>
        </w:tc>
        <w:tc>
          <w:tcPr>
            <w:tcW w:w="20" w:type="dxa"/>
            <w:vAlign w:val="bottom"/>
          </w:tcPr>
          <w:p>
            <w:pPr>
              <w:spacing w:after="0"/>
              <w:rPr>
                <w:sz w:val="5"/>
                <w:szCs w:val="5"/>
                <w:color w:val="auto"/>
              </w:rPr>
            </w:pPr>
          </w:p>
        </w:tc>
        <w:tc>
          <w:tcPr>
            <w:tcW w:w="780" w:type="dxa"/>
            <w:vAlign w:val="bottom"/>
            <w:gridSpan w:val="5"/>
            <w:vMerge w:val="restart"/>
          </w:tcPr>
          <w:p>
            <w:pPr>
              <w:ind w:left="40"/>
              <w:spacing w:after="0" w:line="136" w:lineRule="exact"/>
              <w:rPr>
                <w:sz w:val="20"/>
                <w:szCs w:val="20"/>
                <w:color w:val="auto"/>
              </w:rPr>
            </w:pPr>
            <w:r>
              <w:rPr>
                <w:rFonts w:ascii="Arial" w:cs="Arial" w:eastAsia="Arial" w:hAnsi="Arial"/>
                <w:sz w:val="15"/>
                <w:szCs w:val="15"/>
                <w:b w:val="1"/>
                <w:bCs w:val="1"/>
                <w:color w:val="auto"/>
              </w:rPr>
              <w:t>Retained</w:t>
            </w:r>
          </w:p>
        </w:tc>
        <w:tc>
          <w:tcPr>
            <w:tcW w:w="1160" w:type="dxa"/>
            <w:vAlign w:val="bottom"/>
            <w:gridSpan w:val="4"/>
            <w:vMerge w:val="restart"/>
          </w:tcPr>
          <w:p>
            <w:pPr>
              <w:ind w:left="20"/>
              <w:spacing w:after="0" w:line="136" w:lineRule="exact"/>
              <w:rPr>
                <w:sz w:val="20"/>
                <w:szCs w:val="20"/>
                <w:color w:val="auto"/>
              </w:rPr>
            </w:pPr>
            <w:r>
              <w:rPr>
                <w:rFonts w:ascii="Arial" w:cs="Arial" w:eastAsia="Arial" w:hAnsi="Arial"/>
                <w:sz w:val="15"/>
                <w:szCs w:val="15"/>
                <w:b w:val="1"/>
                <w:bCs w:val="1"/>
                <w:color w:val="auto"/>
                <w:w w:val="99"/>
              </w:rPr>
              <w:t>Comprehensive</w:t>
            </w:r>
          </w:p>
        </w:tc>
        <w:tc>
          <w:tcPr>
            <w:tcW w:w="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3"/>
            <w:vMerge w:val="restart"/>
          </w:tcPr>
          <w:p>
            <w:pPr>
              <w:spacing w:after="0" w:line="136" w:lineRule="exact"/>
              <w:rPr>
                <w:sz w:val="20"/>
                <w:szCs w:val="20"/>
                <w:color w:val="auto"/>
              </w:rPr>
            </w:pPr>
            <w:r>
              <w:rPr>
                <w:rFonts w:ascii="Arial" w:cs="Arial" w:eastAsia="Arial" w:hAnsi="Arial"/>
                <w:sz w:val="15"/>
                <w:szCs w:val="15"/>
                <w:b w:val="1"/>
                <w:bCs w:val="1"/>
                <w:color w:val="auto"/>
                <w:w w:val="93"/>
              </w:rPr>
              <w:t>Stockholders'</w:t>
            </w:r>
          </w:p>
        </w:tc>
        <w:tc>
          <w:tcPr>
            <w:tcW w:w="0" w:type="dxa"/>
            <w:vAlign w:val="bottom"/>
          </w:tcPr>
          <w:p>
            <w:pPr>
              <w:spacing w:after="0"/>
              <w:rPr>
                <w:sz w:val="1"/>
                <w:szCs w:val="1"/>
                <w:color w:val="auto"/>
              </w:rPr>
            </w:pPr>
          </w:p>
        </w:tc>
      </w:tr>
      <w:tr>
        <w:trPr>
          <w:trHeight w:val="48"/>
        </w:trPr>
        <w:tc>
          <w:tcPr>
            <w:tcW w:w="41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three months ended March 31, 2020)</w:t>
            </w:r>
          </w:p>
        </w:tc>
        <w:tc>
          <w:tcPr>
            <w:tcW w:w="10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5"/>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rPr>
                <w:sz w:val="20"/>
                <w:szCs w:val="20"/>
                <w:color w:val="auto"/>
              </w:rPr>
            </w:pPr>
            <w:r>
              <w:rPr>
                <w:rFonts w:ascii="Arial" w:cs="Arial" w:eastAsia="Arial" w:hAnsi="Arial"/>
                <w:sz w:val="15"/>
                <w:szCs w:val="15"/>
                <w:b w:val="1"/>
                <w:bCs w:val="1"/>
                <w:color w:val="auto"/>
              </w:rPr>
              <w:t>Issued</w:t>
            </w:r>
          </w:p>
        </w:tc>
        <w:tc>
          <w:tcPr>
            <w:tcW w:w="8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rPr>
              <w:t>Capital</w:t>
            </w:r>
          </w:p>
        </w:tc>
        <w:tc>
          <w:tcPr>
            <w:tcW w:w="20" w:type="dxa"/>
            <w:vAlign w:val="bottom"/>
          </w:tcPr>
          <w:p>
            <w:pPr>
              <w:spacing w:after="0"/>
              <w:rPr>
                <w:sz w:val="17"/>
                <w:szCs w:val="17"/>
                <w:color w:val="auto"/>
              </w:rPr>
            </w:pPr>
          </w:p>
        </w:tc>
        <w:tc>
          <w:tcPr>
            <w:tcW w:w="780" w:type="dxa"/>
            <w:vAlign w:val="bottom"/>
            <w:gridSpan w:val="5"/>
          </w:tcPr>
          <w:p>
            <w:pPr>
              <w:ind w:left="2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31,2019</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1,093.5</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$ 2,148.7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(103.8)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$(3,309.5)</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Arial" w:cs="Arial" w:eastAsia="Arial" w:hAnsi="Arial"/>
                <w:sz w:val="15"/>
                <w:szCs w:val="15"/>
                <w:color w:val="auto"/>
              </w:rPr>
              <w:t>Cumulative effect adjustment upon adoption of new</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accounting standard (ASU 2016-13)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220"/>
              <w:spacing w:after="0"/>
              <w:rPr>
                <w:sz w:val="20"/>
                <w:szCs w:val="20"/>
                <w:color w:val="auto"/>
              </w:rPr>
            </w:pPr>
            <w:r>
              <w:rPr>
                <w:rFonts w:ascii="Arial" w:cs="Arial" w:eastAsia="Arial" w:hAnsi="Arial"/>
                <w:sz w:val="15"/>
                <w:szCs w:val="15"/>
                <w:color w:val="auto"/>
              </w:rPr>
              <w:t>Dividends, $0.77 per 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(29.4)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Arial" w:cs="Arial" w:eastAsia="Arial" w:hAnsi="Arial"/>
                <w:sz w:val="15"/>
                <w:szCs w:val="15"/>
                <w:color w:val="auto"/>
              </w:rPr>
              <w:t>Pension and post-retirement liability changes, net of 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expense of $0.2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benefit of $3.9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(0.1)</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(105.5)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1,095.2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9"/>
              </w:rPr>
              <w:t>$ 2,130.9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(133.1)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(3,412.2)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895" w:right="8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(Amounts in millions)</w:t>
            </w:r>
          </w:p>
        </w:tc>
        <w:tc>
          <w:tcPr>
            <w:tcW w:w="1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7"/>
                <w:szCs w:val="17"/>
                <w:b w:val="1"/>
                <w:bCs w:val="1"/>
                <w:color w:val="auto"/>
                <w:w w:val="94"/>
              </w:rPr>
              <w:t>For the Three Months Ended March 31,</w:t>
            </w:r>
          </w:p>
        </w:tc>
      </w:tr>
      <w:tr>
        <w:trPr>
          <w:trHeight w:val="212"/>
        </w:trPr>
        <w:tc>
          <w:tcPr>
            <w:tcW w:w="7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2020</w:t>
            </w:r>
          </w:p>
        </w:tc>
      </w:tr>
      <w:tr>
        <w:trPr>
          <w:trHeight w:val="19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operating activities: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Income from equity method investments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Restructuring charges, net of cash paid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Provision for credit losses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Unrealized (gains) losses, net on derivative contracts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Pension expense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Pension contributions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items,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and notes receivable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(71.0)</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216"/>
        </w:trPr>
        <w:tc>
          <w:tcPr>
            <w:tcW w:w="7820" w:type="dxa"/>
            <w:vAlign w:val="bottom"/>
          </w:tcPr>
          <w:p>
            <w:pPr>
              <w:ind w:left="460"/>
              <w:spacing w:after="0"/>
              <w:rPr>
                <w:sz w:val="20"/>
                <w:szCs w:val="20"/>
                <w:color w:val="auto"/>
              </w:rPr>
            </w:pPr>
            <w:r>
              <w:rPr>
                <w:rFonts w:ascii="Arial" w:cs="Arial" w:eastAsia="Arial" w:hAnsi="Arial"/>
                <w:sz w:val="17"/>
                <w:szCs w:val="17"/>
                <w:color w:val="auto"/>
              </w:rPr>
              <w:t>Income taxes payable / receivable,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16"/>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Leases,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Other, net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(98.8)</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the disposal of property, plant and equipment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Purchases of property, plant and equipment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(purchases of) short-term investments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9"/>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(25.7)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Asset securitization borrowings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 securitization payments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Long-term debt payments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Borrowings from credit facility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682.5</w:t>
            </w: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Payments on credit facility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(342.5)</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employee stock purchases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dividends paid</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133.0</w:t>
            </w:r>
          </w:p>
        </w:tc>
      </w:tr>
      <w:tr>
        <w:trPr>
          <w:trHeight w:val="210"/>
        </w:trPr>
        <w:tc>
          <w:tcPr>
            <w:tcW w:w="7820" w:type="dxa"/>
            <w:vAlign w:val="bottom"/>
          </w:tcPr>
          <w:p>
            <w:pPr>
              <w:ind w:left="20"/>
              <w:spacing w:after="0"/>
              <w:rPr>
                <w:sz w:val="20"/>
                <w:szCs w:val="20"/>
                <w:color w:val="auto"/>
              </w:rPr>
            </w:pPr>
            <w:r>
              <w:rPr>
                <w:rFonts w:ascii="Arial" w:cs="Arial" w:eastAsia="Arial" w:hAnsi="Arial"/>
                <w:sz w:val="17"/>
                <w:szCs w:val="17"/>
                <w:color w:val="auto"/>
              </w:rPr>
              <w:t>(Decrease) increase in cash and cash equivalents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7"/>
                <w:szCs w:val="17"/>
                <w:color w:val="auto"/>
              </w:rPr>
              <w:t>Interest paid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5"/>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Income taxes paid (net of refunds)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44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accompanying unaudited Consolidated Balance Sheet as of March 31, 2021, the accompanying unaudited Consolidated Statements of Operations for the three months ended March 31, 2021 and 2020, the accompanying unaudited Consolidated Statements of Comprehensive Income for the three months ended March 31, 2021 and 2020, the accompanying unaudited Consolidated Statements of Stockholders' Deficit for the three months ended March 31, 2021 and 2020, and the accompanying unaudited Consolidated Statements of Cash Flows for the three months ended March 31, 2021 and 2020 should be read in conjunction with our audited consolidated financial statements and footnotes included in our Annual Report on Form 10-K for the year ended December 31, 2020.</w:t>
      </w:r>
    </w:p>
    <w:p>
      <w:pPr>
        <w:spacing w:after="0" w:line="21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 in 2020. The COVID-19 pandemic has resulted in supply chain disruptions and higher employee absenteeism in our factories and distribution locations.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 w:name="page9"/>
    <w:bookmarkEnd w:id="8"/>
    <w:p>
      <w:pPr>
        <w:jc w:val="both"/>
        <w:ind w:firstLine="243"/>
        <w:spacing w:after="0" w:line="257" w:lineRule="auto"/>
        <w:rPr>
          <w:sz w:val="20"/>
          <w:szCs w:val="20"/>
          <w:color w:val="auto"/>
        </w:rPr>
      </w:pPr>
      <w:r>
        <w:rPr>
          <w:rFonts w:ascii="Arial" w:cs="Arial" w:eastAsia="Arial" w:hAnsi="Arial"/>
          <w:sz w:val="18"/>
          <w:szCs w:val="18"/>
          <w:color w:val="auto"/>
        </w:rPr>
        <w:t>As the COVID-19 pandemic continues, health concern risks remain, and we cannot predict whether any of our manufacturing, operational or distribution facilities will experience disruptions, or how long such disruptions would last. It also 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2019-02, in an effort to reduce complexity in accounting for income taxes, removes certain exceptions for measuring intraperiod tax allocations, foreign subsidiary equity method investments and interim period tax losses. ASU 2019-12 is effective for calendar year-end public business entities on January 1, 2021. The adoption of ASU 2019-12 did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4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 or Services</w:t>
            </w:r>
          </w:p>
        </w:tc>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Markets Served</w:t>
            </w:r>
          </w:p>
        </w:tc>
        <w:tc>
          <w:tcPr>
            <w:tcW w:w="1700" w:type="dxa"/>
            <w:vAlign w:val="bottom"/>
          </w:tcPr>
          <w:p>
            <w:pPr>
              <w:spacing w:after="0"/>
              <w:rPr>
                <w:sz w:val="20"/>
                <w:szCs w:val="20"/>
                <w:color w:val="auto"/>
              </w:rPr>
            </w:pPr>
            <w:r>
              <w:rPr>
                <w:rFonts w:ascii="Arial" w:cs="Arial" w:eastAsia="Arial" w:hAnsi="Arial"/>
                <w:sz w:val="14"/>
                <w:szCs w:val="14"/>
                <w:b w:val="1"/>
                <w:bCs w:val="1"/>
                <w:color w:val="auto"/>
              </w:rPr>
              <w:t>Geographic Areas</w:t>
            </w:r>
          </w:p>
        </w:tc>
      </w:tr>
      <w:tr>
        <w:trPr>
          <w:trHeight w:val="175"/>
        </w:trPr>
        <w:tc>
          <w:tcPr>
            <w:tcW w:w="18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Residential Heating &amp;</w:t>
            </w:r>
          </w:p>
        </w:tc>
        <w:tc>
          <w:tcPr>
            <w:tcW w:w="100" w:type="dxa"/>
            <w:vAlign w:val="bottom"/>
            <w:tcBorders>
              <w:top w:val="single" w:sz="8" w:color="CCEEFF"/>
            </w:tcBorders>
            <w:shd w:val="clear" w:color="auto" w:fill="CCEEFF"/>
          </w:tcPr>
          <w:p>
            <w:pPr>
              <w:spacing w:after="0"/>
              <w:rPr>
                <w:sz w:val="15"/>
                <w:szCs w:val="15"/>
                <w:color w:val="auto"/>
              </w:rPr>
            </w:pPr>
          </w:p>
        </w:tc>
        <w:tc>
          <w:tcPr>
            <w:tcW w:w="454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0"/>
              </w:rPr>
              <w:t>Furnaces, air conditioners, heat pumps, packaged heating and</w:t>
            </w:r>
          </w:p>
        </w:tc>
        <w:tc>
          <w:tcPr>
            <w:tcW w:w="10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Residential Replacement;</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United States</w:t>
            </w:r>
          </w:p>
        </w:tc>
      </w:tr>
      <w:tr>
        <w:trPr>
          <w:trHeight w:val="176"/>
        </w:trPr>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Cooling</w:t>
            </w:r>
          </w:p>
        </w:tc>
        <w:tc>
          <w:tcPr>
            <w:tcW w:w="4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cooling systems, indoor air quality equipment, comfort</w:t>
            </w:r>
          </w:p>
        </w:tc>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Canada</w:t>
            </w: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 products, replacement parts and supplies</w:t>
            </w: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176"/>
        </w:trPr>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Commercial Heating &amp;</w:t>
            </w:r>
          </w:p>
        </w:tc>
        <w:tc>
          <w:tcPr>
            <w:tcW w:w="4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Unitary heating and air conditioning equipment, applied</w:t>
            </w:r>
          </w:p>
        </w:tc>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Light Commercial</w:t>
            </w: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United States</w:t>
            </w:r>
          </w:p>
        </w:tc>
      </w:tr>
      <w:tr>
        <w:trPr>
          <w:trHeight w:val="175"/>
        </w:trPr>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Cooling</w:t>
            </w:r>
          </w:p>
        </w:tc>
        <w:tc>
          <w:tcPr>
            <w:tcW w:w="4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systems, controls, installation and service of commercial</w:t>
            </w: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Canada</w:t>
            </w:r>
          </w:p>
        </w:tc>
      </w:tr>
      <w:tr>
        <w:trPr>
          <w:trHeight w:val="176"/>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heating and cooling equipment, and variable refrigerant flow</w:t>
            </w: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29"/>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76"/>
        </w:trPr>
        <w:tc>
          <w:tcPr>
            <w:tcW w:w="19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Refrigeration</w:t>
            </w:r>
          </w:p>
        </w:tc>
        <w:tc>
          <w:tcPr>
            <w:tcW w:w="4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Condensing units, unit coolers, fluid coolers, air cooled</w:t>
            </w:r>
          </w:p>
        </w:tc>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United States</w:t>
            </w:r>
          </w:p>
        </w:tc>
      </w:tr>
      <w:tr>
        <w:trPr>
          <w:trHeight w:val="175"/>
        </w:trPr>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condensers, air handlers, process chillers, controls, and</w:t>
            </w:r>
          </w:p>
        </w:tc>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Canada</w:t>
            </w:r>
          </w:p>
        </w:tc>
      </w:tr>
      <w:tr>
        <w:trPr>
          <w:trHeight w:val="230"/>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r>
    </w:tbl>
    <w:p>
      <w:pPr>
        <w:spacing w:after="0" w:line="9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52" w:lineRule="exact"/>
        <w:rPr>
          <w:sz w:val="20"/>
          <w:szCs w:val="20"/>
          <w:color w:val="auto"/>
        </w:rPr>
      </w:pPr>
    </w:p>
    <w:p>
      <w:pPr>
        <w:ind w:firstLine="243"/>
        <w:spacing w:after="0" w:line="274"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jc w:val="center"/>
        <w:ind w:left="8580"/>
        <w:spacing w:after="0"/>
        <w:rPr>
          <w:sz w:val="20"/>
          <w:szCs w:val="20"/>
          <w:color w:val="auto"/>
        </w:rPr>
      </w:pPr>
      <w:r>
        <w:rPr>
          <w:rFonts w:ascii="Arial" w:cs="Arial" w:eastAsia="Arial" w:hAnsi="Arial"/>
          <w:sz w:val="15"/>
          <w:szCs w:val="15"/>
          <w:b w:val="1"/>
          <w:bCs w:val="1"/>
          <w:color w:val="auto"/>
        </w:rPr>
        <w:t>For the Three Months Ended March</w:t>
      </w:r>
    </w:p>
    <w:p>
      <w:pPr>
        <w:spacing w:after="0" w:line="8"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442.1</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Total segment profit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in (Gains) losses and other expenses, net that are excluded from segment profit (loss) (1)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1"/>
          <w:numId w:val="3"/>
        </w:numPr>
        <w:rPr>
          <w:rFonts w:ascii="Arial" w:cs="Arial" w:eastAsia="Arial" w:hAnsi="Arial"/>
          <w:sz w:val="20"/>
          <w:szCs w:val="20"/>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1060" w:hanging="242"/>
        <w:spacing w:after="0"/>
        <w:tabs>
          <w:tab w:leader="none" w:pos="10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Net change in unrealized (gains) losses on unsettled futures contracts,</w:t>
      </w:r>
    </w:p>
    <w:p>
      <w:pPr>
        <w:spacing w:after="0" w:line="9"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Charges incurred related to COVID-19 pandemic; and</w:t>
      </w:r>
    </w:p>
    <w:p>
      <w:pPr>
        <w:spacing w:after="0" w:line="9" w:lineRule="exact"/>
        <w:rPr>
          <w:rFonts w:ascii="Arial" w:cs="Arial" w:eastAsia="Arial" w:hAnsi="Arial"/>
          <w:sz w:val="18"/>
          <w:szCs w:val="18"/>
          <w:color w:val="auto"/>
        </w:rPr>
      </w:pPr>
    </w:p>
    <w:p>
      <w:pPr>
        <w:ind w:left="1700" w:hanging="234"/>
        <w:spacing w:after="0"/>
        <w:tabs>
          <w:tab w:leader="none" w:pos="1700" w:val="left"/>
        </w:tabs>
        <w:numPr>
          <w:ilvl w:val="3"/>
          <w:numId w:val="3"/>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2"/>
          <w:numId w:val="3"/>
        </w:numPr>
        <w:rPr>
          <w:rFonts w:ascii="Arial" w:cs="Arial" w:eastAsia="Arial" w:hAnsi="Arial"/>
          <w:sz w:val="18"/>
          <w:szCs w:val="18"/>
          <w:color w:val="auto"/>
        </w:rPr>
      </w:pPr>
      <w:r>
        <w:rPr>
          <w:rFonts w:ascii="Arial" w:cs="Arial" w:eastAsia="Arial" w:hAnsi="Arial"/>
          <w:sz w:val="18"/>
          <w:szCs w:val="18"/>
          <w:color w:val="auto"/>
        </w:rPr>
        <w:t>Loss from natural disasters, net of insurance recoveries; and</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2"/>
          <w:numId w:val="3"/>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69" w:lineRule="exact"/>
        <w:rPr>
          <w:sz w:val="20"/>
          <w:szCs w:val="20"/>
          <w:color w:val="auto"/>
        </w:rPr>
      </w:pPr>
    </w:p>
    <w:p>
      <w:pPr>
        <w:jc w:val="center"/>
        <w:ind w:left="9040"/>
        <w:spacing w:after="0"/>
        <w:rPr>
          <w:sz w:val="20"/>
          <w:szCs w:val="20"/>
          <w:color w:val="auto"/>
        </w:rPr>
      </w:pPr>
      <w:r>
        <w:rPr>
          <w:rFonts w:ascii="Arial" w:cs="Arial" w:eastAsia="Arial" w:hAnsi="Arial"/>
          <w:sz w:val="16"/>
          <w:szCs w:val="16"/>
          <w:b w:val="1"/>
          <w:bCs w:val="1"/>
          <w:color w:val="auto"/>
        </w:rPr>
        <w:t>For the Three Months Ended</w:t>
      </w:r>
    </w:p>
    <w:p>
      <w:pPr>
        <w:jc w:val="center"/>
        <w:ind w:left="90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r>
      <w:tr>
        <w:trPr>
          <w:trHeight w:val="22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Exclude: Income from discontinued operations</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9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9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9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9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4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78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2020</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Price per share</w:t>
            </w:r>
          </w:p>
        </w:tc>
        <w:tc>
          <w:tcPr>
            <w:tcW w:w="1240" w:type="dxa"/>
            <w:vAlign w:val="bottom"/>
          </w:tcPr>
          <w:p>
            <w:pPr>
              <w:jc w:val="right"/>
              <w:spacing w:after="0"/>
              <w:rPr>
                <w:sz w:val="20"/>
                <w:szCs w:val="20"/>
                <w:color w:val="auto"/>
              </w:rPr>
            </w:pPr>
            <w:r>
              <w:rPr>
                <w:rFonts w:ascii="Arial" w:cs="Arial" w:eastAsia="Arial" w:hAnsi="Arial"/>
                <w:sz w:val="18"/>
                <w:szCs w:val="18"/>
                <w:color w:val="auto"/>
              </w:rPr>
              <w:t>$278.00</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$214.63-$270.83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underlying asset used in providing the service by the third-party service provider. These arrangements meet the definition under ASC 842 and therefore are accounted for under ASC 842.</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lease certain real and personal property under non-cancelable operating leases. Approximately 73% of our right-of-use assets and lease liabilities relate to our leases of real estate with the remaining amounts relating to our leases of IT equipment, fleet vehicles and manufacturing and distribution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Liabilities for estimated product warranty costs related to continuing operations are included in the following captions on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March 31, 2021</w:t>
            </w:r>
          </w:p>
        </w:tc>
        <w:tc>
          <w:tcPr>
            <w:tcW w:w="180" w:type="dxa"/>
            <w:vAlign w:val="bottom"/>
          </w:tcPr>
          <w:p>
            <w:pPr>
              <w:spacing w:after="0"/>
              <w:rPr>
                <w:sz w:val="18"/>
                <w:szCs w:val="18"/>
                <w:color w:val="auto"/>
              </w:rPr>
            </w:pPr>
          </w:p>
        </w:tc>
        <w:tc>
          <w:tcPr>
            <w:tcW w:w="204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As of December 31, 2020</w:t>
            </w:r>
          </w:p>
        </w:tc>
      </w:tr>
      <w:tr>
        <w:trPr>
          <w:trHeight w:val="22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warranty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changes in product warranty liabilities related to continuing operations for the three months ended March 31, 2021 were as follows (in millions):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Total warranty liability as of March 31, 2021</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r>
      <w:tr>
        <w:trPr>
          <w:trHeight w:val="20"/>
        </w:trPr>
        <w:tc>
          <w:tcPr>
            <w:tcW w:w="9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jc w:val="both"/>
        <w:ind w:right="20"/>
        <w:spacing w:after="0" w:line="274" w:lineRule="auto"/>
        <w:rPr>
          <w:sz w:val="20"/>
          <w:szCs w:val="20"/>
          <w:color w:val="auto"/>
        </w:rPr>
      </w:pPr>
      <w:r>
        <w:rPr>
          <w:rFonts w:ascii="Arial" w:cs="Arial" w:eastAsia="Arial" w:hAnsi="Arial"/>
          <w:sz w:val="18"/>
          <w:szCs w:val="18"/>
          <w:color w:val="auto"/>
        </w:rPr>
        <w:t>settlements and judgments. The following table summarizes the expenses, net of probable insurance recoveries, for known and future asbestos-related litigation recorded in Losses (gains) and other expenses, net in the Consolidated Statements of Operations (in millions):</w:t>
      </w:r>
    </w:p>
    <w:p>
      <w:pPr>
        <w:jc w:val="center"/>
        <w:ind w:left="8460"/>
        <w:spacing w:after="0" w:line="235" w:lineRule="auto"/>
        <w:rPr>
          <w:sz w:val="20"/>
          <w:szCs w:val="20"/>
          <w:color w:val="auto"/>
        </w:rPr>
      </w:pPr>
      <w:r>
        <w:rPr>
          <w:rFonts w:ascii="Arial" w:cs="Arial" w:eastAsia="Arial" w:hAnsi="Arial"/>
          <w:sz w:val="16"/>
          <w:szCs w:val="16"/>
          <w:b w:val="1"/>
          <w:bCs w:val="1"/>
          <w:color w:val="auto"/>
        </w:rPr>
        <w:t>For the 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8890</wp:posOffset>
            </wp:positionV>
            <wp:extent cx="1594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ind w:left="9040"/>
        <w:spacing w:after="0"/>
        <w:tabs>
          <w:tab w:leader="none" w:pos="103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20320</wp:posOffset>
            </wp:positionV>
            <wp:extent cx="697801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78015" cy="154305"/>
                    </a:xfrm>
                    <a:prstGeom prst="rect">
                      <a:avLst/>
                    </a:prstGeom>
                    <a:noFill/>
                  </pic:spPr>
                </pic:pic>
              </a:graphicData>
            </a:graphic>
          </wp:anchor>
        </w:drawing>
      </w:r>
    </w:p>
    <w:p>
      <w:pPr>
        <w:spacing w:after="0" w:line="25" w:lineRule="exact"/>
        <w:rPr>
          <w:sz w:val="20"/>
          <w:szCs w:val="20"/>
          <w:color w:val="auto"/>
        </w:rPr>
      </w:pPr>
    </w:p>
    <w:p>
      <w:pPr>
        <w:ind w:left="140"/>
        <w:spacing w:after="0"/>
        <w:tabs>
          <w:tab w:leader="none" w:pos="8600" w:val="left"/>
          <w:tab w:leader="none" w:pos="9460" w:val="left"/>
          <w:tab w:leader="none" w:pos="9940" w:val="left"/>
          <w:tab w:leader="none" w:pos="10720" w:val="left"/>
        </w:tabs>
        <w:rPr>
          <w:sz w:val="20"/>
          <w:szCs w:val="20"/>
          <w:color w:val="auto"/>
        </w:rPr>
      </w:pPr>
      <w:r>
        <w:rPr>
          <w:rFonts w:ascii="Arial" w:cs="Arial" w:eastAsia="Arial" w:hAnsi="Arial"/>
          <w:sz w:val="18"/>
          <w:szCs w:val="18"/>
          <w:color w:val="auto"/>
        </w:rPr>
        <w:t>Loss (gain) for asbestos-related litigation,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7"/>
          <w:szCs w:val="17"/>
          <w:color w:val="auto"/>
        </w:rPr>
        <w:t>(1.7)</w:t>
      </w:r>
    </w:p>
    <w:p>
      <w:pPr>
        <w:spacing w:after="0" w:line="36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Board of Directors have authorized a total of $3 billion to repurchase shares of our common stock (collectively referred to as the "Share Repurchase Plans"), including a $500 million share repurchase authorization in December 2019.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March 31, 2021, $246 million of shares may be repurchased under the Share Repurchase Plans.</w:t>
      </w:r>
    </w:p>
    <w:p>
      <w:pPr>
        <w:spacing w:after="0" w:line="20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February 4, 2021, we entered into a Fixed Dollar Accelerated Share Repurchase Transaction (the "ASR Agreement") with Wells Fargo Bank, to effect an accelerated stock buyback of the Company's common stock. Under the ASR Agreement, we paid Wells Fargo Bank $200.0 million and Wells Fargo Bank delivered to us 0.6 million shares of common stock representing approximately 85% of the shares expected to be purchased under the ASR Agreement. The ASR was completed in April 2021 and Wells Fargo Bank delivered an additional 0.1 million shares of common stock for a total of 0.7 million shares of common stock repurchased under this ASR Agreement.</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repurchased shares for $6.0 million during the three months ended March 31, 2021 from employees who tendered their shares to satisfy minimum tax withholding obligations upon the vesting and exercise of stock-based compensation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56"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52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b w:val="1"/>
                <w:bCs w:val="1"/>
                <w:color w:val="auto"/>
              </w:rPr>
              <w:t>For the Three Months Ended March 31,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8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3"/>
              </w:rPr>
              <w:t>Residential Heating &amp;</w:t>
            </w:r>
          </w:p>
        </w:tc>
        <w:tc>
          <w:tcPr>
            <w:tcW w:w="186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w w:val="94"/>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3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52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b w:val="1"/>
                <w:bCs w:val="1"/>
                <w:color w:val="auto"/>
              </w:rPr>
              <w:t>For the Three Months Ended March 31, 2020</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8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Residential Heating &amp;</w:t>
            </w:r>
          </w:p>
        </w:tc>
        <w:tc>
          <w:tcPr>
            <w:tcW w:w="186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3"/>
        </w:trPr>
        <w:tc>
          <w:tcPr>
            <w:tcW w:w="3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Cooling</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firstLine="243"/>
        <w:spacing w:after="0" w:line="282" w:lineRule="auto"/>
        <w:rPr>
          <w:sz w:val="20"/>
          <w:szCs w:val="20"/>
          <w:color w:val="auto"/>
        </w:rPr>
      </w:pPr>
      <w:r>
        <w:rPr>
          <w:rFonts w:ascii="Arial" w:cs="Arial" w:eastAsia="Arial" w:hAnsi="Arial"/>
          <w:sz w:val="18"/>
          <w:szCs w:val="18"/>
          <w:b w:val="1"/>
          <w:bCs w:val="1"/>
          <w:color w:val="auto"/>
        </w:rPr>
        <w:t xml:space="preserve">Residential Heating &amp; Cooling </w:t>
      </w:r>
      <w:r>
        <w:rPr>
          <w:rFonts w:ascii="Arial" w:cs="Arial" w:eastAsia="Arial" w:hAnsi="Arial"/>
          <w:sz w:val="18"/>
          <w:szCs w:val="18"/>
          <w:color w:val="auto"/>
        </w:rPr>
        <w:t>- We manufacture and market a broad range of furnaces, air conditioners, heat pumps, packaged heating and cooling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equipment and accessories to improve indoor air quality, comfort control products,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2021 and 2020, direct sales represented 67% and 73% of revenues, and sales to independent distributors represented the remainder. Given the nature of our business, customer product orders are fulfilled at a point in time and not over a period of time.</w:t>
      </w:r>
    </w:p>
    <w:p>
      <w:pPr>
        <w:spacing w:after="0" w:line="21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Commercial Heating &amp; Cooling </w:t>
      </w:r>
      <w:r>
        <w:rPr>
          <w:rFonts w:ascii="Arial" w:cs="Arial" w:eastAsia="Arial" w:hAnsi="Arial"/>
          <w:sz w:val="18"/>
          <w:szCs w:val="18"/>
          <w:color w:val="auto"/>
        </w:rPr>
        <w:t>- In North America, we manufacture and sell unitary heating and cooling equipment used in light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March 31, 2021 and 2020, equipment sales represented 83% and 84% of revenues and the remainder of our revenue was generated from our service business.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0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 Our contract liabilities consist of advance payments and deferred revenue. Our contract liabilities are reported in a net position on</w:t>
      </w:r>
      <w:r>
        <w:rPr>
          <w:rFonts w:ascii="Arial" w:cs="Arial" w:eastAsia="Arial" w:hAnsi="Arial"/>
          <w:sz w:val="18"/>
          <w:szCs w:val="18"/>
          <w:b w:val="1"/>
          <w:bCs w:val="1"/>
          <w:color w:val="auto"/>
        </w:rPr>
        <w:t xml:space="preserve"> </w:t>
      </w:r>
      <w:r>
        <w:rPr>
          <w:rFonts w:ascii="Arial" w:cs="Arial" w:eastAsia="Arial" w:hAnsi="Arial"/>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3"/>
              </w:rPr>
              <w:t>March 31, 2021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 Change</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6"/>
        </w:trPr>
        <w:tc>
          <w:tcPr>
            <w:tcW w:w="560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center"/>
              <w:ind w:left="479"/>
              <w:spacing w:after="0"/>
              <w:rPr>
                <w:sz w:val="20"/>
                <w:szCs w:val="20"/>
                <w:color w:val="auto"/>
              </w:rPr>
            </w:pPr>
            <w:r>
              <w:rPr>
                <w:rFonts w:ascii="Arial" w:cs="Arial" w:eastAsia="Arial" w:hAnsi="Arial"/>
                <w:sz w:val="16"/>
                <w:szCs w:val="16"/>
                <w:color w:val="auto"/>
                <w:w w:val="91"/>
              </w:rPr>
              <w:t>(2.7)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49.1 %</w:t>
            </w: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w w:val="89"/>
              </w:rPr>
              <w:t>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1"/>
              </w:rPr>
              <w:t>(2.6)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For the three months ended March 31, 2021 and 2020, we recognized revenue of $1.6 million and $1.5 million related to our contract liabilities at January 1, 2021 and 2020, respectively. Impairment losses recognized in our receivables and contract assets were de minimis for the three months ended March 31, 2021 and 2020.</w:t>
      </w:r>
    </w:p>
    <w:p>
      <w:pPr>
        <w:spacing w:after="0" w:line="207" w:lineRule="exact"/>
        <w:rPr>
          <w:sz w:val="20"/>
          <w:szCs w:val="20"/>
          <w:color w:val="auto"/>
        </w:rPr>
      </w:pPr>
    </w:p>
    <w:p>
      <w:pPr>
        <w:ind w:right="8360" w:firstLine="8"/>
        <w:spacing w:after="0" w:line="261"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2021</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of December 31, 2020</w:t>
            </w:r>
          </w:p>
        </w:tc>
      </w:tr>
      <w:tr>
        <w:trPr>
          <w:trHeight w:val="22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23"/>
        </w:trPr>
        <w:tc>
          <w:tcPr>
            <w:tcW w:w="7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556.9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502.3</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439.4</w:t>
            </w: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in 2021, in total and by segment, are summarized in the table below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Changes in foreign</w:t>
            </w:r>
          </w:p>
        </w:tc>
        <w:tc>
          <w:tcPr>
            <w:tcW w:w="140" w:type="dxa"/>
            <w:vAlign w:val="bottom"/>
          </w:tcPr>
          <w:p>
            <w:pPr>
              <w:spacing w:after="0"/>
              <w:rPr>
                <w:sz w:val="14"/>
                <w:szCs w:val="14"/>
                <w:color w:val="auto"/>
              </w:rPr>
            </w:pPr>
          </w:p>
        </w:tc>
        <w:tc>
          <w:tcPr>
            <w:tcW w:w="11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6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60" w:type="dxa"/>
            <w:vAlign w:val="bottom"/>
            <w:gridSpan w:val="3"/>
          </w:tcPr>
          <w:p>
            <w:pPr>
              <w:jc w:val="right"/>
              <w:ind w:right="240"/>
              <w:spacing w:after="0" w:line="135" w:lineRule="exact"/>
              <w:rPr>
                <w:sz w:val="20"/>
                <w:szCs w:val="20"/>
                <w:color w:val="auto"/>
              </w:rPr>
            </w:pPr>
            <w:r>
              <w:rPr>
                <w:rFonts w:ascii="Arial" w:cs="Arial" w:eastAsia="Arial" w:hAnsi="Arial"/>
                <w:sz w:val="14"/>
                <w:szCs w:val="14"/>
                <w:b w:val="1"/>
                <w:bCs w:val="1"/>
                <w:color w:val="auto"/>
                <w:w w:val="96"/>
              </w:rPr>
              <w:t>currency translation</w:t>
            </w: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880" w:type="dxa"/>
            <w:vAlign w:val="bottom"/>
          </w:tcPr>
          <w:p>
            <w:pPr>
              <w:spacing w:after="0"/>
              <w:rPr>
                <w:sz w:val="16"/>
                <w:szCs w:val="16"/>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rates</w:t>
            </w:r>
          </w:p>
        </w:tc>
        <w:tc>
          <w:tcPr>
            <w:tcW w:w="140" w:type="dxa"/>
            <w:vAlign w:val="bottom"/>
          </w:tcPr>
          <w:p>
            <w:pPr>
              <w:spacing w:after="0"/>
              <w:rPr>
                <w:sz w:val="16"/>
                <w:szCs w:val="16"/>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24"/>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Total Goodwill</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foreign exchange forward contracts and commodity futures contracts designated as cash flow hedges that are scheduled to mature through August 2022.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2021</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2020</w:t>
            </w:r>
          </w:p>
        </w:tc>
      </w:tr>
      <w:tr>
        <w:trPr>
          <w:trHeight w:val="226"/>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unsettled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460" w:type="dxa"/>
            <w:vAlign w:val="bottom"/>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Gains included in AOCL, net of tax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94" w:lineRule="exact"/>
        <w:rPr>
          <w:sz w:val="20"/>
          <w:szCs w:val="20"/>
          <w:color w:val="auto"/>
        </w:rPr>
      </w:pPr>
    </w:p>
    <w:p>
      <w:pPr>
        <w:ind w:left="500" w:hanging="168"/>
        <w:spacing w:after="0" w:line="227" w:lineRule="auto"/>
        <w:tabs>
          <w:tab w:leader="none" w:pos="537"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Assuming commodity prices and foreign currency exchange rates remain constant, we expect to reclassify $11.5 million of derivative gains into earnings within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jc w:val="center"/>
        <w:ind w:left="8460"/>
        <w:spacing w:after="0" w:line="237" w:lineRule="auto"/>
        <w:rPr>
          <w:sz w:val="20"/>
          <w:szCs w:val="20"/>
          <w:color w:val="auto"/>
        </w:rPr>
      </w:pPr>
      <w:r>
        <w:rPr>
          <w:rFonts w:ascii="Arial" w:cs="Arial" w:eastAsia="Arial" w:hAnsi="Arial"/>
          <w:sz w:val="16"/>
          <w:szCs w:val="16"/>
          <w:b w:val="1"/>
          <w:bCs w:val="1"/>
          <w:color w:val="auto"/>
        </w:rPr>
        <w:t>For the Three Months Ended March</w:t>
      </w:r>
    </w:p>
    <w:p>
      <w:pPr>
        <w:spacing w:after="0" w:line="1"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8890</wp:posOffset>
            </wp:positionV>
            <wp:extent cx="1757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8" w:lineRule="exact"/>
        <w:rPr>
          <w:sz w:val="20"/>
          <w:szCs w:val="20"/>
          <w:color w:val="auto"/>
        </w:rPr>
      </w:pPr>
    </w:p>
    <w:p>
      <w:pPr>
        <w:ind w:left="9020"/>
        <w:spacing w:after="0"/>
        <w:tabs>
          <w:tab w:leader="none" w:pos="104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480" w:val="left"/>
          <w:tab w:leader="none" w:pos="9560" w:val="left"/>
          <w:tab w:leader="none" w:pos="9980" w:val="left"/>
          <w:tab w:leader="none" w:pos="10920" w:val="left"/>
        </w:tabs>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w:t>
        <w:tab/>
        <w:t>$</w:t>
      </w:r>
      <w:r>
        <w:rPr>
          <w:sz w:val="20"/>
          <w:szCs w:val="20"/>
          <w:color w:val="auto"/>
        </w:rPr>
        <w:tab/>
      </w:r>
      <w:r>
        <w:rPr>
          <w:rFonts w:ascii="Arial" w:cs="Arial" w:eastAsia="Arial" w:hAnsi="Arial"/>
          <w:sz w:val="15"/>
          <w:szCs w:val="15"/>
          <w:color w:val="auto"/>
        </w:rPr>
        <w:t>3.7</w:t>
      </w:r>
    </w:p>
    <w:p>
      <w:pPr>
        <w:spacing w:after="0" w:line="31" w:lineRule="exact"/>
        <w:rPr>
          <w:sz w:val="20"/>
          <w:szCs w:val="20"/>
          <w:color w:val="auto"/>
        </w:rPr>
      </w:pPr>
    </w:p>
    <w:p>
      <w:pPr>
        <w:ind w:left="440" w:hanging="189"/>
        <w:spacing w:after="0"/>
        <w:tabs>
          <w:tab w:leader="none" w:pos="440" w:val="left"/>
        </w:tabs>
        <w:numPr>
          <w:ilvl w:val="1"/>
          <w:numId w:val="7"/>
        </w:numPr>
        <w:rPr>
          <w:rFonts w:ascii="Arial" w:cs="Arial" w:eastAsia="Arial" w:hAnsi="Arial"/>
          <w:sz w:val="23"/>
          <w:szCs w:val="23"/>
          <w:color w:val="auto"/>
          <w:vertAlign w:val="superscript"/>
        </w:rPr>
      </w:pPr>
      <w:r>
        <w:rPr>
          <w:rFonts w:ascii="Arial" w:cs="Arial" w:eastAsia="Arial" w:hAnsi="Arial"/>
          <w:sz w:val="18"/>
          <w:szCs w:val="18"/>
          <w:color w:val="auto"/>
        </w:rPr>
        <w:t>All expense was recorded in our Corporate and Other business segment.</w:t>
      </w:r>
    </w:p>
    <w:p>
      <w:pPr>
        <w:spacing w:after="0" w:line="22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Benefit Plans: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for pension benefits were as follows (in millions):</w:t>
      </w:r>
    </w:p>
    <w:p>
      <w:pPr>
        <w:spacing w:after="0" w:line="266" w:lineRule="exact"/>
        <w:rPr>
          <w:sz w:val="20"/>
          <w:szCs w:val="20"/>
          <w:color w:val="auto"/>
        </w:rPr>
      </w:pPr>
    </w:p>
    <w:p>
      <w:pPr>
        <w:jc w:val="center"/>
        <w:ind w:left="9060"/>
        <w:spacing w:after="0"/>
        <w:rPr>
          <w:sz w:val="20"/>
          <w:szCs w:val="20"/>
          <w:color w:val="auto"/>
        </w:rPr>
      </w:pPr>
      <w:r>
        <w:rPr>
          <w:rFonts w:ascii="Arial" w:cs="Arial" w:eastAsia="Arial" w:hAnsi="Arial"/>
          <w:sz w:val="15"/>
          <w:szCs w:val="15"/>
          <w:b w:val="1"/>
          <w:bCs w:val="1"/>
          <w:color w:val="auto"/>
        </w:rPr>
        <w:t>For the Three Months Ended</w:t>
      </w:r>
    </w:p>
    <w:p>
      <w:pPr>
        <w:spacing w:after="0" w:line="8"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Recognized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Settlements and 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periodic benefit cost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r>
      <w:tr>
        <w:trPr>
          <w:trHeight w:val="225"/>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51"/>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20" w:type="dxa"/>
            <w:vAlign w:val="bottom"/>
          </w:tcPr>
          <w:p>
            <w:pPr>
              <w:spacing w:after="0"/>
              <w:rPr>
                <w:sz w:val="19"/>
                <w:szCs w:val="19"/>
                <w:color w:val="auto"/>
              </w:rPr>
            </w:pPr>
          </w:p>
        </w:tc>
        <w:tc>
          <w:tcPr>
            <w:tcW w:w="800" w:type="dxa"/>
            <w:vAlign w:val="bottom"/>
          </w:tcPr>
          <w:p>
            <w:pPr>
              <w:jc w:val="center"/>
              <w:ind w:left="351"/>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20" w:type="dxa"/>
            <w:vAlign w:val="bottom"/>
          </w:tcPr>
          <w:p>
            <w:pPr>
              <w:spacing w:after="0"/>
              <w:rPr>
                <w:sz w:val="19"/>
                <w:szCs w:val="19"/>
                <w:color w:val="auto"/>
              </w:rPr>
            </w:pPr>
          </w:p>
        </w:tc>
        <w:tc>
          <w:tcPr>
            <w:tcW w:w="800" w:type="dxa"/>
            <w:vAlign w:val="bottom"/>
          </w:tcPr>
          <w:p>
            <w:pPr>
              <w:jc w:val="center"/>
              <w:ind w:left="331"/>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20" w:type="dxa"/>
            <w:vAlign w:val="bottom"/>
          </w:tcPr>
          <w:p>
            <w:pPr>
              <w:spacing w:after="0"/>
              <w:rPr>
                <w:sz w:val="19"/>
                <w:szCs w:val="19"/>
                <w:color w:val="auto"/>
              </w:rPr>
            </w:pPr>
          </w:p>
        </w:tc>
        <w:tc>
          <w:tcPr>
            <w:tcW w:w="800" w:type="dxa"/>
            <w:vAlign w:val="bottom"/>
          </w:tcPr>
          <w:p>
            <w:pPr>
              <w:jc w:val="center"/>
              <w:ind w:left="351"/>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 w:type="dxa"/>
            <w:vAlign w:val="bottom"/>
          </w:tcPr>
          <w:p>
            <w:pPr>
              <w:spacing w:after="0"/>
              <w:rPr>
                <w:sz w:val="19"/>
                <w:szCs w:val="19"/>
                <w:color w:val="auto"/>
              </w:rPr>
            </w:pPr>
          </w:p>
        </w:tc>
        <w:tc>
          <w:tcPr>
            <w:tcW w:w="800" w:type="dxa"/>
            <w:vAlign w:val="bottom"/>
          </w:tcPr>
          <w:p>
            <w:pPr>
              <w:jc w:val="center"/>
              <w:ind w:left="351"/>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20" w:type="dxa"/>
            <w:vAlign w:val="bottom"/>
          </w:tcPr>
          <w:p>
            <w:pPr>
              <w:spacing w:after="0"/>
              <w:rPr>
                <w:sz w:val="19"/>
                <w:szCs w:val="19"/>
                <w:color w:val="auto"/>
              </w:rPr>
            </w:pPr>
          </w:p>
        </w:tc>
        <w:tc>
          <w:tcPr>
            <w:tcW w:w="800" w:type="dxa"/>
            <w:vAlign w:val="bottom"/>
          </w:tcPr>
          <w:p>
            <w:pPr>
              <w:jc w:val="center"/>
              <w:ind w:left="331"/>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b w:val="1"/>
                <w:bCs w:val="1"/>
                <w:color w:val="auto"/>
                <w:w w:val="95"/>
              </w:rPr>
              <w:t>3.0</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60" w:space="720"/>
            <w:col w:w="2160"/>
          </w:cols>
          <w:pgMar w:left="320" w:top="1138" w:right="33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As of March 31, 2021, we had approximately $3.3 million in total gross unrecognized tax benefits. Of this amount $3.3 million, if recognized, would be recorded through the Consolidated Statements of Operations.</w:t>
      </w:r>
    </w:p>
    <w:p>
      <w:pPr>
        <w:sectPr>
          <w:pgSz w:w="11900" w:h="16838" w:orient="portrait"/>
          <w:cols w:equalWidth="0" w:num="1">
            <w:col w:w="11240"/>
          </w:cols>
          <w:pgMar w:left="320" w:top="11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6" w:name="page17"/>
    <w:bookmarkEnd w:id="16"/>
    <w:p>
      <w:pPr>
        <w:jc w:val="both"/>
        <w:ind w:firstLine="243"/>
        <w:spacing w:after="0" w:line="286" w:lineRule="auto"/>
        <w:rPr>
          <w:sz w:val="20"/>
          <w:szCs w:val="20"/>
          <w:color w:val="auto"/>
        </w:rPr>
      </w:pPr>
      <w:r>
        <w:rPr>
          <w:rFonts w:ascii="Arial" w:cs="Arial" w:eastAsia="Arial" w:hAnsi="Arial"/>
          <w:sz w:val="17"/>
          <w:szCs w:val="17"/>
          <w:color w:val="auto"/>
        </w:rPr>
        <w:t>We are currently under examination for our U.S. federal income taxes under the Internal Revenue Service's Compliance Assurance Program for 2019 and 2020 and are subject to examination by numerous other taxing authorities in the U.S. and in foreign jurisdictions. We are generally no longer subject to U.S. federal, state and local, or non-U.S. income tax examinations by taxing authorities for years prior to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Lines of Credit and Financing Arrangements:</w:t>
      </w:r>
    </w:p>
    <w:p>
      <w:pPr>
        <w:spacing w:after="0" w:line="256" w:lineRule="exact"/>
        <w:rPr>
          <w:sz w:val="20"/>
          <w:szCs w:val="20"/>
          <w:color w:val="auto"/>
        </w:rPr>
      </w:pPr>
    </w:p>
    <w:p>
      <w:pPr>
        <w:ind w:right="700" w:firstLine="243"/>
        <w:spacing w:after="0" w:line="274" w:lineRule="auto"/>
        <w:rPr>
          <w:sz w:val="20"/>
          <w:szCs w:val="20"/>
          <w:color w:val="auto"/>
        </w:rPr>
      </w:pPr>
      <w:r>
        <w:rPr>
          <w:rFonts w:ascii="Arial" w:cs="Arial" w:eastAsia="Arial" w:hAnsi="Arial"/>
          <w:sz w:val="18"/>
          <w:szCs w:val="18"/>
          <w:color w:val="auto"/>
        </w:rPr>
        <w:t>The following table summarizes our outstanding debt obligations and their classification in the accompanying Consolidated Balance Sheets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As of March 31, 2021</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2020</w:t>
            </w: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securitization program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480" w:type="dxa"/>
            <w:vAlign w:val="bottom"/>
          </w:tcPr>
          <w:p>
            <w:pPr>
              <w:ind w:left="200"/>
              <w:spacing w:after="0"/>
              <w:rPr>
                <w:sz w:val="20"/>
                <w:szCs w:val="20"/>
                <w:color w:val="auto"/>
              </w:rPr>
            </w:pPr>
            <w:r>
              <w:rPr>
                <w:rFonts w:ascii="Arial" w:cs="Arial" w:eastAsia="Arial" w:hAnsi="Arial"/>
                <w:sz w:val="18"/>
                <w:szCs w:val="18"/>
                <w:color w:val="auto"/>
              </w:rPr>
              <w:t>Total current maturities of long-term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credit facility</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March 31, 2021 or December 31, 2020 and there were no borrowings and repayments on these facilities for the three months ended March 31, 2021 or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2"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2021</w:t>
            </w: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As of December 31, 2020</w:t>
            </w: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Eligible amount available under the ASP on qualified accounts receivable</w:t>
            </w:r>
          </w:p>
        </w:tc>
        <w:tc>
          <w:tcPr>
            <w:tcW w:w="19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Beneficial interest transferred</w:t>
            </w:r>
          </w:p>
        </w:tc>
        <w:tc>
          <w:tcPr>
            <w:tcW w:w="1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 available</w:t>
            </w:r>
          </w:p>
        </w:tc>
        <w:tc>
          <w:tcPr>
            <w:tcW w:w="1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157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ind w:firstLine="243"/>
        <w:spacing w:after="0" w:line="273"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March 31, 2021 and December 31, 2020 were 0.82% and zero%,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0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Seventh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March 31, 2021, we believe we were in compliance with all covenant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52"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The amended Domestic Credit Facility currently consists of a $750.0 million unsecured revolving credit facility that matures in August 2022. Under our Domestic Credit Facility, we had outstanding borrowings of $37.0 million as well as $2.2 million committed to standby letters of credit as of March 31, 2021. Subject to covenant limitations, $710.8 million was available for future borrowings. The revolving credit facility includes a subfacility for swingline loans of up to $65.0 million.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40" w:type="dxa"/>
            <w:vAlign w:val="bottom"/>
          </w:tcPr>
          <w:p>
            <w:pPr>
              <w:spacing w:after="0"/>
              <w:rPr>
                <w:sz w:val="18"/>
                <w:szCs w:val="18"/>
                <w:color w:val="auto"/>
              </w:rPr>
            </w:pPr>
          </w:p>
        </w:tc>
        <w:tc>
          <w:tcPr>
            <w:tcW w:w="2480" w:type="dxa"/>
            <w:vAlign w:val="bottom"/>
            <w:gridSpan w:val="2"/>
          </w:tcPr>
          <w:p>
            <w:pPr>
              <w:ind w:left="460"/>
              <w:spacing w:after="0"/>
              <w:rPr>
                <w:sz w:val="20"/>
                <w:szCs w:val="20"/>
                <w:color w:val="auto"/>
              </w:rPr>
            </w:pPr>
            <w:r>
              <w:rPr>
                <w:rFonts w:ascii="Arial" w:cs="Arial" w:eastAsia="Arial" w:hAnsi="Arial"/>
                <w:sz w:val="16"/>
                <w:szCs w:val="16"/>
                <w:b w:val="1"/>
                <w:bCs w:val="1"/>
                <w:color w:val="auto"/>
              </w:rPr>
              <w:t>As of March 31, 2021</w:t>
            </w:r>
          </w:p>
        </w:tc>
        <w:tc>
          <w:tcPr>
            <w:tcW w:w="2400" w:type="dxa"/>
            <w:vAlign w:val="bottom"/>
          </w:tcPr>
          <w:p>
            <w:pPr>
              <w:ind w:left="340"/>
              <w:spacing w:after="0"/>
              <w:rPr>
                <w:sz w:val="20"/>
                <w:szCs w:val="20"/>
                <w:color w:val="auto"/>
              </w:rPr>
            </w:pPr>
            <w:r>
              <w:rPr>
                <w:rFonts w:ascii="Arial" w:cs="Arial" w:eastAsia="Arial" w:hAnsi="Arial"/>
                <w:sz w:val="16"/>
                <w:szCs w:val="16"/>
                <w:b w:val="1"/>
                <w:bCs w:val="1"/>
                <w:color w:val="auto"/>
              </w:rPr>
              <w:t>As of December 31, 2020</w:t>
            </w:r>
          </w:p>
        </w:tc>
      </w:tr>
      <w:tr>
        <w:trPr>
          <w:trHeight w:val="226"/>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ind w:left="2000"/>
              <w:spacing w:after="0"/>
              <w:rPr>
                <w:sz w:val="20"/>
                <w:szCs w:val="20"/>
                <w:color w:val="auto"/>
              </w:rPr>
            </w:pPr>
            <w:r>
              <w:rPr>
                <w:rFonts w:ascii="Arial" w:cs="Arial" w:eastAsia="Arial" w:hAnsi="Arial"/>
                <w:sz w:val="18"/>
                <w:szCs w:val="18"/>
                <w:color w:val="auto"/>
                <w:w w:val="97"/>
              </w:rPr>
              <w:t>— %</w:t>
            </w:r>
          </w:p>
        </w:tc>
      </w:tr>
    </w:tbl>
    <w:p>
      <w:pPr>
        <w:spacing w:after="0" w:line="14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Cash Flow to Net Interest Expense Ratio no less than</w:t>
            </w:r>
          </w:p>
        </w:tc>
        <w:tc>
          <w:tcPr>
            <w:tcW w:w="33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4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6"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3" w:lineRule="auto"/>
        <w:tabs>
          <w:tab w:leader="none" w:pos="73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March 31, 2021,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2021, we believe we were in compliance with all covenant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Comprehensive Income (Loss):</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320" w:type="dxa"/>
            <w:vAlign w:val="bottom"/>
            <w:gridSpan w:val="5"/>
          </w:tcPr>
          <w:p>
            <w:pPr>
              <w:jc w:val="right"/>
              <w:ind w:right="50"/>
              <w:spacing w:after="0"/>
              <w:rPr>
                <w:sz w:val="20"/>
                <w:szCs w:val="20"/>
                <w:color w:val="auto"/>
              </w:rPr>
            </w:pPr>
            <w:r>
              <w:rPr>
                <w:rFonts w:ascii="Arial" w:cs="Arial" w:eastAsia="Arial" w:hAnsi="Arial"/>
                <w:sz w:val="16"/>
                <w:szCs w:val="16"/>
                <w:b w:val="1"/>
                <w:bCs w:val="1"/>
                <w:color w:val="auto"/>
                <w:w w:val="99"/>
              </w:rPr>
              <w:t>For the Three Months Ended</w:t>
            </w:r>
          </w:p>
        </w:tc>
        <w:tc>
          <w:tcPr>
            <w:tcW w:w="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Affected Line Item(s) in the Consolidated Statements of</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(Losses) Gains on Cash Flow Hedges: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Derivatives contracts</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w w:val="92"/>
              </w:rPr>
              <w:t>Cost of goods sold; Losses (gains) and other expenses, net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720" w:type="dxa"/>
            <w:vAlign w:val="bottom"/>
            <w:vMerge w:val="restart"/>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goods sold; Selling, general and administrative</w:t>
            </w:r>
          </w:p>
        </w:tc>
        <w:tc>
          <w:tcPr>
            <w:tcW w:w="0" w:type="dxa"/>
            <w:vAlign w:val="bottom"/>
          </w:tcPr>
          <w:p>
            <w:pPr>
              <w:spacing w:after="0"/>
              <w:rPr>
                <w:sz w:val="1"/>
                <w:szCs w:val="1"/>
                <w:color w:val="auto"/>
              </w:rPr>
            </w:pPr>
          </w:p>
        </w:tc>
      </w:tr>
      <w:tr>
        <w:trPr>
          <w:trHeight w:val="230"/>
        </w:trPr>
        <w:tc>
          <w:tcPr>
            <w:tcW w:w="43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438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Total reclassifications from AOCL</w:t>
            </w:r>
          </w:p>
        </w:tc>
        <w:tc>
          <w:tcPr>
            <w:tcW w:w="720" w:type="dxa"/>
            <w:vAlign w:val="bottom"/>
            <w:tcBorders>
              <w:bottom w:val="single" w:sz="8" w:color="auto"/>
            </w:tcBorders>
          </w:tcPr>
          <w:p>
            <w:pPr>
              <w:jc w:val="right"/>
              <w:ind w:right="513"/>
              <w:spacing w:after="0" w:line="203" w:lineRule="exact"/>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7"/>
              </w:rPr>
              <w:t>1.2</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1"/>
              </w:rPr>
              <w:t>(2.1)</w:t>
            </w: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three months ended March 31, 2021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Gains (Losses) on</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method</w:t>
            </w: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Defined Benefit</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52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88"/>
              </w:rPr>
              <w:t>investments other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Pension Plan</w:t>
            </w:r>
          </w:p>
        </w:tc>
        <w:tc>
          <w:tcPr>
            <w:tcW w:w="14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08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9"/>
              </w:rPr>
              <w:t>Total AOCL</w:t>
            </w:r>
          </w:p>
        </w:tc>
        <w:tc>
          <w:tcPr>
            <w:tcW w:w="0" w:type="dxa"/>
            <w:vAlign w:val="bottom"/>
          </w:tcPr>
          <w:p>
            <w:pPr>
              <w:spacing w:after="0"/>
              <w:rPr>
                <w:sz w:val="1"/>
                <w:szCs w:val="1"/>
                <w:color w:val="auto"/>
              </w:rPr>
            </w:pPr>
          </w:p>
        </w:tc>
      </w:tr>
      <w:tr>
        <w:trPr>
          <w:trHeight w:val="213"/>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Items</w:t>
            </w: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0" w:type="dxa"/>
            <w:vAlign w:val="bottom"/>
          </w:tcPr>
          <w:p>
            <w:pPr>
              <w:spacing w:after="0"/>
              <w:rPr>
                <w:sz w:val="1"/>
                <w:szCs w:val="1"/>
                <w:color w:val="auto"/>
              </w:rPr>
            </w:pPr>
          </w:p>
        </w:tc>
      </w:tr>
      <w:tr>
        <w:trPr>
          <w:trHeight w:val="175"/>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March 31, 2021 were the same as those used at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11"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800" w:type="dxa"/>
            <w:vAlign w:val="bottom"/>
            <w:gridSpan w:val="3"/>
          </w:tcPr>
          <w:p>
            <w:pPr>
              <w:ind w:left="80"/>
              <w:spacing w:after="0"/>
              <w:rPr>
                <w:sz w:val="20"/>
                <w:szCs w:val="20"/>
                <w:color w:val="auto"/>
              </w:rPr>
            </w:pPr>
            <w:r>
              <w:rPr>
                <w:rFonts w:ascii="Arial" w:cs="Arial" w:eastAsia="Arial" w:hAnsi="Arial"/>
                <w:sz w:val="16"/>
                <w:szCs w:val="16"/>
                <w:b w:val="1"/>
                <w:bCs w:val="1"/>
                <w:color w:val="auto"/>
              </w:rPr>
              <w:t>As of March 31, 2021</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2020</w:t>
            </w:r>
          </w:p>
        </w:tc>
      </w:tr>
      <w:tr>
        <w:trPr>
          <w:trHeight w:val="22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2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2020,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1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252"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 in 2020. The COVID-19 pandemic has resulted in supply chain disruptions and higher employee absenteeism in our factories and distribution locations.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jc w:val="both"/>
        <w:ind w:firstLine="243"/>
        <w:spacing w:after="0" w:line="257" w:lineRule="auto"/>
        <w:rPr>
          <w:sz w:val="20"/>
          <w:szCs w:val="20"/>
          <w:color w:val="auto"/>
        </w:rPr>
      </w:pPr>
      <w:r>
        <w:rPr>
          <w:rFonts w:ascii="Arial" w:cs="Arial" w:eastAsia="Arial" w:hAnsi="Arial"/>
          <w:sz w:val="18"/>
          <w:szCs w:val="18"/>
          <w:color w:val="auto"/>
        </w:rPr>
        <w:t>As the COVID-19 pandemic continues, health concern risks remain, and we cannot predict whether any of our manufacturing, operational or distribution facilities will experience disruptions, or how long such disruptions would last. It also remains unclear how various national, state, and local governments will react if the distribution of vaccines is slower than expected or new variants of the virus become more dominant. If the COVID-19 pandemic worsens or the pandemic continues longer than presently expected, COVID 19 could impact our results of operations, financial position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Results for the first quarter of 2021 were driven by year over year sales and profit increases across all of our business segments. The Residential Heating &amp; Cooling segment saw a 37% increase in net sales and a $64 million increase in segment profit. The Commercial Heating &amp; Cooling segment had a 12% increase in net sales and a $9 million increase in segment profit. The Refrigeration segment had a 21% increase in net sales and a $7 million increase in segment profit.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sales increased $207 million to $931 million in the first quarter of 2021 driven by net volume increases and favorable price and mix.</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in the first quarter of 2021 increased $78 million to $114 million primarily driven by higher net sales and an improved gross margin percentage partially offset by higher SG&amp;A costs.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for the first quarter of 2021 increased $71 million to $84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$2.20 per share in the first quarter of 2021 compared to $0.32 per share in the first quarter of 2020.</w:t>
      </w:r>
    </w:p>
    <w:p>
      <w:pPr>
        <w:ind w:left="66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2021, we returned $30 million to shareholders through dividend payments and repurchased $200 million of common stock through our share repurchase program.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2021 Compared to First Quarter of 2020 - Consolidated Results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6"/>
                <w:szCs w:val="16"/>
                <w:b w:val="1"/>
                <w:bCs w:val="1"/>
                <w:color w:val="auto"/>
              </w:rPr>
              <w:t>For the Three Months Ended March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16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w:t>
            </w:r>
          </w:p>
        </w:tc>
        <w:tc>
          <w:tcPr>
            <w:tcW w:w="2480" w:type="dxa"/>
            <w:vAlign w:val="bottom"/>
            <w:gridSpan w:val="3"/>
          </w:tcPr>
          <w:p>
            <w:pPr>
              <w:jc w:val="right"/>
              <w:ind w:right="61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Change</w:t>
            </w:r>
          </w:p>
        </w:tc>
        <w:tc>
          <w:tcPr>
            <w:tcW w:w="118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930.5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723.8</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19"/>
                <w:szCs w:val="19"/>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natural disasters, net of insurance recoveries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213.5 %</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29% in the first quarter of 2021 compared to the first quarter of 2020 driven by higher sales volumes of 25%, favorable combined price and mix of 3% and favorable foreign currency of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Gross profit margin in the first quarter of 2021 increased 470 basis points ("bps") to 27.6% compared to 22.9% in the first quarter of 2020. We saw margin increases of 300 bps from favorable price and mix, 90 bps from sourcing and engineering-led cost reductions, 80 bps from lower other product costs, 40 bps from improved freight and distribution costs, and 10 bps from foreign currency which were partially offset by 30 bps due to unfavorable commodity costs and 20 bps from unfavorable product warranty costs.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 xml:space="preserve">Selling, general and administrative expenses ("SG&amp;A") increased $14 million to $145 million in the first quarter of 2021 compared to $131 million in the first quarter of 2020 due to higher incentive compensation and other employee costs. As a percentage of net sales, SG&amp;A decreased 250 bps to 15.6% . </w:t>
      </w:r>
      <w:r>
        <w:rPr>
          <w:rFonts w:ascii="Arial" w:cs="Arial" w:eastAsia="Arial" w:hAnsi="Arial"/>
          <w:sz w:val="18"/>
          <w:szCs w:val="18"/>
          <w:i w:val="1"/>
          <w:iCs w:val="1"/>
          <w:color w:val="auto"/>
        </w:rPr>
        <w:t>Losses (gains) and Other Expenses, Net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losses and other expenses, net for the first quarter of 2021 and 2020 included the following (in millions):</w:t>
      </w:r>
    </w:p>
    <w:p>
      <w:pPr>
        <w:spacing w:after="0" w:line="46"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For the Three Months Ended March</w:t>
      </w:r>
    </w:p>
    <w:p>
      <w:pPr>
        <w:jc w:val="center"/>
        <w:ind w:left="848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2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 on settled futures contracts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Foreign currency exchange gains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fixed assets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Other operating (income) loss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Asbestos-related litigation</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Charges incurred related to COVID-19 pandemic</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net change in unrealized (gains) losses on unsettled futures contracts was due to changes in commodity prices relative to the unsettled futures contract prices. For more information on our futures contracts, see Note 7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charges were insignificant in the first quarter of 2021 and related to ongoing cost reduction actions taken in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Natural Disasters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insignificant charges recorded during 2021 and 2020 relate to continuing costs related to natural disasters that occurred in prior years.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$3 million in the first quarter of 2021 was up slightly compared to the first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was down $3 million to $6 million in the first quarter of 2021 from $9 million in the first quarter of 2020 due to lower borrowing costs and less outstanding debt.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effective tax rate was 20.9% for the first quarter of 2021 compared to 52.8% for the first quarter of 2020. The rate decreased primarily due to the recording of a valuation allowance on certain foreign deferred tax assets in 2020. We expect our annual effective tax rate in 2021 to be between 20% and 21%, after excluding the impacts of excess tax benefits recorded under ASU No. 2016-09.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2021 Compared to First Quarter of 2020 -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first quarter of 2021 and 2020 (dollars in millions):</w:t>
      </w: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312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 March 31,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5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0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606.3</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442.1</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196.6 %</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37% in the first quarter of 2021 compared to the first quarter of 2020. Sales volumes increased 32% and combined price and mix increased 5%.</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2021 increased $64 million compared to 2020 due to $46 million from volume, $10 million of factory productivity, $8 million of combined price and mix, $6 million of engineering and sourcing led cost reductions, $3 million of lower freight and distribution expense, and $1 million favorable foreign currency exchange rates. Partially offsetting these increases were higher costs from $4 million of commodities and tariffs, $3 million of other product costs, and $3 million higher SG&amp;A.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first quarter of 2021 and 2020 (dollars in millions):</w:t>
      </w:r>
    </w:p>
    <w:tbl>
      <w:tblPr>
        <w:tblLayout w:type="fixed"/>
        <w:tblInd w:w="4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308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 March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5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8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199.2</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178.4</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46.5 %</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12% in the first quarter of 2021 compared to the first quarter of 2020. Sales volumes increased 15% and foreign currency was 1% favorable partially offset by unfavorable mix of 4%.</w:t>
      </w:r>
    </w:p>
    <w:p>
      <w:pPr>
        <w:spacing w:after="0" w:line="19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Segment profit in 2021 increased $9 million compared to 2020 due to $8 million from volume, $1 million of engineering and sourcing led cost reductions, and $1 million of lower SG&amp;A. Partially offsetting these increases was $1 million unfavorable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Refrigeration segment's net sales and profit for the first quarter of 2021 and 2020 (dollars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125.0</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103.3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1,028.6 %</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33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Net sales increased 21% in the first quarter of 2021 compared to the first quarter of 2020. Sales volumes increased 15%, foreign currency was 4% favorable, and combined price and mix were 2% higher.</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Segment profit in 2021 increased $7 million compared to 2020 due to $5 million from volume, $3 million of combined price and mix, $2 million of engineering and sourcing led cost reductions, and $1 million of factory productivity. Partially offsetting these increases was $3 million of SG&amp;A and $1 million of other product costs and tariffs.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Corporate and other expenses increased $2 million in the first quarter of 2021 compared to the first quarter of 2020 due to $4 million related to the timing of long-term incentive compensation and other employee costs. These increases in expense were partially offset by $1 million of favorable foreign currency and $1 million of income from equity method investments and other cost reductions.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cash flow activity for the three months ended March 31, 2021 and 2020 (in millions):</w:t>
      </w:r>
    </w:p>
    <w:p>
      <w:pPr>
        <w:spacing w:after="0" w:line="50" w:lineRule="exact"/>
        <w:rPr>
          <w:sz w:val="20"/>
          <w:szCs w:val="20"/>
          <w:color w:val="auto"/>
        </w:rPr>
      </w:pPr>
    </w:p>
    <w:p>
      <w:pPr>
        <w:jc w:val="center"/>
        <w:ind w:left="8620"/>
        <w:spacing w:after="0"/>
        <w:rPr>
          <w:sz w:val="20"/>
          <w:szCs w:val="20"/>
          <w:color w:val="auto"/>
        </w:rPr>
      </w:pPr>
      <w:r>
        <w:rPr>
          <w:rFonts w:ascii="Arial" w:cs="Arial" w:eastAsia="Arial" w:hAnsi="Arial"/>
          <w:sz w:val="15"/>
          <w:szCs w:val="15"/>
          <w:b w:val="1"/>
          <w:bCs w:val="1"/>
          <w:color w:val="auto"/>
        </w:rPr>
        <w:t>For the Three Months Ended March</w:t>
      </w:r>
    </w:p>
    <w:p>
      <w:pPr>
        <w:spacing w:after="0" w:line="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460"/>
              <w:spacing w:after="0"/>
              <w:rPr>
                <w:sz w:val="20"/>
                <w:szCs w:val="20"/>
                <w:color w:val="auto"/>
              </w:rPr>
            </w:pPr>
            <w:r>
              <w:rPr>
                <w:rFonts w:ascii="Arial" w:cs="Arial" w:eastAsia="Arial" w:hAnsi="Arial"/>
                <w:sz w:val="18"/>
                <w:szCs w:val="18"/>
                <w:color w:val="auto"/>
                <w:w w:val="93"/>
              </w:rPr>
              <w:t>(98.8)</w:t>
            </w:r>
          </w:p>
        </w:tc>
      </w:tr>
      <w:tr>
        <w:trPr>
          <w:trHeight w:val="23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(25.7)</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133.0</w:t>
            </w:r>
          </w:p>
        </w:tc>
      </w:tr>
    </w:tbl>
    <w:p>
      <w:pPr>
        <w:spacing w:after="0" w:line="3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Net Cash Used in Operating Activities - </w:t>
      </w:r>
      <w:r>
        <w:rPr>
          <w:rFonts w:ascii="Arial" w:cs="Arial" w:eastAsia="Arial" w:hAnsi="Arial"/>
          <w:sz w:val="18"/>
          <w:szCs w:val="18"/>
          <w:color w:val="auto"/>
        </w:rPr>
        <w:t>The net cash used in operating activities in the three months ended March 31, 2021 and 2020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increase in working capital requirements. The change in net cash used in operating activities for the three months ended March 31, 2021 compared to the same period in 2020 reflects an increase in operating income and changes in working capital.</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$25 million in the three months ended March 31, 2021 compared to $25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2020. Capital expenditures in 2021 were primarily related to the expansion of manufacturing capacity and equipment, and investments in systems and software to support the overall enterprise.</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Net Cash (Used in) provided by Financing Activities - </w:t>
      </w:r>
      <w:r>
        <w:rPr>
          <w:rFonts w:ascii="Arial" w:cs="Arial" w:eastAsia="Arial" w:hAnsi="Arial"/>
          <w:sz w:val="18"/>
          <w:szCs w:val="18"/>
          <w:color w:val="auto"/>
        </w:rPr>
        <w:t>Net cash (used in) provided by financing activities in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changed to a net use of cash of $46 million compared to a net cash inflow of $133 million in the same period of 2020. The change was primarily due to lower net borrowings and increased share repurchases in the current year compared to the prior year. We repurchased $200 million of shares for the three months ended March 31, 2021 and returned $30 million to shareholders through dividend payments. For additional information on share repurchases, refer to Note 5 in the Notes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Debt Position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March 31, 2021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2"/>
              <w:spacing w:after="0"/>
              <w:rPr>
                <w:sz w:val="20"/>
                <w:szCs w:val="20"/>
                <w:color w:val="auto"/>
              </w:rPr>
            </w:pPr>
            <w:r>
              <w:rPr>
                <w:rFonts w:ascii="Arial" w:cs="Arial" w:eastAsia="Arial" w:hAnsi="Arial"/>
                <w:sz w:val="16"/>
                <w:szCs w:val="16"/>
                <w:b w:val="1"/>
                <w:bCs w:val="1"/>
                <w:color w:val="auto"/>
                <w:w w:val="99"/>
              </w:rPr>
              <w:t>Outstanding</w:t>
            </w:r>
          </w:p>
        </w:tc>
      </w:tr>
      <w:tr>
        <w:trPr>
          <w:trHeight w:val="210"/>
        </w:trPr>
        <w:tc>
          <w:tcPr>
            <w:tcW w:w="9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Borrowings</w:t>
            </w:r>
          </w:p>
        </w:tc>
      </w:tr>
      <w:tr>
        <w:trPr>
          <w:trHeight w:val="215"/>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9740" w:type="dxa"/>
            <w:vAlign w:val="bottom"/>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9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1,007.9</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1,172.9</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hanging="332"/>
        <w:spacing w:after="0" w:line="227" w:lineRule="auto"/>
        <w:tabs>
          <w:tab w:leader="none" w:pos="19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available future borrowings on our domestic credit facility are $710.8 million, after being reduced by the outstanding borrowings and $2.2 million in outstanding standby letters of credit. The domestic credit facility matures in August 2022.</w:t>
      </w:r>
    </w:p>
    <w:p>
      <w:pPr>
        <w:spacing w:after="0" w:line="40" w:lineRule="exact"/>
        <w:rPr>
          <w:rFonts w:ascii="Arial" w:cs="Arial" w:eastAsia="Arial" w:hAnsi="Arial"/>
          <w:sz w:val="23"/>
          <w:szCs w:val="23"/>
          <w:color w:val="auto"/>
          <w:vertAlign w:val="superscript"/>
        </w:rPr>
      </w:pPr>
    </w:p>
    <w:p>
      <w:pPr>
        <w:ind w:left="340" w:hanging="332"/>
        <w:spacing w:after="0" w:line="234" w:lineRule="auto"/>
        <w:tabs>
          <w:tab w:leader="none" w:pos="20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115.9% at March 31, 2021 from 102.0% at December 31, 2020.</w:t>
      </w:r>
    </w:p>
    <w:p>
      <w:pPr>
        <w:spacing w:after="0" w:line="18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March 31, 2021,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believe our cash and cash equivalents of $36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$36 million as of March 31, 2021 was $22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jc w:val="both"/>
        <w:ind w:right="20" w:firstLine="243"/>
        <w:spacing w:after="0" w:line="271" w:lineRule="auto"/>
        <w:rPr>
          <w:sz w:val="20"/>
          <w:szCs w:val="20"/>
          <w:color w:val="auto"/>
        </w:rPr>
      </w:pPr>
      <w:r>
        <w:rPr>
          <w:rFonts w:ascii="Arial" w:cs="Arial" w:eastAsia="Arial" w:hAnsi="Arial"/>
          <w:sz w:val="18"/>
          <w:szCs w:val="18"/>
          <w:color w:val="auto"/>
        </w:rPr>
        <w:t>The following combined Parent and Guarantor Subsidiaries financial information is presented as of March 31, 2021 and December 31, 2020 and for the three months ended March 31, 2021 and the year ended December 31,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As of December 31, 2020</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2,896.6</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2,975.5</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1,318.7</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non-guarantor subsidiaries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4"/>
                <w:szCs w:val="14"/>
                <w:color w:val="auto"/>
              </w:rPr>
            </w:pPr>
          </w:p>
        </w:tc>
        <w:tc>
          <w:tcPr>
            <w:tcW w:w="1680" w:type="dxa"/>
            <w:vAlign w:val="bottom"/>
          </w:tcPr>
          <w:p>
            <w:pPr>
              <w:jc w:val="right"/>
              <w:ind w:right="255"/>
              <w:spacing w:after="0"/>
              <w:rPr>
                <w:sz w:val="20"/>
                <w:szCs w:val="20"/>
                <w:color w:val="auto"/>
              </w:rPr>
            </w:pPr>
            <w:r>
              <w:rPr>
                <w:rFonts w:ascii="Arial" w:cs="Arial" w:eastAsia="Arial" w:hAnsi="Arial"/>
                <w:sz w:val="14"/>
                <w:szCs w:val="14"/>
                <w:b w:val="1"/>
                <w:bCs w:val="1"/>
                <w:color w:val="auto"/>
              </w:rPr>
              <w:t>For the Year Ended</w:t>
            </w:r>
          </w:p>
        </w:tc>
      </w:tr>
      <w:tr>
        <w:trPr>
          <w:trHeight w:val="188"/>
        </w:trPr>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2021</w:t>
            </w:r>
          </w:p>
        </w:tc>
        <w:tc>
          <w:tcPr>
            <w:tcW w:w="220" w:type="dxa"/>
            <w:vAlign w:val="bottom"/>
          </w:tcPr>
          <w:p>
            <w:pPr>
              <w:spacing w:after="0"/>
              <w:rPr>
                <w:sz w:val="16"/>
                <w:szCs w:val="16"/>
                <w:color w:val="auto"/>
              </w:rPr>
            </w:pPr>
          </w:p>
        </w:tc>
        <w:tc>
          <w:tcPr>
            <w:tcW w:w="168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3,358.0</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981.5</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721.7</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to non-guarantor subsidiaries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2020. Our exposure to market risk has not changed materially since December 31,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2021,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2020, which could materially affect our business, financial condition or results of operations. There have been no material changes to our risk factors from those disclosed in our Annual Report on Form 10-K for the year ended December 31, 2020 and in Form 10-Q for the quarter ended March 31, 2021.</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first quarter of 2021, we purchased shares of our common stock as follows: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our Share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9"/>
              </w:rPr>
              <w:t>Repurchase Plans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21"/>
                <w:szCs w:val="21"/>
                <w:b w:val="1"/>
                <w:bCs w:val="1"/>
                <w:color w:val="auto"/>
                <w:w w:val="88"/>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0"/>
              </w:rPr>
              <w:t>fees)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 Plans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right="55"/>
              <w:spacing w:after="0" w:line="216" w:lineRule="exact"/>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through February 6</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624,962</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2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623,236</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February 7 through February 27</w:t>
            </w:r>
          </w:p>
        </w:tc>
        <w:tc>
          <w:tcPr>
            <w:tcW w:w="1480" w:type="dxa"/>
            <w:vAlign w:val="bottom"/>
          </w:tcPr>
          <w:p>
            <w:pPr>
              <w:jc w:val="right"/>
              <w:spacing w:after="0"/>
              <w:rPr>
                <w:sz w:val="20"/>
                <w:szCs w:val="20"/>
                <w:color w:val="auto"/>
              </w:rPr>
            </w:pPr>
            <w:r>
              <w:rPr>
                <w:rFonts w:ascii="Arial" w:cs="Arial" w:eastAsia="Arial" w:hAnsi="Arial"/>
                <w:sz w:val="18"/>
                <w:szCs w:val="18"/>
                <w:color w:val="auto"/>
              </w:rPr>
              <w:t>1,157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285.63</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28 through March 31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303.47</w:t>
            </w:r>
          </w:p>
        </w:tc>
        <w:tc>
          <w:tcPr>
            <w:tcW w:w="2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hanging="169"/>
        <w:spacing w:after="0" w:line="227" w:lineRule="auto"/>
        <w:tabs>
          <w:tab w:leader="none" w:pos="46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20,067 shares of common stock we repurchased in January, February and March of 2021 surrendered to LII to satisfy employee tax-withholding obligations in connection with the exercise of long-term incentive awards.</w:t>
      </w:r>
    </w:p>
    <w:p>
      <w:pPr>
        <w:spacing w:after="0" w:line="40" w:lineRule="exact"/>
        <w:rPr>
          <w:rFonts w:ascii="Arial" w:cs="Arial" w:eastAsia="Arial" w:hAnsi="Arial"/>
          <w:sz w:val="23"/>
          <w:szCs w:val="23"/>
          <w:color w:val="auto"/>
          <w:vertAlign w:val="superscript"/>
        </w:rPr>
      </w:pPr>
    </w:p>
    <w:p>
      <w:pPr>
        <w:ind w:left="420" w:right="20" w:hanging="169"/>
        <w:spacing w:after="0" w:line="267" w:lineRule="auto"/>
        <w:tabs>
          <w:tab w:leader="none" w:pos="42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After $200.0 million related to the repurchase under the ASR agreement executed in February 2021. The stock repurchase were executed pursuant to a previously announced repurchase plan. See Note 5 in the Notes to the Consolidated Financial Statement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10300" w:type="dxa"/>
            <w:vAlign w:val="bottom"/>
            <w:gridSpan w:val="35"/>
            <w:shd w:val="clear" w:color="auto" w:fill="CCEEFF"/>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Underwriting Agreement, dated as of July 22, 2020, by and among the Company, the guarantors party thereto, and J.P. Morgan Securities LLC</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and Wells Fargo Securities, LLC, as representatives of the several underwriters named therein (filed as Exhibit 1.1 to LII’s Current Report on</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18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Form 8-K filed on July 30, 2020, and incorporated herein by reference).</w:t>
              </w:r>
            </w:hyperlink>
          </w:p>
        </w:tc>
        <w:tc>
          <w:tcPr>
            <w:tcW w:w="500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300" w:type="dxa"/>
            <w:vAlign w:val="bottom"/>
            <w:gridSpan w:val="35"/>
          </w:tcPr>
          <w:p>
            <w:pPr>
              <w:spacing w:after="0" w:line="189" w:lineRule="exact"/>
              <w:rPr>
                <w:rFonts w:ascii="Arial" w:cs="Arial" w:eastAsia="Arial" w:hAnsi="Arial"/>
                <w:sz w:val="18"/>
                <w:szCs w:val="18"/>
                <w:color w:val="0000FF"/>
                <w:w w:val="96"/>
              </w:rPr>
            </w:pPr>
            <w:hyperlink r:id="rId51">
              <w:r>
                <w:rPr>
                  <w:rFonts w:ascii="Arial" w:cs="Arial" w:eastAsia="Arial" w:hAnsi="Arial"/>
                  <w:sz w:val="18"/>
                  <w:szCs w:val="18"/>
                  <w:color w:val="0000FF"/>
                  <w:w w:val="96"/>
                </w:rPr>
                <w:t>Restated Certificate of Incorporation of Lennox International Inc. (“LII”) (filed as Exhibit 3.1 to LII’s Registration Statement on Form S-1</w:t>
              </w:r>
            </w:hyperlink>
          </w:p>
        </w:tc>
      </w:tr>
      <w:tr>
        <w:trPr>
          <w:trHeight w:val="156"/>
        </w:trPr>
        <w:tc>
          <w:tcPr>
            <w:tcW w:w="92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(Registration Statement No. 333-75725) filed on April 6, 1999 and incorporated herein by reference).</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300" w:type="dxa"/>
            <w:vAlign w:val="bottom"/>
            <w:gridSpan w:val="35"/>
            <w:shd w:val="clear" w:color="auto" w:fill="CCEEFF"/>
          </w:tcPr>
          <w:p>
            <w:pPr>
              <w:spacing w:after="0" w:line="189"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Amended and Restated Bylaws of LII (filed as Exhibit 3.1 to LII’s Current Report on Form 8-K filed on December 16, 2013 and incorporated</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300" w:type="dxa"/>
            <w:vAlign w:val="bottom"/>
            <w:gridSpan w:val="35"/>
          </w:tcPr>
          <w:p>
            <w:pPr>
              <w:spacing w:after="0" w:line="189"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Specimen Stock Certificate for the Common Stock, par value $.01 per share, of LII (filed as Exhibit 4.1 to LII’s Amendment to Registration</w:t>
              </w:r>
            </w:hyperlink>
          </w:p>
        </w:tc>
      </w:tr>
      <w:tr>
        <w:trPr>
          <w:trHeight w:val="156"/>
        </w:trPr>
        <w:tc>
          <w:tcPr>
            <w:tcW w:w="92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Statement on Form S-1/A (Registration No. 333-75725) filed on June 16, 1999 and 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4.2</w:t>
            </w:r>
          </w:p>
        </w:tc>
        <w:tc>
          <w:tcPr>
            <w:tcW w:w="10300" w:type="dxa"/>
            <w:vAlign w:val="bottom"/>
            <w:gridSpan w:val="35"/>
            <w:shd w:val="clear" w:color="auto" w:fill="CCEEFF"/>
          </w:tcPr>
          <w:p>
            <w:pPr>
              <w:spacing w:after="0" w:line="189"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Indenture, dated as of May 3, 2010, between LII and U.S. Bank National Association, as trustee (filed as Exhibit 4.3 to LII’s Post-Effective</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Amendment No. 1 to Registration Statement on S-3 (Registration No. 333-155796) filed on May 3, 2010, and incorporated herein by</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7"/>
              </w:rPr>
            </w:pPr>
            <w:hyperlink r:id="rId54">
              <w:r>
                <w:rPr>
                  <w:rFonts w:ascii="Arial" w:cs="Arial" w:eastAsia="Arial" w:hAnsi="Arial"/>
                  <w:sz w:val="18"/>
                  <w:szCs w:val="18"/>
                  <w:color w:val="0000FF"/>
                  <w:w w:val="87"/>
                </w:rPr>
                <w:t>reference).</w:t>
              </w:r>
            </w:hyperlink>
          </w:p>
        </w:tc>
        <w:tc>
          <w:tcPr>
            <w:tcW w:w="8800" w:type="dxa"/>
            <w:vAlign w:val="bottom"/>
            <w:tcBorders>
              <w:top w:val="single" w:sz="8" w:color="0000FF"/>
              <w:bottom w:val="single" w:sz="8" w:color="CCEEFF"/>
            </w:tcBorders>
            <w:gridSpan w:val="19"/>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4.3</w:t>
            </w:r>
          </w:p>
        </w:tc>
        <w:tc>
          <w:tcPr>
            <w:tcW w:w="10300" w:type="dxa"/>
            <w:vAlign w:val="bottom"/>
            <w:gridSpan w:val="35"/>
          </w:tcPr>
          <w:p>
            <w:pPr>
              <w:spacing w:after="0" w:line="189"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Form of Supplemental Indenture among LII, the guarantors party thereto and U.S. Bank National Association, as trustee (filed as Exhibit 4.11</w:t>
              </w:r>
            </w:hyperlink>
          </w:p>
        </w:tc>
      </w:tr>
      <w:tr>
        <w:trPr>
          <w:trHeight w:val="156"/>
        </w:trPr>
        <w:tc>
          <w:tcPr>
            <w:tcW w:w="920" w:type="dxa"/>
            <w:vAlign w:val="bottom"/>
          </w:tcPr>
          <w:p>
            <w:pPr>
              <w:spacing w:after="0"/>
              <w:rPr>
                <w:sz w:val="13"/>
                <w:szCs w:val="13"/>
                <w:color w:val="auto"/>
              </w:rPr>
            </w:pPr>
          </w:p>
        </w:tc>
        <w:tc>
          <w:tcPr>
            <w:tcW w:w="10220" w:type="dxa"/>
            <w:vAlign w:val="bottom"/>
            <w:tcBorders>
              <w:top w:val="single" w:sz="8" w:color="0000FF"/>
            </w:tcBorders>
            <w:gridSpan w:val="31"/>
          </w:tcPr>
          <w:p>
            <w:pPr>
              <w:spacing w:after="0" w:line="156" w:lineRule="exact"/>
              <w:rPr>
                <w:rFonts w:ascii="Arial" w:cs="Arial" w:eastAsia="Arial" w:hAnsi="Arial"/>
                <w:sz w:val="18"/>
                <w:szCs w:val="18"/>
                <w:color w:val="0000FF"/>
                <w:w w:val="98"/>
              </w:rPr>
            </w:pPr>
            <w:hyperlink r:id="rId55">
              <w:r>
                <w:rPr>
                  <w:rFonts w:ascii="Arial" w:cs="Arial" w:eastAsia="Arial" w:hAnsi="Arial"/>
                  <w:sz w:val="18"/>
                  <w:szCs w:val="18"/>
                  <w:color w:val="0000FF"/>
                  <w:w w:val="98"/>
                </w:rPr>
                <w:t>to LII’s Post-Effective Amendment No. 1 to Registration Statement on S-3 (Registration No. 333-155796) filed on May 3, 2010,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4.4</w:t>
            </w:r>
          </w:p>
        </w:tc>
        <w:tc>
          <w:tcPr>
            <w:tcW w:w="10200" w:type="dxa"/>
            <w:vAlign w:val="bottom"/>
            <w:tcBorders>
              <w:bottom w:val="single" w:sz="8" w:color="0000FF"/>
            </w:tcBorders>
            <w:gridSpan w:val="30"/>
            <w:shd w:val="clear" w:color="auto" w:fill="CCEEFF"/>
          </w:tcPr>
          <w:p>
            <w:pPr>
              <w:spacing w:after="0" w:line="189"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Sixth Supplemental Indenture, dated as of November 3, 2016, among LII, each other existing Guarantor under the Indenture, dated as of May</w:t>
              </w:r>
            </w:hyperlink>
          </w:p>
        </w:tc>
        <w:tc>
          <w:tcPr>
            <w:tcW w:w="100" w:type="dxa"/>
            <w:vAlign w:val="bottom"/>
            <w:tcBorders>
              <w:bottom w:val="single" w:sz="8" w:color="CCEEFF"/>
            </w:tcBorders>
            <w:gridSpan w:val="5"/>
            <w:shd w:val="clear" w:color="auto" w:fill="CCEEFF"/>
          </w:tcPr>
          <w:p>
            <w:pPr>
              <w:spacing w:after="0"/>
              <w:rPr>
                <w:sz w:val="16"/>
                <w:szCs w:val="16"/>
                <w:color w:val="auto"/>
              </w:rPr>
            </w:pPr>
          </w:p>
        </w:tc>
      </w:tr>
      <w:tr>
        <w:trPr>
          <w:trHeight w:val="155"/>
        </w:trPr>
        <w:tc>
          <w:tcPr>
            <w:tcW w:w="920" w:type="dxa"/>
            <w:vAlign w:val="bottom"/>
            <w:shd w:val="clear" w:color="auto" w:fill="CCEEFF"/>
          </w:tcPr>
          <w:p>
            <w:pPr>
              <w:spacing w:after="0"/>
              <w:rPr>
                <w:sz w:val="13"/>
                <w:szCs w:val="13"/>
                <w:color w:val="auto"/>
              </w:rPr>
            </w:pPr>
          </w:p>
        </w:tc>
        <w:tc>
          <w:tcPr>
            <w:tcW w:w="10300" w:type="dxa"/>
            <w:vAlign w:val="bottom"/>
            <w:gridSpan w:val="35"/>
            <w:shd w:val="clear" w:color="auto" w:fill="CCEEFF"/>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3, 2010, as subsequently supplemented, and US Bank National Association, as trustee (filed as Exhibit 4.2 to LII’s Current Report on Form 8-</w:t>
              </w:r>
            </w:hyperlink>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496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K filed on November 3, 2016, and incorporated herein by reference).</w:t>
              </w:r>
            </w:hyperlink>
          </w:p>
        </w:tc>
        <w:tc>
          <w:tcPr>
            <w:tcW w:w="5300" w:type="dxa"/>
            <w:vAlign w:val="bottom"/>
            <w:tcBorders>
              <w:top w:val="single" w:sz="8" w:color="0000FF"/>
              <w:bottom w:val="single" w:sz="8" w:color="CCEEFF"/>
            </w:tcBorders>
            <w:gridSpan w:val="2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4.5</w:t>
            </w:r>
          </w:p>
        </w:tc>
        <w:tc>
          <w:tcPr>
            <w:tcW w:w="10300" w:type="dxa"/>
            <w:vAlign w:val="bottom"/>
            <w:gridSpan w:val="35"/>
          </w:tcPr>
          <w:p>
            <w:pPr>
              <w:spacing w:after="0" w:line="189"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Seventh Supplemental Indenture, dated as of January 23, 2019, among LII Mexico Holdings Ltd., Lennox International Inc., each other</w:t>
              </w:r>
            </w:hyperlink>
          </w:p>
        </w:tc>
      </w:tr>
      <w:tr>
        <w:trPr>
          <w:trHeight w:val="155"/>
        </w:trPr>
        <w:tc>
          <w:tcPr>
            <w:tcW w:w="92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existing Guarantor under the Indenture, dated as of May 3, 2010, as subsequently supplemented, and US Bank National Association, as</w:t>
              </w:r>
            </w:hyperlink>
          </w:p>
        </w:tc>
        <w:tc>
          <w:tcPr>
            <w:tcW w:w="560" w:type="dxa"/>
            <w:vAlign w:val="bottom"/>
            <w:gridSpan w:val="14"/>
          </w:tcPr>
          <w:p>
            <w:pPr>
              <w:ind w:left="40"/>
              <w:spacing w:after="0" w:line="15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trustee</w:t>
              </w:r>
            </w:hyperlink>
          </w:p>
        </w:tc>
      </w:tr>
      <w:tr>
        <w:trPr>
          <w:trHeight w:val="156"/>
        </w:trPr>
        <w:tc>
          <w:tcPr>
            <w:tcW w:w="920" w:type="dxa"/>
            <w:vAlign w:val="bottom"/>
          </w:tcPr>
          <w:p>
            <w:pPr>
              <w:spacing w:after="0"/>
              <w:rPr>
                <w:sz w:val="13"/>
                <w:szCs w:val="13"/>
                <w:color w:val="auto"/>
              </w:rPr>
            </w:pPr>
          </w:p>
        </w:tc>
        <w:tc>
          <w:tcPr>
            <w:tcW w:w="10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(filed as Exhibit 2.5 to LII's Annual Report on Form 10-K filed on February 19, 2019 and incorporated herein by reference).</w:t>
              </w:r>
            </w:hyperlink>
          </w:p>
        </w:tc>
        <w:tc>
          <w:tcPr>
            <w:tcW w:w="20" w:type="dxa"/>
            <w:vAlign w:val="bottom"/>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4.6</w:t>
            </w:r>
          </w:p>
        </w:tc>
        <w:tc>
          <w:tcPr>
            <w:tcW w:w="10300" w:type="dxa"/>
            <w:vAlign w:val="bottom"/>
            <w:gridSpan w:val="35"/>
            <w:shd w:val="clear" w:color="auto" w:fill="CCEEFF"/>
          </w:tcPr>
          <w:p>
            <w:pPr>
              <w:spacing w:after="0" w:line="189" w:lineRule="exact"/>
              <w:rPr>
                <w:rFonts w:ascii="Arial" w:cs="Arial" w:eastAsia="Arial" w:hAnsi="Arial"/>
                <w:sz w:val="18"/>
                <w:szCs w:val="18"/>
                <w:color w:val="0000FF"/>
                <w:w w:val="97"/>
              </w:rPr>
            </w:pPr>
            <w:hyperlink r:id="rId56">
              <w:r>
                <w:rPr>
                  <w:rFonts w:ascii="Arial" w:cs="Arial" w:eastAsia="Arial" w:hAnsi="Arial"/>
                  <w:sz w:val="18"/>
                  <w:szCs w:val="18"/>
                  <w:color w:val="0000FF"/>
                  <w:w w:val="97"/>
                </w:rPr>
                <w:t>Form of 3.000% Notes due 2023 (filed as Exhibit A in Exhibit 4.2 to LII’s Current Report on Form 8-K filed on November 3, 2016, and</w:t>
              </w:r>
            </w:hyperlink>
          </w:p>
        </w:tc>
      </w:tr>
      <w:tr>
        <w:trPr>
          <w:trHeight w:val="156"/>
        </w:trPr>
        <w:tc>
          <w:tcPr>
            <w:tcW w:w="9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right w:val="single" w:sz="8" w:color="CCEEFF"/>
            </w:tcBorders>
            <w:gridSpan w:val="23"/>
            <w:shd w:val="clear" w:color="auto" w:fill="CCEEFF"/>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incorporated herein by reference).</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4.7</w:t>
            </w:r>
          </w:p>
        </w:tc>
        <w:tc>
          <w:tcPr>
            <w:tcW w:w="10300" w:type="dxa"/>
            <w:vAlign w:val="bottom"/>
            <w:gridSpan w:val="35"/>
          </w:tcPr>
          <w:p>
            <w:pPr>
              <w:spacing w:after="0" w:line="189"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Eighth Supplemental Indenture, dated as of May 22, 2020, among Lennox Switzerland GmbH, Lennox International Inc., each other existing</w:t>
              </w:r>
            </w:hyperlink>
          </w:p>
        </w:tc>
      </w:tr>
      <w:tr>
        <w:trPr>
          <w:trHeight w:val="156"/>
        </w:trPr>
        <w:tc>
          <w:tcPr>
            <w:tcW w:w="920" w:type="dxa"/>
            <w:vAlign w:val="bottom"/>
          </w:tcPr>
          <w:p>
            <w:pPr>
              <w:spacing w:after="0"/>
              <w:rPr>
                <w:sz w:val="13"/>
                <w:szCs w:val="13"/>
                <w:color w:val="auto"/>
              </w:rPr>
            </w:pPr>
          </w:p>
        </w:tc>
        <w:tc>
          <w:tcPr>
            <w:tcW w:w="1016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Guarantor under the Indenture, dated as of May 3, 2010, as subsequently supplemented, and US Bank National Association, as trustee (filed</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as Exhibit 4.7 to LII’s Quarterly Report on Form 10-Q filed on July 20, 2020, and incorporated herein by reference).</w:t>
              </w:r>
            </w:hyperlink>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4.8</w:t>
            </w:r>
          </w:p>
        </w:tc>
        <w:tc>
          <w:tcPr>
            <w:tcW w:w="10300" w:type="dxa"/>
            <w:vAlign w:val="bottom"/>
            <w:gridSpan w:val="35"/>
            <w:shd w:val="clear" w:color="auto" w:fill="CCEEFF"/>
          </w:tcPr>
          <w:p>
            <w:pPr>
              <w:spacing w:after="0" w:line="189"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Ninth Supplemental Indenture, dated July 30, 2020, among LII, each existing Guarantor under the Indenture, dated as of May 3, 2010, as</w:t>
              </w:r>
            </w:hyperlink>
          </w:p>
        </w:tc>
      </w:tr>
      <w:tr>
        <w:trPr>
          <w:trHeight w:val="20"/>
        </w:trPr>
        <w:tc>
          <w:tcPr>
            <w:tcW w:w="920" w:type="dxa"/>
            <w:vAlign w:val="bottom"/>
            <w:shd w:val="clear" w:color="auto" w:fill="CCEE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4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9"/>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55"/>
        </w:trPr>
        <w:tc>
          <w:tcPr>
            <w:tcW w:w="920" w:type="dxa"/>
            <w:vAlign w:val="bottom"/>
            <w:shd w:val="clear" w:color="auto" w:fill="CCEEFF"/>
          </w:tcPr>
          <w:p>
            <w:pPr>
              <w:spacing w:after="0"/>
              <w:rPr>
                <w:sz w:val="13"/>
                <w:szCs w:val="13"/>
                <w:color w:val="auto"/>
              </w:rPr>
            </w:pPr>
          </w:p>
        </w:tc>
        <w:tc>
          <w:tcPr>
            <w:tcW w:w="10300" w:type="dxa"/>
            <w:vAlign w:val="bottom"/>
            <w:gridSpan w:val="35"/>
            <w:shd w:val="clear" w:color="auto" w:fill="CCEEFF"/>
          </w:tcPr>
          <w:p>
            <w:pPr>
              <w:spacing w:after="0" w:line="15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subsequently supplemented, and U.S. Bank National Association, as trustee (filed as Exhibit 4.2 to LII’s Current Report on Form 8-K filed on</w:t>
              </w:r>
            </w:hyperlink>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382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July 30, 2020, and incorporated herein by reference).</w:t>
              </w:r>
            </w:hyperlink>
          </w:p>
        </w:tc>
        <w:tc>
          <w:tcPr>
            <w:tcW w:w="6420" w:type="dxa"/>
            <w:vAlign w:val="bottom"/>
            <w:tcBorders>
              <w:top w:val="single" w:sz="8" w:color="0000FF"/>
              <w:bottom w:val="single" w:sz="8" w:color="CCEEFF"/>
            </w:tcBorders>
            <w:gridSpan w:val="26"/>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4.9</w:t>
            </w:r>
          </w:p>
        </w:tc>
        <w:tc>
          <w:tcPr>
            <w:tcW w:w="10300" w:type="dxa"/>
            <w:vAlign w:val="bottom"/>
            <w:gridSpan w:val="35"/>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Form of 1.350% Notes due 2025 (filed as Exhibit A in Exhibit 4.2 to LII’s Current Report on Form 8-K filed on July 30, 2020, and</w:t>
              </w:r>
            </w:hyperlink>
          </w:p>
        </w:tc>
      </w:tr>
      <w:tr>
        <w:trPr>
          <w:trHeight w:val="155"/>
        </w:trPr>
        <w:tc>
          <w:tcPr>
            <w:tcW w:w="9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incorporated herein by reference).</w:t>
              </w:r>
            </w:hyperlink>
          </w:p>
        </w:tc>
        <w:tc>
          <w:tcPr>
            <w:tcW w:w="4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1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4.10</w:t>
            </w:r>
          </w:p>
        </w:tc>
        <w:tc>
          <w:tcPr>
            <w:tcW w:w="10300" w:type="dxa"/>
            <w:vAlign w:val="bottom"/>
            <w:gridSpan w:val="35"/>
            <w:shd w:val="clear" w:color="auto" w:fill="CCEEFF"/>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Form of 1.700% Notes due 2027 (filed as Exhibit B in Exhibit 4.2 to LII’s Current Report on Form 8-K filed on July 30, 2020, and</w:t>
              </w:r>
            </w:hyperlink>
          </w:p>
        </w:tc>
      </w:tr>
      <w:tr>
        <w:trPr>
          <w:trHeight w:val="155"/>
        </w:trPr>
        <w:tc>
          <w:tcPr>
            <w:tcW w:w="920" w:type="dxa"/>
            <w:vAlign w:val="bottom"/>
            <w:tcBorders>
              <w:top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incorporated herein by reference).</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CCEEFF"/>
            </w:tcBorders>
            <w:gridSpan w:val="12"/>
            <w:shd w:val="clear" w:color="auto" w:fill="CCEEFF"/>
          </w:tcPr>
          <w:p>
            <w:pPr>
              <w:spacing w:after="0"/>
              <w:rPr>
                <w:sz w:val="13"/>
                <w:szCs w:val="13"/>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9480" w:type="dxa"/>
            <w:vAlign w:val="bottom"/>
            <w:tcBorders>
              <w:bottom w:val="single" w:sz="8" w:color="0000FF"/>
            </w:tcBorders>
            <w:gridSpan w:val="18"/>
          </w:tcPr>
          <w:p>
            <w:pPr>
              <w:spacing w:after="0" w:line="189"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Seventh Amended and Restated Credit Facility Agreement, dated as of July 30, 2020, among Lennox International Inc., a Delaware</w:t>
              </w:r>
            </w:hyperlink>
          </w:p>
        </w:tc>
        <w:tc>
          <w:tcPr>
            <w:tcW w:w="820" w:type="dxa"/>
            <w:vAlign w:val="bottom"/>
            <w:gridSpan w:val="17"/>
          </w:tcPr>
          <w:p>
            <w:pPr>
              <w:spacing w:after="0"/>
              <w:rPr>
                <w:sz w:val="16"/>
                <w:szCs w:val="16"/>
                <w:color w:val="auto"/>
              </w:rPr>
            </w:pPr>
          </w:p>
        </w:tc>
      </w:tr>
      <w:tr>
        <w:trPr>
          <w:trHeight w:val="155"/>
        </w:trPr>
        <w:tc>
          <w:tcPr>
            <w:tcW w:w="920" w:type="dxa"/>
            <w:vAlign w:val="bottom"/>
          </w:tcPr>
          <w:p>
            <w:pPr>
              <w:spacing w:after="0"/>
              <w:rPr>
                <w:sz w:val="13"/>
                <w:szCs w:val="13"/>
                <w:color w:val="auto"/>
              </w:rPr>
            </w:pPr>
          </w:p>
        </w:tc>
        <w:tc>
          <w:tcPr>
            <w:tcW w:w="10300" w:type="dxa"/>
            <w:vAlign w:val="bottom"/>
            <w:gridSpan w:val="35"/>
          </w:tcPr>
          <w:p>
            <w:pPr>
              <w:spacing w:after="0" w:line="156"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corporation, the Lenders party thereto, and JPMorgan Chase Bank, N.A., as Administrative Agent (filed as Exhibit 10.1 to LII’s Current</w:t>
              </w:r>
            </w:hyperlink>
          </w:p>
        </w:tc>
      </w:tr>
      <w:tr>
        <w:trPr>
          <w:trHeight w:val="155"/>
        </w:trPr>
        <w:tc>
          <w:tcPr>
            <w:tcW w:w="920" w:type="dxa"/>
            <w:vAlign w:val="bottom"/>
          </w:tcPr>
          <w:p>
            <w:pPr>
              <w:spacing w:after="0"/>
              <w:rPr>
                <w:sz w:val="13"/>
                <w:szCs w:val="13"/>
                <w:color w:val="auto"/>
              </w:rPr>
            </w:pPr>
          </w:p>
        </w:tc>
        <w:tc>
          <w:tcPr>
            <w:tcW w:w="97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Report on Form 8-K filed on July 30, 2020, and incorporated herein by reference).</w:t>
              </w:r>
            </w:hyperlink>
          </w:p>
        </w:tc>
        <w:tc>
          <w:tcPr>
            <w:tcW w:w="80" w:type="dxa"/>
            <w:vAlign w:val="bottom"/>
          </w:tcPr>
          <w:p>
            <w:pPr>
              <w:spacing w:after="0"/>
              <w:rPr>
                <w:sz w:val="13"/>
                <w:szCs w:val="13"/>
                <w:color w:val="auto"/>
              </w:rPr>
            </w:pPr>
          </w:p>
        </w:tc>
        <w:tc>
          <w:tcPr>
            <w:tcW w:w="440" w:type="dxa"/>
            <w:vAlign w:val="bottom"/>
            <w:gridSpan w:val="1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22.1</w:t>
            </w:r>
          </w:p>
        </w:tc>
        <w:tc>
          <w:tcPr>
            <w:tcW w:w="218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91"/>
              </w:rPr>
            </w:pPr>
            <w:hyperlink w:anchor="page31">
              <w:r>
                <w:rPr>
                  <w:rFonts w:ascii="Arial" w:cs="Arial" w:eastAsia="Arial" w:hAnsi="Arial"/>
                  <w:sz w:val="18"/>
                  <w:szCs w:val="18"/>
                  <w:color w:val="0000FF"/>
                  <w:w w:val="91"/>
                </w:rPr>
                <w:t>List of Guarantor Subsidiaries</w:t>
              </w:r>
            </w:hyperlink>
          </w:p>
        </w:tc>
        <w:tc>
          <w:tcPr>
            <w:tcW w:w="8120" w:type="dxa"/>
            <w:vAlign w:val="bottom"/>
            <w:tcBorders>
              <w:bottom w:val="single" w:sz="8" w:color="CCEEFF"/>
            </w:tcBorders>
            <w:gridSpan w:val="32"/>
            <w:shd w:val="clear" w:color="auto" w:fill="CCEEFF"/>
          </w:tcPr>
          <w:p>
            <w:pPr>
              <w:spacing w:after="0"/>
              <w:rPr>
                <w:sz w:val="18"/>
                <w:szCs w:val="18"/>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300" w:type="dxa"/>
            <w:vAlign w:val="bottom"/>
            <w:gridSpan w:val="35"/>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Certification of the principal executive officer (filed herewith).</w:t>
              </w:r>
            </w:hyperlink>
          </w:p>
        </w:tc>
      </w:tr>
      <w:tr>
        <w:trPr>
          <w:trHeight w:val="20"/>
        </w:trPr>
        <w:tc>
          <w:tcPr>
            <w:tcW w:w="9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442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94"/>
              </w:rPr>
            </w:pPr>
            <w:hyperlink w:anchor="page33">
              <w:r>
                <w:rPr>
                  <w:rFonts w:ascii="Arial" w:cs="Arial" w:eastAsia="Arial" w:hAnsi="Arial"/>
                  <w:sz w:val="18"/>
                  <w:szCs w:val="18"/>
                  <w:color w:val="0000FF"/>
                  <w:w w:val="94"/>
                </w:rPr>
                <w:t>Certification of the principal financial officer (filed herewith)</w:t>
              </w:r>
            </w:hyperlink>
          </w:p>
        </w:tc>
        <w:tc>
          <w:tcPr>
            <w:tcW w:w="5880" w:type="dxa"/>
            <w:vAlign w:val="bottom"/>
            <w:tcBorders>
              <w:bottom w:val="single" w:sz="8" w:color="CCEEFF"/>
            </w:tcBorders>
            <w:gridSpan w:val="28"/>
            <w:shd w:val="clear" w:color="auto" w:fill="CCEEFF"/>
          </w:tcPr>
          <w:p>
            <w:pPr>
              <w:spacing w:after="0"/>
              <w:rPr>
                <w:sz w:val="18"/>
                <w:szCs w:val="18"/>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300" w:type="dxa"/>
            <w:vAlign w:val="bottom"/>
            <w:gridSpan w:val="35"/>
          </w:tcPr>
          <w:p>
            <w:pPr>
              <w:spacing w:after="0" w:line="189" w:lineRule="exact"/>
              <w:rPr>
                <w:rFonts w:ascii="Arial" w:cs="Arial" w:eastAsia="Arial" w:hAnsi="Arial"/>
                <w:sz w:val="18"/>
                <w:szCs w:val="18"/>
                <w:color w:val="0000FF"/>
                <w:w w:val="95"/>
              </w:rPr>
            </w:pPr>
            <w:hyperlink w:anchor="page34">
              <w:r>
                <w:rPr>
                  <w:rFonts w:ascii="Arial" w:cs="Arial" w:eastAsia="Arial" w:hAnsi="Arial"/>
                  <w:sz w:val="18"/>
                  <w:szCs w:val="18"/>
                  <w:color w:val="0000FF"/>
                  <w:w w:val="95"/>
                </w:rPr>
                <w:t>Certification of the principal executive officer and the principal financial officer pursuant to 18 U.S.C. Section 1350 (furnished herewith)</w:t>
              </w:r>
            </w:hyperlink>
            <w:r>
              <w:rPr>
                <w:rFonts w:ascii="Arial" w:cs="Arial" w:eastAsia="Arial" w:hAnsi="Arial"/>
                <w:sz w:val="18"/>
                <w:szCs w:val="18"/>
                <w:color w:val="000000"/>
                <w:w w:val="95"/>
              </w:rPr>
              <w:t>.</w:t>
            </w: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right="400" w:hanging="894"/>
        <w:spacing w:after="0" w:line="235"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1517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93"/>
              </w:rPr>
              <w:t>101</w:t>
            </w:r>
          </w:p>
        </w:tc>
        <w:tc>
          <w:tcPr>
            <w:tcW w:w="10620" w:type="dxa"/>
            <w:vAlign w:val="bottom"/>
          </w:tcPr>
          <w:p>
            <w:pPr>
              <w:ind w:left="320"/>
              <w:spacing w:after="0"/>
              <w:rPr>
                <w:sz w:val="20"/>
                <w:szCs w:val="20"/>
                <w:color w:val="auto"/>
              </w:rPr>
            </w:pPr>
            <w:r>
              <w:rPr>
                <w:rFonts w:ascii="Arial" w:cs="Arial" w:eastAsia="Arial" w:hAnsi="Arial"/>
                <w:sz w:val="18"/>
                <w:szCs w:val="18"/>
                <w:color w:val="auto"/>
              </w:rPr>
              <w:t>SCH Inline XBRL Taxonomy Extension Schema Document</w:t>
            </w:r>
          </w:p>
        </w:tc>
      </w:tr>
      <w:tr>
        <w:trPr>
          <w:trHeight w:val="230"/>
        </w:trPr>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3"/>
              </w:rPr>
              <w:t>101</w:t>
            </w:r>
          </w:p>
        </w:tc>
        <w:tc>
          <w:tcPr>
            <w:tcW w:w="10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29"/>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93"/>
              </w:rPr>
              <w:t>101</w:t>
            </w:r>
          </w:p>
        </w:tc>
        <w:tc>
          <w:tcPr>
            <w:tcW w:w="10620" w:type="dxa"/>
            <w:vAlign w:val="bottom"/>
          </w:tcPr>
          <w:p>
            <w:pPr>
              <w:ind w:left="320"/>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30"/>
        </w:trPr>
        <w:tc>
          <w:tcPr>
            <w:tcW w:w="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3"/>
              </w:rPr>
              <w:t>101</w:t>
            </w:r>
          </w:p>
        </w:tc>
        <w:tc>
          <w:tcPr>
            <w:tcW w:w="10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30"/>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93"/>
              </w:rPr>
              <w:t>101</w:t>
            </w:r>
          </w:p>
        </w:tc>
        <w:tc>
          <w:tcPr>
            <w:tcW w:w="10620" w:type="dxa"/>
            <w:vAlign w:val="bottom"/>
          </w:tcPr>
          <w:p>
            <w:pPr>
              <w:ind w:left="320"/>
              <w:spacing w:after="0"/>
              <w:rPr>
                <w:sz w:val="20"/>
                <w:szCs w:val="20"/>
                <w:color w:val="auto"/>
              </w:rPr>
            </w:pPr>
            <w:r>
              <w:rPr>
                <w:rFonts w:ascii="Arial" w:cs="Arial" w:eastAsia="Arial" w:hAnsi="Arial"/>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920" w:hanging="89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20"/>
          </w:cols>
          <w:pgMar w:left="320" w:top="1134" w:right="105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Exhibit 22.1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Guarantor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3.00%</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due 2023:</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9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36"/>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Switzerland GmbH</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Switzerland</w:t>
            </w:r>
          </w:p>
        </w:tc>
      </w:tr>
    </w:tbl>
    <w:p>
      <w:pPr>
        <w:sectPr>
          <w:pgSz w:w="11900" w:h="16838" w:orient="portrait"/>
          <w:cols w:equalWidth="0" w:num="1">
            <w:col w:w="11240"/>
          </w:cols>
          <w:pgMar w:left="320" w:top="142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2021</w:t>
      </w:r>
    </w:p>
    <w:p>
      <w:pPr>
        <w:spacing w:after="0" w:line="200" w:lineRule="exact"/>
        <w:rPr>
          <w:sz w:val="20"/>
          <w:szCs w:val="20"/>
          <w:color w:val="auto"/>
        </w:rPr>
      </w:pPr>
    </w:p>
    <w:p>
      <w:pPr>
        <w:spacing w:after="0" w:line="25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Todd M. Bluedorn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2021</w:t>
      </w:r>
    </w:p>
    <w:p>
      <w:pPr>
        <w:spacing w:after="0" w:line="200" w:lineRule="exact"/>
        <w:rPr>
          <w:sz w:val="20"/>
          <w:szCs w:val="20"/>
          <w:color w:val="auto"/>
        </w:rPr>
      </w:pPr>
    </w:p>
    <w:p>
      <w:pPr>
        <w:spacing w:after="0" w:line="25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Joseph W. Reitmeier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March 31, 2021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M. Bluedorn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17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3">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1F16E9E8"/>
    <w:multiLevelType w:val="hybridMultilevel"/>
    <w:lvl w:ilvl="0">
      <w:lvlJc w:val="left"/>
      <w:lvlText w:val="%1."/>
      <w:numFmt w:val="decimal"/>
      <w:start w:val="7"/>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lvl w:ilvl="1">
      <w:lvlJc w:val="left"/>
      <w:lvlText w:val="(%2)"/>
      <w:numFmt w:val="decimal"/>
      <w:start w:val="1"/>
    </w:lvl>
  </w:abstractNum>
  <w:abstractNum w:abstractNumId="7">
    <w:nsid w:val="140E0F76"/>
    <w:multiLevelType w:val="hybridMultilevel"/>
    <w:lvl w:ilvl="0">
      <w:lvlJc w:val="left"/>
      <w:lvlText w:val="%1."/>
      <w:numFmt w:val="decimal"/>
      <w:start w:val="8"/>
    </w:lvl>
    <w:lvl w:ilvl="1">
      <w:lvlJc w:val="left"/>
      <w:lvlText w:val="%2"/>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50" Type="http://schemas.openxmlformats.org/officeDocument/2006/relationships/hyperlink" Target="http://www.sec.gov/Archives/edgar/data/1069202/000119312520203588/d22651dex11.htm" TargetMode="External"/><Relationship Id="rId51" Type="http://schemas.openxmlformats.org/officeDocument/2006/relationships/hyperlink" Target="http://www.sec.gov/Archives/edgar/data/1069202/0000950134-99-002720-index.html" TargetMode="External"/><Relationship Id="rId52" Type="http://schemas.openxmlformats.org/officeDocument/2006/relationships/hyperlink" Target="http://www.sec.gov/Archives/edgar/data/1069202/000119312513474576/d644537dex31.htm" TargetMode="External"/><Relationship Id="rId53" Type="http://schemas.openxmlformats.org/officeDocument/2006/relationships/hyperlink" Target="http://www.sec.gov/Archives/edgar/data/1069202/0000950134-99-005530-index.html" TargetMode="External"/><Relationship Id="rId54" Type="http://schemas.openxmlformats.org/officeDocument/2006/relationships/hyperlink" Target="http://www.sec.gov/Archives/edgar/data/1017609/000095012310042399/d72548exv4w3.htm" TargetMode="External"/><Relationship Id="rId55" Type="http://schemas.openxmlformats.org/officeDocument/2006/relationships/hyperlink" Target="http://www.sec.gov/Archives/edgar/data/1017609/000095012310042399/d72548exv4w11.htm" TargetMode="External"/><Relationship Id="rId56" Type="http://schemas.openxmlformats.org/officeDocument/2006/relationships/hyperlink" Target="http://www.sec.gov/Archives/edgar/data/1069202/000119312516758285/d284193dex42.htm" TargetMode="External"/><Relationship Id="rId57" Type="http://schemas.openxmlformats.org/officeDocument/2006/relationships/hyperlink" Target="http://www.sec.gov/Archives/edgar/data/1069202/000106920219000008/lii-ex45_20181231x10k.htm" TargetMode="External"/><Relationship Id="rId58" Type="http://schemas.openxmlformats.org/officeDocument/2006/relationships/hyperlink" Target="http://www.sec.gov/Archives/edgar/data/1069202/000106920220000039/lii-ex472020lennoxeigh.htm" TargetMode="External"/><Relationship Id="rId59" Type="http://schemas.openxmlformats.org/officeDocument/2006/relationships/hyperlink" Target="http://www.sec.gov/Archives/edgar/data/1069202/000119312520203588/d22651dex42.htm" TargetMode="External"/><Relationship Id="rId60" Type="http://schemas.openxmlformats.org/officeDocument/2006/relationships/hyperlink" Target="http://www.sec.gov/Archives/edgar/data/1069202/000119312520203588/d226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2021-04-26T13:32:20Z</dcterms:created>
  <dcterms:modified xsi:type="dcterms:W3CDTF">2021-04-26T13:32:20Z</dcterms:modified>
</cp:coreProperties>
</file>