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June 30, 2024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29"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0" w:right="339" w:bottom="1440" w:gutter="0" w:footer="0" w:header="0"/>
        </w:sectPr>
      </w:pPr>
    </w:p>
    <w:p>
      <w:pPr>
        <w:spacing w:after="0" w:line="24"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9"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80" w:space="720"/>
            <w:col w:w="1420" w:space="720"/>
            <w:col w:w="4000"/>
          </w:cols>
          <w:pgMar w:left="320" w:top="1420" w:right="339" w:bottom="1440" w:gutter="0" w:footer="0" w:header="0"/>
          <w:type w:val="continuous"/>
        </w:sectPr>
      </w:pPr>
    </w:p>
    <w:p>
      <w:pPr>
        <w:jc w:val="both"/>
        <w:ind w:firstLine="240"/>
        <w:spacing w:after="0" w:line="2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jc w:val="both"/>
        <w:ind w:firstLine="24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6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0" w:lineRule="exact"/>
        <w:rPr>
          <w:sz w:val="24"/>
          <w:szCs w:val="24"/>
          <w:color w:val="auto"/>
        </w:rPr>
      </w:pPr>
    </w:p>
    <w:p>
      <w:pPr>
        <w:ind w:firstLine="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jc w:val="both"/>
        <w:ind w:left="240" w:right="256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15, 2024, the number of shares outstanding of the registrant’s common stock, par value $0.01 per share, was 35,634,095.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812800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62865</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72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80" w:type="dxa"/>
            <w:vAlign w:val="bottom"/>
            <w:shd w:val="clear" w:color="auto" w:fill="CCEEFF"/>
          </w:tcPr>
          <w:p>
            <w:pPr>
              <w:spacing w:after="0"/>
              <w:rPr>
                <w:sz w:val="13"/>
                <w:szCs w:val="13"/>
                <w:color w:val="auto"/>
              </w:rPr>
            </w:pPr>
          </w:p>
        </w:tc>
        <w:tc>
          <w:tcPr>
            <w:tcW w:w="9760" w:type="dxa"/>
            <w:vAlign w:val="bottom"/>
            <w:gridSpan w:val="20"/>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FF"/>
              </w:rPr>
              <w:t>Financial Information</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60" w:type="dxa"/>
            <w:vAlign w:val="bottom"/>
            <w:gridSpan w:val="20"/>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Consolidated Balance Sheets - June 30, 2024 (Unaudited) and December 31, 2023</w:t>
            </w:r>
          </w:p>
        </w:tc>
        <w:tc>
          <w:tcPr>
            <w:tcW w:w="4280" w:type="dxa"/>
            <w:vAlign w:val="bottom"/>
            <w:gridSpan w:val="6"/>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and Six Months Ended June 30, 2024 and 2023</w:t>
            </w: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and Six Months Ended June 30, 2024 and 2023</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(Deficit) (Unaudited) - Three and Six Months Ended June 30, 2024 and 2023</w:t>
            </w: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Six Months Ended June 30, 2024 and 2023</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300" w:type="dxa"/>
            <w:vAlign w:val="bottom"/>
            <w:gridSpan w:val="4"/>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7</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7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19</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540" w:type="dxa"/>
            <w:vAlign w:val="bottom"/>
            <w:gridSpan w:val="5"/>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27</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4. Controls and Procedures</w:t>
            </w:r>
          </w:p>
        </w:tc>
        <w:tc>
          <w:tcPr>
            <w:tcW w:w="7680" w:type="dxa"/>
            <w:vAlign w:val="bottom"/>
            <w:gridSpan w:val="10"/>
            <w:shd w:val="clear" w:color="auto" w:fill="CCEEFF"/>
          </w:tcPr>
          <w:p>
            <w:pPr>
              <w:spacing w:after="0"/>
              <w:rPr>
                <w:sz w:val="17"/>
                <w:szCs w:val="17"/>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7"/>
                <w:szCs w:val="17"/>
                <w:color w:val="auto"/>
              </w:rPr>
            </w:pPr>
          </w:p>
        </w:tc>
      </w:tr>
      <w:tr>
        <w:trPr>
          <w:trHeight w:val="173"/>
        </w:trPr>
        <w:tc>
          <w:tcPr>
            <w:tcW w:w="72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II</w:t>
            </w:r>
          </w:p>
        </w:tc>
        <w:tc>
          <w:tcPr>
            <w:tcW w:w="80" w:type="dxa"/>
            <w:vAlign w:val="bottom"/>
            <w:tcBorders>
              <w:top w:val="single" w:sz="8" w:color="CCEEFF"/>
            </w:tcBorders>
          </w:tcPr>
          <w:p>
            <w:pPr>
              <w:spacing w:after="0"/>
              <w:rPr>
                <w:sz w:val="15"/>
                <w:szCs w:val="15"/>
                <w:color w:val="auto"/>
              </w:rPr>
            </w:pPr>
          </w:p>
        </w:tc>
        <w:tc>
          <w:tcPr>
            <w:tcW w:w="2080" w:type="dxa"/>
            <w:vAlign w:val="bottom"/>
            <w:tcBorders>
              <w:top w:val="single" w:sz="8" w:color="0000FF"/>
            </w:tcBorders>
            <w:gridSpan w:val="10"/>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680" w:type="dxa"/>
            <w:vAlign w:val="bottom"/>
            <w:tcBorders>
              <w:top w:val="single" w:sz="8" w:color="CCEEFF"/>
            </w:tcBorders>
            <w:gridSpan w:val="10"/>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080" w:type="dxa"/>
            <w:vAlign w:val="bottom"/>
            <w:gridSpan w:val="12"/>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928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88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Other Information</w:t>
            </w:r>
          </w:p>
        </w:tc>
        <w:tc>
          <w:tcPr>
            <w:tcW w:w="5400" w:type="dxa"/>
            <w:vAlign w:val="bottom"/>
            <w:gridSpan w:val="8"/>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0000FF"/>
              </w:rPr>
              <w:t>Item 6.</w:t>
            </w:r>
          </w:p>
        </w:tc>
        <w:tc>
          <w:tcPr>
            <w:tcW w:w="928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Exhibits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29</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6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89"/>
        </w:trPr>
        <w:tc>
          <w:tcPr>
            <w:tcW w:w="69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9"/>
              </w:rPr>
              <w:t>Accounts and notes receivable, net of allowances of $16.1 and $14.4 in 2024 and 2023, respectively</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594.6</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1,433.5</w:t>
            </w: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$936.5 and $910.8 in 2024 and</w:t>
            </w:r>
          </w:p>
        </w:tc>
        <w:tc>
          <w:tcPr>
            <w:tcW w:w="2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720.4</w:t>
            </w:r>
          </w:p>
        </w:tc>
        <w:tc>
          <w:tcPr>
            <w:tcW w:w="0" w:type="dxa"/>
            <w:vAlign w:val="bottom"/>
          </w:tcPr>
          <w:p>
            <w:pPr>
              <w:spacing w:after="0"/>
              <w:rPr>
                <w:sz w:val="1"/>
                <w:szCs w:val="1"/>
                <w:color w:val="auto"/>
              </w:rPr>
            </w:pPr>
          </w:p>
        </w:tc>
      </w:tr>
      <w:tr>
        <w:trPr>
          <w:trHeight w:val="22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 respectively</w:t>
            </w:r>
          </w:p>
        </w:tc>
        <w:tc>
          <w:tcPr>
            <w:tcW w:w="26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0" w:type="dxa"/>
            <w:vAlign w:val="bottom"/>
          </w:tcPr>
          <w:p>
            <w:pPr>
              <w:spacing w:after="0"/>
              <w:rPr>
                <w:sz w:val="1"/>
                <w:szCs w:val="1"/>
                <w:color w:val="auto"/>
              </w:rPr>
            </w:pPr>
          </w:p>
        </w:tc>
      </w:tr>
      <w:tr>
        <w:trPr>
          <w:trHeight w:val="224"/>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3,221.9</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450.8</w:t>
            </w:r>
          </w:p>
        </w:tc>
        <w:tc>
          <w:tcPr>
            <w:tcW w:w="1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taxes payable</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2,644.5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2,513.0</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6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3,506.2</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Treasury stock, at cost, 51,538,343 shares and 51,588,103 shares for 2024 and 2023,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(4,356.6)</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(4,349.5)</w:t>
            </w:r>
          </w:p>
        </w:tc>
        <w:tc>
          <w:tcPr>
            <w:tcW w:w="0" w:type="dxa"/>
            <w:vAlign w:val="bottom"/>
          </w:tcPr>
          <w:p>
            <w:pPr>
              <w:spacing w:after="0"/>
              <w:rPr>
                <w:sz w:val="1"/>
                <w:szCs w:val="1"/>
                <w:color w:val="auto"/>
              </w:rPr>
            </w:pPr>
          </w:p>
        </w:tc>
      </w:tr>
      <w:tr>
        <w:trPr>
          <w:trHeight w:val="218"/>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577.4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285.3</w:t>
            </w:r>
          </w:p>
        </w:tc>
        <w:tc>
          <w:tcPr>
            <w:tcW w:w="0" w:type="dxa"/>
            <w:vAlign w:val="bottom"/>
          </w:tcPr>
          <w:p>
            <w:pPr>
              <w:spacing w:after="0"/>
              <w:rPr>
                <w:sz w:val="1"/>
                <w:szCs w:val="1"/>
                <w:color w:val="auto"/>
              </w:rPr>
            </w:pPr>
          </w:p>
        </w:tc>
      </w:tr>
      <w:tr>
        <w:trPr>
          <w:trHeight w:val="247"/>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3,221.9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100" w:type="dxa"/>
            <w:vAlign w:val="bottom"/>
            <w:shd w:val="clear" w:color="auto" w:fill="CCEEFF"/>
          </w:tcPr>
          <w:p>
            <w:pPr>
              <w:spacing w:after="0"/>
              <w:rPr>
                <w:sz w:val="16"/>
                <w:szCs w:val="16"/>
                <w:color w:val="auto"/>
              </w:rPr>
            </w:pPr>
          </w:p>
        </w:tc>
        <w:tc>
          <w:tcPr>
            <w:tcW w:w="2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600" w:type="dxa"/>
            <w:vAlign w:val="bottom"/>
            <w:gridSpan w:val="5"/>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2"/>
        </w:trPr>
        <w:tc>
          <w:tcPr>
            <w:tcW w:w="584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30,</w:t>
            </w: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0" w:type="dxa"/>
            <w:vAlign w:val="bottom"/>
            <w:tcBorders>
              <w:bottom w:val="single" w:sz="8" w:color="auto"/>
            </w:tcBorders>
            <w:gridSpan w:val="5"/>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2,460.7</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0" w:type="dxa"/>
            <w:vAlign w:val="bottom"/>
          </w:tcPr>
          <w:p>
            <w:pPr>
              <w:spacing w:after="0"/>
              <w:rPr>
                <w:sz w:val="1"/>
                <w:szCs w:val="1"/>
                <w:color w:val="auto"/>
              </w:rPr>
            </w:pPr>
          </w:p>
        </w:tc>
      </w:t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27"/>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418.4</w:t>
            </w:r>
          </w:p>
        </w:tc>
        <w:tc>
          <w:tcPr>
            <w:tcW w:w="0" w:type="dxa"/>
            <w:vAlign w:val="bottom"/>
          </w:tcPr>
          <w:p>
            <w:pPr>
              <w:spacing w:after="0"/>
              <w:rPr>
                <w:sz w:val="1"/>
                <w:szCs w:val="1"/>
                <w:color w:val="auto"/>
              </w:rPr>
            </w:pPr>
          </w:p>
        </w:tc>
      </w:t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8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45"/>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1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0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0" w:type="dxa"/>
            <w:vAlign w:val="bottom"/>
          </w:tcPr>
          <w:p>
            <w:pPr>
              <w:spacing w:after="0"/>
              <w:rPr>
                <w:sz w:val="1"/>
                <w:szCs w:val="1"/>
                <w:color w:val="auto"/>
              </w:rPr>
            </w:pPr>
          </w:p>
        </w:tc>
      </w:tr>
      <w:tr>
        <w:trPr>
          <w:trHeight w:val="212"/>
        </w:trPr>
        <w:tc>
          <w:tcPr>
            <w:tcW w:w="66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315.2</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7"/>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(gains) losses into earnings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6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2024 and 2023</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640" w:type="dxa"/>
            <w:vAlign w:val="bottom"/>
            <w:gridSpan w:val="5"/>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jc w:val="center"/>
              <w:ind w:right="200"/>
              <w:spacing w:after="0" w:line="160" w:lineRule="exact"/>
              <w:rPr>
                <w:sz w:val="20"/>
                <w:szCs w:val="20"/>
                <w:color w:val="auto"/>
              </w:rPr>
            </w:pPr>
            <w:r>
              <w:rPr>
                <w:rFonts w:ascii="Times New Roman" w:cs="Times New Roman" w:eastAsia="Times New Roman" w:hAnsi="Times New Roman"/>
                <w:sz w:val="15"/>
                <w:szCs w:val="15"/>
                <w:b w:val="1"/>
                <w:bCs w:val="1"/>
                <w:color w:val="auto"/>
                <w:w w:val="97"/>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20" w:type="dxa"/>
            <w:vAlign w:val="bottom"/>
            <w:gridSpan w:val="5"/>
            <w:vMerge w:val="restart"/>
          </w:tcPr>
          <w:p>
            <w:pPr>
              <w:jc w:val="center"/>
              <w:ind w:right="100"/>
              <w:spacing w:after="0" w:line="160"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5"/>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June 30, 2024)</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3"/>
                <w:szCs w:val="3"/>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1,190.6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3,591.1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(57.9)</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(4,355.9)</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245.9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$1.15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benefit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1,197.9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3,796.0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(4,356.6)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7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8"/>
                <w:szCs w:val="8"/>
                <w:color w:val="auto"/>
              </w:rPr>
            </w:pPr>
          </w:p>
        </w:tc>
        <w:tc>
          <w:tcPr>
            <w:tcW w:w="108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Pr>
          <w:p>
            <w:pPr>
              <w:spacing w:after="0"/>
              <w:rPr>
                <w:sz w:val="8"/>
                <w:szCs w:val="8"/>
                <w:color w:val="auto"/>
              </w:rPr>
            </w:pPr>
          </w:p>
        </w:tc>
        <w:tc>
          <w:tcPr>
            <w:tcW w:w="1700" w:type="dxa"/>
            <w:vAlign w:val="bottom"/>
            <w:tcBorders>
              <w:bottom w:val="single" w:sz="8" w:color="auto"/>
            </w:tcBorders>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right"/>
              <w:ind w:right="100"/>
              <w:spacing w:after="0" w:line="147" w:lineRule="exact"/>
              <w:rPr>
                <w:sz w:val="20"/>
                <w:szCs w:val="20"/>
                <w:color w:val="auto"/>
              </w:rPr>
            </w:pPr>
            <w:r>
              <w:rPr>
                <w:rFonts w:ascii="Times New Roman" w:cs="Times New Roman" w:eastAsia="Times New Roman" w:hAnsi="Times New Roman"/>
                <w:sz w:val="15"/>
                <w:szCs w:val="15"/>
                <w:b w:val="1"/>
                <w:bCs w:val="1"/>
                <w:color w:val="auto"/>
                <w:w w:val="98"/>
              </w:rPr>
              <w:t>Stockholders'</w:t>
            </w:r>
          </w:p>
        </w:tc>
        <w:tc>
          <w:tcPr>
            <w:tcW w:w="0" w:type="dxa"/>
            <w:vAlign w:val="bottom"/>
          </w:tcPr>
          <w:p>
            <w:pPr>
              <w:spacing w:after="0"/>
              <w:rPr>
                <w:sz w:val="1"/>
                <w:szCs w:val="1"/>
                <w:color w:val="auto"/>
              </w:rPr>
            </w:pPr>
          </w:p>
        </w:tc>
      </w:tr>
      <w:tr>
        <w:trPr>
          <w:trHeight w:val="24"/>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June 30, 2023)</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Equity (Deficit)</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2023</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1,161.1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3,130.9</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(78.6)</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(4,340.2)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(125.9)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217.2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$1.10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of $0.0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 in cash flow hedges, net of tax benefit of $1.4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2023</w:t>
            </w: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1,169.3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3,309.0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(75.8)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(4,340.8)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62.6</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84"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2024 and 2023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2"/>
                <w:szCs w:val="12"/>
                <w:color w:val="auto"/>
              </w:rPr>
            </w:pPr>
          </w:p>
        </w:tc>
        <w:tc>
          <w:tcPr>
            <w:tcW w:w="1720" w:type="dxa"/>
            <w:vAlign w:val="bottom"/>
            <w:gridSpan w:val="6"/>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1"/>
                <w:szCs w:val="11"/>
                <w:color w:val="auto"/>
              </w:rPr>
            </w:pPr>
          </w:p>
        </w:tc>
        <w:tc>
          <w:tcPr>
            <w:tcW w:w="112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6"/>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(For the six months ended June 30, 2024)</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7"/>
                <w:szCs w:val="17"/>
                <w:color w:val="auto"/>
              </w:rPr>
            </w:pP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Pr>
          <w:p>
            <w:pPr>
              <w:spacing w:after="0"/>
              <w:rPr>
                <w:sz w:val="17"/>
                <w:szCs w:val="17"/>
                <w:color w:val="auto"/>
              </w:rPr>
            </w:pPr>
          </w:p>
        </w:tc>
        <w:tc>
          <w:tcPr>
            <w:tcW w:w="8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1,184.6</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3,506.2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(4,349.5)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$2.25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benefit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of $0.2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 in cash flow hedges, net of tax benefit of $0.1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1,197.9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3,796.0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(4,356.6)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5"/>
                <w:szCs w:val="15"/>
                <w:color w:val="auto"/>
              </w:rPr>
            </w:pPr>
          </w:p>
        </w:tc>
        <w:tc>
          <w:tcPr>
            <w:tcW w:w="1800" w:type="dxa"/>
            <w:vAlign w:val="bottom"/>
            <w:gridSpan w:val="7"/>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60"/>
              <w:spacing w:after="0" w:line="120"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4"/>
            <w:vMerge w:val="restart"/>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six months ended June 30, 2023)</w:t>
            </w: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Equity (Deficit)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1,155.2</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3,070.6</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(90.6)</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(4,339.2)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$2.16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$0.4</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2023</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1,169.3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3,309.0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(75.8)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(4,340.8)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884"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2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25"/>
        </w:trPr>
        <w:tc>
          <w:tcPr>
            <w:tcW w:w="7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370.2</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Gain on sale from previous dispositions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Unrealized losses, net on derivative contracts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161.2</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116.7</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proceeds from previous disposition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proceeds from short-term investments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(82.3)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securitization borrowings</w:t>
            </w:r>
          </w:p>
        </w:tc>
        <w:tc>
          <w:tcPr>
            <w:tcW w:w="6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 borrowings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 payments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 securitization payments</w:t>
            </w:r>
          </w:p>
        </w:tc>
        <w:tc>
          <w:tcPr>
            <w:tcW w:w="6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debt payments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r>
      <w:tr>
        <w:trPr>
          <w:trHeight w:val="21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(118.3)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(33.8)</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increase in cash and cash equivalents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3"/>
        </w:trPr>
        <w:tc>
          <w:tcPr>
            <w:tcW w:w="78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Supplemental disclosures of cash flow information:</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4"/>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w:t>
            </w:r>
          </w:p>
        </w:tc>
      </w:tr>
      <w:tr>
        <w:trPr>
          <w:trHeight w:val="20"/>
        </w:trPr>
        <w:tc>
          <w:tcPr>
            <w:tcW w:w="7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180"/>
          </w:cols>
          <w:pgMar w:left="360" w:top="437" w:right="359" w:bottom="1440" w:gutter="0" w:footer="0" w:header="0"/>
        </w:sectPr>
      </w:pP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85725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437"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"we","our","us","LII"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June 30, 2024, the accompanying unaudited Consolidated Statements of Operations for the three and six months ended June 30, 2024 and 2023, the accompanying unaudited Consolidated Statements of Comprehensive Income for the three and six months ended June 30, 2024 and 2023, the accompanying unaudited Consolidated Statements of Stockholders' Equity (Deficit) for the three and six months ended June 30, 2024 and 2023, and the accompanying unaudited Consolidated Statements of Cash Flows for the six months ended June 30, 2024 and 2023 should be read in conjunction with our audited consolidated financial statements and footnotes included in our Annual Report on Form 10-K for the year ended December 31, 2023.</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0"/>
        <w:spacing w:after="0" w:line="272"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21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or Services</w:t>
            </w: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r>
      <w:tr>
        <w:trPr>
          <w:trHeight w:val="169"/>
        </w:trPr>
        <w:tc>
          <w:tcPr>
            <w:tcW w:w="18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i w:val="1"/>
                <w:iCs w:val="1"/>
                <w:color w:val="auto"/>
                <w:w w:val="99"/>
              </w:rPr>
              <w:t>Home Comfort Solutions</w:t>
            </w:r>
          </w:p>
        </w:tc>
        <w:tc>
          <w:tcPr>
            <w:tcW w:w="10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2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Residential Replacement;</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3"/>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8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8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Non-Food Industry</w:t>
            </w:r>
          </w:p>
        </w:tc>
        <w:tc>
          <w:tcPr>
            <w:tcW w:w="1720" w:type="dxa"/>
            <w:vAlign w:val="bottom"/>
          </w:tcPr>
          <w:p>
            <w:pPr>
              <w:spacing w:after="0"/>
              <w:rPr>
                <w:sz w:val="15"/>
                <w:szCs w:val="15"/>
                <w:color w:val="auto"/>
              </w:rPr>
            </w:pP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products, curb, curb adapters, drop box diffusers,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HVAC recycling and salvage service, condensing units, unit</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coolers, fluid coolers, air cooled condensers, air handlers,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2"/>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 chillers, controls, compressorized racks</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6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 and Profit (Loss)</w:t>
      </w:r>
    </w:p>
    <w:p>
      <w:pPr>
        <w:spacing w:after="0" w:line="251"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620" w:type="dxa"/>
            <w:vAlign w:val="bottom"/>
            <w:gridSpan w:val="5"/>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7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1,617.2</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Climate Solutions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27"/>
        </w:trPr>
        <w:tc>
          <w:tcPr>
            <w:tcW w:w="57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45"/>
        </w:trPr>
        <w:tc>
          <w:tcPr>
            <w:tcW w:w="57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2,460.7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5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7"/>
        </w:trPr>
        <w:tc>
          <w:tcPr>
            <w:tcW w:w="5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Climate Solutions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7"/>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57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Items in Losses (gains) and other expenses, net that are excluded from segment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0"/>
        </w:trPr>
        <w:tc>
          <w:tcPr>
            <w:tcW w:w="574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profit (loss)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5"/>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00" w:hanging="153"/>
        <w:spacing w:after="0" w:line="227" w:lineRule="auto"/>
        <w:tabs>
          <w:tab w:leader="none" w:pos="43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Corporate and Other segment included our European portfolio. In the fourth quarter of 2023 we completed the divestiture of our European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0" w:name="page11"/>
    <w:bookmarkEnd w:id="10"/>
    <w:p>
      <w:pPr>
        <w:ind w:left="420" w:hanging="173"/>
        <w:spacing w:after="0"/>
        <w:tabs>
          <w:tab w:leader="none" w:pos="420" w:val="left"/>
        </w:tabs>
        <w:numPr>
          <w:ilvl w:val="1"/>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2"/>
          <w:szCs w:val="22"/>
          <w:color w:val="auto"/>
          <w:vertAlign w:val="superscript"/>
        </w:rPr>
      </w:pPr>
    </w:p>
    <w:p>
      <w:pPr>
        <w:ind w:left="1040" w:hanging="233"/>
        <w:spacing w:after="0"/>
        <w:tabs>
          <w:tab w:leader="none" w:pos="10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and other expenses, net:</w:t>
      </w:r>
    </w:p>
    <w:p>
      <w:pPr>
        <w:spacing w:after="0" w:line="5"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 and</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6" w:lineRule="exact"/>
        <w:rPr>
          <w:rFonts w:ascii="Times New Roman" w:cs="Times New Roman" w:eastAsia="Times New Roman" w:hAnsi="Times New Roman"/>
          <w:sz w:val="18"/>
          <w:szCs w:val="18"/>
          <w:color w:val="auto"/>
        </w:rPr>
      </w:pPr>
    </w:p>
    <w:p>
      <w:pPr>
        <w:ind w:left="1040" w:hanging="233"/>
        <w:spacing w:after="0"/>
        <w:tabs>
          <w:tab w:leader="none" w:pos="10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from previous dispositions</w:t>
      </w:r>
    </w:p>
    <w:p>
      <w:pPr>
        <w:spacing w:after="0" w:line="223"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40" w:type="dxa"/>
            <w:vAlign w:val="bottom"/>
          </w:tcPr>
          <w:p>
            <w:pPr>
              <w:spacing w:after="0"/>
              <w:rPr>
                <w:sz w:val="18"/>
                <w:szCs w:val="18"/>
                <w:color w:val="auto"/>
              </w:rPr>
            </w:pPr>
          </w:p>
        </w:tc>
        <w:tc>
          <w:tcPr>
            <w:tcW w:w="262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5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315.2</w:t>
            </w:r>
          </w:p>
        </w:tc>
      </w:tr>
      <w:tr>
        <w:trPr>
          <w:trHeight w:val="267"/>
        </w:trPr>
        <w:tc>
          <w:tcPr>
            <w:tcW w:w="5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r>
      <w:tr>
        <w:trPr>
          <w:trHeight w:val="173"/>
        </w:trPr>
        <w:tc>
          <w:tcPr>
            <w:tcW w:w="55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Add: Potential effect of dilutive securities attributable to stock-based</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2"/>
        </w:trPr>
        <w:tc>
          <w:tcPr>
            <w:tcW w:w="5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2"/>
        </w:trPr>
        <w:tc>
          <w:tcPr>
            <w:tcW w:w="5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160"/>
        <w:spacing w:after="0" w:line="277"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as the assumed exercise of such rights would have been anti-dilutive (in millions, except for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780" w:type="dxa"/>
            <w:vAlign w:val="bottom"/>
            <w:gridSpan w:val="3"/>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5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78% of our right-of-use assets and lease liabilities relate to our leases of real estate with the remaining amounts primarily relating to our leases of IT equipment, fleet vehicles and manufacturing and distribution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Liabilities for estimated product warranty costs are included in the following captions on the accompanying Consolidated Balance Sheets (in millions)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8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45"/>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148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for the six months ended June 30, 2024 were as follows (in millions):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7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2023</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June 30, 2024</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r>
      <w:tr>
        <w:trPr>
          <w:trHeight w:val="20"/>
        </w:trPr>
        <w:tc>
          <w:tcPr>
            <w:tcW w:w="7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right="100" w:firstLine="240"/>
        <w:spacing w:after="0" w:line="254" w:lineRule="auto"/>
        <w:rPr>
          <w:sz w:val="20"/>
          <w:szCs w:val="20"/>
          <w:color w:val="auto"/>
        </w:rPr>
      </w:pPr>
      <w:r>
        <w:rPr>
          <w:rFonts w:ascii="Times New Roman" w:cs="Times New Roman" w:eastAsia="Times New Roman" w:hAnsi="Times New Roman"/>
          <w:sz w:val="18"/>
          <w:szCs w:val="18"/>
          <w:color w:val="auto"/>
        </w:rPr>
        <w:t>Our Board of Directors has authorized a total of $4.0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June 30, 2024, $546 million was available for repurchase under the Share Repurchase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 All amount presented reflect the revised segment presentation.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360" w:type="dxa"/>
            <w:vAlign w:val="bottom"/>
            <w:tcBorders>
              <w:bottom w:val="single" w:sz="8" w:color="auto"/>
            </w:tcBorders>
            <w:gridSpan w:val="8"/>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Home Comfort Solutions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14"/>
              <w:spacing w:after="0" w:line="154"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gridSpan w:val="2"/>
            <w:vMerge w:val="continue"/>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6"/>
          </w:tcPr>
          <w:p>
            <w:pPr>
              <w:spacing w:after="0"/>
              <w:rPr>
                <w:sz w:val="24"/>
                <w:szCs w:val="24"/>
                <w:color w:val="auto"/>
              </w:rPr>
            </w:pPr>
          </w:p>
        </w:tc>
        <w:tc>
          <w:tcPr>
            <w:tcW w:w="1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360" w:type="dxa"/>
            <w:vAlign w:val="bottom"/>
            <w:tcBorders>
              <w:bottom w:val="single" w:sz="8" w:color="auto"/>
            </w:tcBorders>
            <w:gridSpan w:val="8"/>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Home Comfort Solutions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14"/>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gridSpan w:val="2"/>
            <w:vMerge w:val="continue"/>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5"/>
          </w:tcPr>
          <w:p>
            <w:pPr>
              <w:spacing w:after="0"/>
              <w:rPr>
                <w:sz w:val="24"/>
                <w:szCs w:val="24"/>
                <w:color w:val="auto"/>
              </w:rPr>
            </w:pPr>
          </w:p>
        </w:tc>
        <w:tc>
          <w:tcPr>
            <w:tcW w:w="1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gridSpan w:val="7"/>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240" w:type="dxa"/>
            <w:vAlign w:val="bottom"/>
          </w:tcPr>
          <w:p>
            <w:pPr>
              <w:spacing w:after="0"/>
              <w:rPr>
                <w:sz w:val="13"/>
                <w:szCs w:val="13"/>
                <w:color w:val="auto"/>
              </w:rPr>
            </w:pPr>
          </w:p>
        </w:tc>
        <w:tc>
          <w:tcPr>
            <w:tcW w:w="188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40" w:type="dxa"/>
            <w:vAlign w:val="bottom"/>
          </w:tcPr>
          <w:p>
            <w:pPr>
              <w:spacing w:after="0"/>
              <w:rPr>
                <w:sz w:val="13"/>
                <w:szCs w:val="13"/>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1,656.9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841.3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2,498.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gridSpan w:val="7"/>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240" w:type="dxa"/>
            <w:vAlign w:val="bottom"/>
          </w:tcPr>
          <w:p>
            <w:pPr>
              <w:spacing w:after="0"/>
              <w:rPr>
                <w:sz w:val="13"/>
                <w:szCs w:val="13"/>
                <w:color w:val="auto"/>
              </w:rPr>
            </w:pPr>
          </w:p>
        </w:tc>
        <w:tc>
          <w:tcPr>
            <w:tcW w:w="188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40" w:type="dxa"/>
            <w:vAlign w:val="bottom"/>
          </w:tcPr>
          <w:p>
            <w:pPr>
              <w:spacing w:after="0"/>
              <w:rPr>
                <w:sz w:val="13"/>
                <w:szCs w:val="13"/>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1,617.2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716.1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100"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w:t>
      </w:r>
    </w:p>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18"/>
          <w:szCs w:val="18"/>
          <w:color w:val="auto"/>
        </w:rPr>
        <w:t>installing dealers, including through our network of Lennox stores or to independent distributors. For the three months ended June 30, 2024 and 2023, direct sales represented 76% and 76% of revenues, and sales to independent distributors represented the remainder. For the six months ended June 30, 2024 and 2023, direct sales represented 75% and 73% of revenues, and sales to independent distributors represented the remainder. Given the nature of our business, customer product orders are fulfilled at a point in time and not over a period of time.</w:t>
      </w:r>
    </w:p>
    <w:p>
      <w:pPr>
        <w:spacing w:after="0" w:line="204"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Building Climate Solutions </w:t>
      </w:r>
      <w:r>
        <w:rPr>
          <w:rFonts w:ascii="Times New Roman" w:cs="Times New Roman" w:eastAsia="Times New Roman" w:hAnsi="Times New Roman"/>
          <w:sz w:val="17"/>
          <w:szCs w:val="17"/>
          <w:color w:val="auto"/>
        </w:rPr>
        <w:t>- In North America, we manufacture and sell unitary heating and cooling equipment used in light commercial applications,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AES manufactures curb, curb adapters, drop box diffusers, offers HVAC recycling and salvage services and focuses on multi-family HVAC replacement for expired mechanical assets. Revenue related to service contracts is recognized as the services are performed under the contract based on the relative fair value of the services provided. For the three months ended June 30, 2024 and 2023, equipment sales represented 82% and 87% of revenues and the remainder of our revenue was generated from our service business. For the six months ended June 30, 2024 and 2023, equipment sales represented 81% and 86% of revenues and the remainder of our revenue was generated from our services business.</w:t>
      </w:r>
    </w:p>
    <w:p>
      <w:pPr>
        <w:spacing w:after="0" w:line="196"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In Europe, we manufactured and marketed equipment for the global commercial refrigeration markets. We also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sold unitary heating and cooling products and applied systems. A de minimis amount of segment revenue related to services for start-up and commissioning activities. In the fourth quarter of 2023, we completed the divestiture of our European operations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as of:</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480" w:type="dxa"/>
            <w:vAlign w:val="bottom"/>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three months ended June 30, 2024 and 2023, we recognized revenue of $0.4 million and $1.2 million and for the six months ended June 30, 2024 and 2023, we recognized revenue of $6.1 million and $4.2 million related to our contract liabilities at January 1, 2024 and 2023, respectively. Impairment losses recognized in our receivables and contract assets were de minimis in 2024 and 2023.</w:t>
      </w:r>
    </w:p>
    <w:p>
      <w:pPr>
        <w:spacing w:after="0" w:line="199" w:lineRule="exact"/>
        <w:rPr>
          <w:sz w:val="20"/>
          <w:szCs w:val="20"/>
          <w:color w:val="auto"/>
        </w:rPr>
      </w:pPr>
    </w:p>
    <w:p>
      <w:pPr>
        <w:ind w:right="8400" w:firstLine="7"/>
        <w:spacing w:after="0" w:line="260" w:lineRule="auto"/>
        <w:tabs>
          <w:tab w:leader="none" w:pos="17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spacing w:after="0" w:line="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 as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2024, in total and by segment, are summarized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280" w:type="dxa"/>
            <w:vAlign w:val="bottom"/>
          </w:tcPr>
          <w:p>
            <w:pPr>
              <w:spacing w:after="0"/>
              <w:rPr>
                <w:sz w:val="16"/>
                <w:szCs w:val="16"/>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20" w:type="dxa"/>
            <w:vAlign w:val="bottom"/>
          </w:tcPr>
          <w:p>
            <w:pPr>
              <w:spacing w:after="0"/>
              <w:rPr>
                <w:sz w:val="16"/>
                <w:szCs w:val="16"/>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Balance as of June 30,</w:t>
            </w:r>
          </w:p>
        </w:tc>
      </w:tr>
      <w:tr>
        <w:trPr>
          <w:trHeight w:val="213"/>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Pr>
          <w:p>
            <w:pPr>
              <w:spacing w:after="0"/>
              <w:rPr>
                <w:sz w:val="18"/>
                <w:szCs w:val="18"/>
                <w:color w:val="auto"/>
              </w:rPr>
            </w:pPr>
          </w:p>
        </w:tc>
        <w:tc>
          <w:tcPr>
            <w:tcW w:w="1620" w:type="dxa"/>
            <w:vAlign w:val="bottom"/>
            <w:gridSpan w:val="2"/>
          </w:tcPr>
          <w:p>
            <w:pPr>
              <w:ind w:left="1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Adjustment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8"/>
                <w:szCs w:val="18"/>
                <w:color w:val="auto"/>
              </w:rPr>
            </w:pPr>
          </w:p>
        </w:tc>
        <w:tc>
          <w:tcPr>
            <w:tcW w:w="16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7"/>
        </w:trPr>
        <w:tc>
          <w:tcPr>
            <w:tcW w:w="570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Building Climate Solutions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4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firstLine="7"/>
        <w:spacing w:after="0" w:line="227" w:lineRule="auto"/>
        <w:tabs>
          <w:tab w:leader="none" w:pos="83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discussed in Note 13, an update to our purchase price allocation of AES in the first quarter of 2024 resulted in a $2.2 million reduction of goodwill.</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six months ended June 30, 2024 or in any periods presented for our continuing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08"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November 2025. Unrealized gains or losses from our cash flow hedges are included in Accumulated other comprehensive loss (“AOCL”) and are expected to be reclassified into earnings within the next 17 months based on the prices of the commodities and foreign currencies at the settlement dates. We recorded the following amounts in AOCL related to our cash flow hedges (in millions) 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1520" w:type="dxa"/>
            <w:vAlign w:val="bottom"/>
            <w:shd w:val="clear" w:color="auto" w:fill="CCEEFF"/>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273"/>
              <w:spacing w:after="0"/>
              <w:rPr>
                <w:sz w:val="20"/>
                <w:szCs w:val="20"/>
                <w:color w:val="auto"/>
              </w:rPr>
            </w:pPr>
            <w:r>
              <w:rPr>
                <w:rFonts w:ascii="Times New Roman" w:cs="Times New Roman" w:eastAsia="Times New Roman" w:hAnsi="Times New Roman"/>
                <w:sz w:val="18"/>
                <w:szCs w:val="18"/>
                <w:color w:val="auto"/>
                <w:w w:val="98"/>
              </w:rPr>
              <w:t>(0.6)</w:t>
            </w:r>
          </w:p>
        </w:tc>
      </w:tr>
      <w:tr>
        <w:trPr>
          <w:trHeight w:val="245"/>
        </w:trPr>
        <w:tc>
          <w:tcPr>
            <w:tcW w:w="7160" w:type="dxa"/>
            <w:vAlign w:val="bottom"/>
            <w:tcBorders>
              <w:bottom w:val="single" w:sz="8" w:color="CCEEFF"/>
            </w:tcBorders>
            <w:shd w:val="clear" w:color="auto" w:fill="CCEEFF"/>
          </w:tcPr>
          <w:p>
            <w:pPr>
              <w:ind w:left="220"/>
              <w:spacing w:after="0" w:line="220" w:lineRule="exact"/>
              <w:rPr>
                <w:sz w:val="20"/>
                <w:szCs w:val="20"/>
                <w:color w:val="auto"/>
              </w:rPr>
            </w:pPr>
            <w:r>
              <w:rPr>
                <w:rFonts w:ascii="Times New Roman" w:cs="Times New Roman" w:eastAsia="Times New Roman" w:hAnsi="Times New Roman"/>
                <w:sz w:val="18"/>
                <w:szCs w:val="18"/>
                <w:color w:val="auto"/>
              </w:rPr>
              <w:t xml:space="preserve">Unrealized losses (gains), net included in AOCL, net of tax </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shd w:val="clear" w:color="auto" w:fill="CCEEFF"/>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80" w:right="20" w:hanging="153"/>
        <w:spacing w:after="0" w:line="227" w:lineRule="auto"/>
        <w:tabs>
          <w:tab w:leader="none" w:pos="5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prices and foreign currency exchange rates remain constant, we expect to reclassify $4.4 million of derivative gain as of June 30, 2024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29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620" w:type="dxa"/>
            <w:vAlign w:val="bottom"/>
            <w:gridSpan w:val="4"/>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5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98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6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0"/>
        </w:trPr>
        <w:tc>
          <w:tcPr>
            <w:tcW w:w="5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1.1</w:t>
            </w: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4.5</w:t>
            </w:r>
          </w:p>
        </w:tc>
      </w:tr>
      <w:tr>
        <w:trPr>
          <w:trHeight w:val="22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(4.7)</w:t>
            </w: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0.4</w:t>
            </w:r>
          </w:p>
        </w:tc>
      </w:tr>
      <w:tr>
        <w:trPr>
          <w:trHeight w:val="22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0.3</w:t>
            </w: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1.3</w:t>
            </w:r>
          </w:p>
        </w:tc>
      </w:tr>
      <w:tr>
        <w:trPr>
          <w:trHeight w:val="20"/>
        </w:trPr>
        <w:tc>
          <w:tcPr>
            <w:tcW w:w="5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of June 30, 2024, we had approximately $4.4 million in total gross unrecognized tax benefits. If recognized, $4.4 million would be recorded through the Consolidated Statements of Operations.</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effective tax rate was 19.7% for the six months ended June 30, 2024 compared to 19.0% for the six months ended June 30, 2023. The increase in rate is primarily due to income allocated to high-tax jurisdictions offset by a favorable adjustment for excess tax benefits.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currently under a limited scope audit by the Internal Revenue Service for our 2021 and 2022 tax years. There are also ongoing U.S. state and local audits and other foreign audits covering fiscal years 2017 through 2023. We are generally no longer subject to U.S. federal, state and local, or non-U.S. income tax examinations by taxing authorities for years prior to 2017.</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0"/>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us in financing seasonal borrowing needs for our foreign locations. We had no outstanding foreign obligations as of June 30, 2024 or December 31, 2023 and there were no borrowings or repayments on these facilities during the six months ended June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5"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7"/>
          <w:szCs w:val="17"/>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CP Notes currently outstanding under the Program totaled $147.0 million as of June 30, 2024.</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Program was as follows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5.56 %</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$0 outstanding borrowings and $1.7 million committed to standby letters of credit as of June 30, 2024. Subject to covenant limitations, $951.3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7" w:name="page18"/>
    <w:bookmarkEnd w:id="17"/>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9"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191" w:lineRule="exact"/>
        <w:rPr>
          <w:sz w:val="20"/>
          <w:szCs w:val="20"/>
          <w:color w:val="auto"/>
        </w:rPr>
      </w:pPr>
    </w:p>
    <w:p>
      <w:pPr>
        <w:ind w:left="360" w:hanging="113"/>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w:t>
      </w:r>
      <w:r>
        <w:rPr>
          <w:rFonts w:ascii="Times New Roman" w:cs="Times New Roman" w:eastAsia="Times New Roman" w:hAnsi="Times New Roman"/>
          <w:sz w:val="16"/>
          <w:szCs w:val="16"/>
          <w:color w:val="auto"/>
        </w:rPr>
        <w:t>tization</w:t>
      </w:r>
      <w:r>
        <w:rPr>
          <w:rFonts w:ascii="Times New Roman" w:cs="Times New Roman" w:eastAsia="Times New Roman" w:hAnsi="Times New Roman"/>
          <w:sz w:val="18"/>
          <w:szCs w:val="18"/>
          <w:color w:val="auto"/>
        </w:rPr>
        <w:t xml:space="preserve"> exceeding $75.0 million; or</w:t>
      </w:r>
    </w:p>
    <w:p>
      <w:pPr>
        <w:spacing w:after="0" w:line="233" w:lineRule="exact"/>
        <w:rPr>
          <w:rFonts w:ascii="Times New Roman" w:cs="Times New Roman" w:eastAsia="Times New Roman" w:hAnsi="Times New Roman"/>
          <w:sz w:val="18"/>
          <w:szCs w:val="18"/>
          <w:color w:val="auto"/>
        </w:rPr>
      </w:pPr>
    </w:p>
    <w:p>
      <w:pPr>
        <w:ind w:firstLine="247"/>
        <w:spacing w:after="0" w:line="246" w:lineRule="auto"/>
        <w:tabs>
          <w:tab w:leader="none" w:pos="3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18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209"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June 30, 2024, we believe we were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Credit Agreement (the "Guarantor Subsidiaries").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2024, we believe we were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32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Affected Line Item(s) in the</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Cash Flow Hedges: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Losses (gains) and</w:t>
            </w:r>
          </w:p>
        </w:tc>
        <w:tc>
          <w:tcPr>
            <w:tcW w:w="0" w:type="dxa"/>
            <w:vAlign w:val="bottom"/>
          </w:tcPr>
          <w:p>
            <w:pPr>
              <w:spacing w:after="0"/>
              <w:rPr>
                <w:sz w:val="1"/>
                <w:szCs w:val="1"/>
                <w:color w:val="auto"/>
              </w:rPr>
            </w:pPr>
          </w:p>
        </w:tc>
      </w:tr>
      <w:tr>
        <w:trPr>
          <w:trHeight w:val="2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(0.4)</w:t>
            </w:r>
          </w:p>
        </w:tc>
        <w:tc>
          <w:tcPr>
            <w:tcW w:w="14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8"/>
              </w:rPr>
              <w:t>(0.3)</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0" w:type="dxa"/>
            <w:vAlign w:val="bottom"/>
          </w:tcPr>
          <w:p>
            <w:pPr>
              <w:spacing w:after="0"/>
              <w:rPr>
                <w:sz w:val="1"/>
                <w:szCs w:val="1"/>
                <w:color w:val="auto"/>
              </w:rPr>
            </w:pPr>
          </w:p>
        </w:tc>
      </w:tr>
      <w:tr>
        <w:trPr>
          <w:trHeight w:val="22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6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6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0.2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8"/>
              </w:rPr>
              <w:t>(0.5)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six months ended June 30, 2024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Share of Equity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Method Investments</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8"/>
              </w:rPr>
              <w:t>(2.0)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0" w:type="dxa"/>
            <w:vAlign w:val="bottom"/>
          </w:tcPr>
          <w:p>
            <w:pPr>
              <w:spacing w:after="0"/>
              <w:rPr>
                <w:sz w:val="1"/>
                <w:szCs w:val="1"/>
                <w:color w:val="auto"/>
              </w:rPr>
            </w:pPr>
          </w:p>
        </w:tc>
      </w:tr>
      <w:tr>
        <w:trPr>
          <w:trHeight w:val="173"/>
        </w:trPr>
        <w:tc>
          <w:tcPr>
            <w:tcW w:w="40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520" w:type="dxa"/>
            <w:vAlign w:val="bottom"/>
          </w:tcPr>
          <w:p>
            <w:pPr>
              <w:spacing w:after="0"/>
              <w:rPr>
                <w:sz w:val="20"/>
                <w:szCs w:val="20"/>
                <w:color w:val="auto"/>
              </w:rPr>
            </w:pPr>
          </w:p>
        </w:tc>
        <w:tc>
          <w:tcPr>
            <w:tcW w:w="7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7"/>
              </w:rPr>
              <w:t>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5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7"/>
              </w:rPr>
              <w:t>6.2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7"/>
              </w:rPr>
              <w:t>4.2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June 30, 2024 were the same as those used as of December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3"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74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Prior Year Acquisition: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October 2023, we completed the acquisition of AES, a company dedicated to service and sustainability in the light commercial market. Under the terms of the purchase agreement, a final working capital adjustment was completed in the first quarter of 2024. This working capital adjustment resulted in a $1.8 million reduction in the purchase price. Additionally, during the first quarter of 2024 we made certain purchase price adjustments. The following table details the purchase price adjustments that were made during the first quarter of 2024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60" w:type="dxa"/>
            <w:vAlign w:val="bottom"/>
          </w:tcPr>
          <w:p>
            <w:pPr>
              <w:spacing w:after="0"/>
              <w:rPr>
                <w:sz w:val="18"/>
                <w:szCs w:val="18"/>
                <w:color w:val="auto"/>
              </w:rPr>
            </w:pPr>
          </w:p>
        </w:tc>
        <w:tc>
          <w:tcPr>
            <w:tcW w:w="15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 acquired</w:t>
            </w:r>
          </w:p>
        </w:tc>
        <w:tc>
          <w:tcPr>
            <w:tcW w:w="19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8"/>
              </w:rPr>
              <w:t>(1.7)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8"/>
              </w:rPr>
              <w:t>(2.2)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w:t>
            </w:r>
          </w:p>
        </w:tc>
        <w:tc>
          <w:tcPr>
            <w:tcW w:w="1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center"/>
              <w:ind w:left="993"/>
              <w:spacing w:after="0"/>
              <w:rPr>
                <w:sz w:val="20"/>
                <w:szCs w:val="20"/>
                <w:color w:val="auto"/>
              </w:rPr>
            </w:pPr>
            <w:r>
              <w:rPr>
                <w:rFonts w:ascii="Times New Roman" w:cs="Times New Roman" w:eastAsia="Times New Roman" w:hAnsi="Times New Roman"/>
                <w:sz w:val="18"/>
                <w:szCs w:val="18"/>
                <w:color w:val="auto"/>
                <w:w w:val="98"/>
              </w:rPr>
              <w:t>(1.8)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0"/>
        </w:trPr>
        <w:tc>
          <w:tcPr>
            <w:tcW w:w="3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35"/>
        </w:trPr>
        <w:tc>
          <w:tcPr>
            <w:tcW w:w="3780" w:type="dxa"/>
            <w:vAlign w:val="bottom"/>
          </w:tcPr>
          <w:p>
            <w:pPr>
              <w:spacing w:after="0"/>
              <w:rPr>
                <w:sz w:val="24"/>
                <w:szCs w:val="24"/>
                <w:color w:val="auto"/>
              </w:rPr>
            </w:pPr>
          </w:p>
        </w:tc>
        <w:tc>
          <w:tcPr>
            <w:tcW w:w="20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2023,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2 in the Notes to the Consolidated Financial Statements.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Results for the second quarter of 2024 were driven by overall year-over-year sales and profit increases. Net sales increased 5% and segment profit increased $26 million for our Home Comfort Solutions segment. Net sales increased 15% and segment profit increased $11 million for our Building Climate Solutions segment. Net sales decreased $68 million and segment loss increased $2 million for our Corporate and Other segment. Our European businesses were sold in the fourth quarter of 2023 and generated $68 million in net sales with segment profit of $2 million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$1,451 million in the second quarter of 2024 reflected a 3% increase as compared to the same period in 2023.</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in the second quarter of 2024 increased $41 million to $320 million primarily driven by favorable price and higher sales volumes.</w:t>
      </w:r>
    </w:p>
    <w:p>
      <w:pPr>
        <w:spacing w:after="0" w:line="17"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second quarter of 2024 was $246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$6.87 per share in the second quarter of 2024 as compared to $6.10 per share in the same period in 2023.</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we returned $78 million to shareholders through dividend payments.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94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Percent of Sales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9"/>
                <w:szCs w:val="19"/>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278.8</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22.1 %</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sales for the second quarter of 2024 increased 3% as compared to the same period in 2023. This was primarily due to favorable price of 3%, higher sales volumes of 3%, and an increase in sales volumes of 2% from our AES acquisition, which were partially offset by a 5% reduction in sales due to the fourth quarter 2023 sale of our European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Gross profit margins in the second quarter of 2024 increased 120 basis points ("bps") to 33.6% as compared to 32.4% in the same period in 2023. Gross margins increased 240 bps from favorable price and 10 bps from miscellaneous other items, which were partially offset by 70 bps from higher freight and distribution costs and 60 bps from higher material and product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("SG&amp;A") decreased $12 million to $169 million in the second quarter of 2024 as compared to $181 million in the same period in 2023 primarily due to a $16 million reduction in SG&amp;A expenses from our fourth quarter of 2023 divestiture of our European businesses, which was partially offset by higher employee-related costs including increased incentive compensation. As a percentage of net sales, SG&amp;A decreased 120 bps to 11.6%.</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second quarter of 2024 and 2023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560" w:type="dxa"/>
            <w:vAlign w:val="bottom"/>
            <w:tcBorders>
              <w:bottom w:val="single" w:sz="8" w:color="auto"/>
            </w:tcBorders>
          </w:tcPr>
          <w:p>
            <w:pPr>
              <w:spacing w:after="0"/>
              <w:rPr>
                <w:sz w:val="18"/>
                <w:szCs w:val="18"/>
                <w:color w:val="auto"/>
              </w:rPr>
            </w:pPr>
          </w:p>
        </w:tc>
      </w:tr>
      <w:tr>
        <w:trPr>
          <w:trHeight w:val="208"/>
        </w:trPr>
        <w:tc>
          <w:tcPr>
            <w:tcW w:w="7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on settled future contracts</w:t>
            </w:r>
          </w:p>
        </w:tc>
        <w:tc>
          <w:tcPr>
            <w:tcW w:w="1380" w:type="dxa"/>
            <w:vAlign w:val="bottom"/>
            <w:shd w:val="clear" w:color="auto" w:fill="CCEEFF"/>
          </w:tcPr>
          <w:p>
            <w:pPr>
              <w:jc w:val="right"/>
              <w:ind w:right="119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(2.4)</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8"/>
              </w:rPr>
              <w:t>(1.0)</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3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5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(0.2)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rPr>
              <w:t>4.8</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8"/>
              </w:rPr>
              <w:t>(0.7)</w:t>
            </w:r>
          </w:p>
        </w:tc>
      </w:tr>
      <w:tr>
        <w:trPr>
          <w:trHeight w:val="22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380" w:type="dxa"/>
            <w:vAlign w:val="bottom"/>
            <w:tcBorders>
              <w:bottom w:val="single" w:sz="8" w:color="auto"/>
            </w:tcBorders>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7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are accounted for under the equity method and their financial position and results of operations are not consolidated. We recognized income from equity method investments of $3 million in the second quarter of 2024 and in the second quarter of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 net decreased to $13 million in the second quarter of 2024 from $15 million in the same period in 2023 due to lower borrowings.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Our effective tax rate was 19.9% for the second quarter of 2024 as compared to 17.6% in the same period in 2023. The increase in rate was primarily due to income allocated to high-tax jurisdictions partially offset by a favorable adjustment for excess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2024 Compared to Second Quarter of 2023 -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second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72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982.3</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936.2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228.5</w:t>
            </w:r>
          </w:p>
        </w:tc>
        <w:tc>
          <w:tcPr>
            <w:tcW w:w="14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5% in the second quarter of 2024 as compared to the same period in 2023 primarily due to favorable price of 4% and higher sales volumes of 1%.</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Segment profit in the second quarter of 2024 increased by $26 million as compared to the same period in 2023, primarily due to $42 million from favorable price and mix and $2 million from higher sales volumes. Partially offsetting these increases were $10 million from higher freight and distribution costs, $3 million from higher SG&amp;A costs, and $5 million from miscellaneous other items.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second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68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468.8</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407.5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15% in the second quarter of 2024 as compared to the same period in 2023 primarily due to higher sales volumes of 9%, favorable price of 2%, and a 6% increase in sales volumes from our AES acquisition which were partially offset by unfavorable product mix of 2%.</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profit in the second quarter of 2024 increased $11 million as compared to the same period in 2023 primarily due to $12 million from higher sales volumes, $6 million from favorable price, and $5 million from our acquisition of AES. Partially offsetting these increases was $6 million in higher factory inefficiencies, which includes costs related to the ramp up of our new factory in Mexico, $4 million in unfavorable product mix, and $2 million from miscellaneous other items.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the second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spacing w:after="0"/>
              <w:rPr>
                <w:sz w:val="18"/>
                <w:szCs w:val="18"/>
                <w:color w:val="auto"/>
              </w:rPr>
            </w:pPr>
          </w:p>
        </w:tc>
        <w:tc>
          <w:tcPr>
            <w:tcW w:w="34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46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0"/>
                <w:szCs w:val="20"/>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9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sales decreased $68 million and segment loss increased $2 million in the second quarter of 2024 as compared to the same period in 2023. Our European businesses, which were sold in the fourth quarter of 2023, generated $68 million in net sales and $2 million in segment profit in the second quarter of 2023. Excluding our European businesses, Corporate and Other costs decreased $1 million in the second quarter of 2024 as compared to the same period in 2023 primarily due to lower incentive compensation costs which were partially offset by higher legal, professional, and other costs.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through June 30, 2024 Compared to Year-to-Date through June 30, 2023 -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58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1"/>
                <w:szCs w:val="11"/>
                <w:color w:val="auto"/>
              </w:rPr>
            </w:pPr>
          </w:p>
        </w:tc>
        <w:tc>
          <w:tcPr>
            <w:tcW w:w="148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2,460.7</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(572.7)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418.4</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Net sales increased 2% for the six months ended June 30, 2024 as compared to the same period in 2023. This was primarily due to favorable price of 3%, higher sales volumes of 2% and an increase in sales volumes of 2% from our AES acquisition which were partially offset by a 5% reduction in sales due to the fourth quarter 2023 sale of our European businesses.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Gross profit margins for the six months ended June 30, 2024 increased 210 bps to 33.2% as compared to 31.1% in the same period in 2023. Gross margins increased 260 bps from higher price and 40 bps from miscellaneous other items, which were partially offset by 60 bps from higher freight and distribution costs, and 30 bps from higher material and product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SG&amp;A decreased $10 million to $339 million for the six months ended June 30, 2024 as compared to $349 million in the same period in 2023 primarily due to a $32 million reduction in SG&amp;A expenses from our fourth quarter of 2023 divestiture of our European businesses, which was partially offset by higher employee-related costs including increased incentive compensation. As a percentage of net sales, SG&amp;A decreased 60 bps to 13.6% from 14.2%.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six months ended June 30, 2024 and 2023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420" w:type="dxa"/>
            <w:vAlign w:val="bottom"/>
            <w:tcBorders>
              <w:bottom w:val="single" w:sz="8" w:color="auto"/>
            </w:tcBorders>
          </w:tcPr>
          <w:p>
            <w:pPr>
              <w:spacing w:after="0"/>
              <w:rPr>
                <w:sz w:val="18"/>
                <w:szCs w:val="18"/>
                <w:color w:val="auto"/>
              </w:rPr>
            </w:pPr>
          </w:p>
        </w:tc>
      </w:tr>
      <w:tr>
        <w:trPr>
          <w:trHeight w:val="210"/>
        </w:trPr>
        <w:tc>
          <w:tcPr>
            <w:tcW w:w="79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shd w:val="clear" w:color="auto" w:fill="CCEEFF"/>
          </w:tcPr>
          <w:p>
            <w:pPr>
              <w:spacing w:after="0"/>
              <w:rPr>
                <w:sz w:val="18"/>
                <w:szCs w:val="18"/>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 on settled future contracts</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loss (income)</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unsettled futures contracts</w:t>
            </w:r>
          </w:p>
        </w:tc>
        <w:tc>
          <w:tcPr>
            <w:tcW w:w="1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5"/>
        </w:trPr>
        <w:tc>
          <w:tcPr>
            <w:tcW w:w="7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10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Income from equity method investments remained consistent at $4 million for the six months ended June 30, 2024 as compared to $4 million in the same period in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decreased $5 million for the six months ended June 30, 2024 to $24 million as compared to $29 million in the same period in 2023 primarily due to lower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effective tax rate was 19.7% for the six months ended June 30, 2024 as compared to 19.0% in the same period in 2023. The increase in rate was primarily due to income allocated to high-tax jurisdictions partially offset by a favorable adjustment for excess tax benefits.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Year-to-Date through June 30, 2024 Compared to Year-to-Date through June 30, 2023 -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six months ended June 30, 2024 and 2023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Borders>
              <w:top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1,656.9</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1,617.2</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2% for the six months ended June 30, 2024 as compared to the same period in 2023. This was primarily due to favorable price of 4%, which was partially offset by lower sales volumes of 1% and unfavorable mix of 1%.</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Segment profit for the first six months of 2024 increased $27 million as compared to the same period in 2023 primarily due to $61 million from favorable price, which was partially offset by $15 million from higher SG&amp;A costs, $15 million from higher freight and distribution costs, and $4 million from miscellaneous other items.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six months ended June 30, 2024 and 2023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35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841.3</w:t>
            </w:r>
          </w:p>
        </w:tc>
        <w:tc>
          <w:tcPr>
            <w:tcW w:w="160" w:type="dxa"/>
            <w:vAlign w:val="bottom"/>
          </w:tcPr>
          <w:p>
            <w:pPr>
              <w:spacing w:after="0"/>
              <w:rPr>
                <w:sz w:val="19"/>
                <w:szCs w:val="19"/>
                <w:color w:val="auto"/>
              </w:rPr>
            </w:pPr>
          </w:p>
        </w:tc>
        <w:tc>
          <w:tcPr>
            <w:tcW w:w="4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716.1</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192.2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2"/>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6"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Net sales increased 17% for the six months ended June 30, 2024 as compared to the same period in 2023. This was primarily due to higher sales volumes of 8%, favorable price of 3%, and a 6% increase in sales volumes from our AES acquisition.</w:t>
      </w:r>
    </w:p>
    <w:p>
      <w:pPr>
        <w:spacing w:after="0" w:line="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Segment profit for the first six months of 2024 increased $39 million as compared to the same period in 2023 primarily due to $25 million from higher price, $20 million from higher sales volumes and $10 million from our acquisition of AES, which were partially offset by $8 million from higher factory inefficiencies, which includes costs related to the ramp up of our new facility in Mexico, $4 million from higher SG&amp;A costs, and $4 million from miscellaneous other items.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presents our Corporate and Other segment's net sales and loss for the six months ended June 30, 2024 and 2023 (dollars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33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4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60" w:type="dxa"/>
            <w:vAlign w:val="bottom"/>
            <w:tcBorders>
              <w:top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sales decreased $127 million and segment loss increased $6 million during the six months ended June 30, 2024 as compared to the same period in 2023. Our European businesses, which were sold in the fourth quarter of 2023, generated net sales of $127 million and a profit of $2 million in the six months ended June 30, 2023. Excluding our European businesses,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6" w:name="page27"/>
    <w:bookmarkEnd w:id="26"/>
    <w:p>
      <w:pPr>
        <w:jc w:val="both"/>
        <w:spacing w:after="0" w:line="277" w:lineRule="auto"/>
        <w:rPr>
          <w:sz w:val="20"/>
          <w:szCs w:val="20"/>
          <w:color w:val="auto"/>
        </w:rPr>
      </w:pPr>
      <w:r>
        <w:rPr>
          <w:rFonts w:ascii="Times New Roman" w:cs="Times New Roman" w:eastAsia="Times New Roman" w:hAnsi="Times New Roman"/>
          <w:sz w:val="18"/>
          <w:szCs w:val="18"/>
          <w:color w:val="auto"/>
        </w:rPr>
        <w:t>Corporate and Other costs increased $4 million in the first six months of 2024 as compared to the same period in 2023 primarily due to higher incentive compensation costs and wage inflation.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six months ended June 30, 2024 and 2023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640" w:type="dxa"/>
            <w:vAlign w:val="bottom"/>
            <w:tcBorders>
              <w:bottom w:val="single" w:sz="8" w:color="auto"/>
            </w:tcBorders>
          </w:tcPr>
          <w:p>
            <w:pPr>
              <w:spacing w:after="0"/>
              <w:rPr>
                <w:sz w:val="18"/>
                <w:szCs w:val="18"/>
                <w:color w:val="auto"/>
              </w:rPr>
            </w:pPr>
          </w:p>
        </w:tc>
      </w:tr>
      <w:tr>
        <w:trPr>
          <w:trHeight w:val="210"/>
        </w:trPr>
        <w:tc>
          <w:tcPr>
            <w:tcW w:w="716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shd w:val="clear" w:color="auto" w:fill="CCEEFF"/>
          </w:tcPr>
          <w:p>
            <w:pPr>
              <w:spacing w:after="0"/>
              <w:rPr>
                <w:sz w:val="18"/>
                <w:szCs w:val="18"/>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0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19"/>
                <w:szCs w:val="19"/>
                <w:color w:val="auto"/>
              </w:rPr>
            </w:pPr>
          </w:p>
        </w:tc>
        <w:tc>
          <w:tcPr>
            <w:tcW w:w="134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116.7</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(82.3)</w:t>
            </w:r>
          </w:p>
        </w:tc>
      </w:tr>
      <w:tr>
        <w:trPr>
          <w:trHeight w:val="232"/>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(33.8)</w:t>
            </w:r>
          </w:p>
        </w:tc>
      </w:tr>
    </w:tbl>
    <w:p>
      <w:pPr>
        <w:spacing w:after="0" w:line="308"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The change in net cash provided by operating activities for the six months ended June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cash provided by operating activities for the same period in 2023 reflects changes in working capital and an increase in net income.</w:t>
      </w:r>
    </w:p>
    <w:p>
      <w:pPr>
        <w:spacing w:after="0" w:line="186"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$62 million for the six months ended June 30, 2024 compared to $85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2023. Capital expenditures in 2024 were related to our Commercial factory in Mexico, the general expansion of manufacturing capacity and equipment, and investments in systems and software to support the overall enterprise.</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for the six months ended June 30, 2024 increased to $118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$34 million in the same period of 2023. The change was primarily due to changes in net borrowings and repayments of long-term debt. We returned $78 million to shareholders through dividend payments for the six months ended June 30, 2024 and $75 million in the same period of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June 30, 2024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Outstanding Borrowings</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54"/>
        </w:trPr>
        <w:tc>
          <w:tcPr>
            <w:tcW w:w="43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4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0"/>
        </w:trPr>
        <w:tc>
          <w:tcPr>
            <w:tcW w:w="4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49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4"/>
        </w:trPr>
        <w:tc>
          <w:tcPr>
            <w:tcW w:w="43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4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49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4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0" w:type="dxa"/>
            <w:vAlign w:val="bottom"/>
          </w:tcPr>
          <w:p>
            <w:pPr>
              <w:spacing w:after="0"/>
              <w:rPr>
                <w:sz w:val="1"/>
                <w:szCs w:val="1"/>
                <w:color w:val="auto"/>
              </w:rPr>
            </w:pPr>
          </w:p>
        </w:tc>
      </w:tr>
      <w:tr>
        <w:trPr>
          <w:trHeight w:val="24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right"/>
              <w:ind w:right="345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3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36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as a replacement to our Asset Securitization Program which expired in November 2023, pursuant to which we may issue short-term, unsecured commercial paper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CP Notes currently outstanding under the Program totaled $147.0 million as of June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0 outstanding borrowings and $1.7 million committed to standby letters of credit as of June 30, 2024. Subject to covenant limitations, $951.3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2024, we believe we were in compliance with all covenant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69% as of June 30, 2024 from 82% as of December 31, 2023.</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June 30, 2024,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believe our cash and cash equivalents of $47.6 million, future cash generated from operations and available borrowing capacity are sufficient to fund operations, planned capital expenditures, future contractual obligations, potential share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18"/>
          <w:szCs w:val="18"/>
          <w:color w:val="auto"/>
        </w:rPr>
        <w:t>repurchases and dividends and other needs in the foreseeable future. Included in our cash and cash equivalents of $47.6 million as of June 30, 2024 was $20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("Parent") and are unconditionally guaranteed by the Guarantor Subsidiaries. The Guarantor Subsidiaries are 100% owned and consolidated, all guarantees are full and unconditional, and all guarantees are joint and several.</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combined Parent and Guarantor Subsidiaries financial information is presented as of June 30, 2024 and December 31, 2023 and for the three and six months ended June 30, 2024 (in millions):</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Amounts due to non-guarantor subsidiaries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8"/>
        </w:trPr>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w:t>
            </w:r>
          </w:p>
        </w:tc>
      </w:tr>
      <w:tr>
        <w:trPr>
          <w:trHeight w:val="227"/>
        </w:trPr>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6,399.5</w:t>
            </w:r>
          </w:p>
        </w:tc>
      </w:tr>
      <w:tr>
        <w:trPr>
          <w:trHeight w:val="232"/>
        </w:trPr>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-440055</wp:posOffset>
            </wp:positionV>
            <wp:extent cx="7134225" cy="152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-143510</wp:posOffset>
            </wp:positionV>
            <wp:extent cx="7134225"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1,514.4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12065</wp:posOffset>
            </wp:positionV>
            <wp:extent cx="7134225"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(533.0)</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-112395</wp:posOffset>
            </wp:positionV>
            <wp:extent cx="7134225" cy="237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237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w:t>
            </w:r>
          </w:p>
        </w:tc>
      </w:tr>
      <w:tr>
        <w:trPr>
          <w:trHeight w:val="227"/>
        </w:trPr>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r>
      <w:tr>
        <w:trPr>
          <w:trHeight w:val="232"/>
        </w:trPr>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r>
    </w:tbl>
    <w:p>
      <w:pPr>
        <w:ind w:left="1420"/>
        <w:spacing w:after="0"/>
        <w:rPr>
          <w:sz w:val="20"/>
          <w:szCs w:val="20"/>
          <w:color w:val="auto"/>
        </w:rPr>
      </w:pPr>
      <w:r>
        <w:rPr>
          <w:rFonts w:ascii="Times New Roman" w:cs="Times New Roman" w:eastAsia="Times New Roman" w:hAnsi="Times New Roman"/>
          <w:sz w:val="18"/>
          <w:szCs w:val="18"/>
          <w:color w:val="auto"/>
        </w:rPr>
        <w:t>1,477.3</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(472.3)</w:t>
      </w:r>
    </w:p>
    <w:p>
      <w:pPr>
        <w:spacing w:after="0" w:line="270" w:lineRule="exact"/>
        <w:rPr>
          <w:sz w:val="20"/>
          <w:szCs w:val="20"/>
          <w:color w:val="auto"/>
        </w:rPr>
      </w:pPr>
    </w:p>
    <w:p>
      <w:pPr>
        <w:jc w:val="center"/>
        <w:ind w:left="100"/>
        <w:spacing w:after="0" w:line="243" w:lineRule="auto"/>
        <w:rPr>
          <w:sz w:val="20"/>
          <w:szCs w:val="20"/>
          <w:color w:val="auto"/>
        </w:rPr>
      </w:pPr>
      <w:r>
        <w:rPr>
          <w:rFonts w:ascii="Times New Roman" w:cs="Times New Roman" w:eastAsia="Times New Roman" w:hAnsi="Times New Roman"/>
          <w:sz w:val="16"/>
          <w:szCs w:val="16"/>
          <w:b w:val="1"/>
          <w:bCs w:val="1"/>
          <w:color w:val="auto"/>
        </w:rPr>
        <w:t>For the Six Months Ended June 30, 2024</w:t>
      </w:r>
    </w:p>
    <w:p>
      <w:pPr>
        <w:spacing w:after="0" w:line="1" w:lineRule="exact"/>
        <w:rPr>
          <w:sz w:val="20"/>
          <w:szCs w:val="20"/>
          <w:color w:val="auto"/>
        </w:rPr>
      </w:pPr>
    </w:p>
    <w:p>
      <w:pPr>
        <w:sectPr>
          <w:pgSz w:w="11900" w:h="16838" w:orient="portrait"/>
          <w:cols w:equalWidth="0" w:num="3">
            <w:col w:w="6320" w:space="720"/>
            <w:col w:w="2040" w:space="140"/>
            <w:col w:w="2020"/>
          </w:cols>
          <w:pgMar w:left="320" w:top="882"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2,465.9</w:t>
            </w: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r>
      <w:tr>
        <w:trPr>
          <w:trHeight w:val="23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2023. Our exposure to market risk has not changed materially since December 31, 2023.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2024,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2023, which could materially affect our business, financial condition or results of operations. There have been no material changes to our risk factors from those disclosed in our Annual Report on Form 10-K for the year ended December 31, 2023.</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8"/>
          <w:szCs w:val="18"/>
          <w:color w:val="auto"/>
        </w:rPr>
        <w:t>We did not repurchase any shares of our common stock in the second quarter of 2024. For additional information on our share repurchase program, refer to Note 5 in the Notes to the Consolidated Financial Statements.</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30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or officers adopted, modified, or terminated any Rule 10b5-1 trading arrangement or non-Rule 10b5-1 trading arrangement, as such terms are defined in Item 408(a) of Regulation S-K.</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21"/>
            <w:shd w:val="clear" w:color="auto" w:fill="CCEEFF"/>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3"/>
        </w:trPr>
        <w:tc>
          <w:tcPr>
            <w:tcW w:w="9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1"/>
            <w:shd w:val="clear" w:color="auto" w:fill="CCEEFF"/>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Amendment No. 1 to Registration Statement on S-3 filed on May 3, 2010 and incorporated herein by reference).</w:t>
              </w:r>
            </w:hyperlink>
          </w:p>
        </w:tc>
        <w:tc>
          <w:tcPr>
            <w:tcW w:w="20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520" w:type="dxa"/>
            <w:vAlign w:val="bottom"/>
            <w:tcBorders>
              <w:top w:val="single" w:sz="8" w:color="0000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Form of 1.350% Notes due 2025 (filed as Exhibit A in Exhibit 4.2 to LII’s Current Report on Form 8-K filed on July 30, 2020 and incorporated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herein by reference).</w:t>
              </w:r>
            </w:hyperlink>
          </w:p>
        </w:tc>
        <w:tc>
          <w:tcPr>
            <w:tcW w:w="87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3"/>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20" w:type="dxa"/>
            <w:vAlign w:val="bottom"/>
            <w:tcBorders>
              <w:top w:val="single" w:sz="8" w:color="0000FF"/>
              <w:bottom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February 15, 2022 and incorporated herein by reference).</w:t>
              </w:r>
            </w:hyperlink>
          </w:p>
        </w:tc>
        <w:tc>
          <w:tcPr>
            <w:tcW w:w="6100" w:type="dxa"/>
            <w:vAlign w:val="bottom"/>
            <w:tcBorders>
              <w:bottom w:val="single" w:sz="8" w:color="CCEEFF"/>
            </w:tcBorders>
            <w:gridSpan w:val="1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10240" w:type="dxa"/>
            <w:vAlign w:val="bottom"/>
            <w:gridSpan w:val="21"/>
          </w:tcPr>
          <w:p>
            <w:pPr>
              <w:spacing w:after="0" w:line="154"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Pr>
          <w:p>
            <w:pPr>
              <w:spacing w:after="0"/>
              <w:rPr>
                <w:sz w:val="14"/>
                <w:szCs w:val="14"/>
                <w:color w:val="auto"/>
              </w:rPr>
            </w:pPr>
          </w:p>
        </w:tc>
        <w:tc>
          <w:tcPr>
            <w:tcW w:w="1020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by reference).</w:t>
              </w:r>
            </w:hyperlink>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4.8</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incorporated herein by reference).</w:t>
              </w:r>
            </w:hyperlink>
          </w:p>
        </w:tc>
        <w:tc>
          <w:tcPr>
            <w:tcW w:w="730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List of Guarantor Subsidiaries (filed as Exhibit 22.1 to LII's Annual Report on Form 10-K filed on February 13, 2024, and incorporated herein</w:t>
              </w:r>
            </w:hyperlink>
          </w:p>
        </w:tc>
      </w:tr>
      <w:tr>
        <w:trPr>
          <w:trHeight w:val="153"/>
        </w:trPr>
        <w:tc>
          <w:tcPr>
            <w:tcW w:w="92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by reference).</w:t>
              </w:r>
            </w:hyperlink>
          </w:p>
        </w:tc>
        <w:tc>
          <w:tcPr>
            <w:tcW w:w="100" w:type="dxa"/>
            <w:vAlign w:val="bottom"/>
            <w:gridSpan w:val="5"/>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21"/>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187"/>
        </w:trPr>
        <w:tc>
          <w:tcPr>
            <w:tcW w:w="920" w:type="dxa"/>
            <w:vAlign w:val="bottom"/>
            <w:tcBorders>
              <w:top w:val="single" w:sz="8" w:color="CCEEFF"/>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4460" w:type="dxa"/>
            <w:vAlign w:val="bottom"/>
            <w:tcBorders>
              <w:top w:val="single" w:sz="8" w:color="0000FF"/>
            </w:tcBorders>
            <w:gridSpan w:val="7"/>
          </w:tcPr>
          <w:p>
            <w:pPr>
              <w:spacing w:after="0" w:line="187" w:lineRule="exact"/>
              <w:rPr>
                <w:sz w:val="20"/>
                <w:szCs w:val="20"/>
                <w:color w:val="auto"/>
              </w:rPr>
            </w:pPr>
            <w:r>
              <w:rPr>
                <w:rFonts w:ascii="Times New Roman" w:cs="Times New Roman" w:eastAsia="Times New Roman" w:hAnsi="Times New Roman"/>
                <w:sz w:val="18"/>
                <w:szCs w:val="18"/>
                <w:color w:val="0000FF"/>
                <w:w w:val="99"/>
              </w:rPr>
              <w:t>Certification of the principal financial officer (filed herewith).</w:t>
            </w:r>
          </w:p>
        </w:tc>
        <w:tc>
          <w:tcPr>
            <w:tcW w:w="5780" w:type="dxa"/>
            <w:vAlign w:val="bottom"/>
            <w:tcBorders>
              <w:top w:val="single" w:sz="8" w:color="CCEEFF"/>
            </w:tcBorders>
            <w:gridSpan w:val="14"/>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60" w:type="dxa"/>
            <w:vAlign w:val="bottom"/>
            <w:tcBorders>
              <w:bottom w:val="single" w:sz="8" w:color="0000FF"/>
              <w:right w:val="single" w:sz="8" w:color="CCEEFF"/>
            </w:tcBorders>
            <w:gridSpan w:val="1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and the principal financial officer pursuant to 18 U.S.C. Section 1350 (furnished herewith).</w:t>
            </w:r>
          </w:p>
        </w:tc>
        <w:tc>
          <w:tcPr>
            <w:tcW w:w="380" w:type="dxa"/>
            <w:vAlign w:val="bottom"/>
            <w:tcBorders>
              <w:bottom w:val="single" w:sz="8" w:color="CCEEFF"/>
            </w:tcBorders>
            <w:gridSpan w:val="11"/>
            <w:shd w:val="clear" w:color="auto" w:fill="CCEEFF"/>
          </w:tcPr>
          <w:p>
            <w:pPr>
              <w:spacing w:after="0"/>
              <w:rPr>
                <w:sz w:val="17"/>
                <w:szCs w:val="17"/>
                <w:color w:val="auto"/>
              </w:rPr>
            </w:pP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INS Inline XBRL Instance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1160" w:hanging="89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31" w:name="page32"/>
    <w:bookmarkEnd w:id="31"/>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P. Quenzer</w:t>
      </w:r>
    </w:p>
    <w:p>
      <w:pPr>
        <w:spacing w:after="0" w:line="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00"/>
          </w:cols>
          <w:pgMar w:left="320" w:top="1118" w:right="11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3" w:lineRule="exact"/>
        <w:rPr>
          <w:sz w:val="20"/>
          <w:szCs w:val="20"/>
          <w:color w:val="auto"/>
        </w:rPr>
      </w:pPr>
    </w:p>
    <w:p>
      <w:pPr>
        <w:ind w:left="640" w:hanging="63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180" w:hanging="313"/>
        <w:spacing w:after="0" w:line="262"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500" w:hanging="313"/>
        <w:spacing w:after="0" w:line="262"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660" w:hanging="313"/>
        <w:spacing w:after="0" w:line="307" w:lineRule="auto"/>
        <w:tabs>
          <w:tab w:leader="none" w:pos="9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960" w:right="180" w:hanging="313"/>
        <w:spacing w:after="0" w:line="262"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960" w:right="80" w:hanging="313"/>
        <w:spacing w:after="0" w:line="277"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3"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280" w:right="40" w:hanging="633"/>
        <w:spacing w:after="0" w:line="262" w:lineRule="auto"/>
        <w:tabs>
          <w:tab w:leader="none" w:pos="1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280" w:right="580" w:hanging="633"/>
        <w:spacing w:after="0" w:line="307" w:lineRule="auto"/>
        <w:tabs>
          <w:tab w:leader="none" w:pos="127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280" w:right="280" w:hanging="633"/>
        <w:spacing w:after="0" w:line="277" w:lineRule="auto"/>
        <w:tabs>
          <w:tab w:leader="none" w:pos="1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June 30, 2024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2024</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2024</w:t>
      </w:r>
    </w:p>
    <w:p>
      <w:pPr>
        <w:spacing w:after="0" w:line="16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97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lvl w:ilvl="3">
      <w:lvlJc w:val="left"/>
      <w:lvlText w:val="▪"/>
      <w:numFmt w:val="bullet"/>
      <w:start w:val="1"/>
    </w:lvl>
  </w:abstractNum>
  <w:abstractNum w:abstractNumId="5">
    <w:nsid w:val="216231B"/>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48" Type="http://schemas.openxmlformats.org/officeDocument/2006/relationships/hyperlink" Target="https://www.sec.gov/Archives/edgar/data/1069202/000162828023004257/lii-ex31_20221231x10k.htm" TargetMode="External"/><Relationship Id="rId49" Type="http://schemas.openxmlformats.org/officeDocument/2006/relationships/hyperlink" Target="https://www.sec.gov/Archives/edgar/data/1069202/000162828023004257/lii-ex32_20221231x10k.htm" TargetMode="External"/><Relationship Id="rId50" Type="http://schemas.openxmlformats.org/officeDocument/2006/relationships/hyperlink" Target="https://www.sec.gov/Archives/edgar/data/1017609/000095012310042399/d72548exv4w3.htm" TargetMode="External"/><Relationship Id="rId51" Type="http://schemas.openxmlformats.org/officeDocument/2006/relationships/hyperlink" Target="https://www.sec.gov/Archives/edgar/data/1069202/000119312520203588/d22651dex42.htm" TargetMode="External"/><Relationship Id="rId52" Type="http://schemas.openxmlformats.org/officeDocument/2006/relationships/hyperlink" Target="https://www.sec.gov/Archives/edgar/data/1069202/000162828022002664/lii-ex47_20211231x10k.htm" TargetMode="External"/><Relationship Id="rId53" Type="http://schemas.openxmlformats.org/officeDocument/2006/relationships/hyperlink" Target="https://www.sec.gov/Archives/edgar/data/1069202/000162828023032385/exhibit42eleventhsupplemen.htm" TargetMode="External"/><Relationship Id="rId54" Type="http://schemas.openxmlformats.org/officeDocument/2006/relationships/hyperlink" Target="https://www.sec.gov/Archives/edgar/data/1069202/000162828024004446/lii-ex221_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2024-07-24T13:49:45Z</dcterms:created>
  <dcterms:modified xsi:type="dcterms:W3CDTF">2024-07-24T13:49:45Z</dcterms:modified>
</cp:coreProperties>
</file>