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13549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LENNOX INTERNATIONAL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20" w:type="dxa"/>
            <w:vAlign w:val="bottom"/>
          </w:tcPr>
          <w:p>
            <w:pPr>
              <w:jc w:val="center"/>
              <w:ind w:left="97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001-15149</w:t>
            </w:r>
          </w:p>
        </w:tc>
        <w:tc>
          <w:tcPr>
            <w:tcW w:w="3140" w:type="dxa"/>
            <w:vAlign w:val="bottom"/>
          </w:tcPr>
          <w:p>
            <w:pPr>
              <w:jc w:val="center"/>
              <w:ind w:right="932"/>
              <w:spacing w:after="0"/>
              <w:rPr>
                <w:sz w:val="20"/>
                <w:szCs w:val="20"/>
                <w:color w:val="auto"/>
              </w:rPr>
            </w:pPr>
            <w:r>
              <w:rPr>
                <w:rFonts w:ascii="Times New Roman" w:cs="Times New Roman" w:eastAsia="Times New Roman" w:hAnsi="Times New Roman"/>
                <w:sz w:val="18"/>
                <w:szCs w:val="18"/>
                <w:b w:val="1"/>
                <w:bCs w:val="1"/>
                <w:color w:val="auto"/>
                <w:w w:val="96"/>
              </w:rPr>
              <w:t>42-0991521</w:t>
            </w:r>
          </w:p>
        </w:tc>
      </w:tr>
      <w:tr>
        <w:trPr>
          <w:trHeight w:val="176"/>
        </w:trPr>
        <w:tc>
          <w:tcPr>
            <w:tcW w:w="3320" w:type="dxa"/>
            <w:vAlign w:val="bottom"/>
          </w:tcPr>
          <w:p>
            <w:pPr>
              <w:jc w:val="center"/>
              <w:ind w:left="972"/>
              <w:spacing w:after="0" w:line="176" w:lineRule="exact"/>
              <w:rPr>
                <w:sz w:val="20"/>
                <w:szCs w:val="20"/>
                <w:color w:val="auto"/>
              </w:rPr>
            </w:pPr>
            <w:r>
              <w:rPr>
                <w:rFonts w:ascii="Times New Roman" w:cs="Times New Roman" w:eastAsia="Times New Roman" w:hAnsi="Times New Roman"/>
                <w:sz w:val="18"/>
                <w:szCs w:val="18"/>
                <w:color w:val="auto"/>
                <w:w w:val="98"/>
              </w:rPr>
              <w:t>(State or other jurisdiction</w:t>
            </w:r>
          </w:p>
        </w:tc>
        <w:tc>
          <w:tcPr>
            <w:tcW w:w="4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(Commission</w:t>
            </w:r>
          </w:p>
        </w:tc>
        <w:tc>
          <w:tcPr>
            <w:tcW w:w="3140" w:type="dxa"/>
            <w:vAlign w:val="bottom"/>
          </w:tcPr>
          <w:p>
            <w:pPr>
              <w:jc w:val="center"/>
              <w:ind w:right="932"/>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28"/>
        </w:trPr>
        <w:tc>
          <w:tcPr>
            <w:tcW w:w="332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3140" w:type="dxa"/>
            <w:vAlign w:val="bottom"/>
          </w:tcPr>
          <w:p>
            <w:pPr>
              <w:jc w:val="center"/>
              <w:ind w:right="95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359"/>
        </w:trPr>
        <w:tc>
          <w:tcPr>
            <w:tcW w:w="3320" w:type="dxa"/>
            <w:vAlign w:val="bottom"/>
          </w:tcPr>
          <w:p>
            <w:pPr>
              <w:spacing w:after="0"/>
              <w:rPr>
                <w:sz w:val="24"/>
                <w:szCs w:val="24"/>
                <w:color w:val="auto"/>
              </w:rPr>
            </w:pPr>
          </w:p>
        </w:tc>
        <w:tc>
          <w:tcPr>
            <w:tcW w:w="47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2140 LAKE PARK BLVD.,</w:t>
            </w:r>
          </w:p>
        </w:tc>
        <w:tc>
          <w:tcPr>
            <w:tcW w:w="3140" w:type="dxa"/>
            <w:vAlign w:val="bottom"/>
          </w:tcPr>
          <w:p>
            <w:pPr>
              <w:spacing w:after="0"/>
              <w:rPr>
                <w:sz w:val="24"/>
                <w:szCs w:val="24"/>
                <w:color w:val="auto"/>
              </w:rPr>
            </w:pPr>
          </w:p>
        </w:tc>
      </w:tr>
      <w:tr>
        <w:trPr>
          <w:trHeight w:val="210"/>
        </w:trPr>
        <w:tc>
          <w:tcPr>
            <w:tcW w:w="3320" w:type="dxa"/>
            <w:vAlign w:val="bottom"/>
          </w:tcPr>
          <w:p>
            <w:pPr>
              <w:spacing w:after="0"/>
              <w:rPr>
                <w:sz w:val="18"/>
                <w:szCs w:val="18"/>
                <w:color w:val="auto"/>
              </w:rPr>
            </w:pPr>
          </w:p>
        </w:tc>
        <w:tc>
          <w:tcPr>
            <w:tcW w:w="47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RICHARDSON, Texas 75080</w:t>
            </w:r>
          </w:p>
        </w:tc>
        <w:tc>
          <w:tcPr>
            <w:tcW w:w="3140" w:type="dxa"/>
            <w:vAlign w:val="bottom"/>
          </w:tcPr>
          <w:p>
            <w:pPr>
              <w:spacing w:after="0"/>
              <w:rPr>
                <w:sz w:val="18"/>
                <w:szCs w:val="18"/>
                <w:color w:val="auto"/>
              </w:rPr>
            </w:pPr>
          </w:p>
        </w:tc>
      </w:tr>
      <w:tr>
        <w:trPr>
          <w:trHeight w:val="211"/>
        </w:trPr>
        <w:tc>
          <w:tcPr>
            <w:tcW w:w="3320" w:type="dxa"/>
            <w:vAlign w:val="bottom"/>
          </w:tcPr>
          <w:p>
            <w:pPr>
              <w:spacing w:after="0"/>
              <w:rPr>
                <w:sz w:val="18"/>
                <w:szCs w:val="18"/>
                <w:color w:val="auto"/>
              </w:rPr>
            </w:pPr>
          </w:p>
        </w:tc>
        <w:tc>
          <w:tcPr>
            <w:tcW w:w="47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3140" w:type="dxa"/>
            <w:vAlign w:val="bottom"/>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478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c>
          <w:tcPr>
            <w:tcW w:w="314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478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6"/>
              </w:rPr>
              <w:t>(972)497-5000</w:t>
            </w:r>
          </w:p>
        </w:tc>
        <w:tc>
          <w:tcPr>
            <w:tcW w:w="3140" w:type="dxa"/>
            <w:vAlign w:val="bottom"/>
          </w:tcPr>
          <w:p>
            <w:pPr>
              <w:spacing w:after="0"/>
              <w:rPr>
                <w:sz w:val="20"/>
                <w:szCs w:val="20"/>
                <w:color w:val="auto"/>
              </w:rPr>
            </w:pPr>
          </w:p>
        </w:tc>
      </w:tr>
      <w:tr>
        <w:trPr>
          <w:trHeight w:val="112"/>
        </w:trPr>
        <w:tc>
          <w:tcPr>
            <w:tcW w:w="3320" w:type="dxa"/>
            <w:vAlign w:val="bottom"/>
            <w:tcBorders>
              <w:bottom w:val="single" w:sz="8" w:color="auto"/>
            </w:tcBorders>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r>
    </w:tbl>
    <w:p>
      <w:pPr>
        <w:spacing w:after="0" w:line="179" w:lineRule="exact"/>
        <w:rPr>
          <w:sz w:val="24"/>
          <w:szCs w:val="24"/>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0" w:lineRule="exact"/>
        <w:rPr>
          <w:rFonts w:ascii="MS PGothic" w:cs="MS PGothic" w:eastAsia="MS PGothic" w:hAnsi="MS PGothic"/>
          <w:sz w:val="18"/>
          <w:szCs w:val="18"/>
          <w:color w:val="auto"/>
        </w:rPr>
      </w:pPr>
    </w:p>
    <w:p>
      <w:pPr>
        <w:ind w:left="420" w:hanging="397"/>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7" w:lineRule="exact"/>
        <w:rPr>
          <w:rFonts w:ascii="MS PGothic" w:cs="MS PGothic" w:eastAsia="MS PGothic" w:hAnsi="MS PGothic"/>
          <w:sz w:val="18"/>
          <w:szCs w:val="18"/>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0" w:lineRule="exact"/>
        <w:rPr>
          <w:rFonts w:ascii="MS PGothic" w:cs="MS PGothic" w:eastAsia="MS PGothic" w:hAnsi="MS PGothic"/>
          <w:sz w:val="18"/>
          <w:szCs w:val="18"/>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6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 of Each Exchange on Which</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vMerge w:val="continue"/>
          </w:tcPr>
          <w:p>
            <w:pPr>
              <w:spacing w:after="0"/>
              <w:rPr>
                <w:sz w:val="21"/>
                <w:szCs w:val="21"/>
                <w:color w:val="auto"/>
              </w:rPr>
            </w:pPr>
          </w:p>
        </w:tc>
        <w:tc>
          <w:tcPr>
            <w:tcW w:w="2760" w:type="dxa"/>
            <w:vAlign w:val="bottom"/>
            <w:gridSpan w:val="2"/>
            <w:vMerge w:val="continue"/>
          </w:tcPr>
          <w:p>
            <w:pPr>
              <w:spacing w:after="0"/>
              <w:rPr>
                <w:sz w:val="21"/>
                <w:szCs w:val="21"/>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 par value $0.01 per share</w:t>
            </w:r>
          </w:p>
        </w:tc>
        <w:tc>
          <w:tcPr>
            <w:tcW w:w="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center"/>
              <w:ind w:right="592"/>
              <w:spacing w:after="0"/>
              <w:rPr>
                <w:sz w:val="20"/>
                <w:szCs w:val="20"/>
                <w:color w:val="auto"/>
              </w:rPr>
            </w:pPr>
            <w:r>
              <w:rPr>
                <w:rFonts w:ascii="Times New Roman" w:cs="Times New Roman" w:eastAsia="Times New Roman" w:hAnsi="Times New Roman"/>
                <w:sz w:val="18"/>
                <w:szCs w:val="18"/>
                <w:b w:val="1"/>
                <w:bCs w:val="1"/>
                <w:color w:val="auto"/>
                <w:w w:val="99"/>
              </w:rPr>
              <w:t>LII</w:t>
            </w:r>
          </w:p>
        </w:tc>
        <w:tc>
          <w:tcPr>
            <w:tcW w:w="22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1"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26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ind w:left="1360"/>
        <w:spacing w:after="0"/>
        <w:rPr>
          <w:sz w:val="20"/>
          <w:szCs w:val="20"/>
          <w:color w:val="auto"/>
        </w:rPr>
      </w:pPr>
      <w:r>
        <w:rPr>
          <w:rFonts w:ascii="Times New Roman" w:cs="Times New Roman" w:eastAsia="Times New Roman" w:hAnsi="Times New Roman"/>
          <w:sz w:val="19"/>
          <w:szCs w:val="19"/>
          <w:b w:val="1"/>
          <w:bCs w:val="1"/>
          <w:color w:val="auto"/>
        </w:rPr>
        <w:t>Departure of Directors or Certain Officers; Election of Directors; Appointment of Certain Officers; Compensatory</w:t>
      </w:r>
    </w:p>
    <w:p>
      <w:pPr>
        <w:spacing w:after="0" w:line="18"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Item 5.02</w:t>
      </w:r>
      <w:r>
        <w:rPr>
          <w:sz w:val="20"/>
          <w:szCs w:val="20"/>
          <w:color w:val="auto"/>
        </w:rPr>
        <w:tab/>
      </w:r>
      <w:r>
        <w:rPr>
          <w:rFonts w:ascii="Times New Roman" w:cs="Times New Roman" w:eastAsia="Times New Roman" w:hAnsi="Times New Roman"/>
          <w:sz w:val="19"/>
          <w:szCs w:val="19"/>
          <w:b w:val="1"/>
          <w:bCs w:val="1"/>
          <w:color w:val="auto"/>
        </w:rPr>
        <w:t>Arrangements of Certain Officers.</w:t>
      </w:r>
    </w:p>
    <w:p>
      <w:pPr>
        <w:spacing w:after="0" w:line="339" w:lineRule="exact"/>
        <w:rPr>
          <w:sz w:val="20"/>
          <w:szCs w:val="20"/>
          <w:color w:val="auto"/>
        </w:rPr>
      </w:pPr>
    </w:p>
    <w:p>
      <w:pPr>
        <w:ind w:right="120" w:firstLine="632"/>
        <w:spacing w:after="0" w:line="244" w:lineRule="auto"/>
        <w:rPr>
          <w:sz w:val="20"/>
          <w:szCs w:val="20"/>
          <w:color w:val="auto"/>
        </w:rPr>
      </w:pPr>
      <w:r>
        <w:rPr>
          <w:rFonts w:ascii="Times New Roman" w:cs="Times New Roman" w:eastAsia="Times New Roman" w:hAnsi="Times New Roman"/>
          <w:sz w:val="19"/>
          <w:szCs w:val="19"/>
          <w:color w:val="auto"/>
        </w:rPr>
        <w:t>On May 23, 2026 , Sivasankaran Somasundaram notified Lennox International Inc. (the “Company”) of his decision to resign from the Board of Directors of the Company, effective immediately. Mr. Somasundaram made this decision in consideration of his other professional responsibilities and time commitments. Mr. Somasundaram’s resignation was not the result of any disagreement with the Company on any matter relating to the Company’s operations, policies, or practices. In connection with Mr. Somasundaram’s departure, the Board has reduced the size of the Board from nine members to eight members.</w:t>
      </w:r>
    </w:p>
    <w:p>
      <w:pPr>
        <w:spacing w:after="0" w:line="17"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338" w:lineRule="exact"/>
        <w:rPr>
          <w:sz w:val="20"/>
          <w:szCs w:val="20"/>
          <w:color w:val="auto"/>
        </w:rPr>
      </w:pPr>
    </w:p>
    <w:p>
      <w:pPr>
        <w:jc w:val="both"/>
        <w:ind w:right="180" w:firstLine="632"/>
        <w:spacing w:after="0" w:line="253" w:lineRule="auto"/>
        <w:rPr>
          <w:sz w:val="20"/>
          <w:szCs w:val="20"/>
          <w:color w:val="auto"/>
        </w:rPr>
      </w:pPr>
      <w:r>
        <w:rPr>
          <w:rFonts w:ascii="Times New Roman" w:cs="Times New Roman" w:eastAsia="Times New Roman" w:hAnsi="Times New Roman"/>
          <w:sz w:val="19"/>
          <w:szCs w:val="19"/>
          <w:color w:val="auto"/>
        </w:rPr>
        <w:t>On May 21, 2026, the Company held its Annual Meeting. During this meeting, the Company’s stockholders were asked to consider and vote upon three proposals: (1) the election of three Class I Directors to the Board of Directors to serve for a three-year term, which expires at the 2029 annual meeting of stockholders; (2) an advisory vote to approve the compensation of the Company’s named executive officers; and (3) the ratification of the appointment of Ernst &amp; Young LLP as the Company’s independent registered public accounting firm for the 2026 fiscal year.</w:t>
      </w:r>
    </w:p>
    <w:p>
      <w:pPr>
        <w:spacing w:after="0" w:line="184" w:lineRule="exact"/>
        <w:rPr>
          <w:sz w:val="20"/>
          <w:szCs w:val="20"/>
          <w:color w:val="auto"/>
        </w:rPr>
      </w:pPr>
    </w:p>
    <w:p>
      <w:pPr>
        <w:ind w:right="700" w:firstLine="632"/>
        <w:spacing w:after="0" w:line="282" w:lineRule="auto"/>
        <w:rPr>
          <w:sz w:val="20"/>
          <w:szCs w:val="20"/>
          <w:color w:val="auto"/>
        </w:rPr>
      </w:pPr>
      <w:r>
        <w:rPr>
          <w:rFonts w:ascii="Times New Roman" w:cs="Times New Roman" w:eastAsia="Times New Roman" w:hAnsi="Times New Roman"/>
          <w:sz w:val="19"/>
          <w:szCs w:val="19"/>
          <w:color w:val="auto"/>
        </w:rPr>
        <w:t>On the record date of March 26, 2026, there were 34,817,885 shares of the Company’s common stock issued and outstanding and entitled to be voted at the Annual Meeting. For each proposal, the results of the stockholder voting were as follows: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43"/>
        </w:trPr>
        <w:tc>
          <w:tcPr>
            <w:tcW w:w="5700" w:type="dxa"/>
            <w:vAlign w:val="bottom"/>
          </w:tcPr>
          <w:p>
            <w:pPr>
              <w:spacing w:after="0"/>
              <w:rPr>
                <w:sz w:val="21"/>
                <w:szCs w:val="21"/>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64"/>
        </w:trPr>
        <w:tc>
          <w:tcPr>
            <w:tcW w:w="57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72"/>
        </w:trPr>
        <w:tc>
          <w:tcPr>
            <w:tcW w:w="57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 xml:space="preserve">1.  Election of </w:t>
            </w:r>
            <w:r>
              <w:rPr>
                <w:rFonts w:ascii="Times New Roman" w:cs="Times New Roman" w:eastAsia="Times New Roman" w:hAnsi="Times New Roman"/>
                <w:sz w:val="15"/>
                <w:szCs w:val="15"/>
                <w:color w:val="auto"/>
              </w:rPr>
              <w:t>three</w:t>
            </w:r>
            <w:r>
              <w:rPr>
                <w:rFonts w:ascii="Times New Roman" w:cs="Times New Roman" w:eastAsia="Times New Roman" w:hAnsi="Times New Roman"/>
                <w:sz w:val="18"/>
                <w:szCs w:val="18"/>
                <w:color w:val="auto"/>
              </w:rPr>
              <w:t xml:space="preserve"> director nominees to serve as Class I directors, for a term</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5"/>
        </w:trPr>
        <w:tc>
          <w:tcPr>
            <w:tcW w:w="6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that expires at the annual meeting of stockholders in 2029</w:t>
            </w: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50"/>
        </w:trPr>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John W. Norris, III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27,631,287</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1,701,895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50"/>
        </w:trPr>
        <w:tc>
          <w:tcPr>
            <w:tcW w:w="6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Karen H. Quintos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27,331,816</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1,996,509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49"/>
        </w:trPr>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Shane D. Wall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28,963,545</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bl>
    <w:p>
      <w:pPr>
        <w:spacing w:after="0" w:line="32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4"/>
        </w:trPr>
        <w:tc>
          <w:tcPr>
            <w:tcW w:w="564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175"/>
        </w:trPr>
        <w:tc>
          <w:tcPr>
            <w:tcW w:w="5640" w:type="dxa"/>
            <w:vAlign w:val="bottom"/>
            <w:tcBorders>
              <w:top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2. Advisory vote on the compensation of the Company’s named executive</w:t>
            </w: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55"/>
        </w:trPr>
        <w:tc>
          <w:tcPr>
            <w:tcW w:w="6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officers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28,795,108</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516,686</w:t>
            </w:r>
          </w:p>
        </w:tc>
        <w:tc>
          <w:tcPr>
            <w:tcW w:w="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r>
    </w:tbl>
    <w:p>
      <w:pPr>
        <w:spacing w:after="0" w:line="293" w:lineRule="exact"/>
        <w:rPr>
          <w:sz w:val="20"/>
          <w:szCs w:val="20"/>
          <w:color w:val="auto"/>
        </w:rPr>
      </w:pPr>
    </w:p>
    <w:p>
      <w:pPr>
        <w:ind w:right="240" w:firstLine="632"/>
        <w:spacing w:after="0" w:line="282" w:lineRule="auto"/>
        <w:rPr>
          <w:sz w:val="20"/>
          <w:szCs w:val="20"/>
          <w:color w:val="auto"/>
        </w:rPr>
      </w:pPr>
      <w:r>
        <w:rPr>
          <w:rFonts w:ascii="Times New Roman" w:cs="Times New Roman" w:eastAsia="Times New Roman" w:hAnsi="Times New Roman"/>
          <w:sz w:val="19"/>
          <w:szCs w:val="19"/>
          <w:color w:val="auto"/>
        </w:rPr>
        <w:t>This advisory vote on the compensation of the Company’s named executive officers received the approval of approximately 98% of the stockholders voting for and against this item.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100" w:type="dxa"/>
            <w:vAlign w:val="bottom"/>
            <w:tcBorders>
              <w:bottom w:val="single" w:sz="8" w:color="auto"/>
            </w:tcBorders>
          </w:tcPr>
          <w:p>
            <w:pPr>
              <w:spacing w:after="0"/>
              <w:rPr>
                <w:sz w:val="20"/>
                <w:szCs w:val="20"/>
                <w:color w:val="auto"/>
              </w:rPr>
            </w:pPr>
          </w:p>
        </w:tc>
      </w:tr>
      <w:tr>
        <w:trPr>
          <w:trHeight w:val="175"/>
        </w:trPr>
        <w:tc>
          <w:tcPr>
            <w:tcW w:w="400" w:type="dxa"/>
            <w:vAlign w:val="bottom"/>
          </w:tcPr>
          <w:p>
            <w:pPr>
              <w:spacing w:after="0"/>
              <w:rPr>
                <w:sz w:val="15"/>
                <w:szCs w:val="15"/>
                <w:color w:val="auto"/>
              </w:rPr>
            </w:pPr>
          </w:p>
        </w:tc>
        <w:tc>
          <w:tcPr>
            <w:tcW w:w="5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3. Ratification of appointment of Ernst &amp; Young LLP as the Company’s</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5"/>
        </w:trPr>
        <w:tc>
          <w:tcPr>
            <w:tcW w:w="400" w:type="dxa"/>
            <w:vAlign w:val="bottom"/>
          </w:tcPr>
          <w:p>
            <w:pPr>
              <w:spacing w:after="0"/>
              <w:rPr>
                <w:sz w:val="22"/>
                <w:szCs w:val="22"/>
                <w:color w:val="auto"/>
              </w:rPr>
            </w:pPr>
          </w:p>
        </w:tc>
        <w:tc>
          <w:tcPr>
            <w:tcW w:w="6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independent registered public accounting firm for fiscal year 2026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32,108,994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427"/>
        </w:trPr>
        <w:tc>
          <w:tcPr>
            <w:tcW w:w="4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46" w:lineRule="exact"/>
        <w:rPr>
          <w:sz w:val="20"/>
          <w:szCs w:val="20"/>
          <w:color w:val="auto"/>
        </w:rPr>
      </w:pPr>
    </w:p>
    <w:p>
      <w:pPr>
        <w:ind w:right="40" w:firstLine="395"/>
        <w:spacing w:after="0" w:line="296"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LENNOX INTERNATIONAL INC.</w:t>
      </w:r>
    </w:p>
    <w:p>
      <w:pPr>
        <w:spacing w:after="0" w:line="200" w:lineRule="exact"/>
        <w:rPr>
          <w:sz w:val="20"/>
          <w:szCs w:val="20"/>
          <w:color w:val="auto"/>
        </w:rPr>
      </w:pPr>
    </w:p>
    <w:p>
      <w:pPr>
        <w:spacing w:after="0" w:line="3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9"/>
          <w:szCs w:val="19"/>
          <w:color w:val="auto"/>
        </w:rPr>
        <w:t>Date: May 28, 2026</w:t>
      </w:r>
    </w:p>
    <w:p>
      <w:pPr>
        <w:spacing w:after="0" w:line="295" w:lineRule="exact"/>
        <w:rPr>
          <w:sz w:val="20"/>
          <w:szCs w:val="20"/>
          <w:color w:val="auto"/>
        </w:rPr>
      </w:pPr>
    </w:p>
    <w:tbl>
      <w:tblPr>
        <w:tblLayout w:type="fixed"/>
        <w:tblInd w:w="594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Jennifer S. Perry</w:t>
            </w:r>
          </w:p>
        </w:tc>
      </w:tr>
      <w:tr>
        <w:trPr>
          <w:trHeight w:val="255"/>
        </w:trPr>
        <w:tc>
          <w:tcPr>
            <w:tcW w:w="12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4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Jennifer S. Perry</w:t>
            </w: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Assistant Secretary</w:t>
            </w:r>
          </w:p>
        </w:tc>
      </w:tr>
    </w:tbl>
    <w:p>
      <w:pPr>
        <w:spacing w:after="0" w:line="1" w:lineRule="exact"/>
        <w:rPr>
          <w:sz w:val="20"/>
          <w:szCs w:val="20"/>
          <w:color w:val="auto"/>
        </w:rPr>
      </w:pPr>
    </w:p>
    <w:sectPr>
      <w:pgSz w:w="11900" w:h="16838" w:orient="portrait"/>
      <w:cols w:equalWidth="0" w:num="1">
        <w:col w:w="11240"/>
      </w:cols>
      <w:pgMar w:left="320" w:top="8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2026-05-28T15:15:24Z</dcterms:created>
  <dcterms:modified xsi:type="dcterms:W3CDTF">2026-05-28T15:15:24Z</dcterms:modified>
</cp:coreProperties>
</file>